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2D923E" w14:textId="66CC80F4" w:rsidR="00970316" w:rsidRPr="00970316" w:rsidRDefault="00970316" w:rsidP="00970316">
      <w:pPr>
        <w:spacing w:before="40" w:after="40"/>
        <w:rPr>
          <w:rFonts w:ascii="Times New Roman" w:hAnsi="Times New Roman" w:cs="Times New Roman"/>
          <w:sz w:val="20"/>
          <w:szCs w:val="20"/>
          <w:lang w:val="en-US"/>
        </w:rPr>
      </w:pPr>
      <w:r w:rsidRPr="00970316">
        <w:rPr>
          <w:rFonts w:ascii="Times New Roman" w:hAnsi="Times New Roman" w:cs="Times New Roman"/>
          <w:sz w:val="20"/>
          <w:szCs w:val="20"/>
        </w:rPr>
        <w:t xml:space="preserve">A final version of </w:t>
      </w:r>
      <w:proofErr w:type="gramStart"/>
      <w:r w:rsidRPr="00970316">
        <w:rPr>
          <w:rFonts w:ascii="Times New Roman" w:hAnsi="Times New Roman" w:cs="Times New Roman"/>
          <w:sz w:val="20"/>
          <w:szCs w:val="20"/>
        </w:rPr>
        <w:t>this articles</w:t>
      </w:r>
      <w:proofErr w:type="gramEnd"/>
      <w:r w:rsidRPr="00970316">
        <w:rPr>
          <w:rFonts w:ascii="Times New Roman" w:hAnsi="Times New Roman" w:cs="Times New Roman"/>
          <w:sz w:val="20"/>
          <w:szCs w:val="20"/>
        </w:rPr>
        <w:t xml:space="preserve"> appears in the journal of </w:t>
      </w:r>
      <w:r w:rsidRPr="00970316">
        <w:rPr>
          <w:rFonts w:ascii="Times New Roman" w:hAnsi="Times New Roman" w:cs="Times New Roman"/>
          <w:sz w:val="20"/>
          <w:szCs w:val="20"/>
          <w:lang w:val="en-US"/>
        </w:rPr>
        <w:t>Higher Education, Skills and Work-Based Learning. The article DOI (10.1108/HESWBL-09-2017-0055)</w:t>
      </w:r>
    </w:p>
    <w:p w14:paraId="1AF408ED" w14:textId="77777777" w:rsidR="00970316" w:rsidRDefault="00970316" w:rsidP="007830C3">
      <w:pPr>
        <w:spacing w:before="40" w:after="40"/>
        <w:rPr>
          <w:rFonts w:ascii="Times New Roman" w:hAnsi="Times New Roman" w:cs="Times New Roman"/>
          <w:b/>
          <w:sz w:val="24"/>
          <w:szCs w:val="24"/>
        </w:rPr>
      </w:pPr>
    </w:p>
    <w:p w14:paraId="7BEACE5A" w14:textId="38ADF0B0" w:rsidR="007830C3" w:rsidRDefault="00C05D27" w:rsidP="007830C3">
      <w:pPr>
        <w:spacing w:before="40" w:after="40"/>
        <w:rPr>
          <w:rFonts w:ascii="Times New Roman" w:hAnsi="Times New Roman" w:cs="Times New Roman"/>
          <w:b/>
          <w:sz w:val="24"/>
          <w:szCs w:val="24"/>
        </w:rPr>
      </w:pPr>
      <w:r w:rsidRPr="004A1C60">
        <w:rPr>
          <w:rFonts w:ascii="Times New Roman" w:hAnsi="Times New Roman" w:cs="Times New Roman"/>
          <w:b/>
          <w:sz w:val="24"/>
          <w:szCs w:val="24"/>
        </w:rPr>
        <w:t>Re-thinking employability with a literacies lens: f</w:t>
      </w:r>
      <w:r w:rsidR="008F692F" w:rsidRPr="004A1C60">
        <w:rPr>
          <w:rFonts w:ascii="Times New Roman" w:hAnsi="Times New Roman" w:cs="Times New Roman"/>
          <w:b/>
          <w:sz w:val="24"/>
          <w:szCs w:val="24"/>
        </w:rPr>
        <w:t>rom skills to practices,</w:t>
      </w:r>
      <w:r w:rsidRPr="004A1C60">
        <w:rPr>
          <w:rFonts w:ascii="Times New Roman" w:hAnsi="Times New Roman" w:cs="Times New Roman"/>
          <w:b/>
          <w:sz w:val="24"/>
          <w:szCs w:val="24"/>
        </w:rPr>
        <w:t xml:space="preserve"> from tool-kits to ethnography</w:t>
      </w:r>
    </w:p>
    <w:p w14:paraId="0D4BC12C" w14:textId="77777777" w:rsidR="00B27513" w:rsidRDefault="00B27513" w:rsidP="00832802">
      <w:pPr>
        <w:spacing w:line="360" w:lineRule="auto"/>
        <w:rPr>
          <w:rFonts w:ascii="Times New Roman" w:hAnsi="Times New Roman" w:cs="Times New Roman"/>
          <w:b/>
          <w:sz w:val="24"/>
          <w:szCs w:val="24"/>
        </w:rPr>
      </w:pPr>
    </w:p>
    <w:p w14:paraId="009F809E" w14:textId="0215D6C4" w:rsidR="00970316" w:rsidRPr="004A1C60" w:rsidRDefault="00970316" w:rsidP="00832802">
      <w:pPr>
        <w:spacing w:line="360" w:lineRule="auto"/>
        <w:rPr>
          <w:rFonts w:ascii="Times New Roman" w:hAnsi="Times New Roman" w:cs="Times New Roman"/>
          <w:b/>
          <w:sz w:val="24"/>
          <w:szCs w:val="24"/>
        </w:rPr>
      </w:pPr>
      <w:r>
        <w:rPr>
          <w:rFonts w:ascii="Times New Roman" w:hAnsi="Times New Roman" w:cs="Times New Roman"/>
          <w:b/>
          <w:sz w:val="24"/>
          <w:szCs w:val="24"/>
        </w:rPr>
        <w:t>Alex Kendall &amp; Amanda French</w:t>
      </w:r>
    </w:p>
    <w:p w14:paraId="745BE7F5" w14:textId="77777777" w:rsidR="003B3A11" w:rsidRPr="004A1C60" w:rsidRDefault="003B3A11" w:rsidP="00832802">
      <w:pPr>
        <w:spacing w:line="360" w:lineRule="auto"/>
        <w:rPr>
          <w:rFonts w:ascii="Times New Roman" w:hAnsi="Times New Roman" w:cs="Times New Roman"/>
          <w:sz w:val="24"/>
          <w:szCs w:val="24"/>
        </w:rPr>
      </w:pPr>
    </w:p>
    <w:p w14:paraId="04DE8F41" w14:textId="05E94061" w:rsidR="003B3A11" w:rsidRPr="004A1C60" w:rsidRDefault="003B3A11" w:rsidP="00832802">
      <w:pPr>
        <w:spacing w:line="360" w:lineRule="auto"/>
        <w:rPr>
          <w:rFonts w:ascii="Times New Roman" w:hAnsi="Times New Roman" w:cs="Times New Roman"/>
          <w:sz w:val="24"/>
          <w:szCs w:val="24"/>
        </w:rPr>
      </w:pPr>
      <w:r w:rsidRPr="004A1C60">
        <w:rPr>
          <w:rFonts w:ascii="Times New Roman" w:hAnsi="Times New Roman" w:cs="Times New Roman"/>
          <w:sz w:val="24"/>
          <w:szCs w:val="24"/>
        </w:rPr>
        <w:t>Research Funding: This w</w:t>
      </w:r>
      <w:r w:rsidR="00CE782E" w:rsidRPr="004A1C60">
        <w:rPr>
          <w:rFonts w:ascii="Times New Roman" w:hAnsi="Times New Roman" w:cs="Times New Roman"/>
          <w:sz w:val="24"/>
          <w:szCs w:val="24"/>
        </w:rPr>
        <w:t>ork was supported by a grant from the HEA reference: GENTDG89</w:t>
      </w:r>
      <w:r w:rsidRPr="004A1C60">
        <w:rPr>
          <w:rFonts w:ascii="Times New Roman" w:hAnsi="Times New Roman" w:cs="Times New Roman"/>
          <w:sz w:val="24"/>
          <w:szCs w:val="24"/>
        </w:rPr>
        <w:t xml:space="preserve"> </w:t>
      </w:r>
    </w:p>
    <w:p w14:paraId="37A44FF9" w14:textId="3AD7F527" w:rsidR="004844D1" w:rsidRPr="004A1C60" w:rsidRDefault="004844D1">
      <w:pPr>
        <w:rPr>
          <w:rFonts w:ascii="Times New Roman" w:hAnsi="Times New Roman" w:cs="Times New Roman"/>
          <w:sz w:val="24"/>
          <w:szCs w:val="24"/>
        </w:rPr>
      </w:pPr>
      <w:r w:rsidRPr="004A1C60">
        <w:rPr>
          <w:rFonts w:ascii="Times New Roman" w:hAnsi="Times New Roman" w:cs="Times New Roman"/>
          <w:sz w:val="24"/>
          <w:szCs w:val="24"/>
        </w:rPr>
        <w:br w:type="page"/>
      </w:r>
    </w:p>
    <w:p w14:paraId="09E4A526" w14:textId="77777777" w:rsidR="008C7A3B" w:rsidRPr="004A1C60" w:rsidRDefault="008C7A3B" w:rsidP="00832802">
      <w:pPr>
        <w:spacing w:line="360" w:lineRule="auto"/>
        <w:rPr>
          <w:rFonts w:ascii="Times New Roman" w:hAnsi="Times New Roman" w:cs="Times New Roman"/>
          <w:sz w:val="24"/>
          <w:szCs w:val="24"/>
        </w:rPr>
      </w:pPr>
    </w:p>
    <w:p w14:paraId="5FBEC92F" w14:textId="682F911A" w:rsidR="003320B6" w:rsidRPr="004A1C60" w:rsidRDefault="003320B6" w:rsidP="00832802">
      <w:pPr>
        <w:spacing w:line="360" w:lineRule="auto"/>
        <w:rPr>
          <w:rFonts w:ascii="Times New Roman" w:hAnsi="Times New Roman" w:cs="Times New Roman"/>
          <w:b/>
          <w:sz w:val="24"/>
          <w:szCs w:val="24"/>
        </w:rPr>
      </w:pPr>
      <w:r w:rsidRPr="004A1C60">
        <w:rPr>
          <w:rFonts w:ascii="Times New Roman" w:hAnsi="Times New Roman" w:cs="Times New Roman"/>
          <w:b/>
          <w:sz w:val="24"/>
          <w:szCs w:val="24"/>
        </w:rPr>
        <w:t>Abstract</w:t>
      </w:r>
    </w:p>
    <w:p w14:paraId="1B01D3B3" w14:textId="54882908" w:rsidR="00527AD6" w:rsidRPr="004A1C60" w:rsidRDefault="003320B6" w:rsidP="00527AD6">
      <w:pPr>
        <w:spacing w:before="40" w:after="40"/>
        <w:rPr>
          <w:rFonts w:ascii="Times New Roman" w:hAnsi="Times New Roman" w:cs="Times New Roman"/>
          <w:sz w:val="24"/>
          <w:szCs w:val="24"/>
        </w:rPr>
      </w:pPr>
      <w:r w:rsidRPr="004A1C60">
        <w:rPr>
          <w:rFonts w:ascii="Times New Roman" w:hAnsi="Times New Roman" w:cs="Times New Roman"/>
          <w:sz w:val="24"/>
          <w:szCs w:val="24"/>
        </w:rPr>
        <w:t xml:space="preserve">This paper </w:t>
      </w:r>
      <w:r w:rsidR="00527AD6" w:rsidRPr="004A1C60">
        <w:rPr>
          <w:rFonts w:ascii="Times New Roman" w:hAnsi="Times New Roman" w:cs="Times New Roman"/>
          <w:sz w:val="24"/>
          <w:szCs w:val="24"/>
        </w:rPr>
        <w:t>draw</w:t>
      </w:r>
      <w:r w:rsidRPr="004A1C60">
        <w:rPr>
          <w:rFonts w:ascii="Times New Roman" w:hAnsi="Times New Roman" w:cs="Times New Roman"/>
          <w:sz w:val="24"/>
          <w:szCs w:val="24"/>
        </w:rPr>
        <w:t>s</w:t>
      </w:r>
      <w:r w:rsidR="00AF28B1" w:rsidRPr="004A1C60">
        <w:rPr>
          <w:rFonts w:ascii="Times New Roman" w:hAnsi="Times New Roman" w:cs="Times New Roman"/>
          <w:sz w:val="24"/>
          <w:szCs w:val="24"/>
        </w:rPr>
        <w:t xml:space="preserve"> on the outcomes of an Higher Education Academy</w:t>
      </w:r>
      <w:r w:rsidR="00527AD6" w:rsidRPr="004A1C60">
        <w:rPr>
          <w:rFonts w:ascii="Times New Roman" w:hAnsi="Times New Roman" w:cs="Times New Roman"/>
          <w:sz w:val="24"/>
          <w:szCs w:val="24"/>
        </w:rPr>
        <w:t xml:space="preserve"> funded project, Literacies for Employability</w:t>
      </w:r>
      <w:r w:rsidRPr="004A1C60">
        <w:rPr>
          <w:rFonts w:ascii="Times New Roman" w:hAnsi="Times New Roman" w:cs="Times New Roman"/>
          <w:sz w:val="24"/>
          <w:szCs w:val="24"/>
        </w:rPr>
        <w:t xml:space="preserve"> (L4E)</w:t>
      </w:r>
      <w:r w:rsidR="00527AD6" w:rsidRPr="004A1C60">
        <w:rPr>
          <w:rFonts w:ascii="Times New Roman" w:hAnsi="Times New Roman" w:cs="Times New Roman"/>
          <w:sz w:val="24"/>
          <w:szCs w:val="24"/>
        </w:rPr>
        <w:t xml:space="preserve"> to contribute to discussion of the interface between university learning and workplace settings and the focus on employability that dominates the English context. The paper will be of interest to colleagues from any discipline who have an interest in critical (re)readings of employability and practical ways of engaging student in ethnographic approaches to understanding workplace practices, particularly those with an interest in professional, work-based, or placement learning. </w:t>
      </w:r>
    </w:p>
    <w:p w14:paraId="30233FF0" w14:textId="77777777" w:rsidR="00527AD6" w:rsidRPr="004A1C60" w:rsidRDefault="00527AD6" w:rsidP="00527AD6">
      <w:pPr>
        <w:spacing w:before="40" w:after="40"/>
        <w:rPr>
          <w:rFonts w:ascii="Times New Roman" w:hAnsi="Times New Roman" w:cs="Times New Roman"/>
          <w:sz w:val="24"/>
          <w:szCs w:val="24"/>
        </w:rPr>
      </w:pPr>
    </w:p>
    <w:p w14:paraId="53589FB8" w14:textId="42F3576F" w:rsidR="00527AD6" w:rsidRPr="004A1C60" w:rsidRDefault="00527AD6" w:rsidP="00527AD6">
      <w:pPr>
        <w:spacing w:before="40" w:after="40"/>
        <w:rPr>
          <w:rFonts w:ascii="Times New Roman" w:hAnsi="Times New Roman" w:cs="Times New Roman"/>
          <w:sz w:val="24"/>
          <w:szCs w:val="24"/>
        </w:rPr>
      </w:pPr>
      <w:r w:rsidRPr="004A1C60">
        <w:rPr>
          <w:rFonts w:ascii="Times New Roman" w:hAnsi="Times New Roman" w:cs="Times New Roman"/>
          <w:sz w:val="24"/>
          <w:szCs w:val="24"/>
        </w:rPr>
        <w:t xml:space="preserve">L4E is grounded in social theories of communication from Sociology and Education that </w:t>
      </w:r>
      <w:r w:rsidR="00CA418A" w:rsidRPr="004A1C60">
        <w:rPr>
          <w:rFonts w:ascii="Times New Roman" w:hAnsi="Times New Roman" w:cs="Times New Roman"/>
          <w:sz w:val="24"/>
          <w:szCs w:val="24"/>
        </w:rPr>
        <w:t>understands</w:t>
      </w:r>
      <w:r w:rsidRPr="004A1C60">
        <w:rPr>
          <w:rFonts w:ascii="Times New Roman" w:hAnsi="Times New Roman" w:cs="Times New Roman"/>
          <w:sz w:val="24"/>
          <w:szCs w:val="24"/>
        </w:rPr>
        <w:t xml:space="preserve"> literacy as a complex social activity embedded in </w:t>
      </w:r>
      <w:r w:rsidRPr="004A1C60">
        <w:rPr>
          <w:rFonts w:ascii="Times New Roman" w:hAnsi="Times New Roman" w:cs="Times New Roman"/>
          <w:i/>
          <w:sz w:val="24"/>
          <w:szCs w:val="24"/>
        </w:rPr>
        <w:t>domains</w:t>
      </w:r>
      <w:r w:rsidRPr="004A1C60">
        <w:rPr>
          <w:rFonts w:ascii="Times New Roman" w:hAnsi="Times New Roman" w:cs="Times New Roman"/>
          <w:sz w:val="24"/>
          <w:szCs w:val="24"/>
        </w:rPr>
        <w:t xml:space="preserve"> of practice. These ideas recognise workplaces as domains that are highly distinctive and diverse contexts for literacy (rather than generic or standard) and that to be successful in particular workplace settings students must be attuned to, and adaptive and fluent in, the nuanced literacy practices of that workplace. However evidence suggests (Lea and Stierer, 2000) that HE students (and teachers) rarely experience overt teaching about literacy in general or workplace literacies in particular. This project developed a framework to scaffold and support this process across the disciplines so that students can develop the attitudes and behaviours</w:t>
      </w:r>
      <w:r w:rsidR="00AF28B1" w:rsidRPr="004A1C60">
        <w:rPr>
          <w:rFonts w:ascii="Times New Roman" w:hAnsi="Times New Roman" w:cs="Times New Roman"/>
          <w:sz w:val="24"/>
          <w:szCs w:val="24"/>
        </w:rPr>
        <w:t xml:space="preserve"> </w:t>
      </w:r>
      <w:r w:rsidRPr="004A1C60">
        <w:rPr>
          <w:rFonts w:ascii="Times New Roman" w:hAnsi="Times New Roman" w:cs="Times New Roman"/>
          <w:sz w:val="24"/>
          <w:szCs w:val="24"/>
        </w:rPr>
        <w:t>they will need to be successful in the workplace. The approach chimes with recommendati</w:t>
      </w:r>
      <w:r w:rsidR="00AF28B1" w:rsidRPr="004A1C60">
        <w:rPr>
          <w:rFonts w:ascii="Times New Roman" w:hAnsi="Times New Roman" w:cs="Times New Roman"/>
          <w:sz w:val="24"/>
          <w:szCs w:val="24"/>
        </w:rPr>
        <w:t>ons from</w:t>
      </w:r>
      <w:r w:rsidRPr="004A1C60">
        <w:rPr>
          <w:rFonts w:ascii="Times New Roman" w:hAnsi="Times New Roman" w:cs="Times New Roman"/>
          <w:sz w:val="24"/>
          <w:szCs w:val="24"/>
        </w:rPr>
        <w:t xml:space="preserve"> Pegg et al (2012) that employability is most effectively developed through a focus on more expansive, reflexive approaches to learning and through “raising confidence…self-esteem and aspirations’ (2012:9).</w:t>
      </w:r>
    </w:p>
    <w:p w14:paraId="069B005C" w14:textId="67FB9196" w:rsidR="00AF28B1" w:rsidRPr="004A1C60" w:rsidRDefault="00AF28B1" w:rsidP="00527AD6">
      <w:pPr>
        <w:spacing w:before="40" w:after="40"/>
        <w:rPr>
          <w:rFonts w:ascii="Times New Roman" w:hAnsi="Times New Roman" w:cs="Times New Roman"/>
          <w:sz w:val="24"/>
          <w:szCs w:val="24"/>
        </w:rPr>
      </w:pPr>
      <w:r w:rsidRPr="004A1C60">
        <w:rPr>
          <w:rFonts w:ascii="Times New Roman" w:hAnsi="Times New Roman" w:cs="Times New Roman"/>
          <w:sz w:val="24"/>
          <w:szCs w:val="24"/>
        </w:rPr>
        <w:t>(Word Count 245)</w:t>
      </w:r>
    </w:p>
    <w:p w14:paraId="23A05D53" w14:textId="77777777" w:rsidR="004844D1" w:rsidRPr="004A1C60" w:rsidRDefault="004844D1" w:rsidP="00527AD6">
      <w:pPr>
        <w:spacing w:before="40" w:after="40"/>
        <w:rPr>
          <w:rFonts w:ascii="Times New Roman" w:hAnsi="Times New Roman" w:cs="Times New Roman"/>
          <w:sz w:val="24"/>
          <w:szCs w:val="24"/>
        </w:rPr>
      </w:pPr>
    </w:p>
    <w:p w14:paraId="5A290DAC" w14:textId="2E2C3773" w:rsidR="004844D1" w:rsidRPr="004A1C60" w:rsidRDefault="004844D1" w:rsidP="00527AD6">
      <w:pPr>
        <w:spacing w:before="40" w:after="40"/>
        <w:rPr>
          <w:rFonts w:ascii="Times New Roman" w:hAnsi="Times New Roman" w:cs="Times New Roman"/>
          <w:b/>
          <w:sz w:val="24"/>
          <w:szCs w:val="24"/>
        </w:rPr>
      </w:pPr>
      <w:r w:rsidRPr="004A1C60">
        <w:rPr>
          <w:rFonts w:ascii="Times New Roman" w:hAnsi="Times New Roman" w:cs="Times New Roman"/>
          <w:b/>
          <w:sz w:val="24"/>
          <w:szCs w:val="24"/>
        </w:rPr>
        <w:t>Key Words: Employability, Critical</w:t>
      </w:r>
      <w:r w:rsidR="00001AAA" w:rsidRPr="004A1C60">
        <w:rPr>
          <w:rFonts w:ascii="Times New Roman" w:hAnsi="Times New Roman" w:cs="Times New Roman"/>
          <w:b/>
          <w:sz w:val="24"/>
          <w:szCs w:val="24"/>
        </w:rPr>
        <w:t xml:space="preserve"> Employability, Literacies, New Literacy Studies, Higher Education, Vocational learning</w:t>
      </w:r>
    </w:p>
    <w:p w14:paraId="23C7F3EE" w14:textId="2D100F45" w:rsidR="00EE6011" w:rsidRPr="004A1C60" w:rsidRDefault="00EE6011" w:rsidP="00832802">
      <w:pPr>
        <w:spacing w:line="360" w:lineRule="auto"/>
        <w:rPr>
          <w:rFonts w:ascii="Times New Roman" w:hAnsi="Times New Roman" w:cs="Times New Roman"/>
          <w:sz w:val="24"/>
          <w:szCs w:val="24"/>
        </w:rPr>
      </w:pPr>
      <w:r w:rsidRPr="004A1C60">
        <w:rPr>
          <w:rFonts w:ascii="Times New Roman" w:hAnsi="Times New Roman" w:cs="Times New Roman"/>
          <w:sz w:val="24"/>
          <w:szCs w:val="24"/>
        </w:rPr>
        <w:br w:type="page"/>
      </w:r>
    </w:p>
    <w:p w14:paraId="4EC948FC" w14:textId="77777777" w:rsidR="00527AD6" w:rsidRPr="004A1C60" w:rsidRDefault="00527AD6" w:rsidP="00832802">
      <w:pPr>
        <w:spacing w:line="360" w:lineRule="auto"/>
        <w:rPr>
          <w:rFonts w:ascii="Times New Roman" w:hAnsi="Times New Roman" w:cs="Times New Roman"/>
          <w:b/>
          <w:sz w:val="24"/>
          <w:szCs w:val="24"/>
        </w:rPr>
      </w:pPr>
    </w:p>
    <w:p w14:paraId="738F5BDB" w14:textId="5DC3DC44" w:rsidR="00A57F8F" w:rsidRPr="004A1C60" w:rsidRDefault="00A57F8F" w:rsidP="00832802">
      <w:pPr>
        <w:spacing w:line="360" w:lineRule="auto"/>
        <w:rPr>
          <w:rFonts w:ascii="Times New Roman" w:hAnsi="Times New Roman" w:cs="Times New Roman"/>
          <w:b/>
          <w:sz w:val="24"/>
          <w:szCs w:val="24"/>
        </w:rPr>
      </w:pPr>
      <w:r w:rsidRPr="004A1C60">
        <w:rPr>
          <w:rFonts w:ascii="Times New Roman" w:hAnsi="Times New Roman" w:cs="Times New Roman"/>
          <w:b/>
          <w:sz w:val="24"/>
          <w:szCs w:val="24"/>
        </w:rPr>
        <w:br w:type="page"/>
      </w:r>
    </w:p>
    <w:p w14:paraId="6698F532" w14:textId="77777777" w:rsidR="00E00232" w:rsidRPr="004A1C60" w:rsidRDefault="005E4880" w:rsidP="00832802">
      <w:pPr>
        <w:spacing w:line="360" w:lineRule="auto"/>
        <w:rPr>
          <w:rFonts w:ascii="Times New Roman" w:hAnsi="Times New Roman" w:cs="Times New Roman"/>
          <w:b/>
          <w:sz w:val="24"/>
          <w:szCs w:val="24"/>
        </w:rPr>
      </w:pPr>
      <w:r w:rsidRPr="004A1C60">
        <w:rPr>
          <w:rFonts w:ascii="Times New Roman" w:hAnsi="Times New Roman" w:cs="Times New Roman"/>
          <w:b/>
          <w:sz w:val="24"/>
          <w:szCs w:val="24"/>
        </w:rPr>
        <w:lastRenderedPageBreak/>
        <w:t>Intro</w:t>
      </w:r>
      <w:r w:rsidR="00E00232" w:rsidRPr="004A1C60">
        <w:rPr>
          <w:rFonts w:ascii="Times New Roman" w:hAnsi="Times New Roman" w:cs="Times New Roman"/>
          <w:b/>
          <w:sz w:val="24"/>
          <w:szCs w:val="24"/>
        </w:rPr>
        <w:t xml:space="preserve">duction </w:t>
      </w:r>
    </w:p>
    <w:p w14:paraId="1E7C2D8F" w14:textId="063AA536" w:rsidR="007466F4" w:rsidRPr="004A1C60" w:rsidRDefault="00EF798B" w:rsidP="00832802">
      <w:pPr>
        <w:spacing w:line="360" w:lineRule="auto"/>
        <w:rPr>
          <w:rFonts w:ascii="Times New Roman" w:hAnsi="Times New Roman" w:cs="Times New Roman"/>
          <w:sz w:val="24"/>
          <w:szCs w:val="24"/>
        </w:rPr>
      </w:pPr>
      <w:r w:rsidRPr="004A1C60">
        <w:rPr>
          <w:rFonts w:ascii="Times New Roman" w:hAnsi="Times New Roman" w:cs="Times New Roman"/>
          <w:sz w:val="24"/>
          <w:szCs w:val="24"/>
        </w:rPr>
        <w:t>Over the last three decades</w:t>
      </w:r>
      <w:r w:rsidR="00D54B3E" w:rsidRPr="004A1C60">
        <w:rPr>
          <w:rFonts w:ascii="Times New Roman" w:hAnsi="Times New Roman" w:cs="Times New Roman"/>
          <w:sz w:val="24"/>
          <w:szCs w:val="24"/>
        </w:rPr>
        <w:t xml:space="preserve"> participation in higher education</w:t>
      </w:r>
      <w:r w:rsidR="00C873B4" w:rsidRPr="004A1C60">
        <w:rPr>
          <w:rFonts w:ascii="Times New Roman" w:hAnsi="Times New Roman" w:cs="Times New Roman"/>
          <w:sz w:val="24"/>
          <w:szCs w:val="24"/>
        </w:rPr>
        <w:t xml:space="preserve"> (HE)</w:t>
      </w:r>
      <w:r w:rsidR="00D54B3E" w:rsidRPr="004A1C60">
        <w:rPr>
          <w:rFonts w:ascii="Times New Roman" w:hAnsi="Times New Roman" w:cs="Times New Roman"/>
          <w:sz w:val="24"/>
          <w:szCs w:val="24"/>
        </w:rPr>
        <w:t xml:space="preserve"> </w:t>
      </w:r>
      <w:r w:rsidR="003064EE" w:rsidRPr="004A1C60">
        <w:rPr>
          <w:rFonts w:ascii="Times New Roman" w:hAnsi="Times New Roman" w:cs="Times New Roman"/>
          <w:sz w:val="24"/>
          <w:szCs w:val="24"/>
        </w:rPr>
        <w:t xml:space="preserve">in the United Kingdom (UK) </w:t>
      </w:r>
      <w:r w:rsidR="00D54B3E" w:rsidRPr="004A1C60">
        <w:rPr>
          <w:rFonts w:ascii="Times New Roman" w:hAnsi="Times New Roman" w:cs="Times New Roman"/>
          <w:sz w:val="24"/>
          <w:szCs w:val="24"/>
        </w:rPr>
        <w:t xml:space="preserve">has </w:t>
      </w:r>
      <w:r w:rsidR="008436F5" w:rsidRPr="004A1C60">
        <w:rPr>
          <w:rFonts w:ascii="Times New Roman" w:hAnsi="Times New Roman" w:cs="Times New Roman"/>
          <w:sz w:val="24"/>
          <w:szCs w:val="24"/>
        </w:rPr>
        <w:t>increased substantially from 12% in 1979</w:t>
      </w:r>
      <w:r w:rsidR="0094496D" w:rsidRPr="004A1C60">
        <w:rPr>
          <w:rFonts w:ascii="Times New Roman" w:hAnsi="Times New Roman" w:cs="Times New Roman"/>
          <w:sz w:val="24"/>
          <w:szCs w:val="24"/>
        </w:rPr>
        <w:t xml:space="preserve"> to </w:t>
      </w:r>
      <w:r w:rsidR="00A87394" w:rsidRPr="004A1C60">
        <w:rPr>
          <w:rFonts w:ascii="Times New Roman" w:hAnsi="Times New Roman" w:cs="Times New Roman"/>
          <w:sz w:val="24"/>
          <w:szCs w:val="24"/>
        </w:rPr>
        <w:t xml:space="preserve">48% in 2015 (DfE, 2016). </w:t>
      </w:r>
      <w:r w:rsidR="007100B8" w:rsidRPr="004A1C60">
        <w:rPr>
          <w:rFonts w:ascii="Times New Roman" w:hAnsi="Times New Roman" w:cs="Times New Roman"/>
          <w:sz w:val="24"/>
          <w:szCs w:val="24"/>
        </w:rPr>
        <w:t>Such large scale</w:t>
      </w:r>
      <w:r w:rsidR="00D54B3E" w:rsidRPr="004A1C60">
        <w:rPr>
          <w:rFonts w:ascii="Times New Roman" w:hAnsi="Times New Roman" w:cs="Times New Roman"/>
          <w:sz w:val="24"/>
          <w:szCs w:val="24"/>
        </w:rPr>
        <w:t xml:space="preserve"> ‘</w:t>
      </w:r>
      <w:r w:rsidR="007D3B00" w:rsidRPr="004A1C60">
        <w:rPr>
          <w:rFonts w:ascii="Times New Roman" w:hAnsi="Times New Roman" w:cs="Times New Roman"/>
          <w:sz w:val="24"/>
          <w:szCs w:val="24"/>
        </w:rPr>
        <w:t>massification</w:t>
      </w:r>
      <w:r w:rsidR="003064EE" w:rsidRPr="004A1C60">
        <w:rPr>
          <w:rFonts w:ascii="Times New Roman" w:hAnsi="Times New Roman" w:cs="Times New Roman"/>
          <w:sz w:val="24"/>
          <w:szCs w:val="24"/>
        </w:rPr>
        <w:t>’</w:t>
      </w:r>
      <w:r w:rsidR="007D3B00" w:rsidRPr="004A1C60">
        <w:rPr>
          <w:rFonts w:ascii="Times New Roman" w:hAnsi="Times New Roman" w:cs="Times New Roman"/>
          <w:sz w:val="24"/>
          <w:szCs w:val="24"/>
        </w:rPr>
        <w:t xml:space="preserve"> </w:t>
      </w:r>
      <w:r w:rsidR="003064EE" w:rsidRPr="004A1C60">
        <w:rPr>
          <w:rFonts w:ascii="Times New Roman" w:hAnsi="Times New Roman" w:cs="Times New Roman"/>
          <w:sz w:val="24"/>
          <w:szCs w:val="24"/>
        </w:rPr>
        <w:t>(Scott, 2000) in combination with</w:t>
      </w:r>
      <w:r w:rsidR="007D3B00" w:rsidRPr="004A1C60">
        <w:rPr>
          <w:rFonts w:ascii="Times New Roman" w:hAnsi="Times New Roman" w:cs="Times New Roman"/>
          <w:sz w:val="24"/>
          <w:szCs w:val="24"/>
        </w:rPr>
        <w:t xml:space="preserve"> the </w:t>
      </w:r>
      <w:r w:rsidR="003064EE" w:rsidRPr="004A1C60">
        <w:rPr>
          <w:rFonts w:ascii="Times New Roman" w:hAnsi="Times New Roman" w:cs="Times New Roman"/>
          <w:sz w:val="24"/>
          <w:szCs w:val="24"/>
        </w:rPr>
        <w:t>impact of globalisation and more</w:t>
      </w:r>
      <w:r w:rsidR="007D3B00" w:rsidRPr="004A1C60">
        <w:rPr>
          <w:rFonts w:ascii="Times New Roman" w:hAnsi="Times New Roman" w:cs="Times New Roman"/>
          <w:sz w:val="24"/>
          <w:szCs w:val="24"/>
        </w:rPr>
        <w:t xml:space="preserve"> recently recession, </w:t>
      </w:r>
      <w:r w:rsidR="003064EE" w:rsidRPr="004A1C60">
        <w:rPr>
          <w:rFonts w:ascii="Times New Roman" w:hAnsi="Times New Roman" w:cs="Times New Roman"/>
          <w:sz w:val="24"/>
          <w:szCs w:val="24"/>
        </w:rPr>
        <w:t>has put UK</w:t>
      </w:r>
      <w:r w:rsidR="007D3B00" w:rsidRPr="004A1C60">
        <w:rPr>
          <w:rFonts w:ascii="Times New Roman" w:hAnsi="Times New Roman" w:cs="Times New Roman"/>
          <w:sz w:val="24"/>
          <w:szCs w:val="24"/>
        </w:rPr>
        <w:t xml:space="preserve"> </w:t>
      </w:r>
      <w:r w:rsidR="00D86CD8" w:rsidRPr="004A1C60">
        <w:rPr>
          <w:rFonts w:ascii="Times New Roman" w:hAnsi="Times New Roman" w:cs="Times New Roman"/>
          <w:sz w:val="24"/>
          <w:szCs w:val="24"/>
        </w:rPr>
        <w:t xml:space="preserve">universities </w:t>
      </w:r>
      <w:r w:rsidR="007D3B00" w:rsidRPr="004A1C60">
        <w:rPr>
          <w:rFonts w:ascii="Times New Roman" w:hAnsi="Times New Roman" w:cs="Times New Roman"/>
          <w:sz w:val="24"/>
          <w:szCs w:val="24"/>
        </w:rPr>
        <w:t xml:space="preserve">under </w:t>
      </w:r>
      <w:r w:rsidR="00D86CD8" w:rsidRPr="004A1C60">
        <w:rPr>
          <w:rFonts w:ascii="Times New Roman" w:hAnsi="Times New Roman" w:cs="Times New Roman"/>
          <w:sz w:val="24"/>
          <w:szCs w:val="24"/>
        </w:rPr>
        <w:t xml:space="preserve">increasing </w:t>
      </w:r>
      <w:r w:rsidR="007D3B00" w:rsidRPr="004A1C60">
        <w:rPr>
          <w:rFonts w:ascii="Times New Roman" w:hAnsi="Times New Roman" w:cs="Times New Roman"/>
          <w:sz w:val="24"/>
          <w:szCs w:val="24"/>
        </w:rPr>
        <w:t xml:space="preserve">pressure from policymakers to engage more </w:t>
      </w:r>
      <w:r w:rsidR="00D86CD8" w:rsidRPr="004A1C60">
        <w:rPr>
          <w:rFonts w:ascii="Times New Roman" w:hAnsi="Times New Roman" w:cs="Times New Roman"/>
          <w:sz w:val="24"/>
          <w:szCs w:val="24"/>
        </w:rPr>
        <w:t xml:space="preserve">actively and </w:t>
      </w:r>
      <w:r w:rsidR="007D3B00" w:rsidRPr="004A1C60">
        <w:rPr>
          <w:rFonts w:ascii="Times New Roman" w:hAnsi="Times New Roman" w:cs="Times New Roman"/>
          <w:sz w:val="24"/>
          <w:szCs w:val="24"/>
        </w:rPr>
        <w:t xml:space="preserve">explicitly with an ‘employability’ agenda, that is to say to align </w:t>
      </w:r>
      <w:r w:rsidR="00D86CD8" w:rsidRPr="004A1C60">
        <w:rPr>
          <w:rFonts w:ascii="Times New Roman" w:hAnsi="Times New Roman" w:cs="Times New Roman"/>
          <w:sz w:val="24"/>
          <w:szCs w:val="24"/>
        </w:rPr>
        <w:t xml:space="preserve">the outcomes of </w:t>
      </w:r>
      <w:r w:rsidR="007D3B00" w:rsidRPr="004A1C60">
        <w:rPr>
          <w:rFonts w:ascii="Times New Roman" w:hAnsi="Times New Roman" w:cs="Times New Roman"/>
          <w:sz w:val="24"/>
          <w:szCs w:val="24"/>
        </w:rPr>
        <w:t>higher education more closely to the perceived needs of employers and</w:t>
      </w:r>
      <w:r w:rsidR="00D86CD8" w:rsidRPr="004A1C60">
        <w:rPr>
          <w:rFonts w:ascii="Times New Roman" w:hAnsi="Times New Roman" w:cs="Times New Roman"/>
          <w:sz w:val="24"/>
          <w:szCs w:val="24"/>
        </w:rPr>
        <w:t xml:space="preserve"> the economy. Universities are increasingly responding</w:t>
      </w:r>
      <w:r w:rsidR="007D3B00" w:rsidRPr="004A1C60">
        <w:rPr>
          <w:rFonts w:ascii="Times New Roman" w:hAnsi="Times New Roman" w:cs="Times New Roman"/>
          <w:sz w:val="24"/>
          <w:szCs w:val="24"/>
        </w:rPr>
        <w:t xml:space="preserve"> with ‘skills-based’, em</w:t>
      </w:r>
      <w:r w:rsidR="0076009B" w:rsidRPr="004A1C60">
        <w:rPr>
          <w:rFonts w:ascii="Times New Roman" w:hAnsi="Times New Roman" w:cs="Times New Roman"/>
          <w:sz w:val="24"/>
          <w:szCs w:val="24"/>
        </w:rPr>
        <w:t xml:space="preserve">ployer-led curricula that </w:t>
      </w:r>
      <w:r w:rsidR="007D3B00" w:rsidRPr="004A1C60">
        <w:rPr>
          <w:rFonts w:ascii="Times New Roman" w:hAnsi="Times New Roman" w:cs="Times New Roman"/>
          <w:sz w:val="24"/>
          <w:szCs w:val="24"/>
        </w:rPr>
        <w:t>play out a discourse of ‘graduate-ness’ as ‘enhanced work-readine</w:t>
      </w:r>
      <w:r w:rsidR="0076009B" w:rsidRPr="004A1C60">
        <w:rPr>
          <w:rFonts w:ascii="Times New Roman" w:hAnsi="Times New Roman" w:cs="Times New Roman"/>
          <w:sz w:val="24"/>
          <w:szCs w:val="24"/>
        </w:rPr>
        <w:t>ss’ (Boden and Nedeva, 2010:</w:t>
      </w:r>
      <w:r w:rsidR="007D3B00" w:rsidRPr="004A1C60">
        <w:rPr>
          <w:rFonts w:ascii="Times New Roman" w:hAnsi="Times New Roman" w:cs="Times New Roman"/>
          <w:sz w:val="24"/>
          <w:szCs w:val="24"/>
        </w:rPr>
        <w:t>49-50). In this paper we draw on the o</w:t>
      </w:r>
      <w:r w:rsidR="00451372" w:rsidRPr="004A1C60">
        <w:rPr>
          <w:rFonts w:ascii="Times New Roman" w:hAnsi="Times New Roman" w:cs="Times New Roman"/>
          <w:sz w:val="24"/>
          <w:szCs w:val="24"/>
        </w:rPr>
        <w:t>utcomes of a UK</w:t>
      </w:r>
      <w:r w:rsidR="007D3B00" w:rsidRPr="004A1C60">
        <w:rPr>
          <w:rFonts w:ascii="Times New Roman" w:hAnsi="Times New Roman" w:cs="Times New Roman"/>
          <w:sz w:val="24"/>
          <w:szCs w:val="24"/>
        </w:rPr>
        <w:t xml:space="preserve"> Higher Education Academy (HEA) </w:t>
      </w:r>
      <w:r w:rsidR="00451372" w:rsidRPr="004A1C60">
        <w:rPr>
          <w:rFonts w:ascii="Times New Roman" w:hAnsi="Times New Roman" w:cs="Times New Roman"/>
          <w:sz w:val="24"/>
          <w:szCs w:val="24"/>
        </w:rPr>
        <w:t xml:space="preserve">Teaching Development Grant (TDG) </w:t>
      </w:r>
      <w:r w:rsidR="007D3B00" w:rsidRPr="004A1C60">
        <w:rPr>
          <w:rFonts w:ascii="Times New Roman" w:hAnsi="Times New Roman" w:cs="Times New Roman"/>
          <w:sz w:val="24"/>
          <w:szCs w:val="24"/>
        </w:rPr>
        <w:t xml:space="preserve">funded project, </w:t>
      </w:r>
      <w:r w:rsidR="007D3B00" w:rsidRPr="004A1C60">
        <w:rPr>
          <w:rFonts w:ascii="Times New Roman" w:hAnsi="Times New Roman" w:cs="Times New Roman"/>
          <w:i/>
          <w:sz w:val="24"/>
          <w:szCs w:val="24"/>
        </w:rPr>
        <w:t xml:space="preserve">Literacies for Employability </w:t>
      </w:r>
      <w:r w:rsidR="007D3B00" w:rsidRPr="004A1C60">
        <w:rPr>
          <w:rFonts w:ascii="Times New Roman" w:hAnsi="Times New Roman" w:cs="Times New Roman"/>
          <w:sz w:val="24"/>
          <w:szCs w:val="24"/>
        </w:rPr>
        <w:t xml:space="preserve">(L4E), to argue that in practice such an approach </w:t>
      </w:r>
      <w:r w:rsidR="009A672E" w:rsidRPr="004A1C60">
        <w:rPr>
          <w:rFonts w:ascii="Times New Roman" w:hAnsi="Times New Roman" w:cs="Times New Roman"/>
          <w:sz w:val="24"/>
          <w:szCs w:val="24"/>
        </w:rPr>
        <w:t xml:space="preserve">often </w:t>
      </w:r>
      <w:r w:rsidR="007D3B00" w:rsidRPr="004A1C60">
        <w:rPr>
          <w:rFonts w:ascii="Times New Roman" w:hAnsi="Times New Roman" w:cs="Times New Roman"/>
          <w:sz w:val="24"/>
          <w:szCs w:val="24"/>
        </w:rPr>
        <w:t>h</w:t>
      </w:r>
      <w:r w:rsidR="007466F4" w:rsidRPr="004A1C60">
        <w:rPr>
          <w:rFonts w:ascii="Times New Roman" w:hAnsi="Times New Roman" w:cs="Times New Roman"/>
          <w:sz w:val="24"/>
          <w:szCs w:val="24"/>
        </w:rPr>
        <w:t>as the</w:t>
      </w:r>
      <w:r w:rsidR="007D3B00" w:rsidRPr="004A1C60">
        <w:rPr>
          <w:rFonts w:ascii="Times New Roman" w:hAnsi="Times New Roman" w:cs="Times New Roman"/>
          <w:sz w:val="24"/>
          <w:szCs w:val="24"/>
        </w:rPr>
        <w:t xml:space="preserve"> paradoxical effect of restricting, rather than expanding, students’ concept-making about the world of work. An over emphasis, we argue, on narrow, functional models of being and doing in work diminish potential for creative agency and the re-imagining of workplace relations. </w:t>
      </w:r>
    </w:p>
    <w:p w14:paraId="7BCEF1BB" w14:textId="26E70E07" w:rsidR="00AB1E3F" w:rsidRPr="004A1C60" w:rsidRDefault="007466F4" w:rsidP="00832802">
      <w:pPr>
        <w:spacing w:before="40" w:after="40" w:line="360" w:lineRule="auto"/>
        <w:rPr>
          <w:rFonts w:ascii="Times New Roman" w:hAnsi="Times New Roman" w:cs="Times New Roman"/>
          <w:sz w:val="24"/>
          <w:szCs w:val="24"/>
        </w:rPr>
      </w:pPr>
      <w:r w:rsidRPr="004A1C60">
        <w:rPr>
          <w:rFonts w:ascii="Times New Roman" w:hAnsi="Times New Roman" w:cs="Times New Roman"/>
          <w:sz w:val="24"/>
          <w:szCs w:val="24"/>
        </w:rPr>
        <w:t xml:space="preserve">The L4E project </w:t>
      </w:r>
      <w:r w:rsidR="002738D5" w:rsidRPr="004A1C60">
        <w:rPr>
          <w:rFonts w:ascii="Times New Roman" w:hAnsi="Times New Roman" w:cs="Times New Roman"/>
          <w:sz w:val="24"/>
          <w:szCs w:val="24"/>
        </w:rPr>
        <w:t>sought to work</w:t>
      </w:r>
      <w:r w:rsidRPr="004A1C60">
        <w:rPr>
          <w:rFonts w:ascii="Times New Roman" w:hAnsi="Times New Roman" w:cs="Times New Roman"/>
          <w:sz w:val="24"/>
          <w:szCs w:val="24"/>
        </w:rPr>
        <w:t xml:space="preserve"> </w:t>
      </w:r>
      <w:r w:rsidR="002738D5" w:rsidRPr="004A1C60">
        <w:rPr>
          <w:rFonts w:ascii="Times New Roman" w:hAnsi="Times New Roman" w:cs="Times New Roman"/>
          <w:sz w:val="24"/>
          <w:szCs w:val="24"/>
        </w:rPr>
        <w:t xml:space="preserve">with </w:t>
      </w:r>
      <w:r w:rsidRPr="004A1C60">
        <w:rPr>
          <w:rFonts w:ascii="Times New Roman" w:hAnsi="Times New Roman" w:cs="Times New Roman"/>
          <w:sz w:val="24"/>
          <w:szCs w:val="24"/>
        </w:rPr>
        <w:t>alternative perspective</w:t>
      </w:r>
      <w:r w:rsidR="002738D5" w:rsidRPr="004A1C60">
        <w:rPr>
          <w:rFonts w:ascii="Times New Roman" w:hAnsi="Times New Roman" w:cs="Times New Roman"/>
          <w:sz w:val="24"/>
          <w:szCs w:val="24"/>
        </w:rPr>
        <w:t>s</w:t>
      </w:r>
      <w:r w:rsidR="009A672E" w:rsidRPr="004A1C60">
        <w:rPr>
          <w:rFonts w:ascii="Times New Roman" w:hAnsi="Times New Roman" w:cs="Times New Roman"/>
          <w:sz w:val="24"/>
          <w:szCs w:val="24"/>
        </w:rPr>
        <w:t xml:space="preserve"> on employability</w:t>
      </w:r>
      <w:r w:rsidRPr="004A1C60">
        <w:rPr>
          <w:rFonts w:ascii="Times New Roman" w:hAnsi="Times New Roman" w:cs="Times New Roman"/>
          <w:sz w:val="24"/>
          <w:szCs w:val="24"/>
        </w:rPr>
        <w:t xml:space="preserve">, ‘plugging in’ </w:t>
      </w:r>
      <w:r w:rsidR="007D3B00" w:rsidRPr="004A1C60">
        <w:rPr>
          <w:rFonts w:ascii="Times New Roman" w:hAnsi="Times New Roman" w:cs="Times New Roman"/>
          <w:sz w:val="24"/>
          <w:szCs w:val="24"/>
        </w:rPr>
        <w:t>ideas from the New Literacy Studies to o</w:t>
      </w:r>
      <w:r w:rsidR="000A3E33" w:rsidRPr="004A1C60">
        <w:rPr>
          <w:rFonts w:ascii="Times New Roman" w:hAnsi="Times New Roman" w:cs="Times New Roman"/>
          <w:sz w:val="24"/>
          <w:szCs w:val="24"/>
        </w:rPr>
        <w:t>ffer new sta</w:t>
      </w:r>
      <w:r w:rsidR="00C873B4" w:rsidRPr="004A1C60">
        <w:rPr>
          <w:rFonts w:ascii="Times New Roman" w:hAnsi="Times New Roman" w:cs="Times New Roman"/>
          <w:sz w:val="24"/>
          <w:szCs w:val="24"/>
        </w:rPr>
        <w:t>rting points for employability</w:t>
      </w:r>
      <w:r w:rsidR="000A3E33" w:rsidRPr="004A1C60">
        <w:rPr>
          <w:rFonts w:ascii="Times New Roman" w:hAnsi="Times New Roman" w:cs="Times New Roman"/>
          <w:sz w:val="24"/>
          <w:szCs w:val="24"/>
        </w:rPr>
        <w:t xml:space="preserve"> curricula</w:t>
      </w:r>
      <w:r w:rsidR="007D3B00" w:rsidRPr="004A1C60">
        <w:rPr>
          <w:rFonts w:ascii="Times New Roman" w:hAnsi="Times New Roman" w:cs="Times New Roman"/>
          <w:sz w:val="24"/>
          <w:szCs w:val="24"/>
        </w:rPr>
        <w:t xml:space="preserve">. </w:t>
      </w:r>
      <w:r w:rsidR="00C873B4" w:rsidRPr="004A1C60">
        <w:rPr>
          <w:rFonts w:ascii="Times New Roman" w:hAnsi="Times New Roman" w:cs="Times New Roman"/>
          <w:sz w:val="24"/>
          <w:szCs w:val="24"/>
        </w:rPr>
        <w:t>Evidence suggests (Lea and Stierer, 2000) that HE students (and teachers) rarely experience overt teaching about literacy in general or wo</w:t>
      </w:r>
      <w:r w:rsidR="00483780" w:rsidRPr="004A1C60">
        <w:rPr>
          <w:rFonts w:ascii="Times New Roman" w:hAnsi="Times New Roman" w:cs="Times New Roman"/>
          <w:sz w:val="24"/>
          <w:szCs w:val="24"/>
        </w:rPr>
        <w:t>rk</w:t>
      </w:r>
      <w:r w:rsidR="00F92A00" w:rsidRPr="004A1C60">
        <w:rPr>
          <w:rFonts w:ascii="Times New Roman" w:hAnsi="Times New Roman" w:cs="Times New Roman"/>
          <w:sz w:val="24"/>
          <w:szCs w:val="24"/>
        </w:rPr>
        <w:t>place literacies in particular and the</w:t>
      </w:r>
      <w:r w:rsidR="002C6C39" w:rsidRPr="004A1C60">
        <w:rPr>
          <w:rFonts w:ascii="Times New Roman" w:hAnsi="Times New Roman" w:cs="Times New Roman"/>
          <w:sz w:val="24"/>
          <w:szCs w:val="24"/>
        </w:rPr>
        <w:t xml:space="preserve"> project aimed</w:t>
      </w:r>
      <w:r w:rsidR="002D267C" w:rsidRPr="004A1C60">
        <w:rPr>
          <w:rFonts w:ascii="Times New Roman" w:hAnsi="Times New Roman" w:cs="Times New Roman"/>
          <w:sz w:val="24"/>
          <w:szCs w:val="24"/>
        </w:rPr>
        <w:t xml:space="preserve"> to</w:t>
      </w:r>
      <w:r w:rsidR="00483780" w:rsidRPr="004A1C60">
        <w:rPr>
          <w:rFonts w:ascii="Times New Roman" w:hAnsi="Times New Roman" w:cs="Times New Roman"/>
          <w:sz w:val="24"/>
          <w:szCs w:val="24"/>
        </w:rPr>
        <w:t xml:space="preserve"> </w:t>
      </w:r>
      <w:r w:rsidR="00F92A00" w:rsidRPr="004A1C60">
        <w:rPr>
          <w:rFonts w:ascii="Times New Roman" w:hAnsi="Times New Roman" w:cs="Times New Roman"/>
          <w:sz w:val="24"/>
          <w:szCs w:val="24"/>
        </w:rPr>
        <w:t xml:space="preserve">develop a framework to </w:t>
      </w:r>
      <w:r w:rsidR="001955FF" w:rsidRPr="004A1C60">
        <w:rPr>
          <w:rFonts w:ascii="Times New Roman" w:hAnsi="Times New Roman" w:cs="Times New Roman"/>
          <w:sz w:val="24"/>
          <w:szCs w:val="24"/>
        </w:rPr>
        <w:t>scaffold and support these</w:t>
      </w:r>
      <w:r w:rsidR="00483780" w:rsidRPr="004A1C60">
        <w:rPr>
          <w:rFonts w:ascii="Times New Roman" w:hAnsi="Times New Roman" w:cs="Times New Roman"/>
          <w:sz w:val="24"/>
          <w:szCs w:val="24"/>
        </w:rPr>
        <w:t xml:space="preserve"> process</w:t>
      </w:r>
      <w:r w:rsidR="001955FF" w:rsidRPr="004A1C60">
        <w:rPr>
          <w:rFonts w:ascii="Times New Roman" w:hAnsi="Times New Roman" w:cs="Times New Roman"/>
          <w:sz w:val="24"/>
          <w:szCs w:val="24"/>
        </w:rPr>
        <w:t>es</w:t>
      </w:r>
      <w:r w:rsidR="00483780" w:rsidRPr="004A1C60">
        <w:rPr>
          <w:rFonts w:ascii="Times New Roman" w:hAnsi="Times New Roman" w:cs="Times New Roman"/>
          <w:sz w:val="24"/>
          <w:szCs w:val="24"/>
        </w:rPr>
        <w:t xml:space="preserve">. The </w:t>
      </w:r>
      <w:r w:rsidR="00A92A77" w:rsidRPr="004A1C60">
        <w:rPr>
          <w:rFonts w:ascii="Times New Roman" w:hAnsi="Times New Roman" w:cs="Times New Roman"/>
          <w:sz w:val="24"/>
          <w:szCs w:val="24"/>
        </w:rPr>
        <w:t>L4E project</w:t>
      </w:r>
      <w:r w:rsidR="001955FF" w:rsidRPr="004A1C60">
        <w:rPr>
          <w:rFonts w:ascii="Times New Roman" w:hAnsi="Times New Roman" w:cs="Times New Roman"/>
          <w:sz w:val="24"/>
          <w:szCs w:val="24"/>
        </w:rPr>
        <w:t>, which is</w:t>
      </w:r>
      <w:r w:rsidR="00597B8B" w:rsidRPr="004A1C60">
        <w:rPr>
          <w:rFonts w:ascii="Times New Roman" w:hAnsi="Times New Roman" w:cs="Times New Roman"/>
          <w:sz w:val="24"/>
          <w:szCs w:val="24"/>
        </w:rPr>
        <w:t xml:space="preserve"> non-discipline specific, </w:t>
      </w:r>
      <w:r w:rsidR="00483780" w:rsidRPr="004A1C60">
        <w:rPr>
          <w:rFonts w:ascii="Times New Roman" w:hAnsi="Times New Roman" w:cs="Times New Roman"/>
          <w:sz w:val="24"/>
          <w:szCs w:val="24"/>
        </w:rPr>
        <w:t>build</w:t>
      </w:r>
      <w:r w:rsidR="00D4581B" w:rsidRPr="004A1C60">
        <w:rPr>
          <w:rFonts w:ascii="Times New Roman" w:hAnsi="Times New Roman" w:cs="Times New Roman"/>
          <w:sz w:val="24"/>
          <w:szCs w:val="24"/>
        </w:rPr>
        <w:t>s</w:t>
      </w:r>
      <w:r w:rsidR="00483780" w:rsidRPr="004A1C60">
        <w:rPr>
          <w:rFonts w:ascii="Times New Roman" w:hAnsi="Times New Roman" w:cs="Times New Roman"/>
          <w:sz w:val="24"/>
          <w:szCs w:val="24"/>
        </w:rPr>
        <w:t xml:space="preserve"> on Pardoe and Ivanic’s (2007) work </w:t>
      </w:r>
      <w:r w:rsidR="001955FF" w:rsidRPr="004A1C60">
        <w:rPr>
          <w:rFonts w:ascii="Times New Roman" w:hAnsi="Times New Roman" w:cs="Times New Roman"/>
          <w:sz w:val="24"/>
          <w:szCs w:val="24"/>
        </w:rPr>
        <w:t>on Literacies for Learning in FE</w:t>
      </w:r>
      <w:r w:rsidR="00483780" w:rsidRPr="004A1C60">
        <w:rPr>
          <w:rFonts w:ascii="Times New Roman" w:hAnsi="Times New Roman" w:cs="Times New Roman"/>
          <w:sz w:val="24"/>
          <w:szCs w:val="24"/>
        </w:rPr>
        <w:t>.</w:t>
      </w:r>
      <w:r w:rsidR="00597B8B" w:rsidRPr="004A1C60">
        <w:rPr>
          <w:rFonts w:ascii="Times New Roman" w:hAnsi="Times New Roman" w:cs="Times New Roman"/>
          <w:sz w:val="24"/>
          <w:szCs w:val="24"/>
        </w:rPr>
        <w:t xml:space="preserve"> </w:t>
      </w:r>
      <w:r w:rsidR="00A92A77" w:rsidRPr="004A1C60">
        <w:rPr>
          <w:rFonts w:ascii="Times New Roman" w:hAnsi="Times New Roman" w:cs="Times New Roman"/>
          <w:sz w:val="24"/>
          <w:szCs w:val="24"/>
        </w:rPr>
        <w:t xml:space="preserve">The </w:t>
      </w:r>
      <w:r w:rsidR="007D3B00" w:rsidRPr="004A1C60">
        <w:rPr>
          <w:rFonts w:ascii="Times New Roman" w:hAnsi="Times New Roman" w:cs="Times New Roman"/>
          <w:sz w:val="24"/>
          <w:szCs w:val="24"/>
        </w:rPr>
        <w:t>framework tool, developed through the project, affords</w:t>
      </w:r>
      <w:r w:rsidR="006E6F95" w:rsidRPr="004A1C60">
        <w:rPr>
          <w:rFonts w:ascii="Times New Roman" w:hAnsi="Times New Roman" w:cs="Times New Roman"/>
          <w:sz w:val="24"/>
          <w:szCs w:val="24"/>
        </w:rPr>
        <w:t>, we suggest</w:t>
      </w:r>
      <w:r w:rsidR="00274EC7" w:rsidRPr="004A1C60">
        <w:rPr>
          <w:rFonts w:ascii="Times New Roman" w:hAnsi="Times New Roman" w:cs="Times New Roman"/>
          <w:sz w:val="24"/>
          <w:szCs w:val="24"/>
        </w:rPr>
        <w:t>, an alternative, disruptive lens through which students might</w:t>
      </w:r>
      <w:r w:rsidR="007D3B00" w:rsidRPr="004A1C60">
        <w:rPr>
          <w:rFonts w:ascii="Times New Roman" w:hAnsi="Times New Roman" w:cs="Times New Roman"/>
          <w:sz w:val="24"/>
          <w:szCs w:val="24"/>
        </w:rPr>
        <w:t xml:space="preserve"> understand workplaces as distinctive, complex social domains mediated by a wide variety of literacy events and practices that are, in turn, patterned and framed by institutions and power relationships, </w:t>
      </w:r>
      <w:r w:rsidR="009A672E" w:rsidRPr="004A1C60">
        <w:rPr>
          <w:rFonts w:ascii="Times New Roman" w:hAnsi="Times New Roman" w:cs="Times New Roman"/>
          <w:sz w:val="24"/>
          <w:szCs w:val="24"/>
        </w:rPr>
        <w:t xml:space="preserve">which are </w:t>
      </w:r>
      <w:r w:rsidR="007D3B00" w:rsidRPr="004A1C60">
        <w:rPr>
          <w:rFonts w:ascii="Times New Roman" w:hAnsi="Times New Roman" w:cs="Times New Roman"/>
          <w:sz w:val="24"/>
          <w:szCs w:val="24"/>
        </w:rPr>
        <w:t xml:space="preserve">historically situated and constantly evolving (Barton and Hamilton, 1998:7). This approach, we contend, re-imagines employability as a process of </w:t>
      </w:r>
      <w:r w:rsidR="00F42167" w:rsidRPr="004A1C60">
        <w:rPr>
          <w:rFonts w:ascii="Times New Roman" w:hAnsi="Times New Roman" w:cs="Times New Roman"/>
          <w:sz w:val="24"/>
          <w:szCs w:val="24"/>
        </w:rPr>
        <w:t xml:space="preserve">on-going, restless </w:t>
      </w:r>
      <w:r w:rsidR="007D3B00" w:rsidRPr="004A1C60">
        <w:rPr>
          <w:rFonts w:ascii="Times New Roman" w:hAnsi="Times New Roman" w:cs="Times New Roman"/>
          <w:sz w:val="24"/>
          <w:szCs w:val="24"/>
        </w:rPr>
        <w:t xml:space="preserve">enquiry rather than </w:t>
      </w:r>
      <w:r w:rsidR="0033378A" w:rsidRPr="004A1C60">
        <w:rPr>
          <w:rFonts w:ascii="Times New Roman" w:hAnsi="Times New Roman" w:cs="Times New Roman"/>
          <w:sz w:val="24"/>
          <w:szCs w:val="24"/>
        </w:rPr>
        <w:t xml:space="preserve">one of </w:t>
      </w:r>
      <w:r w:rsidR="007D3B00" w:rsidRPr="004A1C60">
        <w:rPr>
          <w:rFonts w:ascii="Times New Roman" w:hAnsi="Times New Roman" w:cs="Times New Roman"/>
          <w:sz w:val="24"/>
          <w:szCs w:val="24"/>
        </w:rPr>
        <w:t>acquisition</w:t>
      </w:r>
      <w:r w:rsidR="009A672E" w:rsidRPr="004A1C60">
        <w:rPr>
          <w:rFonts w:ascii="Times New Roman" w:hAnsi="Times New Roman" w:cs="Times New Roman"/>
          <w:sz w:val="24"/>
          <w:szCs w:val="24"/>
        </w:rPr>
        <w:t xml:space="preserve"> of a specified skill</w:t>
      </w:r>
      <w:r w:rsidR="00922F4D" w:rsidRPr="004A1C60">
        <w:rPr>
          <w:rFonts w:ascii="Times New Roman" w:hAnsi="Times New Roman" w:cs="Times New Roman"/>
          <w:sz w:val="24"/>
          <w:szCs w:val="24"/>
        </w:rPr>
        <w:t>s set. In this way, we argue, our approach</w:t>
      </w:r>
      <w:r w:rsidR="009A672E" w:rsidRPr="004A1C60">
        <w:rPr>
          <w:rFonts w:ascii="Times New Roman" w:hAnsi="Times New Roman" w:cs="Times New Roman"/>
          <w:sz w:val="24"/>
          <w:szCs w:val="24"/>
        </w:rPr>
        <w:t xml:space="preserve"> </w:t>
      </w:r>
      <w:r w:rsidR="00CA418A" w:rsidRPr="004A1C60">
        <w:rPr>
          <w:rFonts w:ascii="Times New Roman" w:hAnsi="Times New Roman" w:cs="Times New Roman"/>
          <w:sz w:val="24"/>
          <w:szCs w:val="24"/>
        </w:rPr>
        <w:t>facilitates,</w:t>
      </w:r>
      <w:r w:rsidR="009A672E" w:rsidRPr="004A1C60">
        <w:rPr>
          <w:rFonts w:ascii="Times New Roman" w:hAnsi="Times New Roman" w:cs="Times New Roman"/>
          <w:sz w:val="24"/>
          <w:szCs w:val="24"/>
        </w:rPr>
        <w:t xml:space="preserve"> </w:t>
      </w:r>
      <w:r w:rsidR="0033378A" w:rsidRPr="004A1C60">
        <w:rPr>
          <w:rFonts w:ascii="Times New Roman" w:hAnsi="Times New Roman" w:cs="Times New Roman"/>
          <w:sz w:val="24"/>
          <w:szCs w:val="24"/>
        </w:rPr>
        <w:t>opportunities</w:t>
      </w:r>
      <w:r w:rsidR="007D3B00" w:rsidRPr="004A1C60">
        <w:rPr>
          <w:rFonts w:ascii="Times New Roman" w:hAnsi="Times New Roman" w:cs="Times New Roman"/>
          <w:sz w:val="24"/>
          <w:szCs w:val="24"/>
        </w:rPr>
        <w:t xml:space="preserve"> to </w:t>
      </w:r>
      <w:r w:rsidR="009A672E" w:rsidRPr="004A1C60">
        <w:rPr>
          <w:rFonts w:ascii="Times New Roman" w:hAnsi="Times New Roman" w:cs="Times New Roman"/>
          <w:sz w:val="24"/>
          <w:szCs w:val="24"/>
        </w:rPr>
        <w:t xml:space="preserve">open up, </w:t>
      </w:r>
      <w:r w:rsidR="007D3B00" w:rsidRPr="004A1C60">
        <w:rPr>
          <w:rFonts w:ascii="Times New Roman" w:hAnsi="Times New Roman" w:cs="Times New Roman"/>
          <w:sz w:val="24"/>
          <w:szCs w:val="24"/>
        </w:rPr>
        <w:t>explore, investigate, interpret and analyse workplace settings, and ones own entangle</w:t>
      </w:r>
      <w:r w:rsidR="006735CA" w:rsidRPr="004A1C60">
        <w:rPr>
          <w:rFonts w:ascii="Times New Roman" w:hAnsi="Times New Roman" w:cs="Times New Roman"/>
          <w:sz w:val="24"/>
          <w:szCs w:val="24"/>
        </w:rPr>
        <w:t>ment with them. After Gee’s (2000</w:t>
      </w:r>
      <w:r w:rsidR="007D3B00" w:rsidRPr="004A1C60">
        <w:rPr>
          <w:rFonts w:ascii="Times New Roman" w:hAnsi="Times New Roman" w:cs="Times New Roman"/>
          <w:sz w:val="24"/>
          <w:szCs w:val="24"/>
        </w:rPr>
        <w:t>) Bill of Rights for literacy lea</w:t>
      </w:r>
      <w:r w:rsidR="003207B3" w:rsidRPr="004A1C60">
        <w:rPr>
          <w:rFonts w:ascii="Times New Roman" w:hAnsi="Times New Roman" w:cs="Times New Roman"/>
          <w:sz w:val="24"/>
          <w:szCs w:val="24"/>
        </w:rPr>
        <w:t xml:space="preserve">rners </w:t>
      </w:r>
      <w:r w:rsidR="009A672E" w:rsidRPr="004A1C60">
        <w:rPr>
          <w:rFonts w:ascii="Times New Roman" w:hAnsi="Times New Roman" w:cs="Times New Roman"/>
          <w:sz w:val="24"/>
          <w:szCs w:val="24"/>
        </w:rPr>
        <w:t>our work with</w:t>
      </w:r>
      <w:r w:rsidR="003207B3" w:rsidRPr="004A1C60">
        <w:rPr>
          <w:rFonts w:ascii="Times New Roman" w:hAnsi="Times New Roman" w:cs="Times New Roman"/>
          <w:sz w:val="24"/>
          <w:szCs w:val="24"/>
        </w:rPr>
        <w:t xml:space="preserve"> </w:t>
      </w:r>
      <w:r w:rsidR="009A672E" w:rsidRPr="004A1C60">
        <w:rPr>
          <w:rFonts w:ascii="Times New Roman" w:hAnsi="Times New Roman" w:cs="Times New Roman"/>
          <w:sz w:val="24"/>
          <w:szCs w:val="24"/>
        </w:rPr>
        <w:t xml:space="preserve">student </w:t>
      </w:r>
      <w:r w:rsidR="003207B3" w:rsidRPr="004A1C60">
        <w:rPr>
          <w:rFonts w:ascii="Times New Roman" w:hAnsi="Times New Roman" w:cs="Times New Roman"/>
          <w:sz w:val="24"/>
          <w:szCs w:val="24"/>
        </w:rPr>
        <w:t>co-</w:t>
      </w:r>
      <w:r w:rsidR="009A672E" w:rsidRPr="004A1C60">
        <w:rPr>
          <w:rFonts w:ascii="Times New Roman" w:hAnsi="Times New Roman" w:cs="Times New Roman"/>
          <w:sz w:val="24"/>
          <w:szCs w:val="24"/>
        </w:rPr>
        <w:t xml:space="preserve">researchers </w:t>
      </w:r>
      <w:r w:rsidR="00AF319D" w:rsidRPr="004A1C60">
        <w:rPr>
          <w:rFonts w:ascii="Times New Roman" w:hAnsi="Times New Roman" w:cs="Times New Roman"/>
          <w:sz w:val="24"/>
          <w:szCs w:val="24"/>
        </w:rPr>
        <w:t xml:space="preserve">suggests that such an approach </w:t>
      </w:r>
      <w:r w:rsidR="007D3B00" w:rsidRPr="004A1C60">
        <w:rPr>
          <w:rFonts w:ascii="Times New Roman" w:hAnsi="Times New Roman" w:cs="Times New Roman"/>
          <w:sz w:val="24"/>
          <w:szCs w:val="24"/>
        </w:rPr>
        <w:t>enable</w:t>
      </w:r>
      <w:r w:rsidR="00AF319D" w:rsidRPr="004A1C60">
        <w:rPr>
          <w:rFonts w:ascii="Times New Roman" w:hAnsi="Times New Roman" w:cs="Times New Roman"/>
          <w:sz w:val="24"/>
          <w:szCs w:val="24"/>
        </w:rPr>
        <w:t>s</w:t>
      </w:r>
      <w:r w:rsidR="009A672E" w:rsidRPr="004A1C60">
        <w:rPr>
          <w:rFonts w:ascii="Times New Roman" w:hAnsi="Times New Roman" w:cs="Times New Roman"/>
          <w:sz w:val="24"/>
          <w:szCs w:val="24"/>
        </w:rPr>
        <w:t xml:space="preserve"> </w:t>
      </w:r>
      <w:r w:rsidR="007D3B00" w:rsidRPr="004A1C60">
        <w:rPr>
          <w:rFonts w:ascii="Times New Roman" w:hAnsi="Times New Roman" w:cs="Times New Roman"/>
          <w:sz w:val="24"/>
          <w:szCs w:val="24"/>
        </w:rPr>
        <w:t>develop</w:t>
      </w:r>
      <w:r w:rsidR="009A672E" w:rsidRPr="004A1C60">
        <w:rPr>
          <w:rFonts w:ascii="Times New Roman" w:hAnsi="Times New Roman" w:cs="Times New Roman"/>
          <w:sz w:val="24"/>
          <w:szCs w:val="24"/>
        </w:rPr>
        <w:t>ment of</w:t>
      </w:r>
      <w:r w:rsidR="007D3B00" w:rsidRPr="004A1C60">
        <w:rPr>
          <w:rFonts w:ascii="Times New Roman" w:hAnsi="Times New Roman" w:cs="Times New Roman"/>
          <w:sz w:val="24"/>
          <w:szCs w:val="24"/>
        </w:rPr>
        <w:t xml:space="preserve"> meta-understanding</w:t>
      </w:r>
      <w:r w:rsidR="009A672E" w:rsidRPr="004A1C60">
        <w:rPr>
          <w:rFonts w:ascii="Times New Roman" w:hAnsi="Times New Roman" w:cs="Times New Roman"/>
          <w:sz w:val="24"/>
          <w:szCs w:val="24"/>
        </w:rPr>
        <w:t>s of the workplace and recognition of</w:t>
      </w:r>
      <w:r w:rsidR="007D3B00" w:rsidRPr="004A1C60">
        <w:rPr>
          <w:rFonts w:ascii="Times New Roman" w:hAnsi="Times New Roman" w:cs="Times New Roman"/>
          <w:sz w:val="24"/>
          <w:szCs w:val="24"/>
        </w:rPr>
        <w:t xml:space="preserve"> the ways of being and doing (identities, </w:t>
      </w:r>
      <w:r w:rsidR="00D2523D" w:rsidRPr="004A1C60">
        <w:rPr>
          <w:rFonts w:ascii="Times New Roman" w:hAnsi="Times New Roman" w:cs="Times New Roman"/>
          <w:sz w:val="24"/>
          <w:szCs w:val="24"/>
        </w:rPr>
        <w:t xml:space="preserve">subjectivities, </w:t>
      </w:r>
      <w:r w:rsidR="007D3B00" w:rsidRPr="004A1C60">
        <w:rPr>
          <w:rFonts w:ascii="Times New Roman" w:hAnsi="Times New Roman" w:cs="Times New Roman"/>
          <w:sz w:val="24"/>
          <w:szCs w:val="24"/>
        </w:rPr>
        <w:t>allegiances, affiliat</w:t>
      </w:r>
      <w:r w:rsidR="00D2523D" w:rsidRPr="004A1C60">
        <w:rPr>
          <w:rFonts w:ascii="Times New Roman" w:hAnsi="Times New Roman" w:cs="Times New Roman"/>
          <w:sz w:val="24"/>
          <w:szCs w:val="24"/>
        </w:rPr>
        <w:t xml:space="preserve">ions, attitudes, behaviours, </w:t>
      </w:r>
      <w:r w:rsidR="007D3B00" w:rsidRPr="004A1C60">
        <w:rPr>
          <w:rFonts w:ascii="Times New Roman" w:hAnsi="Times New Roman" w:cs="Times New Roman"/>
          <w:sz w:val="24"/>
          <w:szCs w:val="24"/>
        </w:rPr>
        <w:t xml:space="preserve">structural </w:t>
      </w:r>
      <w:r w:rsidR="007D3B00" w:rsidRPr="004A1C60">
        <w:rPr>
          <w:rFonts w:ascii="Times New Roman" w:hAnsi="Times New Roman" w:cs="Times New Roman"/>
          <w:sz w:val="24"/>
          <w:szCs w:val="24"/>
        </w:rPr>
        <w:lastRenderedPageBreak/>
        <w:t>relations) that pattern an</w:t>
      </w:r>
      <w:r w:rsidR="00B03682" w:rsidRPr="004A1C60">
        <w:rPr>
          <w:rFonts w:ascii="Times New Roman" w:hAnsi="Times New Roman" w:cs="Times New Roman"/>
          <w:sz w:val="24"/>
          <w:szCs w:val="24"/>
        </w:rPr>
        <w:t>d frame workplace</w:t>
      </w:r>
      <w:r w:rsidR="003207B3" w:rsidRPr="004A1C60">
        <w:rPr>
          <w:rFonts w:ascii="Times New Roman" w:hAnsi="Times New Roman" w:cs="Times New Roman"/>
          <w:sz w:val="24"/>
          <w:szCs w:val="24"/>
        </w:rPr>
        <w:t xml:space="preserve"> interactions. Consequently student researchers felt better able</w:t>
      </w:r>
      <w:r w:rsidR="00B03682" w:rsidRPr="004A1C60">
        <w:rPr>
          <w:rFonts w:ascii="Times New Roman" w:hAnsi="Times New Roman" w:cs="Times New Roman"/>
          <w:sz w:val="24"/>
          <w:szCs w:val="24"/>
        </w:rPr>
        <w:t xml:space="preserve"> to </w:t>
      </w:r>
      <w:r w:rsidR="007D3B00" w:rsidRPr="004A1C60">
        <w:rPr>
          <w:rFonts w:ascii="Times New Roman" w:hAnsi="Times New Roman" w:cs="Times New Roman"/>
          <w:sz w:val="24"/>
          <w:szCs w:val="24"/>
        </w:rPr>
        <w:t xml:space="preserve">understand their own positionality within those relations </w:t>
      </w:r>
      <w:r w:rsidR="003207B3" w:rsidRPr="004A1C60">
        <w:rPr>
          <w:rFonts w:ascii="Times New Roman" w:hAnsi="Times New Roman" w:cs="Times New Roman"/>
          <w:sz w:val="24"/>
          <w:szCs w:val="24"/>
        </w:rPr>
        <w:t xml:space="preserve">and </w:t>
      </w:r>
      <w:r w:rsidR="007D3B00" w:rsidRPr="004A1C60">
        <w:rPr>
          <w:rFonts w:ascii="Times New Roman" w:hAnsi="Times New Roman" w:cs="Times New Roman"/>
          <w:sz w:val="24"/>
          <w:szCs w:val="24"/>
        </w:rPr>
        <w:t>make decisions, based on thoughtful, self-conscious assessments of risk,</w:t>
      </w:r>
      <w:r w:rsidR="0048088B" w:rsidRPr="004A1C60">
        <w:rPr>
          <w:rFonts w:ascii="Times New Roman" w:hAnsi="Times New Roman" w:cs="Times New Roman"/>
          <w:sz w:val="24"/>
          <w:szCs w:val="24"/>
        </w:rPr>
        <w:t xml:space="preserve"> about their own participation</w:t>
      </w:r>
      <w:r w:rsidR="00B03682" w:rsidRPr="004A1C60">
        <w:rPr>
          <w:rFonts w:ascii="Times New Roman" w:hAnsi="Times New Roman" w:cs="Times New Roman"/>
          <w:sz w:val="24"/>
          <w:szCs w:val="24"/>
        </w:rPr>
        <w:t xml:space="preserve"> as neophyte professionals, volunteers and workers</w:t>
      </w:r>
      <w:r w:rsidR="0048088B" w:rsidRPr="004A1C60">
        <w:rPr>
          <w:rFonts w:ascii="Times New Roman" w:hAnsi="Times New Roman" w:cs="Times New Roman"/>
          <w:sz w:val="24"/>
          <w:szCs w:val="24"/>
        </w:rPr>
        <w:t xml:space="preserve">. Such an approach </w:t>
      </w:r>
      <w:r w:rsidR="009E7B00" w:rsidRPr="004A1C60">
        <w:rPr>
          <w:rFonts w:ascii="Times New Roman" w:hAnsi="Times New Roman" w:cs="Times New Roman"/>
          <w:sz w:val="24"/>
          <w:szCs w:val="24"/>
        </w:rPr>
        <w:t>directly addresses OECD (</w:t>
      </w:r>
      <w:r w:rsidR="009E7B00" w:rsidRPr="004A1C60">
        <w:rPr>
          <w:rFonts w:ascii="Times New Roman" w:hAnsi="Times New Roman" w:cs="Times New Roman"/>
          <w:color w:val="000000" w:themeColor="text1"/>
          <w:sz w:val="24"/>
          <w:szCs w:val="24"/>
        </w:rPr>
        <w:t xml:space="preserve">2015) concerns that higher education programmes </w:t>
      </w:r>
      <w:r w:rsidR="009E7B00" w:rsidRPr="004A1C60">
        <w:rPr>
          <w:rFonts w:ascii="Times New Roman" w:hAnsi="Times New Roman" w:cs="Times New Roman"/>
          <w:color w:val="000000" w:themeColor="text1"/>
          <w:sz w:val="24"/>
          <w:szCs w:val="24"/>
          <w:lang w:val="en-US"/>
        </w:rPr>
        <w:t xml:space="preserve">teach “yesterday’s skills to tomorrow’s graduates” so that “even highly qualified candidates have the wrong skills for the jobs available” and </w:t>
      </w:r>
      <w:r w:rsidR="0048088B" w:rsidRPr="004A1C60">
        <w:rPr>
          <w:rFonts w:ascii="Times New Roman" w:hAnsi="Times New Roman" w:cs="Times New Roman"/>
          <w:sz w:val="24"/>
          <w:szCs w:val="24"/>
        </w:rPr>
        <w:t>chimes with the recommendations of Pegg et al (2012) that employability is most effectively developed through a focus on more expansive, reflexive approaches to learning and through “raising confide</w:t>
      </w:r>
      <w:r w:rsidR="0079063F" w:rsidRPr="004A1C60">
        <w:rPr>
          <w:rFonts w:ascii="Times New Roman" w:hAnsi="Times New Roman" w:cs="Times New Roman"/>
          <w:sz w:val="24"/>
          <w:szCs w:val="24"/>
        </w:rPr>
        <w:t>nce…self-esteem and aspirations”</w:t>
      </w:r>
      <w:r w:rsidR="0048088B" w:rsidRPr="004A1C60">
        <w:rPr>
          <w:rFonts w:ascii="Times New Roman" w:hAnsi="Times New Roman" w:cs="Times New Roman"/>
          <w:sz w:val="24"/>
          <w:szCs w:val="24"/>
        </w:rPr>
        <w:t xml:space="preserve"> (2012:9)</w:t>
      </w:r>
      <w:r w:rsidR="00D6056F" w:rsidRPr="004A1C60">
        <w:rPr>
          <w:rFonts w:ascii="Times New Roman" w:hAnsi="Times New Roman" w:cs="Times New Roman"/>
          <w:sz w:val="24"/>
          <w:szCs w:val="24"/>
        </w:rPr>
        <w:t>.</w:t>
      </w:r>
    </w:p>
    <w:p w14:paraId="5EC96086" w14:textId="77777777" w:rsidR="001D539D" w:rsidRPr="004A1C60" w:rsidRDefault="001D539D" w:rsidP="00832802">
      <w:pPr>
        <w:spacing w:before="40" w:after="40" w:line="360" w:lineRule="auto"/>
        <w:rPr>
          <w:rFonts w:ascii="Times New Roman" w:hAnsi="Times New Roman" w:cs="Times New Roman"/>
          <w:sz w:val="24"/>
          <w:szCs w:val="24"/>
        </w:rPr>
      </w:pPr>
    </w:p>
    <w:p w14:paraId="56FCCFA3" w14:textId="3F5326E4" w:rsidR="008F1936" w:rsidRPr="004A1C60" w:rsidRDefault="00193595" w:rsidP="00832802">
      <w:pPr>
        <w:spacing w:line="360" w:lineRule="auto"/>
        <w:rPr>
          <w:rFonts w:ascii="Times New Roman" w:hAnsi="Times New Roman" w:cs="Times New Roman"/>
          <w:b/>
          <w:sz w:val="24"/>
          <w:szCs w:val="24"/>
        </w:rPr>
      </w:pPr>
      <w:r w:rsidRPr="004A1C60">
        <w:rPr>
          <w:rFonts w:ascii="Times New Roman" w:hAnsi="Times New Roman" w:cs="Times New Roman"/>
          <w:b/>
          <w:sz w:val="24"/>
          <w:szCs w:val="24"/>
        </w:rPr>
        <w:t>Higher education</w:t>
      </w:r>
      <w:r w:rsidR="001351C5" w:rsidRPr="004A1C60">
        <w:rPr>
          <w:rFonts w:ascii="Times New Roman" w:hAnsi="Times New Roman" w:cs="Times New Roman"/>
          <w:b/>
          <w:sz w:val="24"/>
          <w:szCs w:val="24"/>
        </w:rPr>
        <w:t xml:space="preserve"> and </w:t>
      </w:r>
      <w:r w:rsidR="006C279B" w:rsidRPr="004A1C60">
        <w:rPr>
          <w:rFonts w:ascii="Times New Roman" w:hAnsi="Times New Roman" w:cs="Times New Roman"/>
          <w:b/>
          <w:sz w:val="24"/>
          <w:szCs w:val="24"/>
        </w:rPr>
        <w:t>neoliberalism:</w:t>
      </w:r>
      <w:r w:rsidR="00D359DB" w:rsidRPr="004A1C60">
        <w:rPr>
          <w:rFonts w:ascii="Times New Roman" w:hAnsi="Times New Roman" w:cs="Times New Roman"/>
          <w:b/>
          <w:sz w:val="24"/>
          <w:szCs w:val="24"/>
        </w:rPr>
        <w:t xml:space="preserve"> ‘employability’ and </w:t>
      </w:r>
      <w:r w:rsidR="00012328" w:rsidRPr="004A1C60">
        <w:rPr>
          <w:rFonts w:ascii="Times New Roman" w:hAnsi="Times New Roman" w:cs="Times New Roman"/>
          <w:b/>
          <w:sz w:val="24"/>
          <w:szCs w:val="24"/>
        </w:rPr>
        <w:t xml:space="preserve">conditions </w:t>
      </w:r>
      <w:r w:rsidRPr="004A1C60">
        <w:rPr>
          <w:rFonts w:ascii="Times New Roman" w:hAnsi="Times New Roman" w:cs="Times New Roman"/>
          <w:b/>
          <w:sz w:val="24"/>
          <w:szCs w:val="24"/>
        </w:rPr>
        <w:t xml:space="preserve">of possibility </w:t>
      </w:r>
    </w:p>
    <w:p w14:paraId="206FA372" w14:textId="3557FB29" w:rsidR="00252C8B" w:rsidRPr="004A1C60" w:rsidRDefault="00592AD6" w:rsidP="00832802">
      <w:pPr>
        <w:spacing w:line="360" w:lineRule="auto"/>
        <w:rPr>
          <w:rFonts w:ascii="Times New Roman" w:hAnsi="Times New Roman" w:cs="Times New Roman"/>
          <w:sz w:val="24"/>
          <w:szCs w:val="24"/>
        </w:rPr>
      </w:pPr>
      <w:r w:rsidRPr="004A1C60">
        <w:rPr>
          <w:rFonts w:ascii="Times New Roman" w:hAnsi="Times New Roman" w:cs="Times New Roman"/>
          <w:sz w:val="24"/>
          <w:szCs w:val="24"/>
        </w:rPr>
        <w:t>As outlined</w:t>
      </w:r>
      <w:r w:rsidR="002620BA" w:rsidRPr="004A1C60">
        <w:rPr>
          <w:rFonts w:ascii="Times New Roman" w:hAnsi="Times New Roman" w:cs="Times New Roman"/>
          <w:sz w:val="24"/>
          <w:szCs w:val="24"/>
        </w:rPr>
        <w:t xml:space="preserve"> above</w:t>
      </w:r>
      <w:r w:rsidR="003E29AA" w:rsidRPr="004A1C60">
        <w:rPr>
          <w:rFonts w:ascii="Times New Roman" w:hAnsi="Times New Roman" w:cs="Times New Roman"/>
          <w:sz w:val="24"/>
          <w:szCs w:val="24"/>
        </w:rPr>
        <w:t>,</w:t>
      </w:r>
      <w:r w:rsidRPr="004A1C60">
        <w:rPr>
          <w:rFonts w:ascii="Times New Roman" w:hAnsi="Times New Roman" w:cs="Times New Roman"/>
          <w:sz w:val="24"/>
          <w:szCs w:val="24"/>
        </w:rPr>
        <w:t xml:space="preserve"> we argue that </w:t>
      </w:r>
      <w:r w:rsidR="002620BA" w:rsidRPr="004A1C60">
        <w:rPr>
          <w:rFonts w:ascii="Times New Roman" w:hAnsi="Times New Roman" w:cs="Times New Roman"/>
          <w:sz w:val="24"/>
          <w:szCs w:val="24"/>
        </w:rPr>
        <w:t>the reconceptualisation of the higher education curriculum as a space for building workplace skills, ide</w:t>
      </w:r>
      <w:r w:rsidR="00830EE7" w:rsidRPr="004A1C60">
        <w:rPr>
          <w:rFonts w:ascii="Times New Roman" w:hAnsi="Times New Roman" w:cs="Times New Roman"/>
          <w:sz w:val="24"/>
          <w:szCs w:val="24"/>
        </w:rPr>
        <w:t xml:space="preserve">ntities and subjectivities </w:t>
      </w:r>
      <w:r w:rsidR="001F780F" w:rsidRPr="004A1C60">
        <w:rPr>
          <w:rFonts w:ascii="Times New Roman" w:hAnsi="Times New Roman" w:cs="Times New Roman"/>
          <w:sz w:val="24"/>
          <w:szCs w:val="24"/>
        </w:rPr>
        <w:t>is a m</w:t>
      </w:r>
      <w:r w:rsidR="006F1DA3" w:rsidRPr="004A1C60">
        <w:rPr>
          <w:rFonts w:ascii="Times New Roman" w:hAnsi="Times New Roman" w:cs="Times New Roman"/>
          <w:sz w:val="24"/>
          <w:szCs w:val="24"/>
        </w:rPr>
        <w:t xml:space="preserve">anifestation of a </w:t>
      </w:r>
      <w:r w:rsidR="00C81979" w:rsidRPr="004A1C60">
        <w:rPr>
          <w:rFonts w:ascii="Times New Roman" w:hAnsi="Times New Roman" w:cs="Times New Roman"/>
          <w:sz w:val="24"/>
          <w:szCs w:val="24"/>
        </w:rPr>
        <w:t>broader</w:t>
      </w:r>
      <w:r w:rsidR="000D24E2" w:rsidRPr="004A1C60">
        <w:rPr>
          <w:rFonts w:ascii="Times New Roman" w:hAnsi="Times New Roman" w:cs="Times New Roman"/>
          <w:sz w:val="24"/>
          <w:szCs w:val="24"/>
        </w:rPr>
        <w:t xml:space="preserve"> </w:t>
      </w:r>
      <w:r w:rsidR="00830EE7" w:rsidRPr="004A1C60">
        <w:rPr>
          <w:rFonts w:ascii="Times New Roman" w:hAnsi="Times New Roman" w:cs="Times New Roman"/>
          <w:sz w:val="24"/>
          <w:szCs w:val="24"/>
        </w:rPr>
        <w:t xml:space="preserve">political </w:t>
      </w:r>
      <w:r w:rsidR="00A26CF8" w:rsidRPr="004A1C60">
        <w:rPr>
          <w:rFonts w:ascii="Times New Roman" w:hAnsi="Times New Roman" w:cs="Times New Roman"/>
          <w:sz w:val="24"/>
          <w:szCs w:val="24"/>
        </w:rPr>
        <w:t>turn</w:t>
      </w:r>
      <w:r w:rsidR="005D052E" w:rsidRPr="004A1C60">
        <w:rPr>
          <w:rFonts w:ascii="Times New Roman" w:hAnsi="Times New Roman" w:cs="Times New Roman"/>
          <w:sz w:val="24"/>
          <w:szCs w:val="24"/>
        </w:rPr>
        <w:t xml:space="preserve"> </w:t>
      </w:r>
      <w:r w:rsidR="000D24E2" w:rsidRPr="004A1C60">
        <w:rPr>
          <w:rFonts w:ascii="Times New Roman" w:hAnsi="Times New Roman" w:cs="Times New Roman"/>
          <w:sz w:val="24"/>
          <w:szCs w:val="24"/>
        </w:rPr>
        <w:t xml:space="preserve">informed by </w:t>
      </w:r>
      <w:r w:rsidR="00EB76B3" w:rsidRPr="004A1C60">
        <w:rPr>
          <w:rFonts w:ascii="Times New Roman" w:hAnsi="Times New Roman" w:cs="Times New Roman"/>
          <w:sz w:val="24"/>
          <w:szCs w:val="24"/>
        </w:rPr>
        <w:t>the tenets of neo-liberalism: the self-interested indiv</w:t>
      </w:r>
      <w:r w:rsidR="00EB70E4" w:rsidRPr="004A1C60">
        <w:rPr>
          <w:rFonts w:ascii="Times New Roman" w:hAnsi="Times New Roman" w:cs="Times New Roman"/>
          <w:sz w:val="24"/>
          <w:szCs w:val="24"/>
        </w:rPr>
        <w:t xml:space="preserve">idual; free market economics; </w:t>
      </w:r>
      <w:r w:rsidR="00EB76B3" w:rsidRPr="004A1C60">
        <w:rPr>
          <w:rFonts w:ascii="Times New Roman" w:hAnsi="Times New Roman" w:cs="Times New Roman"/>
          <w:sz w:val="24"/>
          <w:szCs w:val="24"/>
        </w:rPr>
        <w:t xml:space="preserve">commitment to laissez faire </w:t>
      </w:r>
      <w:r w:rsidR="00EB70E4" w:rsidRPr="004A1C60">
        <w:rPr>
          <w:rFonts w:ascii="Times New Roman" w:hAnsi="Times New Roman" w:cs="Times New Roman"/>
          <w:sz w:val="24"/>
          <w:szCs w:val="24"/>
        </w:rPr>
        <w:t xml:space="preserve">regulation of markets; and commitment to free trade (Olssen and Peters, 2005). </w:t>
      </w:r>
      <w:r w:rsidR="0049762E" w:rsidRPr="004A1C60">
        <w:rPr>
          <w:rFonts w:ascii="Times New Roman" w:hAnsi="Times New Roman" w:cs="Times New Roman"/>
          <w:sz w:val="24"/>
          <w:szCs w:val="24"/>
        </w:rPr>
        <w:t xml:space="preserve"> </w:t>
      </w:r>
      <w:r w:rsidR="00EB70E4" w:rsidRPr="004A1C60">
        <w:rPr>
          <w:rFonts w:ascii="Times New Roman" w:hAnsi="Times New Roman" w:cs="Times New Roman"/>
          <w:sz w:val="24"/>
          <w:szCs w:val="24"/>
        </w:rPr>
        <w:t xml:space="preserve">Within this paradigm, </w:t>
      </w:r>
      <w:r w:rsidR="00255356" w:rsidRPr="004A1C60">
        <w:rPr>
          <w:rFonts w:ascii="Times New Roman" w:hAnsi="Times New Roman" w:cs="Times New Roman"/>
          <w:sz w:val="24"/>
          <w:szCs w:val="24"/>
        </w:rPr>
        <w:t>argue Ols</w:t>
      </w:r>
      <w:r w:rsidR="009B4F54" w:rsidRPr="004A1C60">
        <w:rPr>
          <w:rFonts w:ascii="Times New Roman" w:hAnsi="Times New Roman" w:cs="Times New Roman"/>
          <w:sz w:val="24"/>
          <w:szCs w:val="24"/>
        </w:rPr>
        <w:t>s</w:t>
      </w:r>
      <w:r w:rsidR="00255356" w:rsidRPr="004A1C60">
        <w:rPr>
          <w:rFonts w:ascii="Times New Roman" w:hAnsi="Times New Roman" w:cs="Times New Roman"/>
          <w:sz w:val="24"/>
          <w:szCs w:val="24"/>
        </w:rPr>
        <w:t>e</w:t>
      </w:r>
      <w:r w:rsidR="00976243" w:rsidRPr="004A1C60">
        <w:rPr>
          <w:rFonts w:ascii="Times New Roman" w:hAnsi="Times New Roman" w:cs="Times New Roman"/>
          <w:sz w:val="24"/>
          <w:szCs w:val="24"/>
        </w:rPr>
        <w:t>n and Peters (2005</w:t>
      </w:r>
      <w:r w:rsidR="009B4F54" w:rsidRPr="004A1C60">
        <w:rPr>
          <w:rFonts w:ascii="Times New Roman" w:hAnsi="Times New Roman" w:cs="Times New Roman"/>
          <w:sz w:val="24"/>
          <w:szCs w:val="24"/>
        </w:rPr>
        <w:t>)</w:t>
      </w:r>
      <w:r w:rsidR="00976243" w:rsidRPr="004A1C60">
        <w:rPr>
          <w:rFonts w:ascii="Times New Roman" w:hAnsi="Times New Roman" w:cs="Times New Roman"/>
          <w:sz w:val="24"/>
          <w:szCs w:val="24"/>
        </w:rPr>
        <w:t xml:space="preserve"> </w:t>
      </w:r>
      <w:r w:rsidR="000C690A" w:rsidRPr="004A1C60">
        <w:rPr>
          <w:rFonts w:ascii="Times New Roman" w:hAnsi="Times New Roman" w:cs="Times New Roman"/>
          <w:sz w:val="24"/>
          <w:szCs w:val="24"/>
        </w:rPr>
        <w:t xml:space="preserve">the role of </w:t>
      </w:r>
      <w:r w:rsidR="00B03682" w:rsidRPr="004A1C60">
        <w:rPr>
          <w:rFonts w:ascii="Times New Roman" w:hAnsi="Times New Roman" w:cs="Times New Roman"/>
          <w:sz w:val="24"/>
          <w:szCs w:val="24"/>
        </w:rPr>
        <w:t xml:space="preserve">the </w:t>
      </w:r>
      <w:r w:rsidR="00954A12" w:rsidRPr="004A1C60">
        <w:rPr>
          <w:rFonts w:ascii="Times New Roman" w:hAnsi="Times New Roman" w:cs="Times New Roman"/>
          <w:sz w:val="24"/>
          <w:szCs w:val="24"/>
        </w:rPr>
        <w:t xml:space="preserve">state is to create </w:t>
      </w:r>
      <w:r w:rsidR="008E36D6" w:rsidRPr="004A1C60">
        <w:rPr>
          <w:rFonts w:ascii="Times New Roman" w:hAnsi="Times New Roman" w:cs="Times New Roman"/>
          <w:sz w:val="24"/>
          <w:szCs w:val="24"/>
        </w:rPr>
        <w:t>“the conditions, laws and institutions”</w:t>
      </w:r>
      <w:r w:rsidR="00B25048" w:rsidRPr="004A1C60">
        <w:rPr>
          <w:rFonts w:ascii="Times New Roman" w:hAnsi="Times New Roman" w:cs="Times New Roman"/>
          <w:sz w:val="24"/>
          <w:szCs w:val="24"/>
        </w:rPr>
        <w:t xml:space="preserve"> (2005:214)</w:t>
      </w:r>
      <w:r w:rsidR="008E36D6" w:rsidRPr="004A1C60">
        <w:rPr>
          <w:rFonts w:ascii="Times New Roman" w:hAnsi="Times New Roman" w:cs="Times New Roman"/>
          <w:sz w:val="24"/>
          <w:szCs w:val="24"/>
        </w:rPr>
        <w:t xml:space="preserve">, the conditions of possibility, for </w:t>
      </w:r>
      <w:r w:rsidR="005B5149" w:rsidRPr="004A1C60">
        <w:rPr>
          <w:rFonts w:ascii="Times New Roman" w:hAnsi="Times New Roman" w:cs="Times New Roman"/>
          <w:sz w:val="24"/>
          <w:szCs w:val="24"/>
        </w:rPr>
        <w:t>‘the market’ to persist</w:t>
      </w:r>
      <w:r w:rsidR="008E36D6" w:rsidRPr="004A1C60">
        <w:rPr>
          <w:rFonts w:ascii="Times New Roman" w:hAnsi="Times New Roman" w:cs="Times New Roman"/>
          <w:sz w:val="24"/>
          <w:szCs w:val="24"/>
        </w:rPr>
        <w:t xml:space="preserve"> </w:t>
      </w:r>
      <w:r w:rsidR="005B5149" w:rsidRPr="004A1C60">
        <w:rPr>
          <w:rFonts w:ascii="Times New Roman" w:hAnsi="Times New Roman" w:cs="Times New Roman"/>
          <w:sz w:val="24"/>
          <w:szCs w:val="24"/>
        </w:rPr>
        <w:t xml:space="preserve">in the terms outlined above. As such </w:t>
      </w:r>
      <w:r w:rsidR="00020E78" w:rsidRPr="004A1C60">
        <w:rPr>
          <w:rFonts w:ascii="Times New Roman" w:hAnsi="Times New Roman" w:cs="Times New Roman"/>
          <w:sz w:val="24"/>
          <w:szCs w:val="24"/>
        </w:rPr>
        <w:t xml:space="preserve">higher education (and indeed education more generally), </w:t>
      </w:r>
      <w:r w:rsidR="00FA4E8A" w:rsidRPr="004A1C60">
        <w:rPr>
          <w:rFonts w:ascii="Times New Roman" w:hAnsi="Times New Roman" w:cs="Times New Roman"/>
          <w:sz w:val="24"/>
          <w:szCs w:val="24"/>
        </w:rPr>
        <w:t xml:space="preserve">as a </w:t>
      </w:r>
      <w:r w:rsidR="00DC4E0E" w:rsidRPr="004A1C60">
        <w:rPr>
          <w:rFonts w:ascii="Times New Roman" w:hAnsi="Times New Roman" w:cs="Times New Roman"/>
          <w:sz w:val="24"/>
          <w:szCs w:val="24"/>
        </w:rPr>
        <w:t xml:space="preserve">state funded </w:t>
      </w:r>
      <w:r w:rsidR="00FA4E8A" w:rsidRPr="004A1C60">
        <w:rPr>
          <w:rFonts w:ascii="Times New Roman" w:hAnsi="Times New Roman" w:cs="Times New Roman"/>
          <w:sz w:val="24"/>
          <w:szCs w:val="24"/>
        </w:rPr>
        <w:t>technology</w:t>
      </w:r>
      <w:r w:rsidR="005B5149" w:rsidRPr="004A1C60">
        <w:rPr>
          <w:rFonts w:ascii="Times New Roman" w:hAnsi="Times New Roman" w:cs="Times New Roman"/>
          <w:sz w:val="24"/>
          <w:szCs w:val="24"/>
        </w:rPr>
        <w:t xml:space="preserve"> of marketisation</w:t>
      </w:r>
      <w:r w:rsidR="00DC4E0E" w:rsidRPr="004A1C60">
        <w:rPr>
          <w:rFonts w:ascii="Times New Roman" w:hAnsi="Times New Roman" w:cs="Times New Roman"/>
          <w:sz w:val="24"/>
          <w:szCs w:val="24"/>
        </w:rPr>
        <w:t>,</w:t>
      </w:r>
      <w:r w:rsidR="00FA4E8A" w:rsidRPr="004A1C60">
        <w:rPr>
          <w:rFonts w:ascii="Times New Roman" w:hAnsi="Times New Roman" w:cs="Times New Roman"/>
          <w:sz w:val="24"/>
          <w:szCs w:val="24"/>
        </w:rPr>
        <w:t xml:space="preserve"> becomes a locale for </w:t>
      </w:r>
      <w:r w:rsidR="009F30C6" w:rsidRPr="004A1C60">
        <w:rPr>
          <w:rFonts w:ascii="Times New Roman" w:hAnsi="Times New Roman" w:cs="Times New Roman"/>
          <w:sz w:val="24"/>
          <w:szCs w:val="24"/>
        </w:rPr>
        <w:t xml:space="preserve">the creation </w:t>
      </w:r>
      <w:r w:rsidR="00DC4E0E" w:rsidRPr="004A1C60">
        <w:rPr>
          <w:rFonts w:ascii="Times New Roman" w:hAnsi="Times New Roman" w:cs="Times New Roman"/>
          <w:sz w:val="24"/>
          <w:szCs w:val="24"/>
        </w:rPr>
        <w:t xml:space="preserve">of </w:t>
      </w:r>
      <w:r w:rsidR="009F30C6" w:rsidRPr="004A1C60">
        <w:rPr>
          <w:rFonts w:ascii="Times New Roman" w:hAnsi="Times New Roman" w:cs="Times New Roman"/>
          <w:sz w:val="24"/>
          <w:szCs w:val="24"/>
        </w:rPr>
        <w:t>“enterprising and competitive entrepreneur[s]” (Olssen and Peters, 2005:</w:t>
      </w:r>
      <w:r w:rsidR="00336A39" w:rsidRPr="004A1C60">
        <w:rPr>
          <w:rFonts w:ascii="Times New Roman" w:hAnsi="Times New Roman" w:cs="Times New Roman"/>
          <w:sz w:val="24"/>
          <w:szCs w:val="24"/>
        </w:rPr>
        <w:t xml:space="preserve"> 315)</w:t>
      </w:r>
      <w:r w:rsidR="00E50E9E" w:rsidRPr="004A1C60">
        <w:rPr>
          <w:rFonts w:ascii="Times New Roman" w:hAnsi="Times New Roman" w:cs="Times New Roman"/>
          <w:sz w:val="24"/>
          <w:szCs w:val="24"/>
        </w:rPr>
        <w:t xml:space="preserve">. In this next section we </w:t>
      </w:r>
      <w:r w:rsidR="00947B44" w:rsidRPr="004A1C60">
        <w:rPr>
          <w:rFonts w:ascii="Times New Roman" w:hAnsi="Times New Roman" w:cs="Times New Roman"/>
          <w:sz w:val="24"/>
          <w:szCs w:val="24"/>
        </w:rPr>
        <w:t>notice</w:t>
      </w:r>
      <w:r w:rsidR="00237C65" w:rsidRPr="004A1C60">
        <w:rPr>
          <w:rFonts w:ascii="Times New Roman" w:hAnsi="Times New Roman" w:cs="Times New Roman"/>
          <w:sz w:val="24"/>
          <w:szCs w:val="24"/>
        </w:rPr>
        <w:t xml:space="preserve"> the </w:t>
      </w:r>
      <w:r w:rsidR="00E50E9E" w:rsidRPr="004A1C60">
        <w:rPr>
          <w:rFonts w:ascii="Times New Roman" w:hAnsi="Times New Roman" w:cs="Times New Roman"/>
          <w:sz w:val="24"/>
          <w:szCs w:val="24"/>
        </w:rPr>
        <w:t xml:space="preserve">trace </w:t>
      </w:r>
      <w:r w:rsidR="00237C65" w:rsidRPr="004A1C60">
        <w:rPr>
          <w:rFonts w:ascii="Times New Roman" w:hAnsi="Times New Roman" w:cs="Times New Roman"/>
          <w:sz w:val="24"/>
          <w:szCs w:val="24"/>
        </w:rPr>
        <w:t>of neolibera</w:t>
      </w:r>
      <w:r w:rsidR="00947B44" w:rsidRPr="004A1C60">
        <w:rPr>
          <w:rFonts w:ascii="Times New Roman" w:hAnsi="Times New Roman" w:cs="Times New Roman"/>
          <w:sz w:val="24"/>
          <w:szCs w:val="24"/>
        </w:rPr>
        <w:t>l</w:t>
      </w:r>
      <w:r w:rsidR="00B94B73" w:rsidRPr="004A1C60">
        <w:rPr>
          <w:rFonts w:ascii="Times New Roman" w:hAnsi="Times New Roman" w:cs="Times New Roman"/>
          <w:sz w:val="24"/>
          <w:szCs w:val="24"/>
        </w:rPr>
        <w:t xml:space="preserve"> discourse </w:t>
      </w:r>
      <w:r w:rsidR="00947B44" w:rsidRPr="004A1C60">
        <w:rPr>
          <w:rFonts w:ascii="Times New Roman" w:hAnsi="Times New Roman" w:cs="Times New Roman"/>
          <w:sz w:val="24"/>
          <w:szCs w:val="24"/>
        </w:rPr>
        <w:t>played</w:t>
      </w:r>
      <w:r w:rsidR="00237C65" w:rsidRPr="004A1C60">
        <w:rPr>
          <w:rFonts w:ascii="Times New Roman" w:hAnsi="Times New Roman" w:cs="Times New Roman"/>
          <w:sz w:val="24"/>
          <w:szCs w:val="24"/>
        </w:rPr>
        <w:t xml:space="preserve"> out through </w:t>
      </w:r>
      <w:r w:rsidR="00947B44" w:rsidRPr="004A1C60">
        <w:rPr>
          <w:rFonts w:ascii="Times New Roman" w:hAnsi="Times New Roman" w:cs="Times New Roman"/>
          <w:sz w:val="24"/>
          <w:szCs w:val="24"/>
        </w:rPr>
        <w:t xml:space="preserve">higher education UK policy </w:t>
      </w:r>
      <w:r w:rsidR="00B03682" w:rsidRPr="004A1C60">
        <w:rPr>
          <w:rFonts w:ascii="Times New Roman" w:hAnsi="Times New Roman" w:cs="Times New Roman"/>
          <w:sz w:val="24"/>
          <w:szCs w:val="24"/>
        </w:rPr>
        <w:t xml:space="preserve">around employability </w:t>
      </w:r>
      <w:r w:rsidR="00237C65" w:rsidRPr="004A1C60">
        <w:rPr>
          <w:rFonts w:ascii="Times New Roman" w:hAnsi="Times New Roman" w:cs="Times New Roman"/>
          <w:sz w:val="24"/>
          <w:szCs w:val="24"/>
        </w:rPr>
        <w:t xml:space="preserve">over the last four decades.  </w:t>
      </w:r>
    </w:p>
    <w:p w14:paraId="080843F7" w14:textId="1A59B67F" w:rsidR="00B4058F" w:rsidRPr="004A1C60" w:rsidRDefault="00947B44" w:rsidP="00832802">
      <w:pPr>
        <w:spacing w:line="360" w:lineRule="auto"/>
        <w:rPr>
          <w:rFonts w:ascii="Times New Roman" w:hAnsi="Times New Roman" w:cs="Times New Roman"/>
          <w:sz w:val="24"/>
          <w:szCs w:val="24"/>
        </w:rPr>
      </w:pPr>
      <w:r w:rsidRPr="004A1C60">
        <w:rPr>
          <w:rFonts w:ascii="Times New Roman" w:hAnsi="Times New Roman" w:cs="Times New Roman"/>
          <w:sz w:val="24"/>
          <w:szCs w:val="24"/>
        </w:rPr>
        <w:t>T</w:t>
      </w:r>
      <w:r w:rsidR="00E00232" w:rsidRPr="004A1C60">
        <w:rPr>
          <w:rFonts w:ascii="Times New Roman" w:hAnsi="Times New Roman" w:cs="Times New Roman"/>
          <w:sz w:val="24"/>
          <w:szCs w:val="24"/>
        </w:rPr>
        <w:t>he Robbins Report in 1963 was keen to stress that HE should not just be viewed as a</w:t>
      </w:r>
      <w:r w:rsidR="00B94B73" w:rsidRPr="004A1C60">
        <w:rPr>
          <w:rFonts w:ascii="Times New Roman" w:hAnsi="Times New Roman" w:cs="Times New Roman"/>
          <w:sz w:val="24"/>
          <w:szCs w:val="24"/>
        </w:rPr>
        <w:t xml:space="preserve"> tool to serve economic needs. </w:t>
      </w:r>
      <w:r w:rsidR="00E00232" w:rsidRPr="004A1C60">
        <w:rPr>
          <w:rFonts w:ascii="Times New Roman" w:hAnsi="Times New Roman" w:cs="Times New Roman"/>
          <w:sz w:val="24"/>
          <w:szCs w:val="24"/>
        </w:rPr>
        <w:t xml:space="preserve">Instead, </w:t>
      </w:r>
      <w:r w:rsidRPr="004A1C60">
        <w:rPr>
          <w:rFonts w:ascii="Times New Roman" w:hAnsi="Times New Roman" w:cs="Times New Roman"/>
          <w:sz w:val="24"/>
          <w:szCs w:val="24"/>
        </w:rPr>
        <w:t xml:space="preserve">Robbins argued, </w:t>
      </w:r>
      <w:r w:rsidR="00E00232" w:rsidRPr="004A1C60">
        <w:rPr>
          <w:rFonts w:ascii="Times New Roman" w:hAnsi="Times New Roman" w:cs="Times New Roman"/>
          <w:sz w:val="24"/>
          <w:szCs w:val="24"/>
        </w:rPr>
        <w:t xml:space="preserve">a balanced perspective needed to recognise that HE also helped create the cultured and civilised society in which the economy operates.  In the 1970s this balanced approach </w:t>
      </w:r>
      <w:r w:rsidR="00EB0D5B" w:rsidRPr="004A1C60">
        <w:rPr>
          <w:rFonts w:ascii="Times New Roman" w:hAnsi="Times New Roman" w:cs="Times New Roman"/>
          <w:sz w:val="24"/>
          <w:szCs w:val="24"/>
        </w:rPr>
        <w:t xml:space="preserve">remained prevalent, although </w:t>
      </w:r>
      <w:r w:rsidR="00E00232" w:rsidRPr="004A1C60">
        <w:rPr>
          <w:rFonts w:ascii="Times New Roman" w:hAnsi="Times New Roman" w:cs="Times New Roman"/>
          <w:sz w:val="24"/>
          <w:szCs w:val="24"/>
        </w:rPr>
        <w:t>argument</w:t>
      </w:r>
      <w:r w:rsidR="00EB0D5B" w:rsidRPr="004A1C60">
        <w:rPr>
          <w:rFonts w:ascii="Times New Roman" w:hAnsi="Times New Roman" w:cs="Times New Roman"/>
          <w:sz w:val="24"/>
          <w:szCs w:val="24"/>
        </w:rPr>
        <w:t xml:space="preserve">s were </w:t>
      </w:r>
      <w:r w:rsidR="00E00232" w:rsidRPr="004A1C60">
        <w:rPr>
          <w:rFonts w:ascii="Times New Roman" w:hAnsi="Times New Roman" w:cs="Times New Roman"/>
          <w:sz w:val="24"/>
          <w:szCs w:val="24"/>
        </w:rPr>
        <w:t xml:space="preserve">building for improved relations between education and businesses. James Callaghan noted his concern in his speech at Ruskin College that many good students preferred the academic life or the civil service to joining the business world.  He also highlighted complaints from employers that new recruits often did not have the basic skills needed to do the job required (Callaghan, </w:t>
      </w:r>
      <w:r w:rsidR="00E00232" w:rsidRPr="004A1C60">
        <w:rPr>
          <w:rFonts w:ascii="Times New Roman" w:hAnsi="Times New Roman" w:cs="Times New Roman"/>
          <w:sz w:val="24"/>
          <w:szCs w:val="24"/>
        </w:rPr>
        <w:lastRenderedPageBreak/>
        <w:t xml:space="preserve">1976).  As the 1980s proceeded, linking </w:t>
      </w:r>
      <w:r w:rsidR="00B03682" w:rsidRPr="004A1C60">
        <w:rPr>
          <w:rFonts w:ascii="Times New Roman" w:hAnsi="Times New Roman" w:cs="Times New Roman"/>
          <w:sz w:val="24"/>
          <w:szCs w:val="24"/>
        </w:rPr>
        <w:t xml:space="preserve">education </w:t>
      </w:r>
      <w:r w:rsidR="00E00232" w:rsidRPr="004A1C60">
        <w:rPr>
          <w:rFonts w:ascii="Times New Roman" w:hAnsi="Times New Roman" w:cs="Times New Roman"/>
          <w:sz w:val="24"/>
          <w:szCs w:val="24"/>
        </w:rPr>
        <w:t>with business began to take greater prominence to the extent that Tasker and Packham (1994) declared the values of business were promoted alongside educat</w:t>
      </w:r>
      <w:r w:rsidR="00B4058F" w:rsidRPr="004A1C60">
        <w:rPr>
          <w:rFonts w:ascii="Times New Roman" w:hAnsi="Times New Roman" w:cs="Times New Roman"/>
          <w:sz w:val="24"/>
          <w:szCs w:val="24"/>
        </w:rPr>
        <w:t xml:space="preserve">ional ones. </w:t>
      </w:r>
      <w:r w:rsidR="00CA418A" w:rsidRPr="004A1C60">
        <w:rPr>
          <w:rFonts w:ascii="Times New Roman" w:hAnsi="Times New Roman" w:cs="Times New Roman"/>
          <w:sz w:val="24"/>
          <w:szCs w:val="24"/>
        </w:rPr>
        <w:t>The 1987 Paper</w:t>
      </w:r>
      <w:r w:rsidR="003B14E0" w:rsidRPr="004A1C60">
        <w:rPr>
          <w:rStyle w:val="FootnoteReference"/>
          <w:rFonts w:ascii="Times New Roman" w:hAnsi="Times New Roman" w:cs="Times New Roman"/>
          <w:sz w:val="24"/>
          <w:szCs w:val="24"/>
        </w:rPr>
        <w:footnoteReference w:id="1"/>
      </w:r>
      <w:r w:rsidR="00CA418A" w:rsidRPr="004A1C60">
        <w:rPr>
          <w:rFonts w:ascii="Times New Roman" w:hAnsi="Times New Roman" w:cs="Times New Roman"/>
          <w:sz w:val="24"/>
          <w:szCs w:val="24"/>
        </w:rPr>
        <w:t xml:space="preserve"> (DES)</w:t>
      </w:r>
      <w:r w:rsidR="00590752" w:rsidRPr="004A1C60">
        <w:rPr>
          <w:rFonts w:ascii="Times New Roman" w:hAnsi="Times New Roman" w:cs="Times New Roman"/>
          <w:sz w:val="24"/>
          <w:szCs w:val="24"/>
        </w:rPr>
        <w:t xml:space="preserve">, </w:t>
      </w:r>
      <w:r w:rsidR="00590752" w:rsidRPr="004A1C60">
        <w:rPr>
          <w:rFonts w:ascii="Times New Roman" w:hAnsi="Times New Roman" w:cs="Times New Roman"/>
          <w:i/>
          <w:sz w:val="24"/>
          <w:szCs w:val="24"/>
        </w:rPr>
        <w:t>Higher education: meeting the challenge,</w:t>
      </w:r>
      <w:r w:rsidR="00CA418A" w:rsidRPr="004A1C60">
        <w:rPr>
          <w:rFonts w:ascii="Times New Roman" w:hAnsi="Times New Roman" w:cs="Times New Roman"/>
          <w:sz w:val="24"/>
          <w:szCs w:val="24"/>
        </w:rPr>
        <w:t xml:space="preserve"> positioned economic requirements as the ‘urgent need’ (1987:1) HE had to address.  </w:t>
      </w:r>
      <w:r w:rsidR="00590752" w:rsidRPr="004A1C60">
        <w:rPr>
          <w:rFonts w:ascii="Times New Roman" w:hAnsi="Times New Roman" w:cs="Times New Roman"/>
          <w:sz w:val="24"/>
          <w:szCs w:val="24"/>
        </w:rPr>
        <w:t>Furthermore, this</w:t>
      </w:r>
      <w:r w:rsidR="00E00232" w:rsidRPr="004A1C60">
        <w:rPr>
          <w:rFonts w:ascii="Times New Roman" w:hAnsi="Times New Roman" w:cs="Times New Roman"/>
          <w:sz w:val="24"/>
          <w:szCs w:val="24"/>
        </w:rPr>
        <w:t xml:space="preserve"> paper placed these requirements as essential to the planning framework of HE so that the economy wo</w:t>
      </w:r>
      <w:r w:rsidR="006F2562" w:rsidRPr="004A1C60">
        <w:rPr>
          <w:rFonts w:ascii="Times New Roman" w:hAnsi="Times New Roman" w:cs="Times New Roman"/>
          <w:sz w:val="24"/>
          <w:szCs w:val="24"/>
        </w:rPr>
        <w:t>uld be served more effectively arguing</w:t>
      </w:r>
      <w:r w:rsidR="00D355CF" w:rsidRPr="004A1C60">
        <w:rPr>
          <w:rFonts w:ascii="Times New Roman" w:hAnsi="Times New Roman" w:cs="Times New Roman"/>
          <w:sz w:val="24"/>
          <w:szCs w:val="24"/>
        </w:rPr>
        <w:t xml:space="preserve"> f</w:t>
      </w:r>
      <w:r w:rsidR="006F2562" w:rsidRPr="004A1C60">
        <w:rPr>
          <w:rFonts w:ascii="Times New Roman" w:hAnsi="Times New Roman" w:cs="Times New Roman"/>
          <w:sz w:val="24"/>
          <w:szCs w:val="24"/>
        </w:rPr>
        <w:t xml:space="preserve">or example </w:t>
      </w:r>
      <w:r w:rsidR="00B03682" w:rsidRPr="004A1C60">
        <w:rPr>
          <w:rFonts w:ascii="Times New Roman" w:hAnsi="Times New Roman" w:cs="Times New Roman"/>
          <w:sz w:val="24"/>
          <w:szCs w:val="24"/>
        </w:rPr>
        <w:t xml:space="preserve">for HE </w:t>
      </w:r>
      <w:r w:rsidR="00E00232" w:rsidRPr="004A1C60">
        <w:rPr>
          <w:rFonts w:ascii="Times New Roman" w:hAnsi="Times New Roman" w:cs="Times New Roman"/>
          <w:sz w:val="24"/>
          <w:szCs w:val="24"/>
        </w:rPr>
        <w:t xml:space="preserve">provision </w:t>
      </w:r>
      <w:r w:rsidR="00B03682" w:rsidRPr="004A1C60">
        <w:rPr>
          <w:rFonts w:ascii="Times New Roman" w:hAnsi="Times New Roman" w:cs="Times New Roman"/>
          <w:sz w:val="24"/>
          <w:szCs w:val="24"/>
        </w:rPr>
        <w:t xml:space="preserve">to be shifted </w:t>
      </w:r>
      <w:r w:rsidR="00E00232" w:rsidRPr="004A1C60">
        <w:rPr>
          <w:rFonts w:ascii="Times New Roman" w:hAnsi="Times New Roman" w:cs="Times New Roman"/>
          <w:sz w:val="24"/>
          <w:szCs w:val="24"/>
        </w:rPr>
        <w:t>towards subjects for which ‘future e</w:t>
      </w:r>
      <w:r w:rsidR="002A62A8" w:rsidRPr="004A1C60">
        <w:rPr>
          <w:rFonts w:ascii="Times New Roman" w:hAnsi="Times New Roman" w:cs="Times New Roman"/>
          <w:sz w:val="24"/>
          <w:szCs w:val="24"/>
        </w:rPr>
        <w:t>mployer demand is strongest’ (</w:t>
      </w:r>
      <w:r w:rsidR="007B39E6" w:rsidRPr="004A1C60">
        <w:rPr>
          <w:rFonts w:ascii="Times New Roman" w:hAnsi="Times New Roman" w:cs="Times New Roman"/>
          <w:sz w:val="24"/>
          <w:szCs w:val="24"/>
        </w:rPr>
        <w:t>1987:</w:t>
      </w:r>
      <w:r w:rsidR="00590752" w:rsidRPr="004A1C60">
        <w:rPr>
          <w:rFonts w:ascii="Times New Roman" w:hAnsi="Times New Roman" w:cs="Times New Roman"/>
          <w:sz w:val="24"/>
          <w:szCs w:val="24"/>
        </w:rPr>
        <w:t>10).  By</w:t>
      </w:r>
      <w:r w:rsidR="00E00232" w:rsidRPr="004A1C60">
        <w:rPr>
          <w:rFonts w:ascii="Times New Roman" w:hAnsi="Times New Roman" w:cs="Times New Roman"/>
          <w:sz w:val="24"/>
          <w:szCs w:val="24"/>
        </w:rPr>
        <w:t xml:space="preserve"> 1991 </w:t>
      </w:r>
      <w:r w:rsidR="00590752" w:rsidRPr="004A1C60">
        <w:rPr>
          <w:rFonts w:ascii="Times New Roman" w:hAnsi="Times New Roman" w:cs="Times New Roman"/>
          <w:sz w:val="24"/>
          <w:szCs w:val="24"/>
        </w:rPr>
        <w:t xml:space="preserve">a new </w:t>
      </w:r>
      <w:r w:rsidR="00E00232" w:rsidRPr="004A1C60">
        <w:rPr>
          <w:rFonts w:ascii="Times New Roman" w:hAnsi="Times New Roman" w:cs="Times New Roman"/>
          <w:sz w:val="24"/>
          <w:szCs w:val="24"/>
        </w:rPr>
        <w:t xml:space="preserve">White Paper </w:t>
      </w:r>
      <w:r w:rsidR="006D08CD" w:rsidRPr="004A1C60">
        <w:rPr>
          <w:rFonts w:ascii="Times New Roman" w:hAnsi="Times New Roman" w:cs="Times New Roman"/>
          <w:i/>
          <w:sz w:val="24"/>
          <w:szCs w:val="24"/>
        </w:rPr>
        <w:t>Higher education: a new framework</w:t>
      </w:r>
      <w:r w:rsidR="006D08CD" w:rsidRPr="004A1C60">
        <w:rPr>
          <w:rFonts w:ascii="Times New Roman" w:hAnsi="Times New Roman" w:cs="Times New Roman"/>
          <w:sz w:val="24"/>
          <w:szCs w:val="24"/>
        </w:rPr>
        <w:t xml:space="preserve"> </w:t>
      </w:r>
      <w:r w:rsidR="00E00232" w:rsidRPr="004A1C60">
        <w:rPr>
          <w:rFonts w:ascii="Times New Roman" w:hAnsi="Times New Roman" w:cs="Times New Roman"/>
          <w:sz w:val="24"/>
          <w:szCs w:val="24"/>
        </w:rPr>
        <w:t xml:space="preserve">(DES), </w:t>
      </w:r>
      <w:r w:rsidR="006D08CD" w:rsidRPr="004A1C60">
        <w:rPr>
          <w:rFonts w:ascii="Times New Roman" w:hAnsi="Times New Roman" w:cs="Times New Roman"/>
          <w:sz w:val="24"/>
          <w:szCs w:val="24"/>
        </w:rPr>
        <w:t>made</w:t>
      </w:r>
      <w:r w:rsidR="00E00232" w:rsidRPr="004A1C60">
        <w:rPr>
          <w:rFonts w:ascii="Times New Roman" w:hAnsi="Times New Roman" w:cs="Times New Roman"/>
          <w:sz w:val="24"/>
          <w:szCs w:val="24"/>
        </w:rPr>
        <w:t xml:space="preserve"> no mention at all of </w:t>
      </w:r>
      <w:r w:rsidR="00830077" w:rsidRPr="004A1C60">
        <w:rPr>
          <w:rFonts w:ascii="Times New Roman" w:hAnsi="Times New Roman" w:cs="Times New Roman"/>
          <w:sz w:val="24"/>
          <w:szCs w:val="24"/>
        </w:rPr>
        <w:t>a cultural or social function for HE</w:t>
      </w:r>
      <w:r w:rsidR="00B4058F" w:rsidRPr="004A1C60">
        <w:rPr>
          <w:rFonts w:ascii="Times New Roman" w:hAnsi="Times New Roman" w:cs="Times New Roman"/>
          <w:sz w:val="24"/>
          <w:szCs w:val="24"/>
        </w:rPr>
        <w:t xml:space="preserve">. </w:t>
      </w:r>
      <w:r w:rsidR="00B03682" w:rsidRPr="004A1C60">
        <w:rPr>
          <w:rFonts w:ascii="Times New Roman" w:hAnsi="Times New Roman" w:cs="Times New Roman"/>
          <w:sz w:val="24"/>
          <w:szCs w:val="24"/>
        </w:rPr>
        <w:t xml:space="preserve">The emphasis lay instead on a need to be responsive </w:t>
      </w:r>
      <w:r w:rsidR="007359C3" w:rsidRPr="004A1C60">
        <w:rPr>
          <w:rFonts w:ascii="Times New Roman" w:hAnsi="Times New Roman" w:cs="Times New Roman"/>
          <w:sz w:val="24"/>
          <w:szCs w:val="24"/>
        </w:rPr>
        <w:t xml:space="preserve">to </w:t>
      </w:r>
      <w:r w:rsidR="00B03682" w:rsidRPr="004A1C60">
        <w:rPr>
          <w:rFonts w:ascii="Times New Roman" w:hAnsi="Times New Roman" w:cs="Times New Roman"/>
          <w:sz w:val="24"/>
          <w:szCs w:val="24"/>
        </w:rPr>
        <w:t xml:space="preserve">business and commerce </w:t>
      </w:r>
      <w:r w:rsidR="00E00232" w:rsidRPr="004A1C60">
        <w:rPr>
          <w:rFonts w:ascii="Times New Roman" w:hAnsi="Times New Roman" w:cs="Times New Roman"/>
          <w:sz w:val="24"/>
          <w:szCs w:val="24"/>
        </w:rPr>
        <w:t xml:space="preserve">and </w:t>
      </w:r>
      <w:r w:rsidR="007359C3" w:rsidRPr="004A1C60">
        <w:rPr>
          <w:rFonts w:ascii="Times New Roman" w:hAnsi="Times New Roman" w:cs="Times New Roman"/>
          <w:sz w:val="24"/>
          <w:szCs w:val="24"/>
        </w:rPr>
        <w:t xml:space="preserve">to justify the </w:t>
      </w:r>
      <w:r w:rsidR="00E00232" w:rsidRPr="004A1C60">
        <w:rPr>
          <w:rFonts w:ascii="Times New Roman" w:hAnsi="Times New Roman" w:cs="Times New Roman"/>
          <w:sz w:val="24"/>
          <w:szCs w:val="24"/>
        </w:rPr>
        <w:t>general economic and commerc</w:t>
      </w:r>
      <w:r w:rsidR="007359C3" w:rsidRPr="004A1C60">
        <w:rPr>
          <w:rFonts w:ascii="Times New Roman" w:hAnsi="Times New Roman" w:cs="Times New Roman"/>
          <w:sz w:val="24"/>
          <w:szCs w:val="24"/>
        </w:rPr>
        <w:t>ial relevance of HE</w:t>
      </w:r>
      <w:r w:rsidR="00E00232" w:rsidRPr="004A1C60">
        <w:rPr>
          <w:rFonts w:ascii="Times New Roman" w:hAnsi="Times New Roman" w:cs="Times New Roman"/>
          <w:sz w:val="24"/>
          <w:szCs w:val="24"/>
        </w:rPr>
        <w:t xml:space="preserve"> provis</w:t>
      </w:r>
      <w:r w:rsidR="002A62A8" w:rsidRPr="004A1C60">
        <w:rPr>
          <w:rFonts w:ascii="Times New Roman" w:hAnsi="Times New Roman" w:cs="Times New Roman"/>
          <w:sz w:val="24"/>
          <w:szCs w:val="24"/>
        </w:rPr>
        <w:t xml:space="preserve">ion.  Jones and Thomas (2005: </w:t>
      </w:r>
      <w:r w:rsidR="00E00232" w:rsidRPr="004A1C60">
        <w:rPr>
          <w:rFonts w:ascii="Times New Roman" w:hAnsi="Times New Roman" w:cs="Times New Roman"/>
          <w:sz w:val="24"/>
          <w:szCs w:val="24"/>
        </w:rPr>
        <w:t xml:space="preserve">618) </w:t>
      </w:r>
      <w:r w:rsidR="00D149F2" w:rsidRPr="004A1C60">
        <w:rPr>
          <w:rFonts w:ascii="Times New Roman" w:hAnsi="Times New Roman" w:cs="Times New Roman"/>
          <w:sz w:val="24"/>
          <w:szCs w:val="24"/>
        </w:rPr>
        <w:t>describe</w:t>
      </w:r>
      <w:r w:rsidR="00E00232" w:rsidRPr="004A1C60">
        <w:rPr>
          <w:rFonts w:ascii="Times New Roman" w:hAnsi="Times New Roman" w:cs="Times New Roman"/>
          <w:sz w:val="24"/>
          <w:szCs w:val="24"/>
        </w:rPr>
        <w:t xml:space="preserve"> this</w:t>
      </w:r>
      <w:r w:rsidR="00D149F2" w:rsidRPr="004A1C60">
        <w:rPr>
          <w:rFonts w:ascii="Times New Roman" w:hAnsi="Times New Roman" w:cs="Times New Roman"/>
          <w:sz w:val="24"/>
          <w:szCs w:val="24"/>
        </w:rPr>
        <w:t xml:space="preserve"> new</w:t>
      </w:r>
      <w:r w:rsidR="00E00232" w:rsidRPr="004A1C60">
        <w:rPr>
          <w:rFonts w:ascii="Times New Roman" w:hAnsi="Times New Roman" w:cs="Times New Roman"/>
          <w:sz w:val="24"/>
          <w:szCs w:val="24"/>
        </w:rPr>
        <w:t xml:space="preserve"> emphasis as </w:t>
      </w:r>
      <w:r w:rsidR="00D149F2" w:rsidRPr="004A1C60">
        <w:rPr>
          <w:rFonts w:ascii="Times New Roman" w:hAnsi="Times New Roman" w:cs="Times New Roman"/>
          <w:sz w:val="24"/>
          <w:szCs w:val="24"/>
        </w:rPr>
        <w:t xml:space="preserve">a </w:t>
      </w:r>
      <w:r w:rsidR="00E00232" w:rsidRPr="004A1C60">
        <w:rPr>
          <w:rFonts w:ascii="Times New Roman" w:hAnsi="Times New Roman" w:cs="Times New Roman"/>
          <w:sz w:val="24"/>
          <w:szCs w:val="24"/>
        </w:rPr>
        <w:t>utilitarian</w:t>
      </w:r>
      <w:r w:rsidR="00D149F2" w:rsidRPr="004A1C60">
        <w:rPr>
          <w:rFonts w:ascii="Times New Roman" w:hAnsi="Times New Roman" w:cs="Times New Roman"/>
          <w:sz w:val="24"/>
          <w:szCs w:val="24"/>
        </w:rPr>
        <w:t xml:space="preserve"> turn</w:t>
      </w:r>
      <w:r w:rsidR="00E00232" w:rsidRPr="004A1C60">
        <w:rPr>
          <w:rFonts w:ascii="Times New Roman" w:hAnsi="Times New Roman" w:cs="Times New Roman"/>
          <w:sz w:val="24"/>
          <w:szCs w:val="24"/>
        </w:rPr>
        <w:t>, in which the primary focus is on the relationship between HE and the economy and ensuring the former becomes ‘increasingly receptive to de</w:t>
      </w:r>
      <w:r w:rsidR="00D34256" w:rsidRPr="004A1C60">
        <w:rPr>
          <w:rFonts w:ascii="Times New Roman" w:hAnsi="Times New Roman" w:cs="Times New Roman"/>
          <w:sz w:val="24"/>
          <w:szCs w:val="24"/>
        </w:rPr>
        <w:t xml:space="preserve">velopments in the latter’.  </w:t>
      </w:r>
      <w:r w:rsidR="0092101F" w:rsidRPr="004A1C60">
        <w:rPr>
          <w:rFonts w:ascii="Times New Roman" w:hAnsi="Times New Roman" w:cs="Times New Roman"/>
          <w:sz w:val="24"/>
          <w:szCs w:val="24"/>
        </w:rPr>
        <w:t>The new</w:t>
      </w:r>
      <w:r w:rsidR="00E00232" w:rsidRPr="004A1C60">
        <w:rPr>
          <w:rFonts w:ascii="Times New Roman" w:hAnsi="Times New Roman" w:cs="Times New Roman"/>
          <w:sz w:val="24"/>
          <w:szCs w:val="24"/>
        </w:rPr>
        <w:t xml:space="preserve"> purpose of HE</w:t>
      </w:r>
      <w:r w:rsidR="0092101F" w:rsidRPr="004A1C60">
        <w:rPr>
          <w:rFonts w:ascii="Times New Roman" w:hAnsi="Times New Roman" w:cs="Times New Roman"/>
          <w:sz w:val="24"/>
          <w:szCs w:val="24"/>
        </w:rPr>
        <w:t>, Jones and Thomas argue,</w:t>
      </w:r>
      <w:r w:rsidR="00E00232" w:rsidRPr="004A1C60">
        <w:rPr>
          <w:rFonts w:ascii="Times New Roman" w:hAnsi="Times New Roman" w:cs="Times New Roman"/>
          <w:sz w:val="24"/>
          <w:szCs w:val="24"/>
        </w:rPr>
        <w:t xml:space="preserve"> is reduced s</w:t>
      </w:r>
      <w:r w:rsidR="00D34256" w:rsidRPr="004A1C60">
        <w:rPr>
          <w:rFonts w:ascii="Times New Roman" w:hAnsi="Times New Roman" w:cs="Times New Roman"/>
          <w:sz w:val="24"/>
          <w:szCs w:val="24"/>
        </w:rPr>
        <w:t>imply to meeting e</w:t>
      </w:r>
      <w:r w:rsidR="00901A30" w:rsidRPr="004A1C60">
        <w:rPr>
          <w:rFonts w:ascii="Times New Roman" w:hAnsi="Times New Roman" w:cs="Times New Roman"/>
          <w:sz w:val="24"/>
          <w:szCs w:val="24"/>
        </w:rPr>
        <w:t>conomic needs, a role</w:t>
      </w:r>
      <w:r w:rsidR="00D34256" w:rsidRPr="004A1C60">
        <w:rPr>
          <w:rFonts w:ascii="Times New Roman" w:hAnsi="Times New Roman" w:cs="Times New Roman"/>
          <w:sz w:val="24"/>
          <w:szCs w:val="24"/>
        </w:rPr>
        <w:t xml:space="preserve"> that </w:t>
      </w:r>
      <w:r w:rsidR="008523C5" w:rsidRPr="004A1C60">
        <w:rPr>
          <w:rFonts w:ascii="Times New Roman" w:hAnsi="Times New Roman" w:cs="Times New Roman"/>
          <w:sz w:val="24"/>
          <w:szCs w:val="24"/>
        </w:rPr>
        <w:t xml:space="preserve">neglects </w:t>
      </w:r>
      <w:r w:rsidR="0092101F" w:rsidRPr="004A1C60">
        <w:rPr>
          <w:rFonts w:ascii="Times New Roman" w:hAnsi="Times New Roman" w:cs="Times New Roman"/>
          <w:sz w:val="24"/>
          <w:szCs w:val="24"/>
        </w:rPr>
        <w:t xml:space="preserve">any </w:t>
      </w:r>
      <w:r w:rsidR="00D153F4" w:rsidRPr="004A1C60">
        <w:rPr>
          <w:rFonts w:ascii="Times New Roman" w:hAnsi="Times New Roman" w:cs="Times New Roman"/>
          <w:sz w:val="24"/>
          <w:szCs w:val="24"/>
        </w:rPr>
        <w:t>potential for social, cultur</w:t>
      </w:r>
      <w:r w:rsidR="00901A30" w:rsidRPr="004A1C60">
        <w:rPr>
          <w:rFonts w:ascii="Times New Roman" w:hAnsi="Times New Roman" w:cs="Times New Roman"/>
          <w:sz w:val="24"/>
          <w:szCs w:val="24"/>
        </w:rPr>
        <w:t xml:space="preserve">al or civic benefit </w:t>
      </w:r>
      <w:r w:rsidR="0092101F" w:rsidRPr="004A1C60">
        <w:rPr>
          <w:rFonts w:ascii="Times New Roman" w:hAnsi="Times New Roman" w:cs="Times New Roman"/>
          <w:sz w:val="24"/>
          <w:szCs w:val="24"/>
        </w:rPr>
        <w:t xml:space="preserve">and </w:t>
      </w:r>
      <w:r w:rsidR="008523C5" w:rsidRPr="004A1C60">
        <w:rPr>
          <w:rFonts w:ascii="Times New Roman" w:hAnsi="Times New Roman" w:cs="Times New Roman"/>
          <w:sz w:val="24"/>
          <w:szCs w:val="24"/>
        </w:rPr>
        <w:t xml:space="preserve">commodifies the processes and practices of knowledge production. </w:t>
      </w:r>
      <w:r w:rsidR="00D153F4" w:rsidRPr="004A1C60">
        <w:rPr>
          <w:rFonts w:ascii="Times New Roman" w:hAnsi="Times New Roman" w:cs="Times New Roman"/>
          <w:sz w:val="24"/>
          <w:szCs w:val="24"/>
        </w:rPr>
        <w:t xml:space="preserve">  </w:t>
      </w:r>
    </w:p>
    <w:p w14:paraId="667437DE" w14:textId="347B4BA9" w:rsidR="00E00232" w:rsidRPr="004A1C60" w:rsidRDefault="00B4058F" w:rsidP="00832802">
      <w:pPr>
        <w:spacing w:line="360" w:lineRule="auto"/>
        <w:rPr>
          <w:rFonts w:ascii="Times New Roman" w:hAnsi="Times New Roman" w:cs="Times New Roman"/>
          <w:sz w:val="24"/>
          <w:szCs w:val="24"/>
        </w:rPr>
      </w:pPr>
      <w:r w:rsidRPr="004A1C60">
        <w:rPr>
          <w:rFonts w:ascii="Times New Roman" w:hAnsi="Times New Roman" w:cs="Times New Roman"/>
          <w:sz w:val="24"/>
          <w:szCs w:val="24"/>
        </w:rPr>
        <w:t>This</w:t>
      </w:r>
      <w:r w:rsidR="00537294" w:rsidRPr="004A1C60">
        <w:rPr>
          <w:rFonts w:ascii="Times New Roman" w:hAnsi="Times New Roman" w:cs="Times New Roman"/>
          <w:sz w:val="24"/>
          <w:szCs w:val="24"/>
        </w:rPr>
        <w:t xml:space="preserve"> utilitarian focus gathered</w:t>
      </w:r>
      <w:r w:rsidR="00E00232" w:rsidRPr="004A1C60">
        <w:rPr>
          <w:rFonts w:ascii="Times New Roman" w:hAnsi="Times New Roman" w:cs="Times New Roman"/>
          <w:sz w:val="24"/>
          <w:szCs w:val="24"/>
        </w:rPr>
        <w:t xml:space="preserve"> </w:t>
      </w:r>
      <w:r w:rsidR="00537294" w:rsidRPr="004A1C60">
        <w:rPr>
          <w:rFonts w:ascii="Times New Roman" w:hAnsi="Times New Roman" w:cs="Times New Roman"/>
          <w:sz w:val="24"/>
          <w:szCs w:val="24"/>
        </w:rPr>
        <w:t xml:space="preserve">momentum </w:t>
      </w:r>
      <w:r w:rsidR="00E00232" w:rsidRPr="004A1C60">
        <w:rPr>
          <w:rFonts w:ascii="Times New Roman" w:hAnsi="Times New Roman" w:cs="Times New Roman"/>
          <w:sz w:val="24"/>
          <w:szCs w:val="24"/>
        </w:rPr>
        <w:t>from the 1990s into th</w:t>
      </w:r>
      <w:r w:rsidR="00537294" w:rsidRPr="004A1C60">
        <w:rPr>
          <w:rFonts w:ascii="Times New Roman" w:hAnsi="Times New Roman" w:cs="Times New Roman"/>
          <w:sz w:val="24"/>
          <w:szCs w:val="24"/>
        </w:rPr>
        <w:t>e millennium with the HE sector increasingly under pressure</w:t>
      </w:r>
      <w:r w:rsidR="00E00232" w:rsidRPr="004A1C60">
        <w:rPr>
          <w:rFonts w:ascii="Times New Roman" w:hAnsi="Times New Roman" w:cs="Times New Roman"/>
          <w:sz w:val="24"/>
          <w:szCs w:val="24"/>
        </w:rPr>
        <w:t xml:space="preserve"> to increase ‘its contribution to the economy and its responsiveness to the n</w:t>
      </w:r>
      <w:r w:rsidR="007B39E6" w:rsidRPr="004A1C60">
        <w:rPr>
          <w:rFonts w:ascii="Times New Roman" w:hAnsi="Times New Roman" w:cs="Times New Roman"/>
          <w:sz w:val="24"/>
          <w:szCs w:val="24"/>
        </w:rPr>
        <w:t xml:space="preserve">eeds of business’ (DfEE, 1998: </w:t>
      </w:r>
      <w:r w:rsidR="00E00232" w:rsidRPr="004A1C60">
        <w:rPr>
          <w:rFonts w:ascii="Times New Roman" w:hAnsi="Times New Roman" w:cs="Times New Roman"/>
          <w:sz w:val="24"/>
          <w:szCs w:val="24"/>
        </w:rPr>
        <w:t xml:space="preserve">3; DfES </w:t>
      </w:r>
      <w:r w:rsidR="006C279B" w:rsidRPr="004A1C60">
        <w:rPr>
          <w:rFonts w:ascii="Times New Roman" w:hAnsi="Times New Roman" w:cs="Times New Roman"/>
          <w:sz w:val="24"/>
          <w:szCs w:val="24"/>
        </w:rPr>
        <w:t>2003)</w:t>
      </w:r>
      <w:r w:rsidR="00E00232" w:rsidRPr="004A1C60">
        <w:rPr>
          <w:rFonts w:ascii="Times New Roman" w:hAnsi="Times New Roman" w:cs="Times New Roman"/>
          <w:sz w:val="24"/>
          <w:szCs w:val="24"/>
        </w:rPr>
        <w:t>.</w:t>
      </w:r>
      <w:r w:rsidRPr="004A1C60">
        <w:rPr>
          <w:rFonts w:ascii="Times New Roman" w:hAnsi="Times New Roman" w:cs="Times New Roman"/>
          <w:sz w:val="24"/>
          <w:szCs w:val="24"/>
        </w:rPr>
        <w:t xml:space="preserve"> </w:t>
      </w:r>
      <w:r w:rsidR="00E00232" w:rsidRPr="004A1C60">
        <w:rPr>
          <w:rFonts w:ascii="Times New Roman" w:hAnsi="Times New Roman" w:cs="Times New Roman"/>
          <w:sz w:val="24"/>
          <w:szCs w:val="24"/>
        </w:rPr>
        <w:t xml:space="preserve">In 2008 Thorpe extended Tasker and Packham’s (1994) view that business values are promoted as much as educational ones to argue that any value frameworks within HE that do not relate to economic values have been delegitimised.  Specifically, </w:t>
      </w:r>
      <w:r w:rsidR="0092101F" w:rsidRPr="004A1C60">
        <w:rPr>
          <w:rFonts w:ascii="Times New Roman" w:hAnsi="Times New Roman" w:cs="Times New Roman"/>
          <w:sz w:val="24"/>
          <w:szCs w:val="24"/>
        </w:rPr>
        <w:t xml:space="preserve">Thorpe argues, </w:t>
      </w:r>
      <w:r w:rsidR="00C97794" w:rsidRPr="004A1C60">
        <w:rPr>
          <w:rFonts w:ascii="Times New Roman" w:hAnsi="Times New Roman" w:cs="Times New Roman"/>
          <w:sz w:val="24"/>
          <w:szCs w:val="24"/>
        </w:rPr>
        <w:t>the role</w:t>
      </w:r>
      <w:r w:rsidR="007E343C" w:rsidRPr="004A1C60">
        <w:rPr>
          <w:rFonts w:ascii="Times New Roman" w:hAnsi="Times New Roman" w:cs="Times New Roman"/>
          <w:sz w:val="24"/>
          <w:szCs w:val="24"/>
        </w:rPr>
        <w:t xml:space="preserve"> of </w:t>
      </w:r>
      <w:r w:rsidR="0092101F" w:rsidRPr="004A1C60">
        <w:rPr>
          <w:rFonts w:ascii="Times New Roman" w:hAnsi="Times New Roman" w:cs="Times New Roman"/>
          <w:sz w:val="24"/>
          <w:szCs w:val="24"/>
        </w:rPr>
        <w:t>H</w:t>
      </w:r>
      <w:r w:rsidR="00C97794" w:rsidRPr="004A1C60">
        <w:rPr>
          <w:rFonts w:ascii="Times New Roman" w:hAnsi="Times New Roman" w:cs="Times New Roman"/>
          <w:sz w:val="24"/>
          <w:szCs w:val="24"/>
        </w:rPr>
        <w:t xml:space="preserve">E is re-calibrated at this time with </w:t>
      </w:r>
      <w:r w:rsidR="007E343C" w:rsidRPr="004A1C60">
        <w:rPr>
          <w:rFonts w:ascii="Times New Roman" w:hAnsi="Times New Roman" w:cs="Times New Roman"/>
          <w:sz w:val="24"/>
          <w:szCs w:val="24"/>
        </w:rPr>
        <w:t>vocational</w:t>
      </w:r>
      <w:r w:rsidR="0092101F" w:rsidRPr="004A1C60">
        <w:rPr>
          <w:rFonts w:ascii="Times New Roman" w:hAnsi="Times New Roman" w:cs="Times New Roman"/>
          <w:sz w:val="24"/>
          <w:szCs w:val="24"/>
        </w:rPr>
        <w:t xml:space="preserve"> purposeful</w:t>
      </w:r>
      <w:r w:rsidR="007E343C" w:rsidRPr="004A1C60">
        <w:rPr>
          <w:rFonts w:ascii="Times New Roman" w:hAnsi="Times New Roman" w:cs="Times New Roman"/>
          <w:sz w:val="24"/>
          <w:szCs w:val="24"/>
        </w:rPr>
        <w:t xml:space="preserve">ness </w:t>
      </w:r>
      <w:r w:rsidR="00C97794" w:rsidRPr="004A1C60">
        <w:rPr>
          <w:rFonts w:ascii="Times New Roman" w:hAnsi="Times New Roman" w:cs="Times New Roman"/>
          <w:sz w:val="24"/>
          <w:szCs w:val="24"/>
        </w:rPr>
        <w:t>gaining traction over notions of</w:t>
      </w:r>
      <w:r w:rsidR="007E343C" w:rsidRPr="004A1C60">
        <w:rPr>
          <w:rFonts w:ascii="Times New Roman" w:hAnsi="Times New Roman" w:cs="Times New Roman"/>
          <w:sz w:val="24"/>
          <w:szCs w:val="24"/>
        </w:rPr>
        <w:t xml:space="preserve"> ‘intrinsic</w:t>
      </w:r>
      <w:r w:rsidR="0092101F" w:rsidRPr="004A1C60">
        <w:rPr>
          <w:rFonts w:ascii="Times New Roman" w:hAnsi="Times New Roman" w:cs="Times New Roman"/>
          <w:sz w:val="24"/>
          <w:szCs w:val="24"/>
        </w:rPr>
        <w:t xml:space="preserve"> good’. In 2010 the </w:t>
      </w:r>
      <w:r w:rsidR="00E00232" w:rsidRPr="004A1C60">
        <w:rPr>
          <w:rFonts w:ascii="Times New Roman" w:hAnsi="Times New Roman" w:cs="Times New Roman"/>
          <w:sz w:val="24"/>
          <w:szCs w:val="24"/>
        </w:rPr>
        <w:t xml:space="preserve">Browne Report </w:t>
      </w:r>
      <w:r w:rsidR="007B3FAB" w:rsidRPr="004A1C60">
        <w:rPr>
          <w:rFonts w:ascii="Times New Roman" w:hAnsi="Times New Roman" w:cs="Times New Roman"/>
          <w:sz w:val="24"/>
          <w:szCs w:val="24"/>
        </w:rPr>
        <w:t>build</w:t>
      </w:r>
      <w:r w:rsidR="00C97794" w:rsidRPr="004A1C60">
        <w:rPr>
          <w:rFonts w:ascii="Times New Roman" w:hAnsi="Times New Roman" w:cs="Times New Roman"/>
          <w:sz w:val="24"/>
          <w:szCs w:val="24"/>
        </w:rPr>
        <w:t>s</w:t>
      </w:r>
      <w:r w:rsidR="007B3FAB" w:rsidRPr="004A1C60">
        <w:rPr>
          <w:rFonts w:ascii="Times New Roman" w:hAnsi="Times New Roman" w:cs="Times New Roman"/>
          <w:sz w:val="24"/>
          <w:szCs w:val="24"/>
        </w:rPr>
        <w:t xml:space="preserve"> on </w:t>
      </w:r>
      <w:r w:rsidR="0092101F" w:rsidRPr="004A1C60">
        <w:rPr>
          <w:rFonts w:ascii="Times New Roman" w:hAnsi="Times New Roman" w:cs="Times New Roman"/>
          <w:sz w:val="24"/>
          <w:szCs w:val="24"/>
        </w:rPr>
        <w:t xml:space="preserve">this position asserting </w:t>
      </w:r>
      <w:r w:rsidR="00E00232" w:rsidRPr="004A1C60">
        <w:rPr>
          <w:rFonts w:ascii="Times New Roman" w:hAnsi="Times New Roman" w:cs="Times New Roman"/>
          <w:sz w:val="24"/>
          <w:szCs w:val="24"/>
        </w:rPr>
        <w:t xml:space="preserve">that the HE system </w:t>
      </w:r>
      <w:r w:rsidR="00C97794" w:rsidRPr="004A1C60">
        <w:rPr>
          <w:rFonts w:ascii="Times New Roman" w:hAnsi="Times New Roman" w:cs="Times New Roman"/>
          <w:sz w:val="24"/>
          <w:szCs w:val="24"/>
        </w:rPr>
        <w:t>continues</w:t>
      </w:r>
      <w:r w:rsidR="0092101F" w:rsidRPr="004A1C60">
        <w:rPr>
          <w:rFonts w:ascii="Times New Roman" w:hAnsi="Times New Roman" w:cs="Times New Roman"/>
          <w:sz w:val="24"/>
          <w:szCs w:val="24"/>
        </w:rPr>
        <w:t xml:space="preserve"> </w:t>
      </w:r>
      <w:r w:rsidR="00640C31" w:rsidRPr="004A1C60">
        <w:rPr>
          <w:rFonts w:ascii="Times New Roman" w:hAnsi="Times New Roman" w:cs="Times New Roman"/>
          <w:sz w:val="24"/>
          <w:szCs w:val="24"/>
        </w:rPr>
        <w:t>to be insufficiently responsive</w:t>
      </w:r>
      <w:r w:rsidR="00E00232" w:rsidRPr="004A1C60">
        <w:rPr>
          <w:rFonts w:ascii="Times New Roman" w:hAnsi="Times New Roman" w:cs="Times New Roman"/>
          <w:sz w:val="24"/>
          <w:szCs w:val="24"/>
        </w:rPr>
        <w:t xml:space="preserve"> to the skills required by th</w:t>
      </w:r>
      <w:r w:rsidR="00640C31" w:rsidRPr="004A1C60">
        <w:rPr>
          <w:rFonts w:ascii="Times New Roman" w:hAnsi="Times New Roman" w:cs="Times New Roman"/>
          <w:sz w:val="24"/>
          <w:szCs w:val="24"/>
        </w:rPr>
        <w:t>e economy.  A key focus of Browne’s</w:t>
      </w:r>
      <w:r w:rsidR="00E00232" w:rsidRPr="004A1C60">
        <w:rPr>
          <w:rFonts w:ascii="Times New Roman" w:hAnsi="Times New Roman" w:cs="Times New Roman"/>
          <w:sz w:val="24"/>
          <w:szCs w:val="24"/>
        </w:rPr>
        <w:t xml:space="preserve"> recommendations then related to ensuring a ‘closer fit between what is taught in higher education and the s</w:t>
      </w:r>
      <w:r w:rsidR="00CA418A" w:rsidRPr="004A1C60">
        <w:rPr>
          <w:rFonts w:ascii="Times New Roman" w:hAnsi="Times New Roman" w:cs="Times New Roman"/>
          <w:sz w:val="24"/>
          <w:szCs w:val="24"/>
        </w:rPr>
        <w:t>kills needed in the economy’ (201:</w:t>
      </w:r>
      <w:r w:rsidR="00E00232" w:rsidRPr="004A1C60">
        <w:rPr>
          <w:rFonts w:ascii="Times New Roman" w:hAnsi="Times New Roman" w:cs="Times New Roman"/>
          <w:sz w:val="24"/>
          <w:szCs w:val="24"/>
        </w:rPr>
        <w:t xml:space="preserve">23).  </w:t>
      </w:r>
      <w:r w:rsidR="00E86915" w:rsidRPr="004A1C60">
        <w:rPr>
          <w:rFonts w:ascii="Times New Roman" w:hAnsi="Times New Roman" w:cs="Times New Roman"/>
          <w:sz w:val="24"/>
          <w:szCs w:val="24"/>
        </w:rPr>
        <w:t xml:space="preserve">A subsequent white paper </w:t>
      </w:r>
      <w:r w:rsidR="00E86915" w:rsidRPr="004A1C60">
        <w:rPr>
          <w:rFonts w:ascii="Times New Roman" w:hAnsi="Times New Roman" w:cs="Times New Roman"/>
          <w:i/>
          <w:sz w:val="24"/>
          <w:szCs w:val="24"/>
        </w:rPr>
        <w:t>Higher education: students at the heart of the system</w:t>
      </w:r>
      <w:r w:rsidR="00E86915" w:rsidRPr="004A1C60">
        <w:rPr>
          <w:rFonts w:ascii="Times New Roman" w:hAnsi="Times New Roman" w:cs="Times New Roman"/>
          <w:sz w:val="24"/>
          <w:szCs w:val="24"/>
        </w:rPr>
        <w:t xml:space="preserve"> </w:t>
      </w:r>
      <w:r w:rsidR="00E00232" w:rsidRPr="004A1C60">
        <w:rPr>
          <w:rFonts w:ascii="Times New Roman" w:hAnsi="Times New Roman" w:cs="Times New Roman"/>
          <w:sz w:val="24"/>
          <w:szCs w:val="24"/>
        </w:rPr>
        <w:t xml:space="preserve">(BIS, 2011) confirmed employment outcomes as essential criteria for judging the quality of a course and attracting prospective students.  The paper required each institution to produce a Key Information Set </w:t>
      </w:r>
      <w:r w:rsidR="00E00232" w:rsidRPr="004A1C60">
        <w:rPr>
          <w:rFonts w:ascii="Times New Roman" w:hAnsi="Times New Roman" w:cs="Times New Roman"/>
          <w:sz w:val="24"/>
          <w:szCs w:val="24"/>
        </w:rPr>
        <w:lastRenderedPageBreak/>
        <w:t>(KIS) for each course for potential applicants to view.  Employment and earning outcomes feature predominantly in this KIS.  This approach is in line with the paper’s overall aim to attract more people into HE to ‘greater the national economic gain’ (p.8).  Accordingly, the paper’s proposals stressed the government’s intentions to make universities ’become even more responsive to the changing demands of students and employers for high level skills a</w:t>
      </w:r>
      <w:r w:rsidR="00CA418A" w:rsidRPr="004A1C60">
        <w:rPr>
          <w:rFonts w:ascii="Times New Roman" w:hAnsi="Times New Roman" w:cs="Times New Roman"/>
          <w:sz w:val="24"/>
          <w:szCs w:val="24"/>
        </w:rPr>
        <w:t xml:space="preserve">nd employability’ (BIS, 2011: </w:t>
      </w:r>
      <w:r w:rsidR="00672042" w:rsidRPr="004A1C60">
        <w:rPr>
          <w:rFonts w:ascii="Times New Roman" w:hAnsi="Times New Roman" w:cs="Times New Roman"/>
          <w:sz w:val="24"/>
          <w:szCs w:val="24"/>
        </w:rPr>
        <w:t>3).  High value is attributed to the vocational application of higher education in this paper, the opening reference to ‘Higher education [as]…</w:t>
      </w:r>
      <w:r w:rsidR="00C33E0F" w:rsidRPr="004A1C60">
        <w:rPr>
          <w:rFonts w:ascii="Times New Roman" w:hAnsi="Times New Roman" w:cs="Times New Roman"/>
          <w:sz w:val="24"/>
          <w:szCs w:val="24"/>
        </w:rPr>
        <w:t>a good thing” or that “</w:t>
      </w:r>
      <w:r w:rsidR="00E00232" w:rsidRPr="004A1C60">
        <w:rPr>
          <w:rFonts w:ascii="Times New Roman" w:hAnsi="Times New Roman" w:cs="Times New Roman"/>
          <w:sz w:val="24"/>
          <w:szCs w:val="24"/>
        </w:rPr>
        <w:t>Students may study a subject because they love it regardless of what it mea</w:t>
      </w:r>
      <w:r w:rsidR="00C33E0F" w:rsidRPr="004A1C60">
        <w:rPr>
          <w:rFonts w:ascii="Times New Roman" w:hAnsi="Times New Roman" w:cs="Times New Roman"/>
          <w:sz w:val="24"/>
          <w:szCs w:val="24"/>
        </w:rPr>
        <w:t>ns for their earnings”</w:t>
      </w:r>
      <w:r w:rsidR="00CA418A" w:rsidRPr="004A1C60">
        <w:rPr>
          <w:rFonts w:ascii="Times New Roman" w:hAnsi="Times New Roman" w:cs="Times New Roman"/>
          <w:sz w:val="24"/>
          <w:szCs w:val="24"/>
        </w:rPr>
        <w:t xml:space="preserve"> (2011:</w:t>
      </w:r>
      <w:r w:rsidR="00307A6B" w:rsidRPr="004A1C60">
        <w:rPr>
          <w:rFonts w:ascii="Times New Roman" w:hAnsi="Times New Roman" w:cs="Times New Roman"/>
          <w:sz w:val="24"/>
          <w:szCs w:val="24"/>
        </w:rPr>
        <w:t xml:space="preserve">38), simply serving as an opener to a section on </w:t>
      </w:r>
      <w:r w:rsidR="00E00232" w:rsidRPr="004A1C60">
        <w:rPr>
          <w:rFonts w:ascii="Times New Roman" w:hAnsi="Times New Roman" w:cs="Times New Roman"/>
          <w:sz w:val="24"/>
          <w:szCs w:val="24"/>
        </w:rPr>
        <w:t xml:space="preserve">‘Employer engagement’ and </w:t>
      </w:r>
      <w:r w:rsidR="00307A6B" w:rsidRPr="004A1C60">
        <w:rPr>
          <w:rFonts w:ascii="Times New Roman" w:hAnsi="Times New Roman" w:cs="Times New Roman"/>
          <w:sz w:val="24"/>
          <w:szCs w:val="24"/>
        </w:rPr>
        <w:t>‘rewarding careers’</w:t>
      </w:r>
      <w:r w:rsidR="00CA418A" w:rsidRPr="004A1C60">
        <w:rPr>
          <w:rFonts w:ascii="Times New Roman" w:hAnsi="Times New Roman" w:cs="Times New Roman"/>
          <w:sz w:val="24"/>
          <w:szCs w:val="24"/>
        </w:rPr>
        <w:t>(2011:</w:t>
      </w:r>
      <w:r w:rsidR="00E00232" w:rsidRPr="004A1C60">
        <w:rPr>
          <w:rFonts w:ascii="Times New Roman" w:hAnsi="Times New Roman" w:cs="Times New Roman"/>
          <w:sz w:val="24"/>
          <w:szCs w:val="24"/>
        </w:rPr>
        <w:t>38).</w:t>
      </w:r>
      <w:r w:rsidR="00307A6B" w:rsidRPr="004A1C60">
        <w:rPr>
          <w:rFonts w:ascii="Times New Roman" w:hAnsi="Times New Roman" w:cs="Times New Roman"/>
          <w:sz w:val="24"/>
          <w:szCs w:val="24"/>
        </w:rPr>
        <w:t xml:space="preserve"> </w:t>
      </w:r>
      <w:r w:rsidR="00D62A04" w:rsidRPr="004A1C60">
        <w:rPr>
          <w:rFonts w:ascii="Times New Roman" w:hAnsi="Times New Roman" w:cs="Times New Roman"/>
          <w:sz w:val="24"/>
          <w:szCs w:val="24"/>
        </w:rPr>
        <w:t>Certainly the UK government</w:t>
      </w:r>
      <w:r w:rsidR="00307A6B" w:rsidRPr="004A1C60">
        <w:rPr>
          <w:rFonts w:ascii="Times New Roman" w:hAnsi="Times New Roman" w:cs="Times New Roman"/>
          <w:sz w:val="24"/>
          <w:szCs w:val="24"/>
        </w:rPr>
        <w:t xml:space="preserve"> has for some time been</w:t>
      </w:r>
      <w:r w:rsidR="00D62A04" w:rsidRPr="004A1C60">
        <w:rPr>
          <w:rFonts w:ascii="Times New Roman" w:hAnsi="Times New Roman" w:cs="Times New Roman"/>
          <w:sz w:val="24"/>
          <w:szCs w:val="24"/>
        </w:rPr>
        <w:t xml:space="preserve"> keen to assert a perceived correlation between an individual’s literacy level and the kinds of income they might expect to command (Pember, 2001).</w:t>
      </w:r>
    </w:p>
    <w:p w14:paraId="13903643" w14:textId="1D91F884" w:rsidR="00094456" w:rsidRPr="004A1C60" w:rsidRDefault="00E00232" w:rsidP="00832802">
      <w:pPr>
        <w:spacing w:line="360" w:lineRule="auto"/>
        <w:rPr>
          <w:rFonts w:ascii="Times New Roman" w:hAnsi="Times New Roman" w:cs="Times New Roman"/>
          <w:sz w:val="24"/>
          <w:szCs w:val="24"/>
        </w:rPr>
      </w:pPr>
      <w:r w:rsidRPr="004A1C60">
        <w:rPr>
          <w:rFonts w:ascii="Times New Roman" w:hAnsi="Times New Roman" w:cs="Times New Roman"/>
          <w:sz w:val="24"/>
          <w:szCs w:val="24"/>
        </w:rPr>
        <w:t>A utilita</w:t>
      </w:r>
      <w:r w:rsidR="00D62A04" w:rsidRPr="004A1C60">
        <w:rPr>
          <w:rFonts w:ascii="Times New Roman" w:hAnsi="Times New Roman" w:cs="Times New Roman"/>
          <w:sz w:val="24"/>
          <w:szCs w:val="24"/>
        </w:rPr>
        <w:t xml:space="preserve">rian focus for teaching </w:t>
      </w:r>
      <w:r w:rsidRPr="004A1C60">
        <w:rPr>
          <w:rFonts w:ascii="Times New Roman" w:hAnsi="Times New Roman" w:cs="Times New Roman"/>
          <w:sz w:val="24"/>
          <w:szCs w:val="24"/>
        </w:rPr>
        <w:t>employability</w:t>
      </w:r>
      <w:r w:rsidR="00516F35" w:rsidRPr="004A1C60">
        <w:rPr>
          <w:rFonts w:ascii="Times New Roman" w:hAnsi="Times New Roman" w:cs="Times New Roman"/>
          <w:sz w:val="24"/>
          <w:szCs w:val="24"/>
        </w:rPr>
        <w:t xml:space="preserve"> in higher </w:t>
      </w:r>
      <w:r w:rsidR="006C279B" w:rsidRPr="004A1C60">
        <w:rPr>
          <w:rFonts w:ascii="Times New Roman" w:hAnsi="Times New Roman" w:cs="Times New Roman"/>
          <w:sz w:val="24"/>
          <w:szCs w:val="24"/>
        </w:rPr>
        <w:t>education is</w:t>
      </w:r>
      <w:r w:rsidRPr="004A1C60">
        <w:rPr>
          <w:rFonts w:ascii="Times New Roman" w:hAnsi="Times New Roman" w:cs="Times New Roman"/>
          <w:sz w:val="24"/>
          <w:szCs w:val="24"/>
        </w:rPr>
        <w:t xml:space="preserve"> apparent in both the Browne Report (2010) and </w:t>
      </w:r>
      <w:r w:rsidR="00E86915" w:rsidRPr="004A1C60">
        <w:rPr>
          <w:rFonts w:ascii="Times New Roman" w:hAnsi="Times New Roman" w:cs="Times New Roman"/>
          <w:sz w:val="24"/>
          <w:szCs w:val="24"/>
        </w:rPr>
        <w:t xml:space="preserve">the </w:t>
      </w:r>
      <w:r w:rsidRPr="004A1C60">
        <w:rPr>
          <w:rFonts w:ascii="Times New Roman" w:hAnsi="Times New Roman" w:cs="Times New Roman"/>
          <w:sz w:val="24"/>
          <w:szCs w:val="24"/>
        </w:rPr>
        <w:t>2011 White Paper (BIS), which emphasised employment skills as the main aim that courses should achieve.  The utilitarianism of HE is further promoted in the 2011 White Paper (BIS) through employers being encouraged to kite</w:t>
      </w:r>
      <w:r w:rsidR="00D62A04" w:rsidRPr="004A1C60">
        <w:rPr>
          <w:rFonts w:ascii="Times New Roman" w:hAnsi="Times New Roman" w:cs="Times New Roman"/>
          <w:sz w:val="24"/>
          <w:szCs w:val="24"/>
        </w:rPr>
        <w:t xml:space="preserve"> </w:t>
      </w:r>
      <w:r w:rsidR="00307A6B" w:rsidRPr="004A1C60">
        <w:rPr>
          <w:rFonts w:ascii="Times New Roman" w:hAnsi="Times New Roman" w:cs="Times New Roman"/>
          <w:sz w:val="24"/>
          <w:szCs w:val="24"/>
        </w:rPr>
        <w:t>mark and endorse degrees</w:t>
      </w:r>
      <w:r w:rsidRPr="004A1C60">
        <w:rPr>
          <w:rFonts w:ascii="Times New Roman" w:hAnsi="Times New Roman" w:cs="Times New Roman"/>
          <w:sz w:val="24"/>
          <w:szCs w:val="24"/>
        </w:rPr>
        <w:t xml:space="preserve">.  </w:t>
      </w:r>
      <w:r w:rsidR="00D62A04" w:rsidRPr="004A1C60">
        <w:rPr>
          <w:rFonts w:ascii="Times New Roman" w:hAnsi="Times New Roman" w:cs="Times New Roman"/>
          <w:sz w:val="24"/>
          <w:szCs w:val="24"/>
        </w:rPr>
        <w:t>A</w:t>
      </w:r>
      <w:r w:rsidR="00094456" w:rsidRPr="004A1C60">
        <w:rPr>
          <w:rFonts w:ascii="Times New Roman" w:hAnsi="Times New Roman" w:cs="Times New Roman"/>
          <w:sz w:val="24"/>
          <w:szCs w:val="24"/>
        </w:rPr>
        <w:t xml:space="preserve">s further evidence of the growing importance attached to graduate employability, the Higher Education Funding </w:t>
      </w:r>
      <w:r w:rsidR="00307A6B" w:rsidRPr="004A1C60">
        <w:rPr>
          <w:rFonts w:ascii="Times New Roman" w:hAnsi="Times New Roman" w:cs="Times New Roman"/>
          <w:sz w:val="24"/>
          <w:szCs w:val="24"/>
        </w:rPr>
        <w:t xml:space="preserve">Council for England (HEFCE) began to </w:t>
      </w:r>
      <w:r w:rsidR="00CA418A" w:rsidRPr="004A1C60">
        <w:rPr>
          <w:rFonts w:ascii="Times New Roman" w:hAnsi="Times New Roman" w:cs="Times New Roman"/>
          <w:sz w:val="24"/>
          <w:szCs w:val="24"/>
        </w:rPr>
        <w:t>develop metrics</w:t>
      </w:r>
      <w:r w:rsidR="00307A6B" w:rsidRPr="004A1C60">
        <w:rPr>
          <w:rFonts w:ascii="Times New Roman" w:hAnsi="Times New Roman" w:cs="Times New Roman"/>
          <w:sz w:val="24"/>
          <w:szCs w:val="24"/>
        </w:rPr>
        <w:t xml:space="preserve"> </w:t>
      </w:r>
      <w:r w:rsidR="002E4F98" w:rsidRPr="004A1C60">
        <w:rPr>
          <w:rFonts w:ascii="Times New Roman" w:hAnsi="Times New Roman" w:cs="Times New Roman"/>
          <w:sz w:val="24"/>
          <w:szCs w:val="24"/>
        </w:rPr>
        <w:t xml:space="preserve">in 2001 (HEFCE 2001, 2002, 2003) to understand </w:t>
      </w:r>
      <w:r w:rsidR="00307A6B" w:rsidRPr="004A1C60">
        <w:rPr>
          <w:rFonts w:ascii="Times New Roman" w:hAnsi="Times New Roman" w:cs="Times New Roman"/>
          <w:sz w:val="24"/>
          <w:szCs w:val="24"/>
        </w:rPr>
        <w:t>for</w:t>
      </w:r>
      <w:r w:rsidR="00094456" w:rsidRPr="004A1C60">
        <w:rPr>
          <w:rFonts w:ascii="Times New Roman" w:hAnsi="Times New Roman" w:cs="Times New Roman"/>
          <w:sz w:val="24"/>
          <w:szCs w:val="24"/>
        </w:rPr>
        <w:t xml:space="preserve"> university performance which include indicators of graduate labour market outcomes</w:t>
      </w:r>
      <w:r w:rsidR="002E4F98" w:rsidRPr="004A1C60">
        <w:rPr>
          <w:rFonts w:ascii="Times New Roman" w:hAnsi="Times New Roman" w:cs="Times New Roman"/>
          <w:sz w:val="24"/>
          <w:szCs w:val="24"/>
        </w:rPr>
        <w:t xml:space="preserve"> </w:t>
      </w:r>
      <w:r w:rsidR="004A2F30" w:rsidRPr="004A1C60">
        <w:rPr>
          <w:rFonts w:ascii="Times New Roman" w:hAnsi="Times New Roman" w:cs="Times New Roman"/>
          <w:sz w:val="24"/>
          <w:szCs w:val="24"/>
        </w:rPr>
        <w:t xml:space="preserve">culminating in </w:t>
      </w:r>
      <w:r w:rsidR="002E4F98" w:rsidRPr="004A1C60">
        <w:rPr>
          <w:rFonts w:ascii="Times New Roman" w:hAnsi="Times New Roman" w:cs="Times New Roman"/>
          <w:sz w:val="24"/>
          <w:szCs w:val="24"/>
        </w:rPr>
        <w:t xml:space="preserve">the use of such data to ‘grade’ universities through the </w:t>
      </w:r>
      <w:r w:rsidR="004A2F30" w:rsidRPr="004A1C60">
        <w:rPr>
          <w:rFonts w:ascii="Times New Roman" w:hAnsi="Times New Roman" w:cs="Times New Roman"/>
          <w:sz w:val="24"/>
          <w:szCs w:val="24"/>
        </w:rPr>
        <w:t>Teaching Excellence Framework Exercise (French and O’Leary, 2017)</w:t>
      </w:r>
      <w:r w:rsidR="002E4F98" w:rsidRPr="004A1C60">
        <w:rPr>
          <w:rFonts w:ascii="Times New Roman" w:hAnsi="Times New Roman" w:cs="Times New Roman"/>
          <w:sz w:val="24"/>
          <w:szCs w:val="24"/>
        </w:rPr>
        <w:t>.</w:t>
      </w:r>
    </w:p>
    <w:p w14:paraId="1E7E706C" w14:textId="66312943" w:rsidR="00516F35" w:rsidRPr="004A1C60" w:rsidRDefault="00516F35" w:rsidP="00832802">
      <w:pPr>
        <w:spacing w:line="360" w:lineRule="auto"/>
        <w:rPr>
          <w:rFonts w:ascii="Times New Roman" w:hAnsi="Times New Roman" w:cs="Times New Roman"/>
          <w:sz w:val="24"/>
          <w:szCs w:val="24"/>
        </w:rPr>
      </w:pPr>
      <w:r w:rsidRPr="004A1C60">
        <w:rPr>
          <w:rFonts w:ascii="Times New Roman" w:hAnsi="Times New Roman" w:cs="Times New Roman"/>
          <w:sz w:val="24"/>
          <w:szCs w:val="24"/>
        </w:rPr>
        <w:t>As the historical outline abo</w:t>
      </w:r>
      <w:r w:rsidR="004A2F30" w:rsidRPr="004A1C60">
        <w:rPr>
          <w:rFonts w:ascii="Times New Roman" w:hAnsi="Times New Roman" w:cs="Times New Roman"/>
          <w:sz w:val="24"/>
          <w:szCs w:val="24"/>
        </w:rPr>
        <w:t>ve illustrates</w:t>
      </w:r>
      <w:r w:rsidR="007E343C" w:rsidRPr="004A1C60">
        <w:rPr>
          <w:rFonts w:ascii="Times New Roman" w:hAnsi="Times New Roman" w:cs="Times New Roman"/>
          <w:sz w:val="24"/>
          <w:szCs w:val="24"/>
        </w:rPr>
        <w:t xml:space="preserve"> university education </w:t>
      </w:r>
      <w:r w:rsidRPr="004A1C60">
        <w:rPr>
          <w:rFonts w:ascii="Times New Roman" w:hAnsi="Times New Roman" w:cs="Times New Roman"/>
          <w:sz w:val="24"/>
          <w:szCs w:val="24"/>
        </w:rPr>
        <w:t xml:space="preserve">has been increasingly linked with, and some have argued, reduced to, a utility that coheres around the idea that </w:t>
      </w:r>
      <w:r w:rsidR="007E343C" w:rsidRPr="004A1C60">
        <w:rPr>
          <w:rFonts w:ascii="Times New Roman" w:hAnsi="Times New Roman" w:cs="Times New Roman"/>
          <w:sz w:val="24"/>
          <w:szCs w:val="24"/>
        </w:rPr>
        <w:t xml:space="preserve">participation in </w:t>
      </w:r>
      <w:r w:rsidRPr="004A1C60">
        <w:rPr>
          <w:rFonts w:ascii="Times New Roman" w:hAnsi="Times New Roman" w:cs="Times New Roman"/>
          <w:sz w:val="24"/>
          <w:szCs w:val="24"/>
        </w:rPr>
        <w:t>higher education will deliver better employment opportunities and higher wages</w:t>
      </w:r>
      <w:r w:rsidR="007E343C" w:rsidRPr="004A1C60">
        <w:rPr>
          <w:rFonts w:ascii="Times New Roman" w:hAnsi="Times New Roman" w:cs="Times New Roman"/>
          <w:sz w:val="24"/>
          <w:szCs w:val="24"/>
        </w:rPr>
        <w:t xml:space="preserve"> for individual graduates</w:t>
      </w:r>
      <w:r w:rsidRPr="004A1C60">
        <w:rPr>
          <w:rFonts w:ascii="Times New Roman" w:hAnsi="Times New Roman" w:cs="Times New Roman"/>
          <w:sz w:val="24"/>
          <w:szCs w:val="24"/>
        </w:rPr>
        <w:t xml:space="preserve"> (Ball, 2008). Indeed the Higher Education Fundi</w:t>
      </w:r>
      <w:r w:rsidR="007D13C5" w:rsidRPr="004A1C60">
        <w:rPr>
          <w:rFonts w:ascii="Times New Roman" w:hAnsi="Times New Roman" w:cs="Times New Roman"/>
          <w:sz w:val="24"/>
          <w:szCs w:val="24"/>
        </w:rPr>
        <w:t xml:space="preserve">ng Council for England (HEFCE) </w:t>
      </w:r>
      <w:r w:rsidRPr="004A1C60">
        <w:rPr>
          <w:rFonts w:ascii="Times New Roman" w:hAnsi="Times New Roman" w:cs="Times New Roman"/>
          <w:sz w:val="24"/>
          <w:szCs w:val="24"/>
        </w:rPr>
        <w:t xml:space="preserve">measures graduate labour market </w:t>
      </w:r>
      <w:r w:rsidR="006C279B" w:rsidRPr="004A1C60">
        <w:rPr>
          <w:rFonts w:ascii="Times New Roman" w:hAnsi="Times New Roman" w:cs="Times New Roman"/>
          <w:sz w:val="24"/>
          <w:szCs w:val="24"/>
        </w:rPr>
        <w:t>outcomes as</w:t>
      </w:r>
      <w:r w:rsidRPr="004A1C60">
        <w:rPr>
          <w:rFonts w:ascii="Times New Roman" w:hAnsi="Times New Roman" w:cs="Times New Roman"/>
          <w:sz w:val="24"/>
          <w:szCs w:val="24"/>
        </w:rPr>
        <w:t xml:space="preserve"> one </w:t>
      </w:r>
      <w:r w:rsidR="009159FA" w:rsidRPr="004A1C60">
        <w:rPr>
          <w:rFonts w:ascii="Times New Roman" w:hAnsi="Times New Roman" w:cs="Times New Roman"/>
          <w:sz w:val="24"/>
          <w:szCs w:val="24"/>
        </w:rPr>
        <w:t xml:space="preserve">of </w:t>
      </w:r>
      <w:r w:rsidRPr="004A1C60">
        <w:rPr>
          <w:rFonts w:ascii="Times New Roman" w:hAnsi="Times New Roman" w:cs="Times New Roman"/>
          <w:sz w:val="24"/>
          <w:szCs w:val="24"/>
        </w:rPr>
        <w:t>it</w:t>
      </w:r>
      <w:r w:rsidR="009159FA" w:rsidRPr="004A1C60">
        <w:rPr>
          <w:rFonts w:ascii="Times New Roman" w:hAnsi="Times New Roman" w:cs="Times New Roman"/>
          <w:sz w:val="24"/>
          <w:szCs w:val="24"/>
        </w:rPr>
        <w:t>s</w:t>
      </w:r>
      <w:r w:rsidRPr="004A1C60">
        <w:rPr>
          <w:rFonts w:ascii="Times New Roman" w:hAnsi="Times New Roman" w:cs="Times New Roman"/>
          <w:sz w:val="24"/>
          <w:szCs w:val="24"/>
        </w:rPr>
        <w:t xml:space="preserve"> p</w:t>
      </w:r>
      <w:r w:rsidR="003B41EB" w:rsidRPr="004A1C60">
        <w:rPr>
          <w:rFonts w:ascii="Times New Roman" w:hAnsi="Times New Roman" w:cs="Times New Roman"/>
          <w:sz w:val="24"/>
          <w:szCs w:val="24"/>
        </w:rPr>
        <w:t xml:space="preserve">erformance indicators  (HEFCE, </w:t>
      </w:r>
      <w:r w:rsidRPr="004A1C60">
        <w:rPr>
          <w:rFonts w:ascii="Times New Roman" w:hAnsi="Times New Roman" w:cs="Times New Roman"/>
          <w:sz w:val="24"/>
          <w:szCs w:val="24"/>
        </w:rPr>
        <w:t xml:space="preserve">passim) and tuition fees have been justified on the grounds due to the ‘graduate premium’, graduates can expect to earn a lot more than non–graduates, although the differentials are decreasing year on year (ONS, 2011).  Not surprisingly, universities have </w:t>
      </w:r>
      <w:r w:rsidR="000427A6" w:rsidRPr="004A1C60">
        <w:rPr>
          <w:rFonts w:ascii="Times New Roman" w:hAnsi="Times New Roman" w:cs="Times New Roman"/>
          <w:sz w:val="24"/>
          <w:szCs w:val="24"/>
        </w:rPr>
        <w:t xml:space="preserve">for some time </w:t>
      </w:r>
      <w:r w:rsidRPr="004A1C60">
        <w:rPr>
          <w:rFonts w:ascii="Times New Roman" w:hAnsi="Times New Roman" w:cs="Times New Roman"/>
          <w:sz w:val="24"/>
          <w:szCs w:val="24"/>
        </w:rPr>
        <w:t>incorporated employability features into their ‘</w:t>
      </w:r>
      <w:r w:rsidR="00371103" w:rsidRPr="004A1C60">
        <w:rPr>
          <w:rFonts w:ascii="Times New Roman" w:hAnsi="Times New Roman" w:cs="Times New Roman"/>
          <w:sz w:val="24"/>
          <w:szCs w:val="24"/>
        </w:rPr>
        <w:t>g</w:t>
      </w:r>
      <w:r w:rsidR="00094456" w:rsidRPr="004A1C60">
        <w:rPr>
          <w:rFonts w:ascii="Times New Roman" w:hAnsi="Times New Roman" w:cs="Times New Roman"/>
          <w:sz w:val="24"/>
          <w:szCs w:val="24"/>
        </w:rPr>
        <w:t>raduate characteristics</w:t>
      </w:r>
      <w:r w:rsidRPr="004A1C60">
        <w:rPr>
          <w:rFonts w:ascii="Times New Roman" w:hAnsi="Times New Roman" w:cs="Times New Roman"/>
          <w:sz w:val="24"/>
          <w:szCs w:val="24"/>
        </w:rPr>
        <w:t xml:space="preserve">’ such as </w:t>
      </w:r>
      <w:r w:rsidR="00094456" w:rsidRPr="004A1C60">
        <w:rPr>
          <w:rFonts w:ascii="Times New Roman" w:hAnsi="Times New Roman" w:cs="Times New Roman"/>
          <w:sz w:val="24"/>
          <w:szCs w:val="24"/>
        </w:rPr>
        <w:t xml:space="preserve">the ability to </w:t>
      </w:r>
      <w:r w:rsidRPr="004A1C60">
        <w:rPr>
          <w:rFonts w:ascii="Times New Roman" w:hAnsi="Times New Roman" w:cs="Times New Roman"/>
          <w:sz w:val="24"/>
          <w:szCs w:val="24"/>
        </w:rPr>
        <w:t>‘</w:t>
      </w:r>
      <w:r w:rsidR="00094456" w:rsidRPr="004A1C60">
        <w:rPr>
          <w:rFonts w:ascii="Times New Roman" w:hAnsi="Times New Roman" w:cs="Times New Roman"/>
          <w:sz w:val="24"/>
          <w:szCs w:val="24"/>
        </w:rPr>
        <w:t>self-manage careers</w:t>
      </w:r>
      <w:r w:rsidRPr="004A1C60">
        <w:rPr>
          <w:rFonts w:ascii="Times New Roman" w:hAnsi="Times New Roman" w:cs="Times New Roman"/>
          <w:sz w:val="24"/>
          <w:szCs w:val="24"/>
        </w:rPr>
        <w:t>’</w:t>
      </w:r>
      <w:r w:rsidR="00094456" w:rsidRPr="004A1C60">
        <w:rPr>
          <w:rFonts w:ascii="Times New Roman" w:hAnsi="Times New Roman" w:cs="Times New Roman"/>
          <w:sz w:val="24"/>
          <w:szCs w:val="24"/>
        </w:rPr>
        <w:t xml:space="preserve"> and a commitment to </w:t>
      </w:r>
      <w:r w:rsidRPr="004A1C60">
        <w:rPr>
          <w:rFonts w:ascii="Times New Roman" w:hAnsi="Times New Roman" w:cs="Times New Roman"/>
          <w:sz w:val="24"/>
          <w:szCs w:val="24"/>
        </w:rPr>
        <w:t>‘</w:t>
      </w:r>
      <w:r w:rsidR="00094456" w:rsidRPr="004A1C60">
        <w:rPr>
          <w:rFonts w:ascii="Times New Roman" w:hAnsi="Times New Roman" w:cs="Times New Roman"/>
          <w:sz w:val="24"/>
          <w:szCs w:val="24"/>
        </w:rPr>
        <w:t>continue learning throughout their working lives</w:t>
      </w:r>
      <w:r w:rsidRPr="004A1C60">
        <w:rPr>
          <w:rFonts w:ascii="Times New Roman" w:hAnsi="Times New Roman" w:cs="Times New Roman"/>
          <w:sz w:val="24"/>
          <w:szCs w:val="24"/>
        </w:rPr>
        <w:t>’</w:t>
      </w:r>
      <w:r w:rsidR="00094456" w:rsidRPr="004A1C60">
        <w:rPr>
          <w:rFonts w:ascii="Times New Roman" w:hAnsi="Times New Roman" w:cs="Times New Roman"/>
          <w:sz w:val="24"/>
          <w:szCs w:val="24"/>
        </w:rPr>
        <w:t xml:space="preserve"> </w:t>
      </w:r>
      <w:r w:rsidRPr="004A1C60">
        <w:rPr>
          <w:rFonts w:ascii="Times New Roman" w:hAnsi="Times New Roman" w:cs="Times New Roman"/>
          <w:sz w:val="24"/>
          <w:szCs w:val="24"/>
        </w:rPr>
        <w:t xml:space="preserve">(Harvey and Morey, </w:t>
      </w:r>
      <w:r w:rsidR="00094456" w:rsidRPr="004A1C60">
        <w:rPr>
          <w:rFonts w:ascii="Times New Roman" w:hAnsi="Times New Roman" w:cs="Times New Roman"/>
          <w:sz w:val="24"/>
          <w:szCs w:val="24"/>
        </w:rPr>
        <w:t xml:space="preserve">2003).  </w:t>
      </w:r>
    </w:p>
    <w:p w14:paraId="395AE6E1" w14:textId="77777777" w:rsidR="004A4042" w:rsidRPr="004A1C60" w:rsidRDefault="004A4042" w:rsidP="00832802">
      <w:pPr>
        <w:spacing w:line="360" w:lineRule="auto"/>
        <w:rPr>
          <w:rFonts w:ascii="Times New Roman" w:hAnsi="Times New Roman" w:cs="Times New Roman"/>
          <w:sz w:val="24"/>
          <w:szCs w:val="24"/>
        </w:rPr>
      </w:pPr>
    </w:p>
    <w:p w14:paraId="6DF111A4" w14:textId="33C5D02D" w:rsidR="00EF1F2E" w:rsidRPr="004A1C60" w:rsidRDefault="006C279B" w:rsidP="00832802">
      <w:pPr>
        <w:spacing w:line="360" w:lineRule="auto"/>
        <w:rPr>
          <w:rFonts w:ascii="Times New Roman" w:hAnsi="Times New Roman" w:cs="Times New Roman"/>
          <w:b/>
          <w:sz w:val="24"/>
          <w:szCs w:val="24"/>
        </w:rPr>
      </w:pPr>
      <w:r w:rsidRPr="004A1C60">
        <w:rPr>
          <w:rFonts w:ascii="Times New Roman" w:hAnsi="Times New Roman" w:cs="Times New Roman"/>
          <w:b/>
          <w:sz w:val="24"/>
          <w:szCs w:val="24"/>
        </w:rPr>
        <w:t>Conceptualising Employability</w:t>
      </w:r>
      <w:r w:rsidR="00FF0B92" w:rsidRPr="004A1C60">
        <w:rPr>
          <w:rFonts w:ascii="Times New Roman" w:hAnsi="Times New Roman" w:cs="Times New Roman"/>
          <w:b/>
          <w:sz w:val="24"/>
          <w:szCs w:val="24"/>
        </w:rPr>
        <w:t xml:space="preserve"> – Big D discourses</w:t>
      </w:r>
    </w:p>
    <w:p w14:paraId="77A1BEBE" w14:textId="5DF5226F" w:rsidR="00870C3B" w:rsidRPr="004A1C60" w:rsidRDefault="008F7E41" w:rsidP="00870C3B">
      <w:pPr>
        <w:spacing w:line="360" w:lineRule="auto"/>
        <w:rPr>
          <w:rFonts w:ascii="Times New Roman" w:hAnsi="Times New Roman" w:cs="Times New Roman"/>
          <w:sz w:val="24"/>
          <w:szCs w:val="24"/>
        </w:rPr>
      </w:pPr>
      <w:r w:rsidRPr="004A1C60">
        <w:rPr>
          <w:rFonts w:ascii="Times New Roman" w:hAnsi="Times New Roman" w:cs="Times New Roman"/>
          <w:sz w:val="24"/>
          <w:szCs w:val="24"/>
        </w:rPr>
        <w:t xml:space="preserve">In this section we </w:t>
      </w:r>
      <w:r w:rsidR="007C0033" w:rsidRPr="004A1C60">
        <w:rPr>
          <w:rFonts w:ascii="Times New Roman" w:hAnsi="Times New Roman" w:cs="Times New Roman"/>
          <w:sz w:val="24"/>
          <w:szCs w:val="24"/>
        </w:rPr>
        <w:t xml:space="preserve">explore </w:t>
      </w:r>
      <w:r w:rsidR="00693435" w:rsidRPr="004A1C60">
        <w:rPr>
          <w:rFonts w:ascii="Times New Roman" w:hAnsi="Times New Roman" w:cs="Times New Roman"/>
          <w:sz w:val="24"/>
          <w:szCs w:val="24"/>
        </w:rPr>
        <w:t xml:space="preserve">what (Gee, 2011) refers to as </w:t>
      </w:r>
      <w:r w:rsidR="00A45437" w:rsidRPr="004A1C60">
        <w:rPr>
          <w:rFonts w:ascii="Times New Roman" w:hAnsi="Times New Roman" w:cs="Times New Roman"/>
          <w:sz w:val="24"/>
          <w:szCs w:val="24"/>
        </w:rPr>
        <w:t>‘big D’ Discourses about employability</w:t>
      </w:r>
      <w:r w:rsidR="007C0033" w:rsidRPr="004A1C60">
        <w:rPr>
          <w:rFonts w:ascii="Times New Roman" w:hAnsi="Times New Roman" w:cs="Times New Roman"/>
          <w:sz w:val="24"/>
          <w:szCs w:val="24"/>
        </w:rPr>
        <w:t>, “that is to say the combination of language, actions, interactions, ways of thinking, believing and valuing and using various symbols, tools and objects to enact a particular sort of socially recognizable identity” (2011:201) in this case two competing</w:t>
      </w:r>
      <w:r w:rsidR="00693435" w:rsidRPr="004A1C60">
        <w:rPr>
          <w:rFonts w:ascii="Times New Roman" w:hAnsi="Times New Roman" w:cs="Times New Roman"/>
          <w:sz w:val="24"/>
          <w:szCs w:val="24"/>
        </w:rPr>
        <w:t xml:space="preserve"> accounts of ‘employability’</w:t>
      </w:r>
      <w:r w:rsidR="00870C3B" w:rsidRPr="004A1C60">
        <w:rPr>
          <w:rFonts w:ascii="Times New Roman" w:hAnsi="Times New Roman" w:cs="Times New Roman"/>
          <w:sz w:val="24"/>
          <w:szCs w:val="24"/>
        </w:rPr>
        <w:t xml:space="preserve">. </w:t>
      </w:r>
      <w:r w:rsidR="003174B9" w:rsidRPr="004A1C60">
        <w:rPr>
          <w:rFonts w:ascii="Times New Roman" w:hAnsi="Times New Roman" w:cs="Times New Roman"/>
          <w:sz w:val="24"/>
          <w:szCs w:val="24"/>
        </w:rPr>
        <w:t>Later on in the article we will set these discour</w:t>
      </w:r>
      <w:r w:rsidR="003174B9">
        <w:rPr>
          <w:rFonts w:ascii="Times New Roman" w:hAnsi="Times New Roman" w:cs="Times New Roman"/>
          <w:sz w:val="24"/>
          <w:szCs w:val="24"/>
        </w:rPr>
        <w:t xml:space="preserve">ses alongside the </w:t>
      </w:r>
      <w:r w:rsidR="003174B9" w:rsidRPr="004A1C60">
        <w:rPr>
          <w:rFonts w:ascii="Times New Roman" w:hAnsi="Times New Roman" w:cs="Times New Roman"/>
          <w:sz w:val="24"/>
          <w:szCs w:val="24"/>
        </w:rPr>
        <w:t>world-figuring, or ‘little d’ discourses, (Gee 2011) undertaken at the individual level.</w:t>
      </w:r>
    </w:p>
    <w:p w14:paraId="3D1E59E2" w14:textId="2D6A05C6" w:rsidR="007C0033" w:rsidRPr="004A1C60" w:rsidRDefault="007C0033" w:rsidP="00832802">
      <w:pPr>
        <w:spacing w:line="360" w:lineRule="auto"/>
        <w:rPr>
          <w:rFonts w:ascii="Times New Roman" w:hAnsi="Times New Roman" w:cs="Times New Roman"/>
          <w:sz w:val="24"/>
          <w:szCs w:val="24"/>
        </w:rPr>
      </w:pPr>
      <w:r w:rsidRPr="004A1C60">
        <w:rPr>
          <w:rFonts w:ascii="Times New Roman" w:hAnsi="Times New Roman" w:cs="Times New Roman"/>
          <w:sz w:val="24"/>
          <w:szCs w:val="24"/>
        </w:rPr>
        <w:t xml:space="preserve">The first account </w:t>
      </w:r>
      <w:r w:rsidR="007E343C" w:rsidRPr="004A1C60">
        <w:rPr>
          <w:rFonts w:ascii="Times New Roman" w:hAnsi="Times New Roman" w:cs="Times New Roman"/>
          <w:sz w:val="24"/>
          <w:szCs w:val="24"/>
        </w:rPr>
        <w:t xml:space="preserve">traces </w:t>
      </w:r>
      <w:r w:rsidR="003C735B" w:rsidRPr="004A1C60">
        <w:rPr>
          <w:rFonts w:ascii="Times New Roman" w:hAnsi="Times New Roman" w:cs="Times New Roman"/>
          <w:sz w:val="24"/>
          <w:szCs w:val="24"/>
        </w:rPr>
        <w:t>neo-liberal discourse</w:t>
      </w:r>
      <w:r w:rsidR="00F1701A" w:rsidRPr="004A1C60">
        <w:rPr>
          <w:rFonts w:ascii="Times New Roman" w:hAnsi="Times New Roman" w:cs="Times New Roman"/>
          <w:sz w:val="24"/>
          <w:szCs w:val="24"/>
        </w:rPr>
        <w:t xml:space="preserve"> outlined above as </w:t>
      </w:r>
      <w:r w:rsidR="00465EE2" w:rsidRPr="004A1C60">
        <w:rPr>
          <w:rFonts w:ascii="Times New Roman" w:hAnsi="Times New Roman" w:cs="Times New Roman"/>
          <w:sz w:val="24"/>
          <w:szCs w:val="24"/>
        </w:rPr>
        <w:t>played out at the institutional locus</w:t>
      </w:r>
      <w:r w:rsidR="003C735B" w:rsidRPr="004A1C60">
        <w:rPr>
          <w:rFonts w:ascii="Times New Roman" w:hAnsi="Times New Roman" w:cs="Times New Roman"/>
          <w:sz w:val="24"/>
          <w:szCs w:val="24"/>
        </w:rPr>
        <w:t>, the second</w:t>
      </w:r>
      <w:r w:rsidR="00B273B0" w:rsidRPr="004A1C60">
        <w:rPr>
          <w:rFonts w:ascii="Times New Roman" w:hAnsi="Times New Roman" w:cs="Times New Roman"/>
          <w:sz w:val="24"/>
          <w:szCs w:val="24"/>
        </w:rPr>
        <w:t xml:space="preserve"> </w:t>
      </w:r>
      <w:r w:rsidR="001D6353" w:rsidRPr="004A1C60">
        <w:rPr>
          <w:rFonts w:ascii="Times New Roman" w:hAnsi="Times New Roman" w:cs="Times New Roman"/>
          <w:sz w:val="24"/>
          <w:szCs w:val="24"/>
        </w:rPr>
        <w:t xml:space="preserve">draws on </w:t>
      </w:r>
      <w:r w:rsidR="00782648" w:rsidRPr="004A1C60">
        <w:rPr>
          <w:rFonts w:ascii="Times New Roman" w:hAnsi="Times New Roman" w:cs="Times New Roman"/>
          <w:sz w:val="24"/>
          <w:szCs w:val="24"/>
        </w:rPr>
        <w:t>thinking from literacy studies to imagine</w:t>
      </w:r>
      <w:r w:rsidR="007C0DC9" w:rsidRPr="004A1C60">
        <w:rPr>
          <w:rFonts w:ascii="Times New Roman" w:hAnsi="Times New Roman" w:cs="Times New Roman"/>
          <w:sz w:val="24"/>
          <w:szCs w:val="24"/>
        </w:rPr>
        <w:t xml:space="preserve"> </w:t>
      </w:r>
      <w:r w:rsidR="007B523B" w:rsidRPr="004A1C60">
        <w:rPr>
          <w:rFonts w:ascii="Times New Roman" w:hAnsi="Times New Roman" w:cs="Times New Roman"/>
          <w:sz w:val="24"/>
          <w:szCs w:val="24"/>
        </w:rPr>
        <w:t>a</w:t>
      </w:r>
      <w:r w:rsidR="00782648" w:rsidRPr="004A1C60">
        <w:rPr>
          <w:rFonts w:ascii="Times New Roman" w:hAnsi="Times New Roman" w:cs="Times New Roman"/>
          <w:sz w:val="24"/>
          <w:szCs w:val="24"/>
        </w:rPr>
        <w:t xml:space="preserve"> new </w:t>
      </w:r>
      <w:r w:rsidR="007B523B" w:rsidRPr="004A1C60">
        <w:rPr>
          <w:rFonts w:ascii="Times New Roman" w:hAnsi="Times New Roman" w:cs="Times New Roman"/>
          <w:sz w:val="24"/>
          <w:szCs w:val="24"/>
        </w:rPr>
        <w:t xml:space="preserve">pedagogical </w:t>
      </w:r>
      <w:r w:rsidR="00782648" w:rsidRPr="004A1C60">
        <w:rPr>
          <w:rFonts w:ascii="Times New Roman" w:hAnsi="Times New Roman" w:cs="Times New Roman"/>
          <w:sz w:val="24"/>
          <w:szCs w:val="24"/>
        </w:rPr>
        <w:t xml:space="preserve">paradigm for </w:t>
      </w:r>
      <w:r w:rsidR="007B523B" w:rsidRPr="004A1C60">
        <w:rPr>
          <w:rFonts w:ascii="Times New Roman" w:hAnsi="Times New Roman" w:cs="Times New Roman"/>
          <w:sz w:val="24"/>
          <w:szCs w:val="24"/>
        </w:rPr>
        <w:t xml:space="preserve">students exploration of </w:t>
      </w:r>
      <w:r w:rsidR="009E452B" w:rsidRPr="004A1C60">
        <w:rPr>
          <w:rFonts w:ascii="Times New Roman" w:hAnsi="Times New Roman" w:cs="Times New Roman"/>
          <w:sz w:val="24"/>
          <w:szCs w:val="24"/>
        </w:rPr>
        <w:t>employability.</w:t>
      </w:r>
    </w:p>
    <w:p w14:paraId="73ABAF08" w14:textId="0FB637B1" w:rsidR="00195143" w:rsidRPr="004A1C60" w:rsidRDefault="009E452B" w:rsidP="00832802">
      <w:pPr>
        <w:spacing w:line="360" w:lineRule="auto"/>
        <w:rPr>
          <w:rFonts w:ascii="Times New Roman" w:hAnsi="Times New Roman" w:cs="Times New Roman"/>
          <w:b/>
          <w:i/>
          <w:sz w:val="24"/>
          <w:szCs w:val="24"/>
        </w:rPr>
      </w:pPr>
      <w:r w:rsidRPr="004A1C60">
        <w:rPr>
          <w:rFonts w:ascii="Times New Roman" w:hAnsi="Times New Roman" w:cs="Times New Roman"/>
          <w:b/>
          <w:i/>
          <w:sz w:val="24"/>
          <w:szCs w:val="24"/>
        </w:rPr>
        <w:t>‘</w:t>
      </w:r>
      <w:r w:rsidR="007D13C5" w:rsidRPr="004A1C60">
        <w:rPr>
          <w:rFonts w:ascii="Times New Roman" w:hAnsi="Times New Roman" w:cs="Times New Roman"/>
          <w:b/>
          <w:i/>
          <w:sz w:val="24"/>
          <w:szCs w:val="24"/>
        </w:rPr>
        <w:t>Employability</w:t>
      </w:r>
      <w:r w:rsidRPr="004A1C60">
        <w:rPr>
          <w:rFonts w:ascii="Times New Roman" w:hAnsi="Times New Roman" w:cs="Times New Roman"/>
          <w:b/>
          <w:i/>
          <w:sz w:val="24"/>
          <w:szCs w:val="24"/>
        </w:rPr>
        <w:t>’</w:t>
      </w:r>
      <w:r w:rsidR="00195143" w:rsidRPr="004A1C60">
        <w:rPr>
          <w:rFonts w:ascii="Times New Roman" w:hAnsi="Times New Roman" w:cs="Times New Roman"/>
          <w:b/>
          <w:i/>
          <w:sz w:val="24"/>
          <w:szCs w:val="24"/>
        </w:rPr>
        <w:t xml:space="preserve"> </w:t>
      </w:r>
      <w:r w:rsidRPr="004A1C60">
        <w:rPr>
          <w:rFonts w:ascii="Times New Roman" w:hAnsi="Times New Roman" w:cs="Times New Roman"/>
          <w:b/>
          <w:i/>
          <w:sz w:val="24"/>
          <w:szCs w:val="24"/>
        </w:rPr>
        <w:t>in the neo-liberal turn</w:t>
      </w:r>
    </w:p>
    <w:p w14:paraId="1C66B0E8" w14:textId="63E19896" w:rsidR="00BF4CF2" w:rsidRPr="004A1C60" w:rsidRDefault="00B4219E" w:rsidP="00832802">
      <w:pPr>
        <w:spacing w:before="40" w:after="40" w:line="360" w:lineRule="auto"/>
        <w:rPr>
          <w:rFonts w:ascii="Times New Roman" w:hAnsi="Times New Roman" w:cs="Times New Roman"/>
          <w:sz w:val="24"/>
          <w:szCs w:val="24"/>
        </w:rPr>
      </w:pPr>
      <w:r w:rsidRPr="004A1C60">
        <w:rPr>
          <w:rFonts w:ascii="Times New Roman" w:hAnsi="Times New Roman" w:cs="Times New Roman"/>
          <w:sz w:val="24"/>
          <w:szCs w:val="24"/>
        </w:rPr>
        <w:t>In terms of delivering an institutional response to this employer</w:t>
      </w:r>
      <w:r w:rsidR="00896E8B" w:rsidRPr="004A1C60">
        <w:rPr>
          <w:rFonts w:ascii="Times New Roman" w:hAnsi="Times New Roman" w:cs="Times New Roman"/>
          <w:sz w:val="24"/>
          <w:szCs w:val="24"/>
        </w:rPr>
        <w:t>/employment</w:t>
      </w:r>
      <w:r w:rsidRPr="004A1C60">
        <w:rPr>
          <w:rFonts w:ascii="Times New Roman" w:hAnsi="Times New Roman" w:cs="Times New Roman"/>
          <w:sz w:val="24"/>
          <w:szCs w:val="24"/>
        </w:rPr>
        <w:t>-led agenda universities have often tried to raise the visibility of employability as an extra facet of undergraduate entitlement.  Mos</w:t>
      </w:r>
      <w:r w:rsidR="00823374" w:rsidRPr="004A1C60">
        <w:rPr>
          <w:rFonts w:ascii="Times New Roman" w:hAnsi="Times New Roman" w:cs="Times New Roman"/>
          <w:sz w:val="24"/>
          <w:szCs w:val="24"/>
        </w:rPr>
        <w:t xml:space="preserve">t commonly this has involved </w:t>
      </w:r>
      <w:r w:rsidR="00896E8B" w:rsidRPr="004A1C60">
        <w:rPr>
          <w:rFonts w:ascii="Times New Roman" w:hAnsi="Times New Roman" w:cs="Times New Roman"/>
          <w:sz w:val="24"/>
          <w:szCs w:val="24"/>
        </w:rPr>
        <w:t xml:space="preserve">overtly </w:t>
      </w:r>
      <w:r w:rsidRPr="004A1C60">
        <w:rPr>
          <w:rFonts w:ascii="Times New Roman" w:hAnsi="Times New Roman" w:cs="Times New Roman"/>
          <w:sz w:val="24"/>
          <w:szCs w:val="24"/>
        </w:rPr>
        <w:t xml:space="preserve">embedding </w:t>
      </w:r>
      <w:r w:rsidR="00896E8B" w:rsidRPr="004A1C60">
        <w:rPr>
          <w:rFonts w:ascii="Times New Roman" w:hAnsi="Times New Roman" w:cs="Times New Roman"/>
          <w:sz w:val="24"/>
          <w:szCs w:val="24"/>
        </w:rPr>
        <w:t xml:space="preserve">skills based, </w:t>
      </w:r>
      <w:r w:rsidRPr="004A1C60">
        <w:rPr>
          <w:rFonts w:ascii="Times New Roman" w:hAnsi="Times New Roman" w:cs="Times New Roman"/>
          <w:sz w:val="24"/>
          <w:szCs w:val="24"/>
        </w:rPr>
        <w:t>employment-related activities into existing</w:t>
      </w:r>
      <w:r w:rsidR="00896E8B" w:rsidRPr="004A1C60">
        <w:rPr>
          <w:rFonts w:ascii="Times New Roman" w:hAnsi="Times New Roman" w:cs="Times New Roman"/>
          <w:sz w:val="24"/>
          <w:szCs w:val="24"/>
        </w:rPr>
        <w:t xml:space="preserve"> courses, </w:t>
      </w:r>
      <w:r w:rsidRPr="004A1C60">
        <w:rPr>
          <w:rFonts w:ascii="Times New Roman" w:hAnsi="Times New Roman" w:cs="Times New Roman"/>
          <w:sz w:val="24"/>
          <w:szCs w:val="24"/>
        </w:rPr>
        <w:t>creating new stand-alone employment focused courses</w:t>
      </w:r>
      <w:r w:rsidR="00896E8B" w:rsidRPr="004A1C60">
        <w:rPr>
          <w:rFonts w:ascii="Times New Roman" w:hAnsi="Times New Roman" w:cs="Times New Roman"/>
          <w:sz w:val="24"/>
          <w:szCs w:val="24"/>
        </w:rPr>
        <w:t xml:space="preserve"> (sometimes accredited)</w:t>
      </w:r>
      <w:r w:rsidRPr="004A1C60">
        <w:rPr>
          <w:rFonts w:ascii="Times New Roman" w:hAnsi="Times New Roman" w:cs="Times New Roman"/>
          <w:sz w:val="24"/>
          <w:szCs w:val="24"/>
        </w:rPr>
        <w:t xml:space="preserve"> or strands to degree programmes and increasing opportunities for work experience. </w:t>
      </w:r>
      <w:r w:rsidR="004C33A8" w:rsidRPr="004A1C60">
        <w:rPr>
          <w:rFonts w:ascii="Times New Roman" w:hAnsi="Times New Roman" w:cs="Times New Roman"/>
          <w:sz w:val="24"/>
          <w:szCs w:val="24"/>
        </w:rPr>
        <w:t>This produces</w:t>
      </w:r>
      <w:r w:rsidRPr="004A1C60">
        <w:rPr>
          <w:rFonts w:ascii="Times New Roman" w:hAnsi="Times New Roman" w:cs="Times New Roman"/>
          <w:sz w:val="24"/>
          <w:szCs w:val="24"/>
        </w:rPr>
        <w:t xml:space="preserve"> a</w:t>
      </w:r>
      <w:r w:rsidR="00F00A13" w:rsidRPr="004A1C60">
        <w:rPr>
          <w:rFonts w:ascii="Times New Roman" w:hAnsi="Times New Roman" w:cs="Times New Roman"/>
          <w:sz w:val="24"/>
          <w:szCs w:val="24"/>
        </w:rPr>
        <w:t xml:space="preserve"> </w:t>
      </w:r>
      <w:r w:rsidRPr="004A1C60">
        <w:rPr>
          <w:rFonts w:ascii="Times New Roman" w:hAnsi="Times New Roman" w:cs="Times New Roman"/>
          <w:sz w:val="24"/>
          <w:szCs w:val="24"/>
        </w:rPr>
        <w:t xml:space="preserve">clear employer-led agenda that has shaped </w:t>
      </w:r>
      <w:r w:rsidR="002C6A3D" w:rsidRPr="004A1C60">
        <w:rPr>
          <w:rFonts w:ascii="Times New Roman" w:hAnsi="Times New Roman" w:cs="Times New Roman"/>
          <w:sz w:val="24"/>
          <w:szCs w:val="24"/>
        </w:rPr>
        <w:t xml:space="preserve">policy and pedagogic </w:t>
      </w:r>
      <w:r w:rsidRPr="004A1C60">
        <w:rPr>
          <w:rFonts w:ascii="Times New Roman" w:hAnsi="Times New Roman" w:cs="Times New Roman"/>
          <w:sz w:val="24"/>
          <w:szCs w:val="24"/>
        </w:rPr>
        <w:t>discourses around graduate employability</w:t>
      </w:r>
      <w:r w:rsidR="00245818" w:rsidRPr="004A1C60">
        <w:rPr>
          <w:rFonts w:ascii="Times New Roman" w:hAnsi="Times New Roman" w:cs="Times New Roman"/>
          <w:sz w:val="24"/>
          <w:szCs w:val="24"/>
        </w:rPr>
        <w:t>.  In combination these approaches have a</w:t>
      </w:r>
      <w:r w:rsidRPr="004A1C60">
        <w:rPr>
          <w:rFonts w:ascii="Times New Roman" w:hAnsi="Times New Roman" w:cs="Times New Roman"/>
          <w:sz w:val="24"/>
          <w:szCs w:val="24"/>
        </w:rPr>
        <w:t xml:space="preserve"> tendency to treat graduateness</w:t>
      </w:r>
      <w:r w:rsidR="00317B99" w:rsidRPr="004A1C60">
        <w:rPr>
          <w:rFonts w:ascii="Times New Roman" w:hAnsi="Times New Roman" w:cs="Times New Roman"/>
          <w:sz w:val="24"/>
          <w:szCs w:val="24"/>
        </w:rPr>
        <w:t xml:space="preserve"> </w:t>
      </w:r>
      <w:r w:rsidR="00516F35" w:rsidRPr="004A1C60">
        <w:rPr>
          <w:rFonts w:ascii="Times New Roman" w:hAnsi="Times New Roman" w:cs="Times New Roman"/>
          <w:sz w:val="24"/>
          <w:szCs w:val="24"/>
        </w:rPr>
        <w:t xml:space="preserve">as a form </w:t>
      </w:r>
      <w:r w:rsidR="00317B99" w:rsidRPr="004A1C60">
        <w:rPr>
          <w:rFonts w:ascii="Times New Roman" w:hAnsi="Times New Roman" w:cs="Times New Roman"/>
          <w:sz w:val="24"/>
          <w:szCs w:val="24"/>
        </w:rPr>
        <w:t xml:space="preserve">of </w:t>
      </w:r>
      <w:r w:rsidRPr="004A1C60">
        <w:rPr>
          <w:rFonts w:ascii="Times New Roman" w:hAnsi="Times New Roman" w:cs="Times New Roman"/>
          <w:sz w:val="24"/>
          <w:szCs w:val="24"/>
        </w:rPr>
        <w:t>enhanced ‘work</w:t>
      </w:r>
      <w:r w:rsidR="00317B99" w:rsidRPr="004A1C60">
        <w:rPr>
          <w:rFonts w:ascii="Times New Roman" w:hAnsi="Times New Roman" w:cs="Times New Roman"/>
          <w:sz w:val="24"/>
          <w:szCs w:val="24"/>
        </w:rPr>
        <w:t xml:space="preserve">-readiness’ </w:t>
      </w:r>
      <w:r w:rsidR="00CA418A" w:rsidRPr="004A1C60">
        <w:rPr>
          <w:rFonts w:ascii="Times New Roman" w:hAnsi="Times New Roman" w:cs="Times New Roman"/>
          <w:sz w:val="24"/>
          <w:szCs w:val="24"/>
        </w:rPr>
        <w:t xml:space="preserve">(Boden and Nedeva, 2010: </w:t>
      </w:r>
      <w:r w:rsidR="00516F35" w:rsidRPr="004A1C60">
        <w:rPr>
          <w:rFonts w:ascii="Times New Roman" w:hAnsi="Times New Roman" w:cs="Times New Roman"/>
          <w:sz w:val="24"/>
          <w:szCs w:val="24"/>
        </w:rPr>
        <w:t>49-50)</w:t>
      </w:r>
      <w:r w:rsidR="00245818" w:rsidRPr="004A1C60">
        <w:rPr>
          <w:rFonts w:ascii="Times New Roman" w:hAnsi="Times New Roman" w:cs="Times New Roman"/>
          <w:sz w:val="24"/>
          <w:szCs w:val="24"/>
        </w:rPr>
        <w:t xml:space="preserve"> engendering an ‘entrepreneurial habitus’ </w:t>
      </w:r>
      <w:r w:rsidR="006B45F6" w:rsidRPr="004A1C60">
        <w:rPr>
          <w:rFonts w:ascii="Times New Roman" w:hAnsi="Times New Roman" w:cs="Times New Roman"/>
          <w:sz w:val="24"/>
          <w:szCs w:val="24"/>
        </w:rPr>
        <w:t>that socialises students to become compliant workers  (Tarrent, 2001).</w:t>
      </w:r>
    </w:p>
    <w:p w14:paraId="2A9D7672" w14:textId="77777777" w:rsidR="00B4219E" w:rsidRPr="004A1C60" w:rsidRDefault="00B4219E" w:rsidP="00832802">
      <w:pPr>
        <w:spacing w:before="40" w:after="40" w:line="360" w:lineRule="auto"/>
        <w:rPr>
          <w:rFonts w:ascii="Times New Roman" w:hAnsi="Times New Roman" w:cs="Times New Roman"/>
          <w:sz w:val="24"/>
          <w:szCs w:val="24"/>
        </w:rPr>
      </w:pPr>
    </w:p>
    <w:p w14:paraId="22AC50C4" w14:textId="20719F1A" w:rsidR="00BF4CF2" w:rsidRPr="004A1C60" w:rsidRDefault="00EB76B9" w:rsidP="00832802">
      <w:pPr>
        <w:spacing w:before="40" w:after="40" w:line="360" w:lineRule="auto"/>
        <w:rPr>
          <w:rFonts w:ascii="Times New Roman" w:hAnsi="Times New Roman" w:cs="Times New Roman"/>
          <w:sz w:val="24"/>
          <w:szCs w:val="24"/>
        </w:rPr>
      </w:pPr>
      <w:r w:rsidRPr="004A1C60">
        <w:rPr>
          <w:rFonts w:ascii="Times New Roman" w:hAnsi="Times New Roman" w:cs="Times New Roman"/>
          <w:sz w:val="24"/>
          <w:szCs w:val="24"/>
        </w:rPr>
        <w:t xml:space="preserve">In common with </w:t>
      </w:r>
      <w:r w:rsidR="00BF4CF2" w:rsidRPr="004A1C60">
        <w:rPr>
          <w:rFonts w:ascii="Times New Roman" w:hAnsi="Times New Roman" w:cs="Times New Roman"/>
          <w:sz w:val="24"/>
          <w:szCs w:val="24"/>
        </w:rPr>
        <w:t>the widening participation agenda in higher education</w:t>
      </w:r>
      <w:r w:rsidR="006C279B" w:rsidRPr="004A1C60">
        <w:rPr>
          <w:rFonts w:ascii="Times New Roman" w:hAnsi="Times New Roman" w:cs="Times New Roman"/>
          <w:sz w:val="24"/>
          <w:szCs w:val="24"/>
        </w:rPr>
        <w:t>, enhanced</w:t>
      </w:r>
      <w:r w:rsidR="00BF4CF2" w:rsidRPr="004A1C60">
        <w:rPr>
          <w:rFonts w:ascii="Times New Roman" w:hAnsi="Times New Roman" w:cs="Times New Roman"/>
          <w:sz w:val="24"/>
          <w:szCs w:val="24"/>
        </w:rPr>
        <w:t xml:space="preserve"> employability skills for graduates have been </w:t>
      </w:r>
      <w:r w:rsidR="006C279B" w:rsidRPr="004A1C60">
        <w:rPr>
          <w:rFonts w:ascii="Times New Roman" w:hAnsi="Times New Roman" w:cs="Times New Roman"/>
          <w:sz w:val="24"/>
          <w:szCs w:val="24"/>
        </w:rPr>
        <w:t>consistently presented</w:t>
      </w:r>
      <w:r w:rsidR="00BF4CF2" w:rsidRPr="004A1C60">
        <w:rPr>
          <w:rFonts w:ascii="Times New Roman" w:hAnsi="Times New Roman" w:cs="Times New Roman"/>
          <w:sz w:val="24"/>
          <w:szCs w:val="24"/>
        </w:rPr>
        <w:t xml:space="preserve"> as a commodified resource </w:t>
      </w:r>
      <w:r w:rsidR="006C279B" w:rsidRPr="004A1C60">
        <w:rPr>
          <w:rFonts w:ascii="Times New Roman" w:hAnsi="Times New Roman" w:cs="Times New Roman"/>
          <w:sz w:val="24"/>
          <w:szCs w:val="24"/>
        </w:rPr>
        <w:t>that successive</w:t>
      </w:r>
      <w:r w:rsidR="00BF4CF2" w:rsidRPr="004A1C60">
        <w:rPr>
          <w:rFonts w:ascii="Times New Roman" w:hAnsi="Times New Roman" w:cs="Times New Roman"/>
          <w:sz w:val="24"/>
          <w:szCs w:val="24"/>
        </w:rPr>
        <w:t xml:space="preserve"> governments have </w:t>
      </w:r>
      <w:r w:rsidR="006C279B" w:rsidRPr="004A1C60">
        <w:rPr>
          <w:rFonts w:ascii="Times New Roman" w:hAnsi="Times New Roman" w:cs="Times New Roman"/>
          <w:sz w:val="24"/>
          <w:szCs w:val="24"/>
        </w:rPr>
        <w:t>been prepared</w:t>
      </w:r>
      <w:r w:rsidRPr="004A1C60">
        <w:rPr>
          <w:rFonts w:ascii="Times New Roman" w:hAnsi="Times New Roman" w:cs="Times New Roman"/>
          <w:sz w:val="24"/>
          <w:szCs w:val="24"/>
        </w:rPr>
        <w:t xml:space="preserve"> to invest in </w:t>
      </w:r>
      <w:r w:rsidR="00BF4CF2" w:rsidRPr="004A1C60">
        <w:rPr>
          <w:rFonts w:ascii="Times New Roman" w:hAnsi="Times New Roman" w:cs="Times New Roman"/>
          <w:sz w:val="24"/>
          <w:szCs w:val="24"/>
        </w:rPr>
        <w:t xml:space="preserve">so that they </w:t>
      </w:r>
      <w:r w:rsidR="004C33A8" w:rsidRPr="004A1C60">
        <w:rPr>
          <w:rFonts w:ascii="Times New Roman" w:hAnsi="Times New Roman" w:cs="Times New Roman"/>
          <w:sz w:val="24"/>
          <w:szCs w:val="24"/>
        </w:rPr>
        <w:t xml:space="preserve">can </w:t>
      </w:r>
      <w:r w:rsidR="006C279B" w:rsidRPr="004A1C60">
        <w:rPr>
          <w:rFonts w:ascii="Times New Roman" w:hAnsi="Times New Roman" w:cs="Times New Roman"/>
          <w:sz w:val="24"/>
          <w:szCs w:val="24"/>
        </w:rPr>
        <w:t>compete</w:t>
      </w:r>
      <w:r w:rsidR="00BF4CF2" w:rsidRPr="004A1C60">
        <w:rPr>
          <w:rFonts w:ascii="Times New Roman" w:hAnsi="Times New Roman" w:cs="Times New Roman"/>
          <w:sz w:val="24"/>
          <w:szCs w:val="24"/>
        </w:rPr>
        <w:t xml:space="preserve"> and trade more effectively in global economic and employment market</w:t>
      </w:r>
      <w:r w:rsidR="000877E5" w:rsidRPr="004A1C60">
        <w:rPr>
          <w:rFonts w:ascii="Times New Roman" w:hAnsi="Times New Roman" w:cs="Times New Roman"/>
          <w:sz w:val="24"/>
          <w:szCs w:val="24"/>
        </w:rPr>
        <w:t>s (Ball, 2008; Sanguinnetti 2000</w:t>
      </w:r>
      <w:r w:rsidR="00BF4CF2" w:rsidRPr="004A1C60">
        <w:rPr>
          <w:rFonts w:ascii="Times New Roman" w:hAnsi="Times New Roman" w:cs="Times New Roman"/>
          <w:sz w:val="24"/>
          <w:szCs w:val="24"/>
        </w:rPr>
        <w:t xml:space="preserve"> and Gee 2000). In this way employability initiatives and strategies concur with a very individuated model of learning </w:t>
      </w:r>
      <w:r w:rsidR="00CA418A" w:rsidRPr="004A1C60">
        <w:rPr>
          <w:rFonts w:ascii="Times New Roman" w:hAnsi="Times New Roman" w:cs="Times New Roman"/>
          <w:sz w:val="24"/>
          <w:szCs w:val="24"/>
        </w:rPr>
        <w:t xml:space="preserve">in higher education.  Gee (2000: </w:t>
      </w:r>
      <w:r w:rsidR="00D62E53" w:rsidRPr="004A1C60">
        <w:rPr>
          <w:rFonts w:ascii="Times New Roman" w:hAnsi="Times New Roman" w:cs="Times New Roman"/>
          <w:sz w:val="24"/>
          <w:szCs w:val="24"/>
        </w:rPr>
        <w:t>46</w:t>
      </w:r>
      <w:r w:rsidR="006C279B" w:rsidRPr="004A1C60">
        <w:rPr>
          <w:rFonts w:ascii="Times New Roman" w:hAnsi="Times New Roman" w:cs="Times New Roman"/>
          <w:sz w:val="24"/>
          <w:szCs w:val="24"/>
        </w:rPr>
        <w:t>) discusses</w:t>
      </w:r>
      <w:r w:rsidR="00D62E53" w:rsidRPr="004A1C60">
        <w:rPr>
          <w:rFonts w:ascii="Times New Roman" w:hAnsi="Times New Roman" w:cs="Times New Roman"/>
          <w:sz w:val="24"/>
          <w:szCs w:val="24"/>
        </w:rPr>
        <w:t xml:space="preserve"> how in what he calls the </w:t>
      </w:r>
      <w:r w:rsidR="00BF4CF2" w:rsidRPr="004A1C60">
        <w:rPr>
          <w:rFonts w:ascii="Times New Roman" w:hAnsi="Times New Roman" w:cs="Times New Roman"/>
          <w:sz w:val="24"/>
          <w:szCs w:val="24"/>
        </w:rPr>
        <w:t xml:space="preserve">New Capitalism, skills can be neatly compartmentalised and are </w:t>
      </w:r>
      <w:r w:rsidR="006C279B" w:rsidRPr="004A1C60">
        <w:rPr>
          <w:rFonts w:ascii="Times New Roman" w:hAnsi="Times New Roman" w:cs="Times New Roman"/>
          <w:sz w:val="24"/>
          <w:szCs w:val="24"/>
        </w:rPr>
        <w:t>universally applicable</w:t>
      </w:r>
      <w:r w:rsidR="00BF4CF2" w:rsidRPr="004A1C60">
        <w:rPr>
          <w:rFonts w:ascii="Times New Roman" w:hAnsi="Times New Roman" w:cs="Times New Roman"/>
          <w:sz w:val="24"/>
          <w:szCs w:val="24"/>
        </w:rPr>
        <w:t xml:space="preserve">.  Individuals </w:t>
      </w:r>
      <w:r w:rsidR="004C33A8" w:rsidRPr="004A1C60">
        <w:rPr>
          <w:rFonts w:ascii="Times New Roman" w:hAnsi="Times New Roman" w:cs="Times New Roman"/>
          <w:sz w:val="24"/>
          <w:szCs w:val="24"/>
        </w:rPr>
        <w:t xml:space="preserve">in this model </w:t>
      </w:r>
      <w:r w:rsidR="00BF4CF2" w:rsidRPr="004A1C60">
        <w:rPr>
          <w:rFonts w:ascii="Times New Roman" w:hAnsi="Times New Roman" w:cs="Times New Roman"/>
          <w:sz w:val="24"/>
          <w:szCs w:val="24"/>
        </w:rPr>
        <w:t xml:space="preserve">are constituted in the labour market as skills </w:t>
      </w:r>
      <w:r w:rsidRPr="004A1C60">
        <w:rPr>
          <w:rFonts w:ascii="Times New Roman" w:hAnsi="Times New Roman" w:cs="Times New Roman"/>
          <w:sz w:val="24"/>
          <w:szCs w:val="24"/>
        </w:rPr>
        <w:lastRenderedPageBreak/>
        <w:t>‘</w:t>
      </w:r>
      <w:r w:rsidR="00BF4CF2" w:rsidRPr="004A1C60">
        <w:rPr>
          <w:rFonts w:ascii="Times New Roman" w:hAnsi="Times New Roman" w:cs="Times New Roman"/>
          <w:sz w:val="24"/>
          <w:szCs w:val="24"/>
        </w:rPr>
        <w:t>repositories</w:t>
      </w:r>
      <w:r w:rsidRPr="004A1C60">
        <w:rPr>
          <w:rFonts w:ascii="Times New Roman" w:hAnsi="Times New Roman" w:cs="Times New Roman"/>
          <w:sz w:val="24"/>
          <w:szCs w:val="24"/>
        </w:rPr>
        <w:t>’</w:t>
      </w:r>
      <w:r w:rsidR="00BF4CF2" w:rsidRPr="004A1C60">
        <w:rPr>
          <w:rFonts w:ascii="Times New Roman" w:hAnsi="Times New Roman" w:cs="Times New Roman"/>
          <w:sz w:val="24"/>
          <w:szCs w:val="24"/>
        </w:rPr>
        <w:t xml:space="preserve"> </w:t>
      </w:r>
      <w:r w:rsidR="004C33A8" w:rsidRPr="004A1C60">
        <w:rPr>
          <w:rFonts w:ascii="Times New Roman" w:hAnsi="Times New Roman" w:cs="Times New Roman"/>
          <w:sz w:val="24"/>
          <w:szCs w:val="24"/>
        </w:rPr>
        <w:t>ready to advertise and display</w:t>
      </w:r>
      <w:r w:rsidR="00BF4CF2" w:rsidRPr="004A1C60">
        <w:rPr>
          <w:rFonts w:ascii="Times New Roman" w:hAnsi="Times New Roman" w:cs="Times New Roman"/>
          <w:sz w:val="24"/>
          <w:szCs w:val="24"/>
        </w:rPr>
        <w:t xml:space="preserve"> what they have to offer any</w:t>
      </w:r>
      <w:r w:rsidR="00D62E53" w:rsidRPr="004A1C60">
        <w:rPr>
          <w:rFonts w:ascii="Times New Roman" w:hAnsi="Times New Roman" w:cs="Times New Roman"/>
          <w:sz w:val="24"/>
          <w:szCs w:val="24"/>
        </w:rPr>
        <w:t xml:space="preserve"> potential employer</w:t>
      </w:r>
      <w:r w:rsidRPr="004A1C60">
        <w:rPr>
          <w:rFonts w:ascii="Times New Roman" w:hAnsi="Times New Roman" w:cs="Times New Roman"/>
          <w:sz w:val="24"/>
          <w:szCs w:val="24"/>
        </w:rPr>
        <w:t>.  As such individual agency is subjugated to en</w:t>
      </w:r>
      <w:r w:rsidR="00BF4CF2" w:rsidRPr="004A1C60">
        <w:rPr>
          <w:rFonts w:ascii="Times New Roman" w:hAnsi="Times New Roman" w:cs="Times New Roman"/>
          <w:sz w:val="24"/>
          <w:szCs w:val="24"/>
        </w:rPr>
        <w:t xml:space="preserve">sembles of </w:t>
      </w:r>
      <w:r w:rsidR="00D62E53" w:rsidRPr="004A1C60">
        <w:rPr>
          <w:rFonts w:ascii="Times New Roman" w:hAnsi="Times New Roman" w:cs="Times New Roman"/>
          <w:sz w:val="24"/>
          <w:szCs w:val="24"/>
        </w:rPr>
        <w:t>“</w:t>
      </w:r>
      <w:r w:rsidR="00BF4CF2" w:rsidRPr="004A1C60">
        <w:rPr>
          <w:rFonts w:ascii="Times New Roman" w:hAnsi="Times New Roman" w:cs="Times New Roman"/>
          <w:sz w:val="24"/>
          <w:szCs w:val="24"/>
        </w:rPr>
        <w:t>skills stored in a person, assembled for a specific project, to be reassembled for other projects, and shared…</w:t>
      </w:r>
      <w:r w:rsidR="00D62E53" w:rsidRPr="004A1C60">
        <w:rPr>
          <w:rFonts w:ascii="Times New Roman" w:hAnsi="Times New Roman" w:cs="Times New Roman"/>
          <w:sz w:val="24"/>
          <w:szCs w:val="24"/>
        </w:rPr>
        <w:t>”</w:t>
      </w:r>
      <w:r w:rsidR="00CA418A" w:rsidRPr="004A1C60">
        <w:rPr>
          <w:rFonts w:ascii="Times New Roman" w:hAnsi="Times New Roman" w:cs="Times New Roman"/>
          <w:sz w:val="24"/>
          <w:szCs w:val="24"/>
        </w:rPr>
        <w:t xml:space="preserve"> (2000: </w:t>
      </w:r>
      <w:r w:rsidR="00BF4CF2" w:rsidRPr="004A1C60">
        <w:rPr>
          <w:rFonts w:ascii="Times New Roman" w:hAnsi="Times New Roman" w:cs="Times New Roman"/>
          <w:sz w:val="24"/>
          <w:szCs w:val="24"/>
        </w:rPr>
        <w:t xml:space="preserve">46) </w:t>
      </w:r>
    </w:p>
    <w:p w14:paraId="47A33A35" w14:textId="77777777" w:rsidR="00BF4CF2" w:rsidRPr="004A1C60" w:rsidRDefault="00BF4CF2" w:rsidP="00832802">
      <w:pPr>
        <w:spacing w:before="40" w:after="40" w:line="360" w:lineRule="auto"/>
        <w:rPr>
          <w:rFonts w:ascii="Times New Roman" w:hAnsi="Times New Roman" w:cs="Times New Roman"/>
          <w:sz w:val="24"/>
          <w:szCs w:val="24"/>
        </w:rPr>
      </w:pPr>
    </w:p>
    <w:p w14:paraId="5ACB5B9B" w14:textId="4C9EB78A" w:rsidR="00BF4CF2" w:rsidRPr="004A1C60" w:rsidRDefault="00BF4CF2" w:rsidP="00832802">
      <w:pPr>
        <w:spacing w:before="40" w:after="40" w:line="360" w:lineRule="auto"/>
        <w:rPr>
          <w:rFonts w:ascii="Times New Roman" w:hAnsi="Times New Roman" w:cs="Times New Roman"/>
          <w:sz w:val="24"/>
          <w:szCs w:val="24"/>
        </w:rPr>
      </w:pPr>
      <w:r w:rsidRPr="004A1C60">
        <w:rPr>
          <w:rFonts w:ascii="Times New Roman" w:hAnsi="Times New Roman" w:cs="Times New Roman"/>
          <w:sz w:val="24"/>
          <w:szCs w:val="24"/>
        </w:rPr>
        <w:t xml:space="preserve">In a Foucauldian sense, we </w:t>
      </w:r>
      <w:r w:rsidR="004C33A8" w:rsidRPr="004A1C60">
        <w:rPr>
          <w:rFonts w:ascii="Times New Roman" w:hAnsi="Times New Roman" w:cs="Times New Roman"/>
          <w:sz w:val="24"/>
          <w:szCs w:val="24"/>
        </w:rPr>
        <w:t>argue conversely that</w:t>
      </w:r>
      <w:r w:rsidR="003D7F2D" w:rsidRPr="004A1C60">
        <w:rPr>
          <w:rFonts w:ascii="Times New Roman" w:hAnsi="Times New Roman" w:cs="Times New Roman"/>
          <w:sz w:val="24"/>
          <w:szCs w:val="24"/>
        </w:rPr>
        <w:t xml:space="preserve"> the</w:t>
      </w:r>
      <w:r w:rsidRPr="004A1C60">
        <w:rPr>
          <w:rFonts w:ascii="Times New Roman" w:hAnsi="Times New Roman" w:cs="Times New Roman"/>
          <w:sz w:val="24"/>
          <w:szCs w:val="24"/>
        </w:rPr>
        <w:t xml:space="preserve"> skills-</w:t>
      </w:r>
      <w:r w:rsidR="003D7F2D" w:rsidRPr="004A1C60">
        <w:rPr>
          <w:rFonts w:ascii="Times New Roman" w:hAnsi="Times New Roman" w:cs="Times New Roman"/>
          <w:sz w:val="24"/>
          <w:szCs w:val="24"/>
        </w:rPr>
        <w:t xml:space="preserve">focused </w:t>
      </w:r>
      <w:r w:rsidRPr="004A1C60">
        <w:rPr>
          <w:rFonts w:ascii="Times New Roman" w:hAnsi="Times New Roman" w:cs="Times New Roman"/>
          <w:sz w:val="24"/>
          <w:szCs w:val="24"/>
        </w:rPr>
        <w:t xml:space="preserve">discourses </w:t>
      </w:r>
      <w:r w:rsidR="003D7F2D" w:rsidRPr="004A1C60">
        <w:rPr>
          <w:rFonts w:ascii="Times New Roman" w:hAnsi="Times New Roman" w:cs="Times New Roman"/>
          <w:sz w:val="24"/>
          <w:szCs w:val="24"/>
        </w:rPr>
        <w:t>that inform</w:t>
      </w:r>
      <w:r w:rsidR="006C279B" w:rsidRPr="004A1C60">
        <w:rPr>
          <w:rFonts w:ascii="Times New Roman" w:hAnsi="Times New Roman" w:cs="Times New Roman"/>
          <w:sz w:val="24"/>
          <w:szCs w:val="24"/>
        </w:rPr>
        <w:t xml:space="preserve"> many</w:t>
      </w:r>
      <w:r w:rsidR="003D7F2D" w:rsidRPr="004A1C60">
        <w:rPr>
          <w:rFonts w:ascii="Times New Roman" w:hAnsi="Times New Roman" w:cs="Times New Roman"/>
          <w:sz w:val="24"/>
          <w:szCs w:val="24"/>
        </w:rPr>
        <w:t xml:space="preserve"> </w:t>
      </w:r>
      <w:r w:rsidRPr="004A1C60">
        <w:rPr>
          <w:rFonts w:ascii="Times New Roman" w:hAnsi="Times New Roman" w:cs="Times New Roman"/>
          <w:sz w:val="24"/>
          <w:szCs w:val="24"/>
        </w:rPr>
        <w:t xml:space="preserve">employability </w:t>
      </w:r>
      <w:r w:rsidR="006C279B" w:rsidRPr="004A1C60">
        <w:rPr>
          <w:rFonts w:ascii="Times New Roman" w:hAnsi="Times New Roman" w:cs="Times New Roman"/>
          <w:sz w:val="24"/>
          <w:szCs w:val="24"/>
        </w:rPr>
        <w:t>programmes can</w:t>
      </w:r>
      <w:r w:rsidRPr="004A1C60">
        <w:rPr>
          <w:rFonts w:ascii="Times New Roman" w:hAnsi="Times New Roman" w:cs="Times New Roman"/>
          <w:sz w:val="24"/>
          <w:szCs w:val="24"/>
        </w:rPr>
        <w:t xml:space="preserve"> end </w:t>
      </w:r>
      <w:r w:rsidR="006C279B" w:rsidRPr="004A1C60">
        <w:rPr>
          <w:rFonts w:ascii="Times New Roman" w:hAnsi="Times New Roman" w:cs="Times New Roman"/>
          <w:sz w:val="24"/>
          <w:szCs w:val="24"/>
        </w:rPr>
        <w:t>up limiting individuals’</w:t>
      </w:r>
      <w:r w:rsidRPr="004A1C60">
        <w:rPr>
          <w:rFonts w:ascii="Times New Roman" w:hAnsi="Times New Roman" w:cs="Times New Roman"/>
          <w:sz w:val="24"/>
          <w:szCs w:val="24"/>
        </w:rPr>
        <w:t xml:space="preserve"> engagement with the world of </w:t>
      </w:r>
      <w:r w:rsidR="006C279B" w:rsidRPr="004A1C60">
        <w:rPr>
          <w:rFonts w:ascii="Times New Roman" w:hAnsi="Times New Roman" w:cs="Times New Roman"/>
          <w:sz w:val="24"/>
          <w:szCs w:val="24"/>
        </w:rPr>
        <w:t>work as</w:t>
      </w:r>
      <w:r w:rsidRPr="004A1C60">
        <w:rPr>
          <w:rFonts w:ascii="Times New Roman" w:hAnsi="Times New Roman" w:cs="Times New Roman"/>
          <w:sz w:val="24"/>
          <w:szCs w:val="24"/>
        </w:rPr>
        <w:t xml:space="preserve"> </w:t>
      </w:r>
      <w:r w:rsidR="006C279B" w:rsidRPr="004A1C60">
        <w:rPr>
          <w:rFonts w:ascii="Times New Roman" w:hAnsi="Times New Roman" w:cs="Times New Roman"/>
          <w:sz w:val="24"/>
          <w:szCs w:val="24"/>
        </w:rPr>
        <w:t>their emphasis</w:t>
      </w:r>
      <w:r w:rsidRPr="004A1C60">
        <w:rPr>
          <w:rFonts w:ascii="Times New Roman" w:hAnsi="Times New Roman" w:cs="Times New Roman"/>
          <w:sz w:val="24"/>
          <w:szCs w:val="24"/>
        </w:rPr>
        <w:t xml:space="preserve"> is often on a very narrow and </w:t>
      </w:r>
      <w:r w:rsidR="006C279B" w:rsidRPr="004A1C60">
        <w:rPr>
          <w:rFonts w:ascii="Times New Roman" w:hAnsi="Times New Roman" w:cs="Times New Roman"/>
          <w:sz w:val="24"/>
          <w:szCs w:val="24"/>
        </w:rPr>
        <w:t>functional model</w:t>
      </w:r>
      <w:r w:rsidRPr="004A1C60">
        <w:rPr>
          <w:rFonts w:ascii="Times New Roman" w:hAnsi="Times New Roman" w:cs="Times New Roman"/>
          <w:sz w:val="24"/>
          <w:szCs w:val="24"/>
        </w:rPr>
        <w:t xml:space="preserve"> of employability skills which   ‘… structure the possible field of action’ (</w:t>
      </w:r>
      <w:r w:rsidR="000877E5" w:rsidRPr="004A1C60">
        <w:rPr>
          <w:rFonts w:ascii="Times New Roman" w:hAnsi="Times New Roman" w:cs="Times New Roman"/>
          <w:sz w:val="24"/>
          <w:szCs w:val="24"/>
        </w:rPr>
        <w:t>Foucault, 1982:221, in Dreyfus et al, 1983</w:t>
      </w:r>
      <w:r w:rsidRPr="004A1C60">
        <w:rPr>
          <w:rFonts w:ascii="Times New Roman" w:hAnsi="Times New Roman" w:cs="Times New Roman"/>
          <w:sz w:val="24"/>
          <w:szCs w:val="24"/>
        </w:rPr>
        <w:t xml:space="preserve">) in which those skills can be deployed. In comparison, the ‘real life’ arena for employability literacies is </w:t>
      </w:r>
      <w:r w:rsidR="00B4219E" w:rsidRPr="004A1C60">
        <w:rPr>
          <w:rFonts w:ascii="Times New Roman" w:hAnsi="Times New Roman" w:cs="Times New Roman"/>
          <w:sz w:val="24"/>
          <w:szCs w:val="24"/>
        </w:rPr>
        <w:t xml:space="preserve">fluid, </w:t>
      </w:r>
      <w:r w:rsidRPr="004A1C60">
        <w:rPr>
          <w:rFonts w:ascii="Times New Roman" w:hAnsi="Times New Roman" w:cs="Times New Roman"/>
          <w:sz w:val="24"/>
          <w:szCs w:val="24"/>
        </w:rPr>
        <w:t xml:space="preserve">complicated and always </w:t>
      </w:r>
      <w:r w:rsidR="0073531E" w:rsidRPr="004A1C60">
        <w:rPr>
          <w:rFonts w:ascii="Times New Roman" w:hAnsi="Times New Roman" w:cs="Times New Roman"/>
          <w:sz w:val="24"/>
          <w:szCs w:val="24"/>
        </w:rPr>
        <w:t>already in flux</w:t>
      </w:r>
      <w:r w:rsidRPr="004A1C60">
        <w:rPr>
          <w:rFonts w:ascii="Times New Roman" w:hAnsi="Times New Roman" w:cs="Times New Roman"/>
          <w:sz w:val="24"/>
          <w:szCs w:val="24"/>
        </w:rPr>
        <w:t>.  It is therefo</w:t>
      </w:r>
      <w:r w:rsidR="00DE338A" w:rsidRPr="004A1C60">
        <w:rPr>
          <w:rFonts w:ascii="Times New Roman" w:hAnsi="Times New Roman" w:cs="Times New Roman"/>
          <w:sz w:val="24"/>
          <w:szCs w:val="24"/>
        </w:rPr>
        <w:t>re difficult to envisage how a single</w:t>
      </w:r>
      <w:r w:rsidRPr="004A1C60">
        <w:rPr>
          <w:rFonts w:ascii="Times New Roman" w:hAnsi="Times New Roman" w:cs="Times New Roman"/>
          <w:sz w:val="24"/>
          <w:szCs w:val="24"/>
        </w:rPr>
        <w:t xml:space="preserve"> universal skill set co</w:t>
      </w:r>
      <w:r w:rsidR="00B4219E" w:rsidRPr="004A1C60">
        <w:rPr>
          <w:rFonts w:ascii="Times New Roman" w:hAnsi="Times New Roman" w:cs="Times New Roman"/>
          <w:sz w:val="24"/>
          <w:szCs w:val="24"/>
        </w:rPr>
        <w:t>uld ever cover all the different aspect</w:t>
      </w:r>
      <w:r w:rsidR="00443A3B" w:rsidRPr="004A1C60">
        <w:rPr>
          <w:rFonts w:ascii="Times New Roman" w:hAnsi="Times New Roman" w:cs="Times New Roman"/>
          <w:sz w:val="24"/>
          <w:szCs w:val="24"/>
        </w:rPr>
        <w:t>s</w:t>
      </w:r>
      <w:r w:rsidR="00B4219E" w:rsidRPr="004A1C60">
        <w:rPr>
          <w:rFonts w:ascii="Times New Roman" w:hAnsi="Times New Roman" w:cs="Times New Roman"/>
          <w:sz w:val="24"/>
          <w:szCs w:val="24"/>
        </w:rPr>
        <w:t xml:space="preserve"> of employment that might be required by graduates</w:t>
      </w:r>
      <w:r w:rsidR="00435928" w:rsidRPr="004A1C60">
        <w:rPr>
          <w:rFonts w:ascii="Times New Roman" w:hAnsi="Times New Roman" w:cs="Times New Roman"/>
          <w:sz w:val="24"/>
          <w:szCs w:val="24"/>
        </w:rPr>
        <w:t>. For this</w:t>
      </w:r>
      <w:r w:rsidR="00B4219E" w:rsidRPr="004A1C60">
        <w:rPr>
          <w:rFonts w:ascii="Times New Roman" w:hAnsi="Times New Roman" w:cs="Times New Roman"/>
          <w:sz w:val="24"/>
          <w:szCs w:val="24"/>
        </w:rPr>
        <w:t xml:space="preserve"> reason we maintain </w:t>
      </w:r>
      <w:r w:rsidRPr="004A1C60">
        <w:rPr>
          <w:rFonts w:ascii="Times New Roman" w:hAnsi="Times New Roman" w:cs="Times New Roman"/>
          <w:sz w:val="24"/>
          <w:szCs w:val="24"/>
        </w:rPr>
        <w:t>that a</w:t>
      </w:r>
      <w:r w:rsidR="00443A3B" w:rsidRPr="004A1C60">
        <w:rPr>
          <w:rFonts w:ascii="Times New Roman" w:hAnsi="Times New Roman" w:cs="Times New Roman"/>
          <w:sz w:val="24"/>
          <w:szCs w:val="24"/>
        </w:rPr>
        <w:t xml:space="preserve"> predominately </w:t>
      </w:r>
      <w:r w:rsidR="00435928" w:rsidRPr="004A1C60">
        <w:rPr>
          <w:rFonts w:ascii="Times New Roman" w:hAnsi="Times New Roman" w:cs="Times New Roman"/>
          <w:sz w:val="24"/>
          <w:szCs w:val="24"/>
        </w:rPr>
        <w:t xml:space="preserve">skills focused </w:t>
      </w:r>
      <w:r w:rsidRPr="004A1C60">
        <w:rPr>
          <w:rFonts w:ascii="Times New Roman" w:hAnsi="Times New Roman" w:cs="Times New Roman"/>
          <w:sz w:val="24"/>
          <w:szCs w:val="24"/>
        </w:rPr>
        <w:t xml:space="preserve">discourse has </w:t>
      </w:r>
      <w:r w:rsidR="00DE338A" w:rsidRPr="004A1C60">
        <w:rPr>
          <w:rFonts w:ascii="Times New Roman" w:hAnsi="Times New Roman" w:cs="Times New Roman"/>
          <w:sz w:val="24"/>
          <w:szCs w:val="24"/>
        </w:rPr>
        <w:t>served to limit</w:t>
      </w:r>
      <w:r w:rsidRPr="004A1C60">
        <w:rPr>
          <w:rFonts w:ascii="Times New Roman" w:hAnsi="Times New Roman" w:cs="Times New Roman"/>
          <w:sz w:val="24"/>
          <w:szCs w:val="24"/>
        </w:rPr>
        <w:t xml:space="preserve"> students, lecturers and employers’ conceptions of employability in particular kinds of ways</w:t>
      </w:r>
      <w:r w:rsidR="00DE338A" w:rsidRPr="004A1C60">
        <w:rPr>
          <w:rFonts w:ascii="Times New Roman" w:hAnsi="Times New Roman" w:cs="Times New Roman"/>
          <w:sz w:val="24"/>
          <w:szCs w:val="24"/>
        </w:rPr>
        <w:t>.</w:t>
      </w:r>
      <w:r w:rsidRPr="004A1C60">
        <w:rPr>
          <w:rFonts w:ascii="Times New Roman" w:hAnsi="Times New Roman" w:cs="Times New Roman"/>
          <w:sz w:val="24"/>
          <w:szCs w:val="24"/>
        </w:rPr>
        <w:t xml:space="preserve"> </w:t>
      </w:r>
    </w:p>
    <w:p w14:paraId="4EC76B17" w14:textId="53642340" w:rsidR="00AF2323" w:rsidRPr="004A1C60" w:rsidRDefault="00AF2323" w:rsidP="00832802">
      <w:pPr>
        <w:spacing w:before="40" w:after="40" w:line="360" w:lineRule="auto"/>
        <w:rPr>
          <w:rFonts w:ascii="Times New Roman" w:hAnsi="Times New Roman" w:cs="Times New Roman"/>
          <w:sz w:val="24"/>
          <w:szCs w:val="24"/>
        </w:rPr>
      </w:pPr>
      <w:r w:rsidRPr="004A1C60">
        <w:rPr>
          <w:rFonts w:ascii="Times New Roman" w:hAnsi="Times New Roman" w:cs="Times New Roman"/>
          <w:sz w:val="24"/>
          <w:szCs w:val="24"/>
        </w:rPr>
        <w:t>Fig. 1 Contrasting employability paradigms</w:t>
      </w:r>
    </w:p>
    <w:tbl>
      <w:tblPr>
        <w:tblStyle w:val="TableGrid"/>
        <w:tblW w:w="0" w:type="auto"/>
        <w:tblLook w:val="04A0" w:firstRow="1" w:lastRow="0" w:firstColumn="1" w:lastColumn="0" w:noHBand="0" w:noVBand="1"/>
      </w:tblPr>
      <w:tblGrid>
        <w:gridCol w:w="4261"/>
        <w:gridCol w:w="4261"/>
      </w:tblGrid>
      <w:tr w:rsidR="00FC1EF8" w:rsidRPr="004A1C60" w14:paraId="45913849" w14:textId="77777777" w:rsidTr="00FC1EF8">
        <w:tc>
          <w:tcPr>
            <w:tcW w:w="4261" w:type="dxa"/>
          </w:tcPr>
          <w:p w14:paraId="6DC5B813" w14:textId="5533ABEF" w:rsidR="007D7322" w:rsidRPr="004A1C60" w:rsidRDefault="007D7322" w:rsidP="00832802">
            <w:pPr>
              <w:spacing w:line="360" w:lineRule="auto"/>
              <w:rPr>
                <w:b/>
                <w:sz w:val="24"/>
                <w:szCs w:val="24"/>
                <w:lang w:eastAsia="zh-CN"/>
              </w:rPr>
            </w:pPr>
            <w:r w:rsidRPr="004A1C60">
              <w:rPr>
                <w:b/>
                <w:sz w:val="24"/>
                <w:szCs w:val="24"/>
                <w:lang w:eastAsia="zh-CN"/>
              </w:rPr>
              <w:t>Dominant</w:t>
            </w:r>
          </w:p>
          <w:p w14:paraId="46863B6D" w14:textId="3A57D38E" w:rsidR="00FC1EF8" w:rsidRPr="004A1C60" w:rsidRDefault="007D7322" w:rsidP="00832802">
            <w:pPr>
              <w:spacing w:line="360" w:lineRule="auto"/>
              <w:rPr>
                <w:b/>
                <w:i/>
                <w:sz w:val="24"/>
                <w:szCs w:val="24"/>
                <w:lang w:eastAsia="zh-CN"/>
              </w:rPr>
            </w:pPr>
            <w:r w:rsidRPr="004A1C60">
              <w:rPr>
                <w:b/>
                <w:i/>
                <w:sz w:val="24"/>
                <w:szCs w:val="24"/>
                <w:lang w:eastAsia="zh-CN"/>
              </w:rPr>
              <w:t>S</w:t>
            </w:r>
            <w:r w:rsidR="00A207B9" w:rsidRPr="004A1C60">
              <w:rPr>
                <w:b/>
                <w:i/>
                <w:sz w:val="24"/>
                <w:szCs w:val="24"/>
                <w:lang w:eastAsia="zh-CN"/>
              </w:rPr>
              <w:t xml:space="preserve">kills- focussed </w:t>
            </w:r>
            <w:r w:rsidR="00FC1EF8" w:rsidRPr="004A1C60">
              <w:rPr>
                <w:b/>
                <w:i/>
                <w:sz w:val="24"/>
                <w:szCs w:val="24"/>
                <w:lang w:eastAsia="zh-CN"/>
              </w:rPr>
              <w:t xml:space="preserve">conceptualisation </w:t>
            </w:r>
            <w:r w:rsidR="006C279B" w:rsidRPr="004A1C60">
              <w:rPr>
                <w:b/>
                <w:i/>
                <w:sz w:val="24"/>
                <w:szCs w:val="24"/>
                <w:lang w:eastAsia="zh-CN"/>
              </w:rPr>
              <w:t>of employability</w:t>
            </w:r>
            <w:r w:rsidR="00FC1EF8" w:rsidRPr="004A1C60">
              <w:rPr>
                <w:b/>
                <w:i/>
                <w:sz w:val="24"/>
                <w:szCs w:val="24"/>
                <w:lang w:eastAsia="zh-CN"/>
              </w:rPr>
              <w:t xml:space="preserve"> skills </w:t>
            </w:r>
          </w:p>
        </w:tc>
        <w:tc>
          <w:tcPr>
            <w:tcW w:w="4261" w:type="dxa"/>
          </w:tcPr>
          <w:p w14:paraId="03BFA97C" w14:textId="565BBF5C" w:rsidR="007D7322" w:rsidRPr="004A1C60" w:rsidRDefault="00EB7EC3" w:rsidP="00832802">
            <w:pPr>
              <w:spacing w:line="360" w:lineRule="auto"/>
              <w:rPr>
                <w:b/>
                <w:sz w:val="24"/>
                <w:szCs w:val="24"/>
                <w:lang w:eastAsia="zh-CN"/>
              </w:rPr>
            </w:pPr>
            <w:r w:rsidRPr="004A1C60">
              <w:rPr>
                <w:b/>
                <w:sz w:val="24"/>
                <w:szCs w:val="24"/>
                <w:lang w:eastAsia="zh-CN"/>
              </w:rPr>
              <w:t xml:space="preserve">L4E </w:t>
            </w:r>
            <w:r w:rsidR="007D7322" w:rsidRPr="004A1C60">
              <w:rPr>
                <w:b/>
                <w:sz w:val="24"/>
                <w:szCs w:val="24"/>
                <w:lang w:eastAsia="zh-CN"/>
              </w:rPr>
              <w:t>alternative</w:t>
            </w:r>
          </w:p>
          <w:p w14:paraId="26A29094" w14:textId="258AE14D" w:rsidR="00FC1EF8" w:rsidRPr="004A1C60" w:rsidRDefault="007D7322" w:rsidP="00832802">
            <w:pPr>
              <w:spacing w:line="360" w:lineRule="auto"/>
              <w:rPr>
                <w:b/>
                <w:i/>
                <w:sz w:val="24"/>
                <w:szCs w:val="24"/>
                <w:lang w:eastAsia="zh-CN"/>
              </w:rPr>
            </w:pPr>
            <w:r w:rsidRPr="004A1C60">
              <w:rPr>
                <w:b/>
                <w:i/>
                <w:sz w:val="24"/>
                <w:szCs w:val="24"/>
                <w:lang w:eastAsia="zh-CN"/>
              </w:rPr>
              <w:t>C</w:t>
            </w:r>
            <w:r w:rsidR="00A207B9" w:rsidRPr="004A1C60">
              <w:rPr>
                <w:b/>
                <w:i/>
                <w:sz w:val="24"/>
                <w:szCs w:val="24"/>
                <w:lang w:eastAsia="zh-CN"/>
              </w:rPr>
              <w:t xml:space="preserve">ritical </w:t>
            </w:r>
            <w:r w:rsidR="00FC1EF8" w:rsidRPr="004A1C60">
              <w:rPr>
                <w:b/>
                <w:i/>
                <w:sz w:val="24"/>
                <w:szCs w:val="24"/>
                <w:lang w:eastAsia="zh-CN"/>
              </w:rPr>
              <w:t xml:space="preserve">re-conceptualisation employability </w:t>
            </w:r>
            <w:r w:rsidR="006C279B" w:rsidRPr="004A1C60">
              <w:rPr>
                <w:b/>
                <w:i/>
                <w:sz w:val="24"/>
                <w:szCs w:val="24"/>
                <w:lang w:eastAsia="zh-CN"/>
              </w:rPr>
              <w:t xml:space="preserve">literacies </w:t>
            </w:r>
          </w:p>
        </w:tc>
      </w:tr>
      <w:tr w:rsidR="00FC1EF8" w:rsidRPr="004A1C60" w14:paraId="549B14F2" w14:textId="77777777" w:rsidTr="00FC1EF8">
        <w:tc>
          <w:tcPr>
            <w:tcW w:w="4261" w:type="dxa"/>
          </w:tcPr>
          <w:p w14:paraId="6F291D09" w14:textId="77777777" w:rsidR="00FC1EF8" w:rsidRPr="004A1C60" w:rsidRDefault="00FC1EF8" w:rsidP="00832802">
            <w:pPr>
              <w:spacing w:line="360" w:lineRule="auto"/>
              <w:rPr>
                <w:sz w:val="24"/>
                <w:szCs w:val="24"/>
                <w:lang w:eastAsia="zh-CN"/>
              </w:rPr>
            </w:pPr>
            <w:r w:rsidRPr="004A1C60">
              <w:rPr>
                <w:sz w:val="24"/>
                <w:szCs w:val="24"/>
                <w:lang w:eastAsia="zh-CN"/>
              </w:rPr>
              <w:t xml:space="preserve">Autonomous </w:t>
            </w:r>
          </w:p>
        </w:tc>
        <w:tc>
          <w:tcPr>
            <w:tcW w:w="4261" w:type="dxa"/>
          </w:tcPr>
          <w:p w14:paraId="174BDE47" w14:textId="77777777" w:rsidR="00FC1EF8" w:rsidRPr="004A1C60" w:rsidRDefault="00FC1EF8" w:rsidP="00832802">
            <w:pPr>
              <w:spacing w:line="360" w:lineRule="auto"/>
              <w:rPr>
                <w:sz w:val="24"/>
                <w:szCs w:val="24"/>
                <w:lang w:eastAsia="zh-CN"/>
              </w:rPr>
            </w:pPr>
            <w:r w:rsidRPr="004A1C60">
              <w:rPr>
                <w:sz w:val="24"/>
                <w:szCs w:val="24"/>
                <w:lang w:eastAsia="zh-CN"/>
              </w:rPr>
              <w:t xml:space="preserve">Ideological </w:t>
            </w:r>
          </w:p>
        </w:tc>
      </w:tr>
      <w:tr w:rsidR="00FC1EF8" w:rsidRPr="004A1C60" w14:paraId="21241606" w14:textId="77777777" w:rsidTr="00FC1EF8">
        <w:tc>
          <w:tcPr>
            <w:tcW w:w="4261" w:type="dxa"/>
          </w:tcPr>
          <w:p w14:paraId="5C7F68DF" w14:textId="77777777" w:rsidR="00FC1EF8" w:rsidRPr="004A1C60" w:rsidRDefault="00FC1EF8" w:rsidP="00832802">
            <w:pPr>
              <w:spacing w:line="360" w:lineRule="auto"/>
              <w:rPr>
                <w:sz w:val="24"/>
                <w:szCs w:val="24"/>
                <w:lang w:eastAsia="zh-CN"/>
              </w:rPr>
            </w:pPr>
            <w:r w:rsidRPr="004A1C60">
              <w:rPr>
                <w:sz w:val="24"/>
                <w:szCs w:val="24"/>
                <w:lang w:eastAsia="zh-CN"/>
              </w:rPr>
              <w:t>Objective</w:t>
            </w:r>
          </w:p>
        </w:tc>
        <w:tc>
          <w:tcPr>
            <w:tcW w:w="4261" w:type="dxa"/>
          </w:tcPr>
          <w:p w14:paraId="1EE70E80" w14:textId="77777777" w:rsidR="00FC1EF8" w:rsidRPr="004A1C60" w:rsidRDefault="00FC1EF8" w:rsidP="00832802">
            <w:pPr>
              <w:spacing w:line="360" w:lineRule="auto"/>
              <w:rPr>
                <w:sz w:val="24"/>
                <w:szCs w:val="24"/>
                <w:lang w:eastAsia="zh-CN"/>
              </w:rPr>
            </w:pPr>
            <w:r w:rsidRPr="004A1C60">
              <w:rPr>
                <w:sz w:val="24"/>
                <w:szCs w:val="24"/>
                <w:lang w:eastAsia="zh-CN"/>
              </w:rPr>
              <w:t xml:space="preserve">Subjective </w:t>
            </w:r>
          </w:p>
        </w:tc>
      </w:tr>
      <w:tr w:rsidR="00FC1EF8" w:rsidRPr="004A1C60" w14:paraId="5B3404CB" w14:textId="77777777" w:rsidTr="00FC1EF8">
        <w:tc>
          <w:tcPr>
            <w:tcW w:w="4261" w:type="dxa"/>
          </w:tcPr>
          <w:p w14:paraId="67F960EF" w14:textId="68737C1D" w:rsidR="00FC1EF8" w:rsidRPr="004A1C60" w:rsidRDefault="006C279B" w:rsidP="00832802">
            <w:pPr>
              <w:spacing w:line="360" w:lineRule="auto"/>
              <w:rPr>
                <w:sz w:val="24"/>
                <w:szCs w:val="24"/>
                <w:lang w:eastAsia="zh-CN"/>
              </w:rPr>
            </w:pPr>
            <w:r w:rsidRPr="004A1C60">
              <w:rPr>
                <w:sz w:val="24"/>
                <w:szCs w:val="24"/>
                <w:lang w:eastAsia="zh-CN"/>
              </w:rPr>
              <w:t>Technicist</w:t>
            </w:r>
            <w:r w:rsidR="00FC1EF8" w:rsidRPr="004A1C60">
              <w:rPr>
                <w:sz w:val="24"/>
                <w:szCs w:val="24"/>
                <w:lang w:eastAsia="zh-CN"/>
              </w:rPr>
              <w:t xml:space="preserve"> skills set </w:t>
            </w:r>
          </w:p>
          <w:p w14:paraId="06A2F939" w14:textId="2EF5DE3B" w:rsidR="00E94E48" w:rsidRPr="004A1C60" w:rsidRDefault="00E94E48" w:rsidP="00832802">
            <w:pPr>
              <w:pStyle w:val="ListParagraph"/>
              <w:numPr>
                <w:ilvl w:val="0"/>
                <w:numId w:val="7"/>
              </w:numPr>
              <w:spacing w:line="360" w:lineRule="auto"/>
              <w:rPr>
                <w:sz w:val="24"/>
                <w:szCs w:val="24"/>
                <w:lang w:eastAsia="zh-CN"/>
              </w:rPr>
            </w:pPr>
            <w:r w:rsidRPr="004A1C60">
              <w:rPr>
                <w:sz w:val="24"/>
                <w:szCs w:val="24"/>
                <w:lang w:eastAsia="zh-CN"/>
              </w:rPr>
              <w:t xml:space="preserve">Reading as </w:t>
            </w:r>
            <w:r w:rsidR="00431F5D" w:rsidRPr="004A1C60">
              <w:rPr>
                <w:sz w:val="24"/>
                <w:szCs w:val="24"/>
                <w:lang w:eastAsia="zh-CN"/>
              </w:rPr>
              <w:t xml:space="preserve">transmission, </w:t>
            </w:r>
            <w:r w:rsidRPr="004A1C60">
              <w:rPr>
                <w:sz w:val="24"/>
                <w:szCs w:val="24"/>
                <w:lang w:eastAsia="zh-CN"/>
              </w:rPr>
              <w:t>decoding</w:t>
            </w:r>
          </w:p>
          <w:p w14:paraId="006DAFA3" w14:textId="11A6B3A4" w:rsidR="00E94E48" w:rsidRPr="004A1C60" w:rsidRDefault="00E94E48" w:rsidP="00832802">
            <w:pPr>
              <w:pStyle w:val="ListParagraph"/>
              <w:numPr>
                <w:ilvl w:val="0"/>
                <w:numId w:val="7"/>
              </w:numPr>
              <w:spacing w:line="360" w:lineRule="auto"/>
              <w:rPr>
                <w:sz w:val="24"/>
                <w:szCs w:val="24"/>
                <w:lang w:eastAsia="zh-CN"/>
              </w:rPr>
            </w:pPr>
            <w:r w:rsidRPr="004A1C60">
              <w:rPr>
                <w:sz w:val="24"/>
                <w:szCs w:val="24"/>
                <w:lang w:eastAsia="zh-CN"/>
              </w:rPr>
              <w:t xml:space="preserve">Writing as </w:t>
            </w:r>
            <w:r w:rsidR="00431F5D" w:rsidRPr="004A1C60">
              <w:rPr>
                <w:sz w:val="24"/>
                <w:szCs w:val="24"/>
                <w:lang w:eastAsia="zh-CN"/>
              </w:rPr>
              <w:t xml:space="preserve">transmission, </w:t>
            </w:r>
            <w:r w:rsidRPr="004A1C60">
              <w:rPr>
                <w:sz w:val="24"/>
                <w:szCs w:val="24"/>
                <w:lang w:eastAsia="zh-CN"/>
              </w:rPr>
              <w:t>encoding</w:t>
            </w:r>
          </w:p>
        </w:tc>
        <w:tc>
          <w:tcPr>
            <w:tcW w:w="4261" w:type="dxa"/>
          </w:tcPr>
          <w:p w14:paraId="18F7F12B" w14:textId="77777777" w:rsidR="00FC1EF8" w:rsidRPr="004A1C60" w:rsidRDefault="00FC1EF8" w:rsidP="00832802">
            <w:pPr>
              <w:spacing w:line="360" w:lineRule="auto"/>
              <w:rPr>
                <w:sz w:val="24"/>
                <w:szCs w:val="24"/>
                <w:lang w:eastAsia="zh-CN"/>
              </w:rPr>
            </w:pPr>
            <w:r w:rsidRPr="004A1C60">
              <w:rPr>
                <w:sz w:val="24"/>
                <w:szCs w:val="24"/>
                <w:lang w:eastAsia="zh-CN"/>
              </w:rPr>
              <w:t xml:space="preserve">Social practice </w:t>
            </w:r>
          </w:p>
          <w:p w14:paraId="48296116" w14:textId="767E66CD" w:rsidR="00E94E48" w:rsidRPr="004A1C60" w:rsidRDefault="00E94E48" w:rsidP="00832802">
            <w:pPr>
              <w:pStyle w:val="ListParagraph"/>
              <w:numPr>
                <w:ilvl w:val="0"/>
                <w:numId w:val="7"/>
              </w:numPr>
              <w:spacing w:line="360" w:lineRule="auto"/>
              <w:rPr>
                <w:sz w:val="24"/>
                <w:szCs w:val="24"/>
                <w:lang w:eastAsia="zh-CN"/>
              </w:rPr>
            </w:pPr>
            <w:r w:rsidRPr="004A1C60">
              <w:rPr>
                <w:sz w:val="24"/>
                <w:szCs w:val="24"/>
                <w:lang w:eastAsia="zh-CN"/>
              </w:rPr>
              <w:t>Reading as meaning making – self and world</w:t>
            </w:r>
          </w:p>
          <w:p w14:paraId="0AF7B053" w14:textId="26968B12" w:rsidR="00E94E48" w:rsidRPr="004A1C60" w:rsidRDefault="00E94E48" w:rsidP="00832802">
            <w:pPr>
              <w:pStyle w:val="ListParagraph"/>
              <w:numPr>
                <w:ilvl w:val="0"/>
                <w:numId w:val="7"/>
              </w:numPr>
              <w:spacing w:line="360" w:lineRule="auto"/>
              <w:rPr>
                <w:sz w:val="24"/>
                <w:szCs w:val="24"/>
                <w:lang w:eastAsia="zh-CN"/>
              </w:rPr>
            </w:pPr>
            <w:r w:rsidRPr="004A1C60">
              <w:rPr>
                <w:sz w:val="24"/>
                <w:szCs w:val="24"/>
                <w:lang w:eastAsia="zh-CN"/>
              </w:rPr>
              <w:t xml:space="preserve">Writing as </w:t>
            </w:r>
            <w:r w:rsidR="00447BD3" w:rsidRPr="004A1C60">
              <w:rPr>
                <w:sz w:val="24"/>
                <w:szCs w:val="24"/>
                <w:lang w:eastAsia="zh-CN"/>
              </w:rPr>
              <w:t>making</w:t>
            </w:r>
            <w:r w:rsidR="00AE1B72" w:rsidRPr="004A1C60">
              <w:rPr>
                <w:sz w:val="24"/>
                <w:szCs w:val="24"/>
                <w:lang w:eastAsia="zh-CN"/>
              </w:rPr>
              <w:t xml:space="preserve"> – self and world</w:t>
            </w:r>
          </w:p>
        </w:tc>
      </w:tr>
      <w:tr w:rsidR="00FC1EF8" w:rsidRPr="004A1C60" w14:paraId="196B6C08" w14:textId="77777777" w:rsidTr="00FC1EF8">
        <w:tc>
          <w:tcPr>
            <w:tcW w:w="4261" w:type="dxa"/>
          </w:tcPr>
          <w:p w14:paraId="75A8BE44" w14:textId="7370EF61" w:rsidR="00FC1EF8" w:rsidRPr="004A1C60" w:rsidRDefault="00FC1EF8" w:rsidP="00832802">
            <w:pPr>
              <w:spacing w:line="360" w:lineRule="auto"/>
              <w:rPr>
                <w:sz w:val="24"/>
                <w:szCs w:val="24"/>
                <w:lang w:eastAsia="zh-CN"/>
              </w:rPr>
            </w:pPr>
            <w:r w:rsidRPr="004A1C60">
              <w:rPr>
                <w:sz w:val="24"/>
                <w:szCs w:val="24"/>
                <w:lang w:eastAsia="zh-CN"/>
              </w:rPr>
              <w:t xml:space="preserve">Universal  </w:t>
            </w:r>
          </w:p>
        </w:tc>
        <w:tc>
          <w:tcPr>
            <w:tcW w:w="4261" w:type="dxa"/>
          </w:tcPr>
          <w:p w14:paraId="6598290B" w14:textId="77777777" w:rsidR="00FC1EF8" w:rsidRPr="004A1C60" w:rsidRDefault="00FC1EF8" w:rsidP="00832802">
            <w:pPr>
              <w:spacing w:line="360" w:lineRule="auto"/>
              <w:rPr>
                <w:sz w:val="24"/>
                <w:szCs w:val="24"/>
                <w:lang w:eastAsia="zh-CN"/>
              </w:rPr>
            </w:pPr>
            <w:r w:rsidRPr="004A1C60">
              <w:rPr>
                <w:sz w:val="24"/>
                <w:szCs w:val="24"/>
                <w:lang w:eastAsia="zh-CN"/>
              </w:rPr>
              <w:t>Situated</w:t>
            </w:r>
          </w:p>
        </w:tc>
      </w:tr>
      <w:tr w:rsidR="00FC1EF8" w:rsidRPr="004A1C60" w14:paraId="1D0D773F" w14:textId="77777777" w:rsidTr="00FC1EF8">
        <w:tc>
          <w:tcPr>
            <w:tcW w:w="4261" w:type="dxa"/>
          </w:tcPr>
          <w:p w14:paraId="491C2B00" w14:textId="77777777" w:rsidR="00FC1EF8" w:rsidRPr="004A1C60" w:rsidRDefault="00FC1EF8" w:rsidP="00832802">
            <w:pPr>
              <w:spacing w:line="360" w:lineRule="auto"/>
              <w:rPr>
                <w:sz w:val="24"/>
                <w:szCs w:val="24"/>
                <w:lang w:eastAsia="zh-CN"/>
              </w:rPr>
            </w:pPr>
            <w:r w:rsidRPr="004A1C60">
              <w:rPr>
                <w:sz w:val="24"/>
                <w:szCs w:val="24"/>
                <w:lang w:eastAsia="zh-CN"/>
              </w:rPr>
              <w:t xml:space="preserve">Functional </w:t>
            </w:r>
          </w:p>
        </w:tc>
        <w:tc>
          <w:tcPr>
            <w:tcW w:w="4261" w:type="dxa"/>
          </w:tcPr>
          <w:p w14:paraId="58AA6C66" w14:textId="77777777" w:rsidR="00FC1EF8" w:rsidRPr="004A1C60" w:rsidRDefault="00FC1EF8" w:rsidP="00832802">
            <w:pPr>
              <w:spacing w:line="360" w:lineRule="auto"/>
              <w:rPr>
                <w:sz w:val="24"/>
                <w:szCs w:val="24"/>
                <w:lang w:eastAsia="zh-CN"/>
              </w:rPr>
            </w:pPr>
            <w:r w:rsidRPr="004A1C60">
              <w:rPr>
                <w:sz w:val="24"/>
                <w:szCs w:val="24"/>
                <w:lang w:eastAsia="zh-CN"/>
              </w:rPr>
              <w:t xml:space="preserve">Creative  </w:t>
            </w:r>
          </w:p>
        </w:tc>
      </w:tr>
      <w:tr w:rsidR="00FC1EF8" w:rsidRPr="004A1C60" w14:paraId="7C33CFF8" w14:textId="77777777" w:rsidTr="00FC1EF8">
        <w:tc>
          <w:tcPr>
            <w:tcW w:w="4261" w:type="dxa"/>
          </w:tcPr>
          <w:p w14:paraId="28A47ED6" w14:textId="77777777" w:rsidR="00FC1EF8" w:rsidRPr="004A1C60" w:rsidRDefault="00FC1EF8" w:rsidP="00832802">
            <w:pPr>
              <w:spacing w:line="360" w:lineRule="auto"/>
              <w:rPr>
                <w:sz w:val="24"/>
                <w:szCs w:val="24"/>
                <w:lang w:eastAsia="zh-CN"/>
              </w:rPr>
            </w:pPr>
            <w:r w:rsidRPr="004A1C60">
              <w:rPr>
                <w:sz w:val="24"/>
                <w:szCs w:val="24"/>
                <w:lang w:eastAsia="zh-CN"/>
              </w:rPr>
              <w:t xml:space="preserve">Performative </w:t>
            </w:r>
          </w:p>
        </w:tc>
        <w:tc>
          <w:tcPr>
            <w:tcW w:w="4261" w:type="dxa"/>
          </w:tcPr>
          <w:p w14:paraId="49A28E24" w14:textId="77777777" w:rsidR="00FC1EF8" w:rsidRPr="004A1C60" w:rsidRDefault="00FC1EF8" w:rsidP="00832802">
            <w:pPr>
              <w:spacing w:line="360" w:lineRule="auto"/>
              <w:rPr>
                <w:sz w:val="24"/>
                <w:szCs w:val="24"/>
                <w:lang w:eastAsia="zh-CN"/>
              </w:rPr>
            </w:pPr>
            <w:r w:rsidRPr="004A1C60">
              <w:rPr>
                <w:sz w:val="24"/>
                <w:szCs w:val="24"/>
                <w:lang w:eastAsia="zh-CN"/>
              </w:rPr>
              <w:t xml:space="preserve">Developmental </w:t>
            </w:r>
          </w:p>
        </w:tc>
      </w:tr>
      <w:tr w:rsidR="00FC1EF8" w:rsidRPr="004A1C60" w14:paraId="698C4ECE" w14:textId="77777777" w:rsidTr="00FC1EF8">
        <w:tc>
          <w:tcPr>
            <w:tcW w:w="4261" w:type="dxa"/>
          </w:tcPr>
          <w:p w14:paraId="6ABE5593" w14:textId="77777777" w:rsidR="00FC1EF8" w:rsidRPr="004A1C60" w:rsidRDefault="00FC1EF8" w:rsidP="00832802">
            <w:pPr>
              <w:spacing w:line="360" w:lineRule="auto"/>
              <w:rPr>
                <w:sz w:val="24"/>
                <w:szCs w:val="24"/>
                <w:lang w:eastAsia="zh-CN"/>
              </w:rPr>
            </w:pPr>
            <w:r w:rsidRPr="004A1C60">
              <w:rPr>
                <w:sz w:val="24"/>
                <w:szCs w:val="24"/>
                <w:lang w:eastAsia="zh-CN"/>
              </w:rPr>
              <w:t xml:space="preserve">Fixed </w:t>
            </w:r>
          </w:p>
        </w:tc>
        <w:tc>
          <w:tcPr>
            <w:tcW w:w="4261" w:type="dxa"/>
          </w:tcPr>
          <w:p w14:paraId="22E5EB9B" w14:textId="77777777" w:rsidR="00FC1EF8" w:rsidRPr="004A1C60" w:rsidRDefault="00FC1EF8" w:rsidP="00832802">
            <w:pPr>
              <w:spacing w:line="360" w:lineRule="auto"/>
              <w:rPr>
                <w:sz w:val="24"/>
                <w:szCs w:val="24"/>
                <w:lang w:eastAsia="zh-CN"/>
              </w:rPr>
            </w:pPr>
            <w:r w:rsidRPr="004A1C60">
              <w:rPr>
                <w:sz w:val="24"/>
                <w:szCs w:val="24"/>
                <w:lang w:eastAsia="zh-CN"/>
              </w:rPr>
              <w:t>Fluid</w:t>
            </w:r>
          </w:p>
        </w:tc>
      </w:tr>
      <w:tr w:rsidR="00CC5986" w:rsidRPr="004A1C60" w14:paraId="66B849A6" w14:textId="77777777" w:rsidTr="00FC1EF8">
        <w:tc>
          <w:tcPr>
            <w:tcW w:w="4261" w:type="dxa"/>
          </w:tcPr>
          <w:p w14:paraId="1FFE3521" w14:textId="646C9922" w:rsidR="00CC5986" w:rsidRPr="004A1C60" w:rsidRDefault="00AE1B72" w:rsidP="00832802">
            <w:pPr>
              <w:spacing w:line="360" w:lineRule="auto"/>
              <w:rPr>
                <w:sz w:val="24"/>
                <w:szCs w:val="24"/>
                <w:lang w:eastAsia="zh-CN"/>
              </w:rPr>
            </w:pPr>
            <w:r w:rsidRPr="004A1C60">
              <w:rPr>
                <w:sz w:val="24"/>
                <w:szCs w:val="24"/>
                <w:lang w:eastAsia="zh-CN"/>
              </w:rPr>
              <w:t>A</w:t>
            </w:r>
            <w:r w:rsidR="00447BD3" w:rsidRPr="004A1C60">
              <w:rPr>
                <w:sz w:val="24"/>
                <w:szCs w:val="24"/>
                <w:lang w:eastAsia="zh-CN"/>
              </w:rPr>
              <w:t>-</w:t>
            </w:r>
            <w:r w:rsidR="00CC5986" w:rsidRPr="004A1C60">
              <w:rPr>
                <w:sz w:val="24"/>
                <w:szCs w:val="24"/>
                <w:lang w:eastAsia="zh-CN"/>
              </w:rPr>
              <w:t>historical</w:t>
            </w:r>
          </w:p>
        </w:tc>
        <w:tc>
          <w:tcPr>
            <w:tcW w:w="4261" w:type="dxa"/>
          </w:tcPr>
          <w:p w14:paraId="7648ECFB" w14:textId="5EB35EAC" w:rsidR="00CC5986" w:rsidRPr="004A1C60" w:rsidRDefault="00CC5986" w:rsidP="00832802">
            <w:pPr>
              <w:spacing w:line="360" w:lineRule="auto"/>
              <w:rPr>
                <w:sz w:val="24"/>
                <w:szCs w:val="24"/>
                <w:lang w:eastAsia="zh-CN"/>
              </w:rPr>
            </w:pPr>
            <w:r w:rsidRPr="004A1C60">
              <w:rPr>
                <w:sz w:val="24"/>
                <w:szCs w:val="24"/>
                <w:lang w:eastAsia="zh-CN"/>
              </w:rPr>
              <w:t>Historically situated</w:t>
            </w:r>
          </w:p>
        </w:tc>
      </w:tr>
      <w:tr w:rsidR="00AE1B72" w:rsidRPr="004A1C60" w14:paraId="48B1AFA4" w14:textId="77777777" w:rsidTr="00FC1EF8">
        <w:tc>
          <w:tcPr>
            <w:tcW w:w="4261" w:type="dxa"/>
          </w:tcPr>
          <w:p w14:paraId="36B26D2A" w14:textId="54F4892E" w:rsidR="00AE1B72" w:rsidRPr="004A1C60" w:rsidRDefault="002E4867" w:rsidP="00832802">
            <w:pPr>
              <w:spacing w:line="360" w:lineRule="auto"/>
              <w:rPr>
                <w:sz w:val="24"/>
                <w:szCs w:val="24"/>
                <w:lang w:eastAsia="zh-CN"/>
              </w:rPr>
            </w:pPr>
            <w:r w:rsidRPr="004A1C60">
              <w:rPr>
                <w:sz w:val="24"/>
                <w:szCs w:val="24"/>
                <w:lang w:eastAsia="zh-CN"/>
              </w:rPr>
              <w:t xml:space="preserve">Naturalistic, </w:t>
            </w:r>
            <w:r w:rsidR="00AE1B72" w:rsidRPr="004A1C60">
              <w:rPr>
                <w:sz w:val="24"/>
                <w:szCs w:val="24"/>
                <w:lang w:eastAsia="zh-CN"/>
              </w:rPr>
              <w:t>Humanist subject</w:t>
            </w:r>
          </w:p>
        </w:tc>
        <w:tc>
          <w:tcPr>
            <w:tcW w:w="4261" w:type="dxa"/>
          </w:tcPr>
          <w:p w14:paraId="7612C237" w14:textId="3EE9CB0D" w:rsidR="00AE1B72" w:rsidRPr="004A1C60" w:rsidRDefault="002E4867" w:rsidP="00832802">
            <w:pPr>
              <w:spacing w:line="360" w:lineRule="auto"/>
              <w:rPr>
                <w:sz w:val="24"/>
                <w:szCs w:val="24"/>
                <w:lang w:eastAsia="zh-CN"/>
              </w:rPr>
            </w:pPr>
            <w:r w:rsidRPr="004A1C60">
              <w:rPr>
                <w:sz w:val="24"/>
                <w:szCs w:val="24"/>
                <w:lang w:eastAsia="zh-CN"/>
              </w:rPr>
              <w:t>Ontological subject</w:t>
            </w:r>
          </w:p>
        </w:tc>
      </w:tr>
      <w:tr w:rsidR="00551C6C" w:rsidRPr="004A1C60" w14:paraId="727FB346" w14:textId="77777777" w:rsidTr="00FC1EF8">
        <w:tc>
          <w:tcPr>
            <w:tcW w:w="4261" w:type="dxa"/>
          </w:tcPr>
          <w:p w14:paraId="565F23C5" w14:textId="49695E06" w:rsidR="00551C6C" w:rsidRPr="004A1C60" w:rsidRDefault="00551C6C" w:rsidP="00832802">
            <w:pPr>
              <w:spacing w:line="360" w:lineRule="auto"/>
              <w:rPr>
                <w:sz w:val="24"/>
                <w:szCs w:val="24"/>
                <w:lang w:eastAsia="zh-CN"/>
              </w:rPr>
            </w:pPr>
            <w:r w:rsidRPr="004A1C60">
              <w:rPr>
                <w:sz w:val="24"/>
                <w:szCs w:val="24"/>
                <w:lang w:eastAsia="zh-CN"/>
              </w:rPr>
              <w:t>Neoliberal driver</w:t>
            </w:r>
          </w:p>
        </w:tc>
        <w:tc>
          <w:tcPr>
            <w:tcW w:w="4261" w:type="dxa"/>
          </w:tcPr>
          <w:p w14:paraId="1AEC337B" w14:textId="0A28614A" w:rsidR="00551C6C" w:rsidRPr="004A1C60" w:rsidRDefault="00551C6C" w:rsidP="00832802">
            <w:pPr>
              <w:spacing w:line="360" w:lineRule="auto"/>
              <w:rPr>
                <w:sz w:val="24"/>
                <w:szCs w:val="24"/>
                <w:lang w:eastAsia="zh-CN"/>
              </w:rPr>
            </w:pPr>
            <w:r w:rsidRPr="004A1C60">
              <w:rPr>
                <w:sz w:val="24"/>
                <w:szCs w:val="24"/>
                <w:lang w:eastAsia="zh-CN"/>
              </w:rPr>
              <w:t>Social justice impulse</w:t>
            </w:r>
          </w:p>
        </w:tc>
      </w:tr>
      <w:tr w:rsidR="00523D8B" w:rsidRPr="004A1C60" w14:paraId="40E20ECE" w14:textId="77777777" w:rsidTr="00FC1EF8">
        <w:tc>
          <w:tcPr>
            <w:tcW w:w="4261" w:type="dxa"/>
          </w:tcPr>
          <w:p w14:paraId="30555650" w14:textId="3B5ECF33" w:rsidR="00523D8B" w:rsidRPr="004A1C60" w:rsidRDefault="00523D8B" w:rsidP="00832802">
            <w:pPr>
              <w:spacing w:line="360" w:lineRule="auto"/>
              <w:rPr>
                <w:sz w:val="24"/>
                <w:szCs w:val="24"/>
                <w:lang w:eastAsia="zh-CN"/>
              </w:rPr>
            </w:pPr>
            <w:r w:rsidRPr="004A1C60">
              <w:rPr>
                <w:sz w:val="24"/>
                <w:szCs w:val="24"/>
                <w:lang w:eastAsia="zh-CN"/>
              </w:rPr>
              <w:lastRenderedPageBreak/>
              <w:t>Critical incidents</w:t>
            </w:r>
          </w:p>
        </w:tc>
        <w:tc>
          <w:tcPr>
            <w:tcW w:w="4261" w:type="dxa"/>
          </w:tcPr>
          <w:p w14:paraId="54DD17AC" w14:textId="3F3FB39D" w:rsidR="00523D8B" w:rsidRPr="004A1C60" w:rsidRDefault="00523D8B" w:rsidP="00832802">
            <w:pPr>
              <w:spacing w:line="360" w:lineRule="auto"/>
              <w:rPr>
                <w:sz w:val="24"/>
                <w:szCs w:val="24"/>
                <w:lang w:eastAsia="zh-CN"/>
              </w:rPr>
            </w:pPr>
            <w:r w:rsidRPr="004A1C60">
              <w:rPr>
                <w:sz w:val="24"/>
                <w:szCs w:val="24"/>
                <w:lang w:eastAsia="zh-CN"/>
              </w:rPr>
              <w:t>Hot Spots</w:t>
            </w:r>
          </w:p>
        </w:tc>
      </w:tr>
    </w:tbl>
    <w:p w14:paraId="475A94C2" w14:textId="77777777" w:rsidR="00FC1EF8" w:rsidRPr="004A1C60" w:rsidRDefault="00FC1EF8" w:rsidP="00832802">
      <w:pPr>
        <w:spacing w:after="0" w:line="360" w:lineRule="auto"/>
        <w:rPr>
          <w:rFonts w:ascii="Times New Roman" w:hAnsi="Times New Roman" w:cs="Times New Roman"/>
          <w:sz w:val="24"/>
          <w:szCs w:val="24"/>
          <w:lang w:eastAsia="zh-CN"/>
        </w:rPr>
      </w:pPr>
    </w:p>
    <w:p w14:paraId="7909B58F" w14:textId="1484D517" w:rsidR="00FC1EF8" w:rsidRPr="004A1C60" w:rsidRDefault="00AF2323" w:rsidP="00832802">
      <w:pPr>
        <w:spacing w:after="0" w:line="360" w:lineRule="auto"/>
        <w:rPr>
          <w:rFonts w:ascii="Times New Roman" w:hAnsi="Times New Roman" w:cs="Times New Roman"/>
          <w:sz w:val="24"/>
          <w:szCs w:val="24"/>
          <w:lang w:eastAsia="zh-CN"/>
        </w:rPr>
      </w:pPr>
      <w:r w:rsidRPr="004A1C60">
        <w:rPr>
          <w:rFonts w:ascii="Times New Roman" w:hAnsi="Times New Roman" w:cs="Times New Roman"/>
          <w:sz w:val="24"/>
          <w:szCs w:val="24"/>
          <w:lang w:eastAsia="zh-CN"/>
        </w:rPr>
        <w:t xml:space="preserve">Fig. 2 </w:t>
      </w:r>
      <w:r w:rsidR="007D7322" w:rsidRPr="004A1C60">
        <w:rPr>
          <w:rFonts w:ascii="Times New Roman" w:hAnsi="Times New Roman" w:cs="Times New Roman"/>
          <w:sz w:val="24"/>
          <w:szCs w:val="24"/>
          <w:lang w:eastAsia="zh-CN"/>
        </w:rPr>
        <w:t xml:space="preserve">Paradigm driven </w:t>
      </w:r>
      <w:r w:rsidR="007C6F3E" w:rsidRPr="004A1C60">
        <w:rPr>
          <w:rFonts w:ascii="Times New Roman" w:hAnsi="Times New Roman" w:cs="Times New Roman"/>
          <w:sz w:val="24"/>
          <w:szCs w:val="24"/>
          <w:lang w:eastAsia="zh-CN"/>
        </w:rPr>
        <w:t>ways of ‘doing’ and ‘knowing’</w:t>
      </w:r>
    </w:p>
    <w:tbl>
      <w:tblPr>
        <w:tblStyle w:val="TableGrid"/>
        <w:tblW w:w="0" w:type="auto"/>
        <w:tblLook w:val="04A0" w:firstRow="1" w:lastRow="0" w:firstColumn="1" w:lastColumn="0" w:noHBand="0" w:noVBand="1"/>
      </w:tblPr>
      <w:tblGrid>
        <w:gridCol w:w="4261"/>
        <w:gridCol w:w="4261"/>
      </w:tblGrid>
      <w:tr w:rsidR="00FC1EF8" w:rsidRPr="004A1C60" w14:paraId="4ABDE360" w14:textId="77777777" w:rsidTr="00FC1EF8">
        <w:tc>
          <w:tcPr>
            <w:tcW w:w="4261" w:type="dxa"/>
          </w:tcPr>
          <w:p w14:paraId="18C8FEEC" w14:textId="77777777" w:rsidR="007D7322" w:rsidRPr="004A1C60" w:rsidRDefault="00443A3B" w:rsidP="00832802">
            <w:pPr>
              <w:spacing w:line="360" w:lineRule="auto"/>
              <w:rPr>
                <w:b/>
                <w:sz w:val="24"/>
                <w:szCs w:val="24"/>
                <w:lang w:eastAsia="zh-CN"/>
              </w:rPr>
            </w:pPr>
            <w:r w:rsidRPr="004A1C60">
              <w:rPr>
                <w:b/>
                <w:sz w:val="24"/>
                <w:szCs w:val="24"/>
                <w:lang w:eastAsia="zh-CN"/>
              </w:rPr>
              <w:t xml:space="preserve">Dominant </w:t>
            </w:r>
          </w:p>
          <w:p w14:paraId="04871C0C" w14:textId="6647CE2E" w:rsidR="00FC1EF8" w:rsidRPr="004A1C60" w:rsidRDefault="00FC1EF8" w:rsidP="00832802">
            <w:pPr>
              <w:spacing w:line="360" w:lineRule="auto"/>
              <w:rPr>
                <w:b/>
                <w:sz w:val="24"/>
                <w:szCs w:val="24"/>
                <w:lang w:eastAsia="zh-CN"/>
              </w:rPr>
            </w:pPr>
          </w:p>
        </w:tc>
        <w:tc>
          <w:tcPr>
            <w:tcW w:w="4261" w:type="dxa"/>
          </w:tcPr>
          <w:p w14:paraId="4E4BBDD1" w14:textId="6F0ADBF3" w:rsidR="00FC1EF8" w:rsidRPr="004A1C60" w:rsidRDefault="00EB7EC3" w:rsidP="00516900">
            <w:pPr>
              <w:spacing w:line="360" w:lineRule="auto"/>
              <w:rPr>
                <w:b/>
                <w:sz w:val="24"/>
                <w:szCs w:val="24"/>
                <w:lang w:eastAsia="zh-CN"/>
              </w:rPr>
            </w:pPr>
            <w:r w:rsidRPr="004A1C60">
              <w:rPr>
                <w:b/>
                <w:sz w:val="24"/>
                <w:szCs w:val="24"/>
                <w:lang w:eastAsia="zh-CN"/>
              </w:rPr>
              <w:t xml:space="preserve">L4E </w:t>
            </w:r>
          </w:p>
        </w:tc>
      </w:tr>
      <w:tr w:rsidR="00FC1EF8" w:rsidRPr="004A1C60" w14:paraId="2AC89AF8" w14:textId="77777777" w:rsidTr="00FC1EF8">
        <w:tc>
          <w:tcPr>
            <w:tcW w:w="4261" w:type="dxa"/>
          </w:tcPr>
          <w:p w14:paraId="71C8BBA7" w14:textId="77777777" w:rsidR="00FC1EF8" w:rsidRPr="004A1C60" w:rsidRDefault="00FC1EF8" w:rsidP="00832802">
            <w:pPr>
              <w:spacing w:line="360" w:lineRule="auto"/>
              <w:rPr>
                <w:sz w:val="24"/>
                <w:szCs w:val="24"/>
                <w:lang w:eastAsia="zh-CN"/>
              </w:rPr>
            </w:pPr>
            <w:r w:rsidRPr="004A1C60">
              <w:rPr>
                <w:sz w:val="24"/>
                <w:szCs w:val="24"/>
                <w:lang w:eastAsia="zh-CN"/>
              </w:rPr>
              <w:t xml:space="preserve">Linear </w:t>
            </w:r>
          </w:p>
        </w:tc>
        <w:tc>
          <w:tcPr>
            <w:tcW w:w="4261" w:type="dxa"/>
          </w:tcPr>
          <w:p w14:paraId="3CD3F772" w14:textId="77777777" w:rsidR="00FC1EF8" w:rsidRPr="004A1C60" w:rsidRDefault="00FC1EF8" w:rsidP="00832802">
            <w:pPr>
              <w:spacing w:line="360" w:lineRule="auto"/>
              <w:rPr>
                <w:sz w:val="24"/>
                <w:szCs w:val="24"/>
                <w:lang w:eastAsia="zh-CN"/>
              </w:rPr>
            </w:pPr>
            <w:r w:rsidRPr="004A1C60">
              <w:rPr>
                <w:sz w:val="24"/>
                <w:szCs w:val="24"/>
                <w:lang w:eastAsia="zh-CN"/>
              </w:rPr>
              <w:t>Rhizomic</w:t>
            </w:r>
          </w:p>
        </w:tc>
      </w:tr>
      <w:tr w:rsidR="00FC1EF8" w:rsidRPr="004A1C60" w14:paraId="2FDE6D95" w14:textId="77777777" w:rsidTr="00FC1EF8">
        <w:tc>
          <w:tcPr>
            <w:tcW w:w="4261" w:type="dxa"/>
          </w:tcPr>
          <w:p w14:paraId="6CEDEBAA" w14:textId="77777777" w:rsidR="00FC1EF8" w:rsidRPr="004A1C60" w:rsidRDefault="00FC1EF8" w:rsidP="00832802">
            <w:pPr>
              <w:spacing w:line="360" w:lineRule="auto"/>
              <w:rPr>
                <w:sz w:val="24"/>
                <w:szCs w:val="24"/>
                <w:lang w:eastAsia="zh-CN"/>
              </w:rPr>
            </w:pPr>
            <w:r w:rsidRPr="004A1C60">
              <w:rPr>
                <w:sz w:val="24"/>
                <w:szCs w:val="24"/>
                <w:lang w:eastAsia="zh-CN"/>
              </w:rPr>
              <w:t xml:space="preserve">Quality led </w:t>
            </w:r>
          </w:p>
        </w:tc>
        <w:tc>
          <w:tcPr>
            <w:tcW w:w="4261" w:type="dxa"/>
          </w:tcPr>
          <w:p w14:paraId="7E76D536" w14:textId="77777777" w:rsidR="00FC1EF8" w:rsidRPr="004A1C60" w:rsidRDefault="00FC1EF8" w:rsidP="00832802">
            <w:pPr>
              <w:spacing w:line="360" w:lineRule="auto"/>
              <w:rPr>
                <w:sz w:val="24"/>
                <w:szCs w:val="24"/>
                <w:lang w:eastAsia="zh-CN"/>
              </w:rPr>
            </w:pPr>
            <w:r w:rsidRPr="004A1C60">
              <w:rPr>
                <w:sz w:val="24"/>
                <w:szCs w:val="24"/>
                <w:lang w:eastAsia="zh-CN"/>
              </w:rPr>
              <w:t xml:space="preserve">Experiential </w:t>
            </w:r>
          </w:p>
        </w:tc>
      </w:tr>
      <w:tr w:rsidR="00FC1EF8" w:rsidRPr="004A1C60" w14:paraId="008F132F" w14:textId="77777777" w:rsidTr="00FC1EF8">
        <w:tc>
          <w:tcPr>
            <w:tcW w:w="4261" w:type="dxa"/>
          </w:tcPr>
          <w:p w14:paraId="031EB570" w14:textId="77777777" w:rsidR="00FC1EF8" w:rsidRPr="004A1C60" w:rsidRDefault="00FC1EF8" w:rsidP="00832802">
            <w:pPr>
              <w:spacing w:line="360" w:lineRule="auto"/>
              <w:rPr>
                <w:sz w:val="24"/>
                <w:szCs w:val="24"/>
                <w:lang w:eastAsia="zh-CN"/>
              </w:rPr>
            </w:pPr>
            <w:r w:rsidRPr="004A1C60">
              <w:rPr>
                <w:sz w:val="24"/>
                <w:szCs w:val="24"/>
                <w:lang w:eastAsia="zh-CN"/>
              </w:rPr>
              <w:t>Product focussed</w:t>
            </w:r>
          </w:p>
        </w:tc>
        <w:tc>
          <w:tcPr>
            <w:tcW w:w="4261" w:type="dxa"/>
          </w:tcPr>
          <w:p w14:paraId="4C234807" w14:textId="77777777" w:rsidR="00FC1EF8" w:rsidRPr="004A1C60" w:rsidRDefault="00FC1EF8" w:rsidP="00832802">
            <w:pPr>
              <w:spacing w:line="360" w:lineRule="auto"/>
              <w:rPr>
                <w:sz w:val="24"/>
                <w:szCs w:val="24"/>
                <w:lang w:eastAsia="zh-CN"/>
              </w:rPr>
            </w:pPr>
            <w:r w:rsidRPr="004A1C60">
              <w:rPr>
                <w:sz w:val="24"/>
                <w:szCs w:val="24"/>
                <w:lang w:eastAsia="zh-CN"/>
              </w:rPr>
              <w:t xml:space="preserve">Process based </w:t>
            </w:r>
          </w:p>
        </w:tc>
      </w:tr>
      <w:tr w:rsidR="00FC1EF8" w:rsidRPr="004A1C60" w14:paraId="2080286E" w14:textId="77777777" w:rsidTr="00FC1EF8">
        <w:tc>
          <w:tcPr>
            <w:tcW w:w="4261" w:type="dxa"/>
          </w:tcPr>
          <w:p w14:paraId="0BDFA601" w14:textId="77777777" w:rsidR="00FC1EF8" w:rsidRPr="004A1C60" w:rsidRDefault="00FC1EF8" w:rsidP="00832802">
            <w:pPr>
              <w:spacing w:line="360" w:lineRule="auto"/>
              <w:rPr>
                <w:sz w:val="24"/>
                <w:szCs w:val="24"/>
                <w:lang w:eastAsia="zh-CN"/>
              </w:rPr>
            </w:pPr>
            <w:r w:rsidRPr="004A1C60">
              <w:rPr>
                <w:sz w:val="24"/>
                <w:szCs w:val="24"/>
                <w:lang w:eastAsia="zh-CN"/>
              </w:rPr>
              <w:t xml:space="preserve">Norm referenced </w:t>
            </w:r>
          </w:p>
        </w:tc>
        <w:tc>
          <w:tcPr>
            <w:tcW w:w="4261" w:type="dxa"/>
          </w:tcPr>
          <w:p w14:paraId="1DF0231F" w14:textId="77777777" w:rsidR="00FC1EF8" w:rsidRPr="004A1C60" w:rsidRDefault="00FC1EF8" w:rsidP="00832802">
            <w:pPr>
              <w:spacing w:line="360" w:lineRule="auto"/>
              <w:rPr>
                <w:sz w:val="24"/>
                <w:szCs w:val="24"/>
                <w:lang w:eastAsia="zh-CN"/>
              </w:rPr>
            </w:pPr>
            <w:r w:rsidRPr="004A1C60">
              <w:rPr>
                <w:sz w:val="24"/>
                <w:szCs w:val="24"/>
                <w:lang w:eastAsia="zh-CN"/>
              </w:rPr>
              <w:t xml:space="preserve">Relative </w:t>
            </w:r>
          </w:p>
        </w:tc>
      </w:tr>
      <w:tr w:rsidR="00FC1EF8" w:rsidRPr="004A1C60" w14:paraId="58796D37" w14:textId="77777777" w:rsidTr="00FC1EF8">
        <w:tc>
          <w:tcPr>
            <w:tcW w:w="4261" w:type="dxa"/>
          </w:tcPr>
          <w:p w14:paraId="6F9BBCB7" w14:textId="77777777" w:rsidR="00FC1EF8" w:rsidRPr="004A1C60" w:rsidRDefault="00FC1EF8" w:rsidP="00832802">
            <w:pPr>
              <w:spacing w:line="360" w:lineRule="auto"/>
              <w:rPr>
                <w:sz w:val="24"/>
                <w:szCs w:val="24"/>
                <w:lang w:eastAsia="zh-CN"/>
              </w:rPr>
            </w:pPr>
            <w:r w:rsidRPr="004A1C60">
              <w:rPr>
                <w:sz w:val="24"/>
                <w:szCs w:val="24"/>
                <w:lang w:eastAsia="zh-CN"/>
              </w:rPr>
              <w:t>Individual</w:t>
            </w:r>
          </w:p>
        </w:tc>
        <w:tc>
          <w:tcPr>
            <w:tcW w:w="4261" w:type="dxa"/>
          </w:tcPr>
          <w:p w14:paraId="44A3BC3E" w14:textId="77777777" w:rsidR="00FC1EF8" w:rsidRPr="004A1C60" w:rsidRDefault="00FC1EF8" w:rsidP="00832802">
            <w:pPr>
              <w:spacing w:line="360" w:lineRule="auto"/>
              <w:rPr>
                <w:sz w:val="24"/>
                <w:szCs w:val="24"/>
                <w:lang w:eastAsia="zh-CN"/>
              </w:rPr>
            </w:pPr>
            <w:r w:rsidRPr="004A1C60">
              <w:rPr>
                <w:sz w:val="24"/>
                <w:szCs w:val="24"/>
                <w:lang w:eastAsia="zh-CN"/>
              </w:rPr>
              <w:t xml:space="preserve">Social </w:t>
            </w:r>
          </w:p>
        </w:tc>
      </w:tr>
      <w:tr w:rsidR="00FC1EF8" w:rsidRPr="004A1C60" w14:paraId="5E76ECE6" w14:textId="77777777" w:rsidTr="00FC1EF8">
        <w:tc>
          <w:tcPr>
            <w:tcW w:w="4261" w:type="dxa"/>
          </w:tcPr>
          <w:p w14:paraId="455FB6E4" w14:textId="77777777" w:rsidR="00FC1EF8" w:rsidRPr="004A1C60" w:rsidRDefault="00FC1EF8" w:rsidP="00832802">
            <w:pPr>
              <w:spacing w:line="360" w:lineRule="auto"/>
              <w:rPr>
                <w:sz w:val="24"/>
                <w:szCs w:val="24"/>
                <w:lang w:eastAsia="zh-CN"/>
              </w:rPr>
            </w:pPr>
            <w:r w:rsidRPr="004A1C60">
              <w:rPr>
                <w:sz w:val="24"/>
                <w:szCs w:val="24"/>
                <w:lang w:eastAsia="zh-CN"/>
              </w:rPr>
              <w:t>Generic</w:t>
            </w:r>
          </w:p>
        </w:tc>
        <w:tc>
          <w:tcPr>
            <w:tcW w:w="4261" w:type="dxa"/>
          </w:tcPr>
          <w:p w14:paraId="03F80F7D" w14:textId="77777777" w:rsidR="00FC1EF8" w:rsidRPr="004A1C60" w:rsidRDefault="00FC1EF8" w:rsidP="00832802">
            <w:pPr>
              <w:spacing w:line="360" w:lineRule="auto"/>
              <w:rPr>
                <w:sz w:val="24"/>
                <w:szCs w:val="24"/>
                <w:lang w:eastAsia="zh-CN"/>
              </w:rPr>
            </w:pPr>
            <w:r w:rsidRPr="004A1C60">
              <w:rPr>
                <w:sz w:val="24"/>
                <w:szCs w:val="24"/>
                <w:lang w:eastAsia="zh-CN"/>
              </w:rPr>
              <w:t xml:space="preserve">Context-bound </w:t>
            </w:r>
          </w:p>
        </w:tc>
      </w:tr>
      <w:tr w:rsidR="00FC1EF8" w:rsidRPr="004A1C60" w14:paraId="45E40AD7" w14:textId="77777777" w:rsidTr="00FC1EF8">
        <w:tc>
          <w:tcPr>
            <w:tcW w:w="4261" w:type="dxa"/>
          </w:tcPr>
          <w:p w14:paraId="136B2021" w14:textId="77777777" w:rsidR="00FC1EF8" w:rsidRPr="004A1C60" w:rsidRDefault="00FC1EF8" w:rsidP="00832802">
            <w:pPr>
              <w:spacing w:line="360" w:lineRule="auto"/>
              <w:rPr>
                <w:sz w:val="24"/>
                <w:szCs w:val="24"/>
                <w:lang w:eastAsia="zh-CN"/>
              </w:rPr>
            </w:pPr>
            <w:r w:rsidRPr="004A1C60">
              <w:rPr>
                <w:sz w:val="24"/>
                <w:szCs w:val="24"/>
                <w:lang w:eastAsia="zh-CN"/>
              </w:rPr>
              <w:t xml:space="preserve">Individual </w:t>
            </w:r>
          </w:p>
        </w:tc>
        <w:tc>
          <w:tcPr>
            <w:tcW w:w="4261" w:type="dxa"/>
          </w:tcPr>
          <w:p w14:paraId="0FBC4D09" w14:textId="77777777" w:rsidR="00FC1EF8" w:rsidRPr="004A1C60" w:rsidRDefault="00FC1EF8" w:rsidP="00832802">
            <w:pPr>
              <w:spacing w:line="360" w:lineRule="auto"/>
              <w:rPr>
                <w:sz w:val="24"/>
                <w:szCs w:val="24"/>
                <w:lang w:eastAsia="zh-CN"/>
              </w:rPr>
            </w:pPr>
            <w:r w:rsidRPr="004A1C60">
              <w:rPr>
                <w:sz w:val="24"/>
                <w:szCs w:val="24"/>
                <w:lang w:eastAsia="zh-CN"/>
              </w:rPr>
              <w:t xml:space="preserve">Collaborative </w:t>
            </w:r>
          </w:p>
        </w:tc>
      </w:tr>
      <w:tr w:rsidR="00FC1EF8" w:rsidRPr="004A1C60" w14:paraId="68D0DE1E" w14:textId="77777777" w:rsidTr="00FC1EF8">
        <w:tc>
          <w:tcPr>
            <w:tcW w:w="4261" w:type="dxa"/>
          </w:tcPr>
          <w:p w14:paraId="5880B943" w14:textId="77777777" w:rsidR="00FC1EF8" w:rsidRPr="004A1C60" w:rsidRDefault="00FC1EF8" w:rsidP="00832802">
            <w:pPr>
              <w:spacing w:line="360" w:lineRule="auto"/>
              <w:rPr>
                <w:sz w:val="24"/>
                <w:szCs w:val="24"/>
                <w:lang w:eastAsia="zh-CN"/>
              </w:rPr>
            </w:pPr>
            <w:r w:rsidRPr="004A1C60">
              <w:rPr>
                <w:sz w:val="24"/>
                <w:szCs w:val="24"/>
                <w:lang w:eastAsia="zh-CN"/>
              </w:rPr>
              <w:t>External</w:t>
            </w:r>
          </w:p>
        </w:tc>
        <w:tc>
          <w:tcPr>
            <w:tcW w:w="4261" w:type="dxa"/>
          </w:tcPr>
          <w:p w14:paraId="5D503367" w14:textId="77777777" w:rsidR="00FC1EF8" w:rsidRPr="004A1C60" w:rsidRDefault="00FC1EF8" w:rsidP="00832802">
            <w:pPr>
              <w:spacing w:line="360" w:lineRule="auto"/>
              <w:rPr>
                <w:sz w:val="24"/>
                <w:szCs w:val="24"/>
                <w:lang w:eastAsia="zh-CN"/>
              </w:rPr>
            </w:pPr>
            <w:r w:rsidRPr="004A1C60">
              <w:rPr>
                <w:sz w:val="24"/>
                <w:szCs w:val="24"/>
                <w:lang w:eastAsia="zh-CN"/>
              </w:rPr>
              <w:t>Embedded</w:t>
            </w:r>
          </w:p>
        </w:tc>
      </w:tr>
      <w:tr w:rsidR="00FC1EF8" w:rsidRPr="004A1C60" w14:paraId="2580D267" w14:textId="77777777" w:rsidTr="00FC1EF8">
        <w:tc>
          <w:tcPr>
            <w:tcW w:w="4261" w:type="dxa"/>
          </w:tcPr>
          <w:p w14:paraId="2FE60DB9" w14:textId="77777777" w:rsidR="00FC1EF8" w:rsidRPr="004A1C60" w:rsidRDefault="00FC1EF8" w:rsidP="00832802">
            <w:pPr>
              <w:spacing w:line="360" w:lineRule="auto"/>
              <w:rPr>
                <w:sz w:val="24"/>
                <w:szCs w:val="24"/>
                <w:lang w:eastAsia="zh-CN"/>
              </w:rPr>
            </w:pPr>
            <w:r w:rsidRPr="004A1C60">
              <w:rPr>
                <w:sz w:val="24"/>
                <w:szCs w:val="24"/>
                <w:lang w:eastAsia="zh-CN"/>
              </w:rPr>
              <w:t xml:space="preserve">Deficit/repair model </w:t>
            </w:r>
          </w:p>
        </w:tc>
        <w:tc>
          <w:tcPr>
            <w:tcW w:w="4261" w:type="dxa"/>
          </w:tcPr>
          <w:p w14:paraId="27A95078" w14:textId="77777777" w:rsidR="00FC1EF8" w:rsidRPr="004A1C60" w:rsidRDefault="00FC1EF8" w:rsidP="00832802">
            <w:pPr>
              <w:spacing w:line="360" w:lineRule="auto"/>
              <w:rPr>
                <w:sz w:val="24"/>
                <w:szCs w:val="24"/>
                <w:lang w:eastAsia="zh-CN"/>
              </w:rPr>
            </w:pPr>
            <w:r w:rsidRPr="004A1C60">
              <w:rPr>
                <w:sz w:val="24"/>
                <w:szCs w:val="24"/>
                <w:lang w:eastAsia="zh-CN"/>
              </w:rPr>
              <w:t>Holistic/open-ended</w:t>
            </w:r>
          </w:p>
        </w:tc>
      </w:tr>
      <w:tr w:rsidR="00E02AE0" w:rsidRPr="004A1C60" w14:paraId="1EFB8B1A" w14:textId="77777777" w:rsidTr="00FC1EF8">
        <w:tc>
          <w:tcPr>
            <w:tcW w:w="4261" w:type="dxa"/>
          </w:tcPr>
          <w:p w14:paraId="1BF7ABDA" w14:textId="651A8EC8" w:rsidR="00E02AE0" w:rsidRPr="004A1C60" w:rsidRDefault="005B302C" w:rsidP="00832802">
            <w:pPr>
              <w:spacing w:line="360" w:lineRule="auto"/>
              <w:rPr>
                <w:sz w:val="24"/>
                <w:szCs w:val="24"/>
                <w:lang w:eastAsia="zh-CN"/>
              </w:rPr>
            </w:pPr>
            <w:r w:rsidRPr="004A1C60">
              <w:rPr>
                <w:sz w:val="24"/>
                <w:szCs w:val="24"/>
                <w:lang w:eastAsia="zh-CN"/>
              </w:rPr>
              <w:t>Acquisitional</w:t>
            </w:r>
          </w:p>
        </w:tc>
        <w:tc>
          <w:tcPr>
            <w:tcW w:w="4261" w:type="dxa"/>
          </w:tcPr>
          <w:p w14:paraId="07889CFF" w14:textId="2BB81686" w:rsidR="00E02AE0" w:rsidRPr="004A1C60" w:rsidRDefault="005B302C" w:rsidP="00832802">
            <w:pPr>
              <w:spacing w:line="360" w:lineRule="auto"/>
              <w:rPr>
                <w:sz w:val="24"/>
                <w:szCs w:val="24"/>
                <w:lang w:eastAsia="zh-CN"/>
              </w:rPr>
            </w:pPr>
            <w:r w:rsidRPr="004A1C60">
              <w:rPr>
                <w:sz w:val="24"/>
                <w:szCs w:val="24"/>
                <w:lang w:eastAsia="zh-CN"/>
              </w:rPr>
              <w:t>Embedded</w:t>
            </w:r>
          </w:p>
        </w:tc>
      </w:tr>
      <w:tr w:rsidR="0001317C" w:rsidRPr="004A1C60" w14:paraId="411BF331" w14:textId="77777777" w:rsidTr="00FC1EF8">
        <w:tc>
          <w:tcPr>
            <w:tcW w:w="4261" w:type="dxa"/>
          </w:tcPr>
          <w:p w14:paraId="79A1FAA9" w14:textId="1F1146F3" w:rsidR="0001317C" w:rsidRPr="004A1C60" w:rsidRDefault="00112FAB" w:rsidP="00832802">
            <w:pPr>
              <w:spacing w:line="360" w:lineRule="auto"/>
              <w:rPr>
                <w:sz w:val="24"/>
                <w:szCs w:val="24"/>
                <w:lang w:eastAsia="zh-CN"/>
              </w:rPr>
            </w:pPr>
            <w:r w:rsidRPr="004A1C60">
              <w:rPr>
                <w:sz w:val="24"/>
                <w:szCs w:val="24"/>
                <w:lang w:eastAsia="zh-CN"/>
              </w:rPr>
              <w:t>R</w:t>
            </w:r>
            <w:r w:rsidR="004C0087" w:rsidRPr="004A1C60">
              <w:rPr>
                <w:sz w:val="24"/>
                <w:szCs w:val="24"/>
                <w:lang w:eastAsia="zh-CN"/>
              </w:rPr>
              <w:t>eflective</w:t>
            </w:r>
          </w:p>
        </w:tc>
        <w:tc>
          <w:tcPr>
            <w:tcW w:w="4261" w:type="dxa"/>
          </w:tcPr>
          <w:p w14:paraId="561A1171" w14:textId="26733271" w:rsidR="0001317C" w:rsidRPr="004A1C60" w:rsidRDefault="00112FAB" w:rsidP="00832802">
            <w:pPr>
              <w:spacing w:line="360" w:lineRule="auto"/>
              <w:rPr>
                <w:sz w:val="24"/>
                <w:szCs w:val="24"/>
                <w:lang w:eastAsia="zh-CN"/>
              </w:rPr>
            </w:pPr>
            <w:r w:rsidRPr="004A1C60">
              <w:rPr>
                <w:sz w:val="24"/>
                <w:szCs w:val="24"/>
                <w:lang w:eastAsia="zh-CN"/>
              </w:rPr>
              <w:t>R</w:t>
            </w:r>
            <w:r w:rsidR="004C0087" w:rsidRPr="004A1C60">
              <w:rPr>
                <w:sz w:val="24"/>
                <w:szCs w:val="24"/>
                <w:lang w:eastAsia="zh-CN"/>
              </w:rPr>
              <w:t>eflexive</w:t>
            </w:r>
          </w:p>
        </w:tc>
      </w:tr>
    </w:tbl>
    <w:p w14:paraId="0EA4E04F" w14:textId="77777777" w:rsidR="00516900" w:rsidRPr="004A1C60" w:rsidRDefault="00516900" w:rsidP="00832802">
      <w:pPr>
        <w:widowControl w:val="0"/>
        <w:autoSpaceDE w:val="0"/>
        <w:autoSpaceDN w:val="0"/>
        <w:adjustRightInd w:val="0"/>
        <w:spacing w:line="360" w:lineRule="auto"/>
        <w:rPr>
          <w:rFonts w:ascii="Times New Roman" w:hAnsi="Times New Roman" w:cs="Times New Roman"/>
          <w:sz w:val="24"/>
          <w:szCs w:val="24"/>
        </w:rPr>
      </w:pPr>
    </w:p>
    <w:p w14:paraId="5B790954" w14:textId="2C88EDFC" w:rsidR="00CE72DB" w:rsidRPr="004A1C60" w:rsidRDefault="00516900" w:rsidP="00832802">
      <w:pPr>
        <w:widowControl w:val="0"/>
        <w:autoSpaceDE w:val="0"/>
        <w:autoSpaceDN w:val="0"/>
        <w:adjustRightInd w:val="0"/>
        <w:spacing w:line="360" w:lineRule="auto"/>
        <w:rPr>
          <w:rFonts w:ascii="Times New Roman" w:hAnsi="Times New Roman" w:cs="Times New Roman"/>
          <w:kern w:val="1"/>
          <w:sz w:val="24"/>
          <w:szCs w:val="24"/>
        </w:rPr>
      </w:pPr>
      <w:r w:rsidRPr="004A1C60">
        <w:rPr>
          <w:rFonts w:ascii="Times New Roman" w:hAnsi="Times New Roman" w:cs="Times New Roman"/>
          <w:sz w:val="24"/>
          <w:szCs w:val="24"/>
        </w:rPr>
        <w:t>As figure 1 illustrates a</w:t>
      </w:r>
      <w:r w:rsidR="00FC1EF8" w:rsidRPr="004A1C60">
        <w:rPr>
          <w:rFonts w:ascii="Times New Roman" w:hAnsi="Times New Roman" w:cs="Times New Roman"/>
          <w:sz w:val="24"/>
          <w:szCs w:val="24"/>
        </w:rPr>
        <w:t xml:space="preserve"> </w:t>
      </w:r>
      <w:r w:rsidR="00443A3B" w:rsidRPr="004A1C60">
        <w:rPr>
          <w:rFonts w:ascii="Times New Roman" w:hAnsi="Times New Roman" w:cs="Times New Roman"/>
          <w:sz w:val="24"/>
          <w:szCs w:val="24"/>
        </w:rPr>
        <w:t xml:space="preserve">dominant </w:t>
      </w:r>
      <w:r w:rsidR="007D7322" w:rsidRPr="004A1C60">
        <w:rPr>
          <w:rFonts w:ascii="Times New Roman" w:hAnsi="Times New Roman" w:cs="Times New Roman"/>
          <w:sz w:val="24"/>
          <w:szCs w:val="24"/>
        </w:rPr>
        <w:t xml:space="preserve">skills focussed model (or paradigm) characterises employability </w:t>
      </w:r>
      <w:r w:rsidR="00094456" w:rsidRPr="004A1C60">
        <w:rPr>
          <w:rFonts w:ascii="Times New Roman" w:hAnsi="Times New Roman" w:cs="Times New Roman"/>
          <w:sz w:val="24"/>
          <w:szCs w:val="24"/>
        </w:rPr>
        <w:t>a</w:t>
      </w:r>
      <w:r w:rsidR="002C6A3D" w:rsidRPr="004A1C60">
        <w:rPr>
          <w:rFonts w:ascii="Times New Roman" w:hAnsi="Times New Roman" w:cs="Times New Roman"/>
          <w:sz w:val="24"/>
          <w:szCs w:val="24"/>
        </w:rPr>
        <w:t xml:space="preserve">s </w:t>
      </w:r>
      <w:r w:rsidR="00094456" w:rsidRPr="004A1C60">
        <w:rPr>
          <w:rFonts w:ascii="Times New Roman" w:hAnsi="Times New Roman" w:cs="Times New Roman"/>
          <w:sz w:val="24"/>
          <w:szCs w:val="24"/>
        </w:rPr>
        <w:t>a</w:t>
      </w:r>
      <w:r w:rsidR="00F00A13" w:rsidRPr="004A1C60">
        <w:rPr>
          <w:rFonts w:ascii="Times New Roman" w:hAnsi="Times New Roman" w:cs="Times New Roman"/>
          <w:sz w:val="24"/>
          <w:szCs w:val="24"/>
        </w:rPr>
        <w:t xml:space="preserve"> </w:t>
      </w:r>
      <w:r w:rsidR="002C6A3D" w:rsidRPr="004A1C60">
        <w:rPr>
          <w:rFonts w:ascii="Times New Roman" w:hAnsi="Times New Roman" w:cs="Times New Roman"/>
          <w:sz w:val="24"/>
          <w:szCs w:val="24"/>
        </w:rPr>
        <w:t>tangible, known</w:t>
      </w:r>
      <w:r w:rsidR="00094456" w:rsidRPr="004A1C60">
        <w:rPr>
          <w:rFonts w:ascii="Times New Roman" w:hAnsi="Times New Roman" w:cs="Times New Roman"/>
          <w:sz w:val="24"/>
          <w:szCs w:val="24"/>
        </w:rPr>
        <w:t xml:space="preserve"> and knowable, fixed set of skills that can be </w:t>
      </w:r>
      <w:r w:rsidR="00AC687D" w:rsidRPr="004A1C60">
        <w:rPr>
          <w:rFonts w:ascii="Times New Roman" w:hAnsi="Times New Roman" w:cs="Times New Roman"/>
          <w:sz w:val="24"/>
          <w:szCs w:val="24"/>
        </w:rPr>
        <w:t xml:space="preserve">systematically and </w:t>
      </w:r>
      <w:r w:rsidR="00094456" w:rsidRPr="004A1C60">
        <w:rPr>
          <w:rFonts w:ascii="Times New Roman" w:hAnsi="Times New Roman" w:cs="Times New Roman"/>
          <w:sz w:val="24"/>
          <w:szCs w:val="24"/>
        </w:rPr>
        <w:t>mechanically acquired</w:t>
      </w:r>
      <w:r w:rsidR="002C6A3D" w:rsidRPr="004A1C60">
        <w:rPr>
          <w:rFonts w:ascii="Times New Roman" w:hAnsi="Times New Roman" w:cs="Times New Roman"/>
          <w:sz w:val="24"/>
          <w:szCs w:val="24"/>
        </w:rPr>
        <w:t>.  Consequent</w:t>
      </w:r>
      <w:r w:rsidR="00094456" w:rsidRPr="004A1C60">
        <w:rPr>
          <w:rFonts w:ascii="Times New Roman" w:hAnsi="Times New Roman" w:cs="Times New Roman"/>
          <w:sz w:val="24"/>
          <w:szCs w:val="24"/>
        </w:rPr>
        <w:t xml:space="preserve">ly, traditional conceptions of </w:t>
      </w:r>
      <w:r w:rsidR="00037B97" w:rsidRPr="004A1C60">
        <w:rPr>
          <w:rFonts w:ascii="Times New Roman" w:hAnsi="Times New Roman" w:cs="Times New Roman"/>
          <w:sz w:val="24"/>
          <w:szCs w:val="24"/>
        </w:rPr>
        <w:t xml:space="preserve">employability </w:t>
      </w:r>
      <w:r w:rsidR="00662577" w:rsidRPr="004A1C60">
        <w:rPr>
          <w:rFonts w:ascii="Times New Roman" w:hAnsi="Times New Roman" w:cs="Times New Roman"/>
          <w:sz w:val="24"/>
          <w:szCs w:val="24"/>
        </w:rPr>
        <w:t xml:space="preserve">understand </w:t>
      </w:r>
      <w:r w:rsidR="002C6A3D" w:rsidRPr="004A1C60">
        <w:rPr>
          <w:rFonts w:ascii="Times New Roman" w:hAnsi="Times New Roman" w:cs="Times New Roman"/>
          <w:sz w:val="24"/>
          <w:szCs w:val="24"/>
        </w:rPr>
        <w:t xml:space="preserve">employment </w:t>
      </w:r>
      <w:r w:rsidR="00662577" w:rsidRPr="004A1C60">
        <w:rPr>
          <w:rFonts w:ascii="Times New Roman" w:hAnsi="Times New Roman" w:cs="Times New Roman"/>
          <w:sz w:val="24"/>
          <w:szCs w:val="24"/>
        </w:rPr>
        <w:t>‘</w:t>
      </w:r>
      <w:r w:rsidR="00037B97" w:rsidRPr="004A1C60">
        <w:rPr>
          <w:rFonts w:ascii="Times New Roman" w:hAnsi="Times New Roman" w:cs="Times New Roman"/>
          <w:sz w:val="24"/>
          <w:szCs w:val="24"/>
        </w:rPr>
        <w:t>competencies</w:t>
      </w:r>
      <w:r w:rsidR="00662577" w:rsidRPr="004A1C60">
        <w:rPr>
          <w:rFonts w:ascii="Times New Roman" w:hAnsi="Times New Roman" w:cs="Times New Roman"/>
          <w:sz w:val="24"/>
          <w:szCs w:val="24"/>
        </w:rPr>
        <w:t xml:space="preserve">’ to belong to </w:t>
      </w:r>
      <w:r w:rsidR="00F00A13" w:rsidRPr="004A1C60">
        <w:rPr>
          <w:rFonts w:ascii="Times New Roman" w:hAnsi="Times New Roman" w:cs="Times New Roman"/>
          <w:sz w:val="24"/>
          <w:szCs w:val="24"/>
        </w:rPr>
        <w:t>de-contextualised ‘tool-kit</w:t>
      </w:r>
      <w:r w:rsidR="00816A34" w:rsidRPr="004A1C60">
        <w:rPr>
          <w:rFonts w:ascii="Times New Roman" w:hAnsi="Times New Roman" w:cs="Times New Roman"/>
          <w:sz w:val="24"/>
          <w:szCs w:val="24"/>
        </w:rPr>
        <w:t>s’ of</w:t>
      </w:r>
      <w:r w:rsidR="002C6A3D" w:rsidRPr="004A1C60">
        <w:rPr>
          <w:rFonts w:ascii="Times New Roman" w:hAnsi="Times New Roman" w:cs="Times New Roman"/>
          <w:sz w:val="24"/>
          <w:szCs w:val="24"/>
        </w:rPr>
        <w:t xml:space="preserve">, </w:t>
      </w:r>
      <w:r w:rsidR="00F00A13" w:rsidRPr="004A1C60">
        <w:rPr>
          <w:rFonts w:ascii="Times New Roman" w:hAnsi="Times New Roman" w:cs="Times New Roman"/>
          <w:sz w:val="24"/>
          <w:szCs w:val="24"/>
        </w:rPr>
        <w:t>‘</w:t>
      </w:r>
      <w:r w:rsidR="002C6A3D" w:rsidRPr="004A1C60">
        <w:rPr>
          <w:rFonts w:ascii="Times New Roman" w:hAnsi="Times New Roman" w:cs="Times New Roman"/>
          <w:sz w:val="24"/>
          <w:szCs w:val="24"/>
        </w:rPr>
        <w:t>key’, ‘core’, ‘transferable’ and/or ‘generic’</w:t>
      </w:r>
      <w:r w:rsidR="00F00A13" w:rsidRPr="004A1C60">
        <w:rPr>
          <w:rFonts w:ascii="Times New Roman" w:hAnsi="Times New Roman" w:cs="Times New Roman"/>
          <w:sz w:val="24"/>
          <w:szCs w:val="24"/>
        </w:rPr>
        <w:t xml:space="preserve"> skills. </w:t>
      </w:r>
      <w:r w:rsidR="00FC7D75" w:rsidRPr="004A1C60">
        <w:rPr>
          <w:rFonts w:ascii="Times New Roman" w:hAnsi="Times New Roman" w:cs="Times New Roman"/>
          <w:sz w:val="24"/>
          <w:szCs w:val="24"/>
        </w:rPr>
        <w:t>Such “key competencies” argues Kascak</w:t>
      </w:r>
      <w:r w:rsidR="00C32BEB" w:rsidRPr="004A1C60">
        <w:rPr>
          <w:rFonts w:ascii="Times New Roman" w:hAnsi="Times New Roman" w:cs="Times New Roman"/>
          <w:sz w:val="24"/>
          <w:szCs w:val="24"/>
        </w:rPr>
        <w:t xml:space="preserve"> et al</w:t>
      </w:r>
      <w:r w:rsidR="00CE72DB" w:rsidRPr="004A1C60">
        <w:rPr>
          <w:rFonts w:ascii="Times New Roman" w:hAnsi="Times New Roman" w:cs="Times New Roman"/>
          <w:sz w:val="24"/>
          <w:szCs w:val="24"/>
        </w:rPr>
        <w:t xml:space="preserve"> (</w:t>
      </w:r>
      <w:r w:rsidR="00CE72DB" w:rsidRPr="004A1C60">
        <w:rPr>
          <w:rFonts w:ascii="Times New Roman" w:hAnsi="Times New Roman" w:cs="Times New Roman"/>
          <w:kern w:val="1"/>
          <w:sz w:val="24"/>
          <w:szCs w:val="24"/>
        </w:rPr>
        <w:t xml:space="preserve">2011: 84) </w:t>
      </w:r>
      <w:r w:rsidR="00FC7D75" w:rsidRPr="004A1C60">
        <w:rPr>
          <w:rFonts w:ascii="Times New Roman" w:hAnsi="Times New Roman" w:cs="Times New Roman"/>
          <w:sz w:val="24"/>
          <w:szCs w:val="24"/>
        </w:rPr>
        <w:t>“have become obligatory resources in plann</w:t>
      </w:r>
      <w:r w:rsidR="003B41EB" w:rsidRPr="004A1C60">
        <w:rPr>
          <w:rFonts w:ascii="Times New Roman" w:hAnsi="Times New Roman" w:cs="Times New Roman"/>
          <w:sz w:val="24"/>
          <w:szCs w:val="24"/>
        </w:rPr>
        <w:t>ing education at all levels (in…</w:t>
      </w:r>
      <w:r w:rsidR="00FC7D75" w:rsidRPr="004A1C60">
        <w:rPr>
          <w:rFonts w:ascii="Times New Roman" w:hAnsi="Times New Roman" w:cs="Times New Roman"/>
          <w:sz w:val="24"/>
          <w:szCs w:val="24"/>
        </w:rPr>
        <w:t>state and school curricula)</w:t>
      </w:r>
      <w:r w:rsidR="00EA2B18" w:rsidRPr="004A1C60">
        <w:rPr>
          <w:rFonts w:ascii="Times New Roman" w:hAnsi="Times New Roman" w:cs="Times New Roman"/>
          <w:sz w:val="24"/>
          <w:szCs w:val="24"/>
        </w:rPr>
        <w:t xml:space="preserve">” serving </w:t>
      </w:r>
      <w:r w:rsidR="003648C0" w:rsidRPr="004A1C60">
        <w:rPr>
          <w:rFonts w:ascii="Times New Roman" w:hAnsi="Times New Roman" w:cs="Times New Roman"/>
          <w:sz w:val="24"/>
          <w:szCs w:val="24"/>
        </w:rPr>
        <w:t>“</w:t>
      </w:r>
      <w:r w:rsidR="00EA2B18" w:rsidRPr="004A1C60">
        <w:rPr>
          <w:rFonts w:ascii="Times New Roman" w:hAnsi="Times New Roman" w:cs="Times New Roman"/>
          <w:sz w:val="24"/>
          <w:szCs w:val="24"/>
        </w:rPr>
        <w:t>to</w:t>
      </w:r>
      <w:r w:rsidR="003648C0" w:rsidRPr="004A1C60">
        <w:rPr>
          <w:rFonts w:ascii="Times New Roman" w:hAnsi="Times New Roman" w:cs="Times New Roman"/>
          <w:sz w:val="24"/>
          <w:szCs w:val="24"/>
        </w:rPr>
        <w:t xml:space="preserve"> produce high-</w:t>
      </w:r>
      <w:r w:rsidR="00EA2B18" w:rsidRPr="004A1C60">
        <w:rPr>
          <w:rFonts w:ascii="Times New Roman" w:hAnsi="Times New Roman" w:cs="Times New Roman"/>
          <w:kern w:val="1"/>
          <w:sz w:val="24"/>
          <w:szCs w:val="24"/>
        </w:rPr>
        <w:t>quality ‘human</w:t>
      </w:r>
      <w:r w:rsidR="003648C0" w:rsidRPr="004A1C60">
        <w:rPr>
          <w:rFonts w:ascii="Times New Roman" w:hAnsi="Times New Roman" w:cs="Times New Roman"/>
          <w:kern w:val="1"/>
          <w:sz w:val="24"/>
          <w:szCs w:val="24"/>
        </w:rPr>
        <w:t xml:space="preserve"> capital’ for the labour market</w:t>
      </w:r>
      <w:r w:rsidR="00CE72DB" w:rsidRPr="004A1C60">
        <w:rPr>
          <w:rFonts w:ascii="Times New Roman" w:hAnsi="Times New Roman" w:cs="Times New Roman"/>
          <w:kern w:val="1"/>
          <w:sz w:val="24"/>
          <w:szCs w:val="24"/>
        </w:rPr>
        <w:t>.”</w:t>
      </w:r>
      <w:r w:rsidR="005309F8" w:rsidRPr="004A1C60">
        <w:rPr>
          <w:rFonts w:ascii="Times New Roman" w:hAnsi="Times New Roman" w:cs="Times New Roman"/>
          <w:kern w:val="1"/>
          <w:sz w:val="24"/>
          <w:szCs w:val="24"/>
        </w:rPr>
        <w:t xml:space="preserve"> </w:t>
      </w:r>
    </w:p>
    <w:p w14:paraId="09297E89" w14:textId="6AE1F9B7" w:rsidR="00FC1EF8" w:rsidRPr="004A1C60" w:rsidRDefault="00D62A04" w:rsidP="00832802">
      <w:pPr>
        <w:spacing w:line="360" w:lineRule="auto"/>
        <w:rPr>
          <w:rFonts w:ascii="Times New Roman" w:hAnsi="Times New Roman" w:cs="Times New Roman"/>
          <w:sz w:val="24"/>
          <w:szCs w:val="24"/>
        </w:rPr>
      </w:pPr>
      <w:r w:rsidRPr="004A1C60">
        <w:rPr>
          <w:rFonts w:ascii="Times New Roman" w:hAnsi="Times New Roman" w:cs="Times New Roman"/>
          <w:sz w:val="24"/>
          <w:szCs w:val="24"/>
        </w:rPr>
        <w:t>Specifically</w:t>
      </w:r>
      <w:r w:rsidR="00F00A13" w:rsidRPr="004A1C60">
        <w:rPr>
          <w:rFonts w:ascii="Times New Roman" w:hAnsi="Times New Roman" w:cs="Times New Roman"/>
          <w:sz w:val="24"/>
          <w:szCs w:val="24"/>
        </w:rPr>
        <w:t>, employability</w:t>
      </w:r>
      <w:r w:rsidRPr="004A1C60">
        <w:rPr>
          <w:rFonts w:ascii="Times New Roman" w:hAnsi="Times New Roman" w:cs="Times New Roman"/>
          <w:sz w:val="24"/>
          <w:szCs w:val="24"/>
        </w:rPr>
        <w:t xml:space="preserve"> </w:t>
      </w:r>
      <w:r w:rsidR="00F00A13" w:rsidRPr="004A1C60">
        <w:rPr>
          <w:rFonts w:ascii="Times New Roman" w:hAnsi="Times New Roman" w:cs="Times New Roman"/>
          <w:sz w:val="24"/>
          <w:szCs w:val="24"/>
        </w:rPr>
        <w:t xml:space="preserve">skills around </w:t>
      </w:r>
      <w:r w:rsidR="00647560" w:rsidRPr="004A1C60">
        <w:rPr>
          <w:rFonts w:ascii="Times New Roman" w:hAnsi="Times New Roman" w:cs="Times New Roman"/>
          <w:sz w:val="24"/>
          <w:szCs w:val="24"/>
        </w:rPr>
        <w:t>communication</w:t>
      </w:r>
      <w:r w:rsidR="002C6A3D" w:rsidRPr="004A1C60">
        <w:rPr>
          <w:rFonts w:ascii="Times New Roman" w:hAnsi="Times New Roman" w:cs="Times New Roman"/>
          <w:sz w:val="24"/>
          <w:szCs w:val="24"/>
        </w:rPr>
        <w:t xml:space="preserve"> are underpinned by an autonomous </w:t>
      </w:r>
      <w:r w:rsidR="00F00A13" w:rsidRPr="004A1C60">
        <w:rPr>
          <w:rFonts w:ascii="Times New Roman" w:hAnsi="Times New Roman" w:cs="Times New Roman"/>
          <w:sz w:val="24"/>
          <w:szCs w:val="24"/>
        </w:rPr>
        <w:t>(Street</w:t>
      </w:r>
      <w:r w:rsidR="00AB64F6" w:rsidRPr="004A1C60">
        <w:rPr>
          <w:rFonts w:ascii="Times New Roman" w:hAnsi="Times New Roman" w:cs="Times New Roman"/>
          <w:sz w:val="24"/>
          <w:szCs w:val="24"/>
        </w:rPr>
        <w:t>, 1999</w:t>
      </w:r>
      <w:r w:rsidR="00F00A13" w:rsidRPr="004A1C60">
        <w:rPr>
          <w:rFonts w:ascii="Times New Roman" w:hAnsi="Times New Roman" w:cs="Times New Roman"/>
          <w:sz w:val="24"/>
          <w:szCs w:val="24"/>
        </w:rPr>
        <w:t>) model</w:t>
      </w:r>
      <w:r w:rsidRPr="004A1C60">
        <w:rPr>
          <w:rFonts w:ascii="Times New Roman" w:hAnsi="Times New Roman" w:cs="Times New Roman"/>
          <w:sz w:val="24"/>
          <w:szCs w:val="24"/>
        </w:rPr>
        <w:t xml:space="preserve"> of</w:t>
      </w:r>
      <w:r w:rsidR="002C6A3D" w:rsidRPr="004A1C60">
        <w:rPr>
          <w:rFonts w:ascii="Times New Roman" w:hAnsi="Times New Roman" w:cs="Times New Roman"/>
          <w:sz w:val="24"/>
          <w:szCs w:val="24"/>
        </w:rPr>
        <w:t xml:space="preserve"> literacy skills</w:t>
      </w:r>
      <w:r w:rsidR="00F00A13" w:rsidRPr="004A1C60">
        <w:rPr>
          <w:rFonts w:ascii="Times New Roman" w:hAnsi="Times New Roman" w:cs="Times New Roman"/>
          <w:sz w:val="24"/>
          <w:szCs w:val="24"/>
        </w:rPr>
        <w:t>.  Within such a model</w:t>
      </w:r>
      <w:r w:rsidR="00FC1EF8" w:rsidRPr="004A1C60">
        <w:rPr>
          <w:rFonts w:ascii="Times New Roman" w:hAnsi="Times New Roman" w:cs="Times New Roman"/>
          <w:sz w:val="24"/>
          <w:szCs w:val="24"/>
        </w:rPr>
        <w:t xml:space="preserve"> literary social practices</w:t>
      </w:r>
      <w:r w:rsidR="001F3D31" w:rsidRPr="004A1C60">
        <w:rPr>
          <w:rFonts w:ascii="Times New Roman" w:hAnsi="Times New Roman" w:cs="Times New Roman"/>
          <w:sz w:val="24"/>
          <w:szCs w:val="24"/>
        </w:rPr>
        <w:t xml:space="preserve"> such as</w:t>
      </w:r>
      <w:r w:rsidR="002C6A3D" w:rsidRPr="004A1C60">
        <w:rPr>
          <w:rFonts w:ascii="Times New Roman" w:hAnsi="Times New Roman" w:cs="Times New Roman"/>
          <w:sz w:val="24"/>
          <w:szCs w:val="24"/>
        </w:rPr>
        <w:t xml:space="preserve"> reading, writing, speaking and listening</w:t>
      </w:r>
      <w:r w:rsidR="00F00A13" w:rsidRPr="004A1C60">
        <w:rPr>
          <w:rFonts w:ascii="Times New Roman" w:hAnsi="Times New Roman" w:cs="Times New Roman"/>
          <w:sz w:val="24"/>
          <w:szCs w:val="24"/>
        </w:rPr>
        <w:t xml:space="preserve"> skills can </w:t>
      </w:r>
      <w:r w:rsidRPr="004A1C60">
        <w:rPr>
          <w:rFonts w:ascii="Times New Roman" w:hAnsi="Times New Roman" w:cs="Times New Roman"/>
          <w:sz w:val="24"/>
          <w:szCs w:val="24"/>
        </w:rPr>
        <w:t xml:space="preserve">be </w:t>
      </w:r>
      <w:r w:rsidR="00FC1EF8" w:rsidRPr="004A1C60">
        <w:rPr>
          <w:rFonts w:ascii="Times New Roman" w:hAnsi="Times New Roman" w:cs="Times New Roman"/>
          <w:sz w:val="24"/>
          <w:szCs w:val="24"/>
        </w:rPr>
        <w:t xml:space="preserve">unproblematically </w:t>
      </w:r>
      <w:r w:rsidRPr="004A1C60">
        <w:rPr>
          <w:rFonts w:ascii="Times New Roman" w:hAnsi="Times New Roman" w:cs="Times New Roman"/>
          <w:sz w:val="24"/>
          <w:szCs w:val="24"/>
        </w:rPr>
        <w:t>transferred to the workplace</w:t>
      </w:r>
      <w:r w:rsidR="00FC1EF8" w:rsidRPr="004A1C60">
        <w:rPr>
          <w:rFonts w:ascii="Times New Roman" w:hAnsi="Times New Roman" w:cs="Times New Roman"/>
          <w:sz w:val="24"/>
          <w:szCs w:val="24"/>
        </w:rPr>
        <w:t xml:space="preserve">, </w:t>
      </w:r>
      <w:r w:rsidR="002C6A3D" w:rsidRPr="004A1C60">
        <w:rPr>
          <w:rFonts w:ascii="Times New Roman" w:hAnsi="Times New Roman" w:cs="Times New Roman"/>
          <w:sz w:val="24"/>
          <w:szCs w:val="24"/>
        </w:rPr>
        <w:t xml:space="preserve">irrespective of the </w:t>
      </w:r>
      <w:r w:rsidRPr="004A1C60">
        <w:rPr>
          <w:rFonts w:ascii="Times New Roman" w:hAnsi="Times New Roman" w:cs="Times New Roman"/>
          <w:sz w:val="24"/>
          <w:szCs w:val="24"/>
        </w:rPr>
        <w:t xml:space="preserve">employment </w:t>
      </w:r>
      <w:r w:rsidR="002C6A3D" w:rsidRPr="004A1C60">
        <w:rPr>
          <w:rFonts w:ascii="Times New Roman" w:hAnsi="Times New Roman" w:cs="Times New Roman"/>
          <w:sz w:val="24"/>
          <w:szCs w:val="24"/>
        </w:rPr>
        <w:t>settings</w:t>
      </w:r>
      <w:r w:rsidR="00FC1EF8" w:rsidRPr="004A1C60">
        <w:rPr>
          <w:rFonts w:ascii="Times New Roman" w:hAnsi="Times New Roman" w:cs="Times New Roman"/>
          <w:sz w:val="24"/>
          <w:szCs w:val="24"/>
        </w:rPr>
        <w:t xml:space="preserve"> graduates</w:t>
      </w:r>
      <w:r w:rsidRPr="004A1C60">
        <w:rPr>
          <w:rFonts w:ascii="Times New Roman" w:hAnsi="Times New Roman" w:cs="Times New Roman"/>
          <w:sz w:val="24"/>
          <w:szCs w:val="24"/>
        </w:rPr>
        <w:t xml:space="preserve"> might find themselves in</w:t>
      </w:r>
      <w:r w:rsidR="009C538E" w:rsidRPr="004A1C60">
        <w:rPr>
          <w:rFonts w:ascii="Times New Roman" w:hAnsi="Times New Roman" w:cs="Times New Roman"/>
          <w:sz w:val="24"/>
          <w:szCs w:val="24"/>
        </w:rPr>
        <w:t xml:space="preserve">.  </w:t>
      </w:r>
    </w:p>
    <w:p w14:paraId="17E7F8DB" w14:textId="1C1E9D23" w:rsidR="00FC1EF8" w:rsidRPr="004A1C60" w:rsidRDefault="00BF4CF2" w:rsidP="00832802">
      <w:pPr>
        <w:widowControl w:val="0"/>
        <w:autoSpaceDE w:val="0"/>
        <w:autoSpaceDN w:val="0"/>
        <w:adjustRightInd w:val="0"/>
        <w:spacing w:line="360" w:lineRule="auto"/>
        <w:rPr>
          <w:rFonts w:ascii="Times New Roman" w:hAnsi="Times New Roman" w:cs="Times New Roman"/>
          <w:sz w:val="24"/>
          <w:szCs w:val="24"/>
          <w:lang w:val="en-US"/>
        </w:rPr>
      </w:pPr>
      <w:r w:rsidRPr="004A1C60">
        <w:rPr>
          <w:rFonts w:ascii="Times New Roman" w:hAnsi="Times New Roman" w:cs="Times New Roman"/>
          <w:sz w:val="24"/>
          <w:szCs w:val="24"/>
        </w:rPr>
        <w:t>Such a view reflects an essentially neoliberal concept of human capital where the onus falls on the student, who has a responsibility to become employable and/or attractive to employers</w:t>
      </w:r>
      <w:r w:rsidR="005655D1" w:rsidRPr="004A1C60">
        <w:rPr>
          <w:rFonts w:ascii="Times New Roman" w:hAnsi="Times New Roman" w:cs="Times New Roman"/>
          <w:sz w:val="24"/>
          <w:szCs w:val="24"/>
        </w:rPr>
        <w:t>, an “entrepreneur of one’s</w:t>
      </w:r>
      <w:r w:rsidR="009C093C" w:rsidRPr="004A1C60">
        <w:rPr>
          <w:rFonts w:ascii="Times New Roman" w:hAnsi="Times New Roman" w:cs="Times New Roman"/>
          <w:sz w:val="24"/>
          <w:szCs w:val="24"/>
        </w:rPr>
        <w:t xml:space="preserve"> own development” (Gerlach, 2000:189, cited in Kascak</w:t>
      </w:r>
      <w:r w:rsidR="005655D1" w:rsidRPr="004A1C60">
        <w:rPr>
          <w:rFonts w:ascii="Times New Roman" w:hAnsi="Times New Roman" w:cs="Times New Roman"/>
          <w:sz w:val="24"/>
          <w:szCs w:val="24"/>
        </w:rPr>
        <w:t xml:space="preserve"> et al</w:t>
      </w:r>
      <w:r w:rsidR="009C093C" w:rsidRPr="004A1C60">
        <w:rPr>
          <w:rFonts w:ascii="Times New Roman" w:hAnsi="Times New Roman" w:cs="Times New Roman"/>
          <w:sz w:val="24"/>
          <w:szCs w:val="24"/>
        </w:rPr>
        <w:t xml:space="preserve">, </w:t>
      </w:r>
      <w:r w:rsidR="009C093C" w:rsidRPr="004A1C60">
        <w:rPr>
          <w:rFonts w:ascii="Times New Roman" w:hAnsi="Times New Roman" w:cs="Times New Roman"/>
          <w:sz w:val="24"/>
          <w:szCs w:val="24"/>
        </w:rPr>
        <w:lastRenderedPageBreak/>
        <w:t>2011:</w:t>
      </w:r>
      <w:r w:rsidR="005655D1" w:rsidRPr="004A1C60">
        <w:rPr>
          <w:rFonts w:ascii="Times New Roman" w:hAnsi="Times New Roman" w:cs="Times New Roman"/>
          <w:sz w:val="24"/>
          <w:szCs w:val="24"/>
        </w:rPr>
        <w:t>74),</w:t>
      </w:r>
      <w:r w:rsidRPr="004A1C60">
        <w:rPr>
          <w:rFonts w:ascii="Times New Roman" w:hAnsi="Times New Roman" w:cs="Times New Roman"/>
          <w:sz w:val="24"/>
          <w:szCs w:val="24"/>
        </w:rPr>
        <w:t xml:space="preserve"> in order to compete successfully for</w:t>
      </w:r>
      <w:r w:rsidR="004C33A8" w:rsidRPr="004A1C60">
        <w:rPr>
          <w:rFonts w:ascii="Times New Roman" w:hAnsi="Times New Roman" w:cs="Times New Roman"/>
          <w:sz w:val="24"/>
          <w:szCs w:val="24"/>
        </w:rPr>
        <w:t xml:space="preserve"> the opportunity to work.</w:t>
      </w:r>
      <w:r w:rsidRPr="004A1C60">
        <w:rPr>
          <w:rFonts w:ascii="Times New Roman" w:hAnsi="Times New Roman" w:cs="Times New Roman"/>
          <w:sz w:val="24"/>
          <w:szCs w:val="24"/>
        </w:rPr>
        <w:t xml:space="preserve">  In a time of recession and high unemployment degrees are increasingly </w:t>
      </w:r>
      <w:r w:rsidR="00B30106" w:rsidRPr="004A1C60">
        <w:rPr>
          <w:rFonts w:ascii="Times New Roman" w:hAnsi="Times New Roman" w:cs="Times New Roman"/>
          <w:sz w:val="24"/>
          <w:szCs w:val="24"/>
        </w:rPr>
        <w:t>‘sold’</w:t>
      </w:r>
      <w:r w:rsidRPr="004A1C60">
        <w:rPr>
          <w:rFonts w:ascii="Times New Roman" w:hAnsi="Times New Roman" w:cs="Times New Roman"/>
          <w:sz w:val="24"/>
          <w:szCs w:val="24"/>
        </w:rPr>
        <w:t xml:space="preserve"> on the basis that they can enhance </w:t>
      </w:r>
      <w:r w:rsidR="0028212B" w:rsidRPr="004A1C60">
        <w:rPr>
          <w:rFonts w:ascii="Times New Roman" w:hAnsi="Times New Roman" w:cs="Times New Roman"/>
          <w:sz w:val="24"/>
          <w:szCs w:val="24"/>
        </w:rPr>
        <w:t xml:space="preserve">participant’s </w:t>
      </w:r>
      <w:r w:rsidR="00164994" w:rsidRPr="004A1C60">
        <w:rPr>
          <w:rFonts w:ascii="Times New Roman" w:hAnsi="Times New Roman" w:cs="Times New Roman"/>
          <w:sz w:val="24"/>
          <w:szCs w:val="24"/>
        </w:rPr>
        <w:t xml:space="preserve">employability, affording </w:t>
      </w:r>
      <w:r w:rsidRPr="004A1C60">
        <w:rPr>
          <w:rFonts w:ascii="Times New Roman" w:hAnsi="Times New Roman" w:cs="Times New Roman"/>
          <w:sz w:val="24"/>
          <w:szCs w:val="24"/>
        </w:rPr>
        <w:t>competitive edge in the j</w:t>
      </w:r>
      <w:r w:rsidR="00B30106" w:rsidRPr="004A1C60">
        <w:rPr>
          <w:rFonts w:ascii="Times New Roman" w:hAnsi="Times New Roman" w:cs="Times New Roman"/>
          <w:sz w:val="24"/>
          <w:szCs w:val="24"/>
        </w:rPr>
        <w:t>ob market</w:t>
      </w:r>
      <w:r w:rsidR="00B24A62" w:rsidRPr="004A1C60">
        <w:rPr>
          <w:rFonts w:ascii="Times New Roman" w:hAnsi="Times New Roman" w:cs="Times New Roman"/>
          <w:sz w:val="24"/>
          <w:szCs w:val="24"/>
        </w:rPr>
        <w:t xml:space="preserve">, </w:t>
      </w:r>
      <w:r w:rsidR="00B24A62" w:rsidRPr="004A1C60">
        <w:rPr>
          <w:rFonts w:ascii="Times New Roman" w:hAnsi="Times New Roman" w:cs="Times New Roman"/>
          <w:sz w:val="24"/>
          <w:szCs w:val="24"/>
          <w:lang w:val="en-US"/>
        </w:rPr>
        <w:t>“</w:t>
      </w:r>
      <w:r w:rsidR="00B2221F" w:rsidRPr="004A1C60">
        <w:rPr>
          <w:rFonts w:ascii="Times New Roman" w:hAnsi="Times New Roman" w:cs="Times New Roman"/>
          <w:sz w:val="24"/>
          <w:szCs w:val="24"/>
          <w:lang w:val="en-US"/>
        </w:rPr>
        <w:t>clearly indicat[ing]</w:t>
      </w:r>
      <w:r w:rsidR="00807D29" w:rsidRPr="004A1C60">
        <w:rPr>
          <w:rFonts w:ascii="Times New Roman" w:hAnsi="Times New Roman" w:cs="Times New Roman"/>
          <w:sz w:val="24"/>
          <w:szCs w:val="24"/>
          <w:lang w:val="en-US"/>
        </w:rPr>
        <w:t xml:space="preserve"> the interconnections between</w:t>
      </w:r>
      <w:r w:rsidR="00B2221F" w:rsidRPr="004A1C60">
        <w:rPr>
          <w:rFonts w:ascii="Times New Roman" w:hAnsi="Times New Roman" w:cs="Times New Roman"/>
          <w:sz w:val="24"/>
          <w:szCs w:val="24"/>
          <w:lang w:val="en-US"/>
        </w:rPr>
        <w:t xml:space="preserve">” concepts of </w:t>
      </w:r>
      <w:r w:rsidR="00807D29" w:rsidRPr="004A1C60">
        <w:rPr>
          <w:rFonts w:ascii="Times New Roman" w:hAnsi="Times New Roman" w:cs="Times New Roman"/>
          <w:sz w:val="24"/>
          <w:szCs w:val="24"/>
          <w:lang w:val="en-US"/>
        </w:rPr>
        <w:t xml:space="preserve"> </w:t>
      </w:r>
      <w:r w:rsidR="00B2221F" w:rsidRPr="004A1C60">
        <w:rPr>
          <w:rFonts w:ascii="Times New Roman" w:hAnsi="Times New Roman" w:cs="Times New Roman"/>
          <w:sz w:val="24"/>
          <w:szCs w:val="24"/>
          <w:lang w:val="en-US"/>
        </w:rPr>
        <w:t>“</w:t>
      </w:r>
      <w:r w:rsidR="00807D29" w:rsidRPr="004A1C60">
        <w:rPr>
          <w:rFonts w:ascii="Times New Roman" w:hAnsi="Times New Roman" w:cs="Times New Roman"/>
          <w:sz w:val="24"/>
          <w:szCs w:val="24"/>
          <w:lang w:val="en-US"/>
        </w:rPr>
        <w:t>the active, self-organized</w:t>
      </w:r>
      <w:r w:rsidR="00B24A62" w:rsidRPr="004A1C60">
        <w:rPr>
          <w:rFonts w:ascii="Times New Roman" w:hAnsi="Times New Roman" w:cs="Times New Roman"/>
          <w:sz w:val="24"/>
          <w:szCs w:val="24"/>
          <w:lang w:val="en-US"/>
        </w:rPr>
        <w:t xml:space="preserve"> </w:t>
      </w:r>
      <w:r w:rsidR="00807D29" w:rsidRPr="004A1C60">
        <w:rPr>
          <w:rFonts w:ascii="Times New Roman" w:hAnsi="Times New Roman" w:cs="Times New Roman"/>
          <w:sz w:val="24"/>
          <w:szCs w:val="24"/>
          <w:lang w:val="en-US"/>
        </w:rPr>
        <w:t>and self-educated ind</w:t>
      </w:r>
      <w:r w:rsidR="00B24A62" w:rsidRPr="004A1C60">
        <w:rPr>
          <w:rFonts w:ascii="Times New Roman" w:hAnsi="Times New Roman" w:cs="Times New Roman"/>
          <w:sz w:val="24"/>
          <w:szCs w:val="24"/>
          <w:lang w:val="en-US"/>
        </w:rPr>
        <w:t>ividual and economic efficiency” (Kascek</w:t>
      </w:r>
      <w:r w:rsidR="00C32BEB" w:rsidRPr="004A1C60">
        <w:rPr>
          <w:rFonts w:ascii="Times New Roman" w:hAnsi="Times New Roman" w:cs="Times New Roman"/>
          <w:sz w:val="24"/>
          <w:szCs w:val="24"/>
          <w:lang w:val="en-US"/>
        </w:rPr>
        <w:t xml:space="preserve"> et al</w:t>
      </w:r>
      <w:r w:rsidR="00B24A62" w:rsidRPr="004A1C60">
        <w:rPr>
          <w:rFonts w:ascii="Times New Roman" w:hAnsi="Times New Roman" w:cs="Times New Roman"/>
          <w:sz w:val="24"/>
          <w:szCs w:val="24"/>
          <w:lang w:val="en-US"/>
        </w:rPr>
        <w:t xml:space="preserve"> 2011:74). </w:t>
      </w:r>
      <w:r w:rsidR="00D81416" w:rsidRPr="004A1C60">
        <w:rPr>
          <w:rFonts w:ascii="Times New Roman" w:hAnsi="Times New Roman" w:cs="Times New Roman"/>
          <w:sz w:val="24"/>
          <w:szCs w:val="24"/>
        </w:rPr>
        <w:t>This reflects a</w:t>
      </w:r>
      <w:r w:rsidR="00B30106" w:rsidRPr="004A1C60">
        <w:rPr>
          <w:rFonts w:ascii="Times New Roman" w:hAnsi="Times New Roman" w:cs="Times New Roman"/>
          <w:sz w:val="24"/>
          <w:szCs w:val="24"/>
        </w:rPr>
        <w:t xml:space="preserve"> broader shift</w:t>
      </w:r>
      <w:r w:rsidRPr="004A1C60">
        <w:rPr>
          <w:rFonts w:ascii="Times New Roman" w:hAnsi="Times New Roman" w:cs="Times New Roman"/>
          <w:sz w:val="24"/>
          <w:szCs w:val="24"/>
        </w:rPr>
        <w:t xml:space="preserve"> in education</w:t>
      </w:r>
      <w:r w:rsidR="00D81416" w:rsidRPr="004A1C60">
        <w:rPr>
          <w:rFonts w:ascii="Times New Roman" w:hAnsi="Times New Roman" w:cs="Times New Roman"/>
          <w:sz w:val="24"/>
          <w:szCs w:val="24"/>
        </w:rPr>
        <w:t>, as discussed above,</w:t>
      </w:r>
      <w:r w:rsidRPr="004A1C60">
        <w:rPr>
          <w:rFonts w:ascii="Times New Roman" w:hAnsi="Times New Roman" w:cs="Times New Roman"/>
          <w:sz w:val="24"/>
          <w:szCs w:val="24"/>
        </w:rPr>
        <w:t xml:space="preserve"> towards a more commodified, ‘new knowled</w:t>
      </w:r>
      <w:r w:rsidR="006B66F1" w:rsidRPr="004A1C60">
        <w:rPr>
          <w:rFonts w:ascii="Times New Roman" w:hAnsi="Times New Roman" w:cs="Times New Roman"/>
          <w:sz w:val="24"/>
          <w:szCs w:val="24"/>
        </w:rPr>
        <w:t>ge e</w:t>
      </w:r>
      <w:r w:rsidR="004C33A8" w:rsidRPr="004A1C60">
        <w:rPr>
          <w:rFonts w:ascii="Times New Roman" w:hAnsi="Times New Roman" w:cs="Times New Roman"/>
          <w:sz w:val="24"/>
          <w:szCs w:val="24"/>
        </w:rPr>
        <w:t>conomy’ (Ball, 2008) that</w:t>
      </w:r>
      <w:r w:rsidR="006B66F1" w:rsidRPr="004A1C60">
        <w:rPr>
          <w:rFonts w:ascii="Times New Roman" w:hAnsi="Times New Roman" w:cs="Times New Roman"/>
          <w:sz w:val="24"/>
          <w:szCs w:val="24"/>
        </w:rPr>
        <w:t xml:space="preserve"> positions </w:t>
      </w:r>
      <w:r w:rsidR="0060463D" w:rsidRPr="004A1C60">
        <w:rPr>
          <w:rFonts w:ascii="Times New Roman" w:hAnsi="Times New Roman" w:cs="Times New Roman"/>
          <w:sz w:val="24"/>
          <w:szCs w:val="24"/>
        </w:rPr>
        <w:t>graduate</w:t>
      </w:r>
      <w:r w:rsidR="00D81416" w:rsidRPr="004A1C60">
        <w:rPr>
          <w:rFonts w:ascii="Times New Roman" w:hAnsi="Times New Roman" w:cs="Times New Roman"/>
          <w:sz w:val="24"/>
          <w:szCs w:val="24"/>
        </w:rPr>
        <w:t>-</w:t>
      </w:r>
      <w:r w:rsidR="0060463D" w:rsidRPr="004A1C60">
        <w:rPr>
          <w:rFonts w:ascii="Times New Roman" w:hAnsi="Times New Roman" w:cs="Times New Roman"/>
          <w:sz w:val="24"/>
          <w:szCs w:val="24"/>
        </w:rPr>
        <w:t xml:space="preserve">ness </w:t>
      </w:r>
      <w:r w:rsidRPr="004A1C60">
        <w:rPr>
          <w:rFonts w:ascii="Times New Roman" w:hAnsi="Times New Roman" w:cs="Times New Roman"/>
          <w:sz w:val="24"/>
          <w:szCs w:val="24"/>
        </w:rPr>
        <w:t>as enhanced human and social capital</w:t>
      </w:r>
      <w:r w:rsidR="00647560" w:rsidRPr="004A1C60">
        <w:rPr>
          <w:rFonts w:ascii="Times New Roman" w:hAnsi="Times New Roman" w:cs="Times New Roman"/>
          <w:sz w:val="24"/>
          <w:szCs w:val="24"/>
        </w:rPr>
        <w:t>, primarily paid</w:t>
      </w:r>
      <w:r w:rsidRPr="004A1C60">
        <w:rPr>
          <w:rFonts w:ascii="Times New Roman" w:hAnsi="Times New Roman" w:cs="Times New Roman"/>
          <w:sz w:val="24"/>
          <w:szCs w:val="24"/>
        </w:rPr>
        <w:t xml:space="preserve"> for, or </w:t>
      </w:r>
      <w:r w:rsidR="00647560" w:rsidRPr="004A1C60">
        <w:rPr>
          <w:rFonts w:ascii="Times New Roman" w:hAnsi="Times New Roman" w:cs="Times New Roman"/>
          <w:sz w:val="24"/>
          <w:szCs w:val="24"/>
        </w:rPr>
        <w:t>subsidised by</w:t>
      </w:r>
      <w:r w:rsidRPr="004A1C60">
        <w:rPr>
          <w:rFonts w:ascii="Times New Roman" w:hAnsi="Times New Roman" w:cs="Times New Roman"/>
          <w:sz w:val="24"/>
          <w:szCs w:val="24"/>
        </w:rPr>
        <w:t xml:space="preserve"> the state and as such, accountable to the state.   </w:t>
      </w:r>
    </w:p>
    <w:p w14:paraId="3942AE0B" w14:textId="485AC328" w:rsidR="009C538E" w:rsidRPr="004A1C60" w:rsidRDefault="00FC1EF8" w:rsidP="00832802">
      <w:pPr>
        <w:spacing w:line="360" w:lineRule="auto"/>
        <w:rPr>
          <w:rFonts w:ascii="Times New Roman" w:hAnsi="Times New Roman" w:cs="Times New Roman"/>
          <w:sz w:val="24"/>
          <w:szCs w:val="24"/>
        </w:rPr>
      </w:pPr>
      <w:r w:rsidRPr="004A1C60">
        <w:rPr>
          <w:rFonts w:ascii="Times New Roman" w:hAnsi="Times New Roman" w:cs="Times New Roman"/>
          <w:sz w:val="24"/>
          <w:szCs w:val="24"/>
        </w:rPr>
        <w:t>However, left</w:t>
      </w:r>
      <w:r w:rsidR="009C538E" w:rsidRPr="004A1C60">
        <w:rPr>
          <w:rFonts w:ascii="Times New Roman" w:hAnsi="Times New Roman" w:cs="Times New Roman"/>
          <w:sz w:val="24"/>
          <w:szCs w:val="24"/>
        </w:rPr>
        <w:t xml:space="preserve"> unquestioned </w:t>
      </w:r>
      <w:r w:rsidR="00516F35" w:rsidRPr="004A1C60">
        <w:rPr>
          <w:rFonts w:ascii="Times New Roman" w:hAnsi="Times New Roman" w:cs="Times New Roman"/>
          <w:sz w:val="24"/>
          <w:szCs w:val="24"/>
        </w:rPr>
        <w:t xml:space="preserve">this </w:t>
      </w:r>
      <w:r w:rsidR="009C538E" w:rsidRPr="004A1C60">
        <w:rPr>
          <w:rFonts w:ascii="Times New Roman" w:hAnsi="Times New Roman" w:cs="Times New Roman"/>
          <w:sz w:val="24"/>
          <w:szCs w:val="24"/>
        </w:rPr>
        <w:t xml:space="preserve">reliance on a </w:t>
      </w:r>
      <w:r w:rsidR="00516F35" w:rsidRPr="004A1C60">
        <w:rPr>
          <w:rFonts w:ascii="Times New Roman" w:hAnsi="Times New Roman" w:cs="Times New Roman"/>
          <w:sz w:val="24"/>
          <w:szCs w:val="24"/>
        </w:rPr>
        <w:t>‘</w:t>
      </w:r>
      <w:r w:rsidR="009C538E" w:rsidRPr="004A1C60">
        <w:rPr>
          <w:rFonts w:ascii="Times New Roman" w:hAnsi="Times New Roman" w:cs="Times New Roman"/>
          <w:sz w:val="24"/>
          <w:szCs w:val="24"/>
        </w:rPr>
        <w:t>tool-box</w:t>
      </w:r>
      <w:r w:rsidR="00516F35" w:rsidRPr="004A1C60">
        <w:rPr>
          <w:rFonts w:ascii="Times New Roman" w:hAnsi="Times New Roman" w:cs="Times New Roman"/>
          <w:sz w:val="24"/>
          <w:szCs w:val="24"/>
        </w:rPr>
        <w:t xml:space="preserve">’ </w:t>
      </w:r>
      <w:r w:rsidRPr="004A1C60">
        <w:rPr>
          <w:rFonts w:ascii="Times New Roman" w:hAnsi="Times New Roman" w:cs="Times New Roman"/>
          <w:sz w:val="24"/>
          <w:szCs w:val="24"/>
        </w:rPr>
        <w:t xml:space="preserve">approach </w:t>
      </w:r>
      <w:r w:rsidR="004C33A8" w:rsidRPr="004A1C60">
        <w:rPr>
          <w:rFonts w:ascii="Times New Roman" w:hAnsi="Times New Roman" w:cs="Times New Roman"/>
          <w:sz w:val="24"/>
          <w:szCs w:val="24"/>
        </w:rPr>
        <w:t xml:space="preserve">to employability </w:t>
      </w:r>
      <w:r w:rsidRPr="004A1C60">
        <w:rPr>
          <w:rFonts w:ascii="Times New Roman" w:hAnsi="Times New Roman" w:cs="Times New Roman"/>
          <w:sz w:val="24"/>
          <w:szCs w:val="24"/>
        </w:rPr>
        <w:t>where</w:t>
      </w:r>
      <w:r w:rsidR="00516F35" w:rsidRPr="004A1C60">
        <w:rPr>
          <w:rFonts w:ascii="Times New Roman" w:hAnsi="Times New Roman" w:cs="Times New Roman"/>
          <w:sz w:val="24"/>
          <w:szCs w:val="24"/>
        </w:rPr>
        <w:t xml:space="preserve"> students are encouraged to acquire a </w:t>
      </w:r>
      <w:r w:rsidR="009C538E" w:rsidRPr="004A1C60">
        <w:rPr>
          <w:rFonts w:ascii="Times New Roman" w:hAnsi="Times New Roman" w:cs="Times New Roman"/>
          <w:sz w:val="24"/>
          <w:szCs w:val="24"/>
        </w:rPr>
        <w:t>repertoire of such skills</w:t>
      </w:r>
      <w:r w:rsidR="00516F35" w:rsidRPr="004A1C60">
        <w:rPr>
          <w:rFonts w:ascii="Times New Roman" w:hAnsi="Times New Roman" w:cs="Times New Roman"/>
          <w:sz w:val="24"/>
          <w:szCs w:val="24"/>
        </w:rPr>
        <w:t>,</w:t>
      </w:r>
      <w:r w:rsidR="009C538E" w:rsidRPr="004A1C60">
        <w:rPr>
          <w:rFonts w:ascii="Times New Roman" w:hAnsi="Times New Roman" w:cs="Times New Roman"/>
          <w:sz w:val="24"/>
          <w:szCs w:val="24"/>
        </w:rPr>
        <w:t xml:space="preserve"> has a tendency to elide social and political differences between individuals, and means</w:t>
      </w:r>
      <w:r w:rsidR="006B66F1" w:rsidRPr="004A1C60">
        <w:rPr>
          <w:rFonts w:ascii="Times New Roman" w:hAnsi="Times New Roman" w:cs="Times New Roman"/>
          <w:sz w:val="24"/>
          <w:szCs w:val="24"/>
        </w:rPr>
        <w:t xml:space="preserve"> that issues of cultural capital</w:t>
      </w:r>
      <w:r w:rsidR="009C538E" w:rsidRPr="004A1C60">
        <w:rPr>
          <w:rFonts w:ascii="Times New Roman" w:hAnsi="Times New Roman" w:cs="Times New Roman"/>
          <w:sz w:val="24"/>
          <w:szCs w:val="24"/>
        </w:rPr>
        <w:t xml:space="preserve"> and unequal power relations between individuals and groups are often not taken into account, by students or those working with them </w:t>
      </w:r>
      <w:r w:rsidR="004C33A8" w:rsidRPr="004A1C60">
        <w:rPr>
          <w:rFonts w:ascii="Times New Roman" w:hAnsi="Times New Roman" w:cs="Times New Roman"/>
          <w:sz w:val="24"/>
          <w:szCs w:val="24"/>
        </w:rPr>
        <w:t xml:space="preserve">in pursuit of an </w:t>
      </w:r>
      <w:r w:rsidR="009C538E" w:rsidRPr="004A1C60">
        <w:rPr>
          <w:rFonts w:ascii="Times New Roman" w:hAnsi="Times New Roman" w:cs="Times New Roman"/>
          <w:sz w:val="24"/>
          <w:szCs w:val="24"/>
        </w:rPr>
        <w:t>employability</w:t>
      </w:r>
      <w:r w:rsidR="004C33A8" w:rsidRPr="004A1C60">
        <w:rPr>
          <w:rFonts w:ascii="Times New Roman" w:hAnsi="Times New Roman" w:cs="Times New Roman"/>
          <w:sz w:val="24"/>
          <w:szCs w:val="24"/>
        </w:rPr>
        <w:t xml:space="preserve"> agenda</w:t>
      </w:r>
      <w:r w:rsidR="009C538E" w:rsidRPr="004A1C60">
        <w:rPr>
          <w:rFonts w:ascii="Times New Roman" w:hAnsi="Times New Roman" w:cs="Times New Roman"/>
          <w:sz w:val="24"/>
          <w:szCs w:val="24"/>
        </w:rPr>
        <w:t>.</w:t>
      </w:r>
    </w:p>
    <w:p w14:paraId="18386320" w14:textId="0177782A" w:rsidR="002F1562" w:rsidRPr="004A1C60" w:rsidRDefault="00251367" w:rsidP="00832802">
      <w:pPr>
        <w:spacing w:before="40" w:after="40" w:line="360" w:lineRule="auto"/>
        <w:rPr>
          <w:rFonts w:ascii="Times New Roman" w:hAnsi="Times New Roman" w:cs="Times New Roman"/>
          <w:b/>
          <w:i/>
          <w:sz w:val="24"/>
          <w:szCs w:val="24"/>
        </w:rPr>
      </w:pPr>
      <w:r w:rsidRPr="004A1C60">
        <w:rPr>
          <w:rFonts w:ascii="Times New Roman" w:hAnsi="Times New Roman" w:cs="Times New Roman"/>
          <w:b/>
          <w:i/>
          <w:sz w:val="24"/>
          <w:szCs w:val="24"/>
        </w:rPr>
        <w:t>R</w:t>
      </w:r>
      <w:r w:rsidR="0057585F" w:rsidRPr="004A1C60">
        <w:rPr>
          <w:rFonts w:ascii="Times New Roman" w:hAnsi="Times New Roman" w:cs="Times New Roman"/>
          <w:b/>
          <w:i/>
          <w:sz w:val="24"/>
          <w:szCs w:val="24"/>
        </w:rPr>
        <w:t xml:space="preserve">e-thinking employability: </w:t>
      </w:r>
      <w:r w:rsidR="00CD2507" w:rsidRPr="004A1C60">
        <w:rPr>
          <w:rFonts w:ascii="Times New Roman" w:hAnsi="Times New Roman" w:cs="Times New Roman"/>
          <w:b/>
          <w:i/>
          <w:sz w:val="24"/>
          <w:szCs w:val="24"/>
        </w:rPr>
        <w:t xml:space="preserve">towards a </w:t>
      </w:r>
      <w:r w:rsidR="002F1562" w:rsidRPr="004A1C60">
        <w:rPr>
          <w:rFonts w:ascii="Times New Roman" w:hAnsi="Times New Roman" w:cs="Times New Roman"/>
          <w:b/>
          <w:i/>
          <w:sz w:val="24"/>
          <w:szCs w:val="24"/>
        </w:rPr>
        <w:t>social practice</w:t>
      </w:r>
      <w:r w:rsidR="00CD2507" w:rsidRPr="004A1C60">
        <w:rPr>
          <w:rFonts w:ascii="Times New Roman" w:hAnsi="Times New Roman" w:cs="Times New Roman"/>
          <w:b/>
          <w:i/>
          <w:sz w:val="24"/>
          <w:szCs w:val="24"/>
        </w:rPr>
        <w:t xml:space="preserve"> model</w:t>
      </w:r>
    </w:p>
    <w:p w14:paraId="463F72CE" w14:textId="5E17827C" w:rsidR="002F1562" w:rsidRPr="004A1C60" w:rsidRDefault="00FE659B" w:rsidP="00832802">
      <w:pPr>
        <w:spacing w:before="40" w:after="40" w:line="360" w:lineRule="auto"/>
        <w:rPr>
          <w:rFonts w:ascii="Times New Roman" w:hAnsi="Times New Roman" w:cs="Times New Roman"/>
          <w:sz w:val="24"/>
          <w:szCs w:val="24"/>
        </w:rPr>
      </w:pPr>
      <w:r w:rsidRPr="004A1C60">
        <w:rPr>
          <w:rFonts w:ascii="Times New Roman" w:hAnsi="Times New Roman" w:cs="Times New Roman"/>
          <w:sz w:val="24"/>
          <w:szCs w:val="24"/>
        </w:rPr>
        <w:t>H</w:t>
      </w:r>
      <w:r w:rsidR="002F1562" w:rsidRPr="004A1C60">
        <w:rPr>
          <w:rFonts w:ascii="Times New Roman" w:hAnsi="Times New Roman" w:cs="Times New Roman"/>
          <w:sz w:val="24"/>
          <w:szCs w:val="24"/>
        </w:rPr>
        <w:t>igher education academic writing and writing development practices take place within institutions which may be highly pedagogised spaces in disciplinary terms but which often lack a sense of clarity and criticality about what actually constitutes and supports learning gen</w:t>
      </w:r>
      <w:r w:rsidRPr="004A1C60">
        <w:rPr>
          <w:rFonts w:ascii="Times New Roman" w:hAnsi="Times New Roman" w:cs="Times New Roman"/>
          <w:sz w:val="24"/>
          <w:szCs w:val="24"/>
        </w:rPr>
        <w:t xml:space="preserve">erally and academic literacies </w:t>
      </w:r>
      <w:r w:rsidR="002F1562" w:rsidRPr="004A1C60">
        <w:rPr>
          <w:rFonts w:ascii="Times New Roman" w:hAnsi="Times New Roman" w:cs="Times New Roman"/>
          <w:sz w:val="24"/>
          <w:szCs w:val="24"/>
        </w:rPr>
        <w:t>specifically (Lea and Street, 1998; Ganobscik- Williams, 2006). Biggs (2003) argues that all forms of higher education learning may, for this reason, benefit from a more explicitly ‘metacognitive’ pedag</w:t>
      </w:r>
      <w:r w:rsidR="00123C35" w:rsidRPr="004A1C60">
        <w:rPr>
          <w:rFonts w:ascii="Times New Roman" w:hAnsi="Times New Roman" w:cs="Times New Roman"/>
          <w:sz w:val="24"/>
          <w:szCs w:val="24"/>
        </w:rPr>
        <w:t>ogic approaches that foreground and problematise</w:t>
      </w:r>
      <w:r w:rsidR="002F1562" w:rsidRPr="004A1C60">
        <w:rPr>
          <w:rFonts w:ascii="Times New Roman" w:hAnsi="Times New Roman" w:cs="Times New Roman"/>
          <w:sz w:val="24"/>
          <w:szCs w:val="24"/>
        </w:rPr>
        <w:t xml:space="preserve"> the processes involved in lear</w:t>
      </w:r>
      <w:r w:rsidR="00123C35" w:rsidRPr="004A1C60">
        <w:rPr>
          <w:rFonts w:ascii="Times New Roman" w:hAnsi="Times New Roman" w:cs="Times New Roman"/>
          <w:sz w:val="24"/>
          <w:szCs w:val="24"/>
        </w:rPr>
        <w:t xml:space="preserve">ning and teaching.  </w:t>
      </w:r>
      <w:r w:rsidR="002F1562" w:rsidRPr="004A1C60">
        <w:rPr>
          <w:rFonts w:ascii="Times New Roman" w:hAnsi="Times New Roman" w:cs="Times New Roman"/>
          <w:sz w:val="24"/>
          <w:szCs w:val="24"/>
        </w:rPr>
        <w:t>Barne</w:t>
      </w:r>
      <w:r w:rsidR="007C6F3E" w:rsidRPr="004A1C60">
        <w:rPr>
          <w:rFonts w:ascii="Times New Roman" w:hAnsi="Times New Roman" w:cs="Times New Roman"/>
          <w:sz w:val="24"/>
          <w:szCs w:val="24"/>
        </w:rPr>
        <w:t>tt</w:t>
      </w:r>
      <w:r w:rsidR="00123C35" w:rsidRPr="004A1C60">
        <w:rPr>
          <w:rFonts w:ascii="Times New Roman" w:hAnsi="Times New Roman" w:cs="Times New Roman"/>
          <w:sz w:val="24"/>
          <w:szCs w:val="24"/>
        </w:rPr>
        <w:t xml:space="preserve"> (2000) argues that universities </w:t>
      </w:r>
      <w:r w:rsidR="002F1562" w:rsidRPr="004A1C60">
        <w:rPr>
          <w:rFonts w:ascii="Times New Roman" w:hAnsi="Times New Roman" w:cs="Times New Roman"/>
          <w:sz w:val="24"/>
          <w:szCs w:val="24"/>
        </w:rPr>
        <w:t>i</w:t>
      </w:r>
      <w:r w:rsidR="00123C35" w:rsidRPr="004A1C60">
        <w:rPr>
          <w:rFonts w:ascii="Times New Roman" w:hAnsi="Times New Roman" w:cs="Times New Roman"/>
          <w:sz w:val="24"/>
          <w:szCs w:val="24"/>
        </w:rPr>
        <w:t>nhabit a ‘</w:t>
      </w:r>
      <w:r w:rsidR="00647560" w:rsidRPr="004A1C60">
        <w:rPr>
          <w:rFonts w:ascii="Times New Roman" w:hAnsi="Times New Roman" w:cs="Times New Roman"/>
          <w:sz w:val="24"/>
          <w:szCs w:val="24"/>
        </w:rPr>
        <w:t>super complex</w:t>
      </w:r>
      <w:r w:rsidR="00123C35" w:rsidRPr="004A1C60">
        <w:rPr>
          <w:rFonts w:ascii="Times New Roman" w:hAnsi="Times New Roman" w:cs="Times New Roman"/>
          <w:sz w:val="24"/>
          <w:szCs w:val="24"/>
        </w:rPr>
        <w:t xml:space="preserve">’ world </w:t>
      </w:r>
      <w:r w:rsidR="00B54149" w:rsidRPr="004A1C60">
        <w:rPr>
          <w:rFonts w:ascii="Times New Roman" w:hAnsi="Times New Roman" w:cs="Times New Roman"/>
          <w:sz w:val="24"/>
          <w:szCs w:val="24"/>
        </w:rPr>
        <w:t xml:space="preserve">in which they are not </w:t>
      </w:r>
      <w:r w:rsidR="002F1562" w:rsidRPr="004A1C60">
        <w:rPr>
          <w:rFonts w:ascii="Times New Roman" w:hAnsi="Times New Roman" w:cs="Times New Roman"/>
          <w:sz w:val="24"/>
          <w:szCs w:val="24"/>
        </w:rPr>
        <w:t xml:space="preserve">sole, authoritative producers and reproducers of information or knowledge in particular, fixed forms.  Indeed, he argues that in the modern world the nature and status of any knowledge-claims are increasingly debatable and contestable as are the forms deployed to express them. Learning in higher education should, therefore, according to Barnett (2000), be progressively experienced via the negotiation of a number of contested critical metanarratives or frameworks through which information can be expressed and experienced. </w:t>
      </w:r>
    </w:p>
    <w:p w14:paraId="0B241AD0" w14:textId="77777777" w:rsidR="002F1562" w:rsidRPr="004A1C60" w:rsidRDefault="002F1562" w:rsidP="00832802">
      <w:pPr>
        <w:spacing w:before="40" w:after="40" w:line="360" w:lineRule="auto"/>
        <w:rPr>
          <w:rFonts w:ascii="Times New Roman" w:hAnsi="Times New Roman" w:cs="Times New Roman"/>
          <w:sz w:val="24"/>
          <w:szCs w:val="24"/>
        </w:rPr>
      </w:pPr>
    </w:p>
    <w:p w14:paraId="47FF1130" w14:textId="1B8EBD81" w:rsidR="00FC1EF8" w:rsidRPr="004A1C60" w:rsidRDefault="005B30BA" w:rsidP="00832802">
      <w:pPr>
        <w:spacing w:before="40" w:after="40" w:line="360" w:lineRule="auto"/>
        <w:rPr>
          <w:rFonts w:ascii="Times New Roman" w:hAnsi="Times New Roman" w:cs="Times New Roman"/>
          <w:sz w:val="24"/>
          <w:szCs w:val="24"/>
        </w:rPr>
      </w:pPr>
      <w:r w:rsidRPr="004A1C60">
        <w:rPr>
          <w:rFonts w:ascii="Times New Roman" w:hAnsi="Times New Roman" w:cs="Times New Roman"/>
          <w:sz w:val="24"/>
          <w:szCs w:val="24"/>
        </w:rPr>
        <w:t xml:space="preserve">The L4E project that we draw on to construct this second narrative </w:t>
      </w:r>
      <w:r w:rsidR="00FC1EF8" w:rsidRPr="004A1C60">
        <w:rPr>
          <w:rFonts w:ascii="Times New Roman" w:hAnsi="Times New Roman" w:cs="Times New Roman"/>
          <w:sz w:val="24"/>
          <w:szCs w:val="24"/>
        </w:rPr>
        <w:t>takes</w:t>
      </w:r>
      <w:r w:rsidRPr="004A1C60">
        <w:rPr>
          <w:rFonts w:ascii="Times New Roman" w:hAnsi="Times New Roman" w:cs="Times New Roman"/>
          <w:sz w:val="24"/>
          <w:szCs w:val="24"/>
        </w:rPr>
        <w:t xml:space="preserve"> </w:t>
      </w:r>
      <w:r w:rsidR="00FC1EF8" w:rsidRPr="004A1C60">
        <w:rPr>
          <w:rFonts w:ascii="Times New Roman" w:hAnsi="Times New Roman" w:cs="Times New Roman"/>
          <w:sz w:val="24"/>
          <w:szCs w:val="24"/>
        </w:rPr>
        <w:t xml:space="preserve">as its </w:t>
      </w:r>
      <w:r w:rsidR="00FC09E4" w:rsidRPr="004A1C60">
        <w:rPr>
          <w:rFonts w:ascii="Times New Roman" w:hAnsi="Times New Roman" w:cs="Times New Roman"/>
          <w:sz w:val="24"/>
          <w:szCs w:val="24"/>
        </w:rPr>
        <w:t xml:space="preserve">alternative </w:t>
      </w:r>
      <w:r w:rsidR="00FC1EF8" w:rsidRPr="004A1C60">
        <w:rPr>
          <w:rFonts w:ascii="Times New Roman" w:hAnsi="Times New Roman" w:cs="Times New Roman"/>
          <w:sz w:val="24"/>
          <w:szCs w:val="24"/>
        </w:rPr>
        <w:t xml:space="preserve">starting point the idea that </w:t>
      </w:r>
      <w:r w:rsidR="00FC09E4" w:rsidRPr="004A1C60">
        <w:rPr>
          <w:rFonts w:ascii="Times New Roman" w:hAnsi="Times New Roman" w:cs="Times New Roman"/>
          <w:sz w:val="24"/>
          <w:szCs w:val="24"/>
        </w:rPr>
        <w:t xml:space="preserve">employability literacies can </w:t>
      </w:r>
      <w:r w:rsidR="00FA3D3C" w:rsidRPr="004A1C60">
        <w:rPr>
          <w:rFonts w:ascii="Times New Roman" w:hAnsi="Times New Roman" w:cs="Times New Roman"/>
          <w:sz w:val="24"/>
          <w:szCs w:val="24"/>
        </w:rPr>
        <w:t xml:space="preserve">neither </w:t>
      </w:r>
      <w:r w:rsidR="00FC1EF8" w:rsidRPr="004A1C60">
        <w:rPr>
          <w:rFonts w:ascii="Times New Roman" w:hAnsi="Times New Roman" w:cs="Times New Roman"/>
          <w:sz w:val="24"/>
          <w:szCs w:val="24"/>
        </w:rPr>
        <w:t>be summed u</w:t>
      </w:r>
      <w:r w:rsidR="00FA3D3C" w:rsidRPr="004A1C60">
        <w:rPr>
          <w:rFonts w:ascii="Times New Roman" w:hAnsi="Times New Roman" w:cs="Times New Roman"/>
          <w:sz w:val="24"/>
          <w:szCs w:val="24"/>
        </w:rPr>
        <w:t xml:space="preserve">p as a definable skills set nor </w:t>
      </w:r>
      <w:r w:rsidR="00FC1EF8" w:rsidRPr="004A1C60">
        <w:rPr>
          <w:rFonts w:ascii="Times New Roman" w:hAnsi="Times New Roman" w:cs="Times New Roman"/>
          <w:sz w:val="24"/>
          <w:szCs w:val="24"/>
        </w:rPr>
        <w:t>usefully taught as part of a fu</w:t>
      </w:r>
      <w:r w:rsidR="00FA3D3C" w:rsidRPr="004A1C60">
        <w:rPr>
          <w:rFonts w:ascii="Times New Roman" w:hAnsi="Times New Roman" w:cs="Times New Roman"/>
          <w:sz w:val="24"/>
          <w:szCs w:val="24"/>
        </w:rPr>
        <w:t xml:space="preserve">nctional work-based curriculum </w:t>
      </w:r>
      <w:r w:rsidR="00FC1EF8" w:rsidRPr="004A1C60">
        <w:rPr>
          <w:rFonts w:ascii="Times New Roman" w:hAnsi="Times New Roman" w:cs="Times New Roman"/>
          <w:sz w:val="24"/>
          <w:szCs w:val="24"/>
        </w:rPr>
        <w:t xml:space="preserve">(Pegg, 2010). In </w:t>
      </w:r>
      <w:r w:rsidR="00FC1EF8" w:rsidRPr="004A1C60">
        <w:rPr>
          <w:rFonts w:ascii="Times New Roman" w:hAnsi="Times New Roman" w:cs="Times New Roman"/>
          <w:sz w:val="24"/>
          <w:szCs w:val="24"/>
        </w:rPr>
        <w:lastRenderedPageBreak/>
        <w:t>this</w:t>
      </w:r>
      <w:r w:rsidR="00FA3D3C" w:rsidRPr="004A1C60">
        <w:rPr>
          <w:rFonts w:ascii="Times New Roman" w:hAnsi="Times New Roman" w:cs="Times New Roman"/>
          <w:sz w:val="24"/>
          <w:szCs w:val="24"/>
        </w:rPr>
        <w:t xml:space="preserve"> </w:t>
      </w:r>
      <w:r w:rsidR="00C84DC1" w:rsidRPr="004A1C60">
        <w:rPr>
          <w:rFonts w:ascii="Times New Roman" w:hAnsi="Times New Roman" w:cs="Times New Roman"/>
          <w:sz w:val="24"/>
          <w:szCs w:val="24"/>
        </w:rPr>
        <w:t xml:space="preserve">section </w:t>
      </w:r>
      <w:r w:rsidR="00FC1EF8" w:rsidRPr="004A1C60">
        <w:rPr>
          <w:rFonts w:ascii="Times New Roman" w:hAnsi="Times New Roman" w:cs="Times New Roman"/>
          <w:sz w:val="24"/>
          <w:szCs w:val="24"/>
        </w:rPr>
        <w:t xml:space="preserve">we aim to challenge established approaches to student employability </w:t>
      </w:r>
      <w:r w:rsidR="00C84DC1" w:rsidRPr="004A1C60">
        <w:rPr>
          <w:rFonts w:ascii="Times New Roman" w:hAnsi="Times New Roman" w:cs="Times New Roman"/>
          <w:sz w:val="24"/>
          <w:szCs w:val="24"/>
        </w:rPr>
        <w:t xml:space="preserve">by </w:t>
      </w:r>
      <w:r w:rsidR="008977F5" w:rsidRPr="004A1C60">
        <w:rPr>
          <w:rFonts w:ascii="Times New Roman" w:hAnsi="Times New Roman" w:cs="Times New Roman"/>
          <w:sz w:val="24"/>
          <w:szCs w:val="24"/>
        </w:rPr>
        <w:t>plugging-in</w:t>
      </w:r>
      <w:r w:rsidR="00FC09E4" w:rsidRPr="004A1C60">
        <w:rPr>
          <w:rFonts w:ascii="Times New Roman" w:hAnsi="Times New Roman" w:cs="Times New Roman"/>
          <w:sz w:val="24"/>
          <w:szCs w:val="24"/>
        </w:rPr>
        <w:t xml:space="preserve"> to </w:t>
      </w:r>
      <w:r w:rsidR="00C84DC1" w:rsidRPr="004A1C60">
        <w:rPr>
          <w:rFonts w:ascii="Times New Roman" w:hAnsi="Times New Roman" w:cs="Times New Roman"/>
          <w:sz w:val="24"/>
          <w:szCs w:val="24"/>
        </w:rPr>
        <w:t xml:space="preserve">theories and concepts from </w:t>
      </w:r>
      <w:r w:rsidR="00FC1EF8" w:rsidRPr="004A1C60">
        <w:rPr>
          <w:rFonts w:ascii="Times New Roman" w:hAnsi="Times New Roman" w:cs="Times New Roman"/>
          <w:sz w:val="24"/>
          <w:szCs w:val="24"/>
        </w:rPr>
        <w:t xml:space="preserve">New Literacy Studies (NLS) theorists, (Barton and Hamilton, 1998; </w:t>
      </w:r>
      <w:r w:rsidR="009B12B2" w:rsidRPr="004A1C60">
        <w:rPr>
          <w:rFonts w:ascii="Times New Roman" w:hAnsi="Times New Roman" w:cs="Times New Roman"/>
          <w:sz w:val="24"/>
          <w:szCs w:val="24"/>
        </w:rPr>
        <w:t xml:space="preserve">Gee, 1990, 2000, Cope et al, 2002, </w:t>
      </w:r>
      <w:r w:rsidR="00BF2E4A" w:rsidRPr="004A1C60">
        <w:rPr>
          <w:rFonts w:ascii="Times New Roman" w:hAnsi="Times New Roman" w:cs="Times New Roman"/>
          <w:sz w:val="24"/>
          <w:szCs w:val="24"/>
        </w:rPr>
        <w:t>Street, 1999, 2001, Lankshear and Knobel, 2006</w:t>
      </w:r>
      <w:r w:rsidR="00FC1EF8" w:rsidRPr="004A1C60">
        <w:rPr>
          <w:rFonts w:ascii="Times New Roman" w:hAnsi="Times New Roman" w:cs="Times New Roman"/>
          <w:sz w:val="24"/>
          <w:szCs w:val="24"/>
        </w:rPr>
        <w:t>)</w:t>
      </w:r>
      <w:r w:rsidR="00C84DC1" w:rsidRPr="004A1C60">
        <w:rPr>
          <w:rFonts w:ascii="Times New Roman" w:hAnsi="Times New Roman" w:cs="Times New Roman"/>
          <w:sz w:val="24"/>
          <w:szCs w:val="24"/>
        </w:rPr>
        <w:t xml:space="preserve"> to </w:t>
      </w:r>
      <w:r w:rsidR="008977F5" w:rsidRPr="004A1C60">
        <w:rPr>
          <w:rFonts w:ascii="Times New Roman" w:hAnsi="Times New Roman" w:cs="Times New Roman"/>
          <w:sz w:val="24"/>
          <w:szCs w:val="24"/>
        </w:rPr>
        <w:t>help us think through student learning about employment</w:t>
      </w:r>
      <w:r w:rsidR="00B95B48" w:rsidRPr="004A1C60">
        <w:rPr>
          <w:rFonts w:ascii="Times New Roman" w:hAnsi="Times New Roman" w:cs="Times New Roman"/>
          <w:sz w:val="24"/>
          <w:szCs w:val="24"/>
        </w:rPr>
        <w:t>, the ‘world of work’</w:t>
      </w:r>
      <w:r w:rsidR="008977F5" w:rsidRPr="004A1C60">
        <w:rPr>
          <w:rFonts w:ascii="Times New Roman" w:hAnsi="Times New Roman" w:cs="Times New Roman"/>
          <w:sz w:val="24"/>
          <w:szCs w:val="24"/>
        </w:rPr>
        <w:t xml:space="preserve"> and participation in the workplace. </w:t>
      </w:r>
      <w:r w:rsidR="00FC1EF8" w:rsidRPr="004A1C60">
        <w:rPr>
          <w:rFonts w:ascii="Times New Roman" w:hAnsi="Times New Roman" w:cs="Times New Roman"/>
          <w:sz w:val="24"/>
          <w:szCs w:val="24"/>
        </w:rPr>
        <w:t>NLS researchers have sought to reconceptualise literacy as a complex social activity embedded in domains of practice. In this approach employability practices, like o</w:t>
      </w:r>
      <w:r w:rsidR="00B95B48" w:rsidRPr="004A1C60">
        <w:rPr>
          <w:rFonts w:ascii="Times New Roman" w:hAnsi="Times New Roman" w:cs="Times New Roman"/>
          <w:sz w:val="24"/>
          <w:szCs w:val="24"/>
        </w:rPr>
        <w:t>ther social practices, are part</w:t>
      </w:r>
      <w:r w:rsidR="00FC1EF8" w:rsidRPr="004A1C60">
        <w:rPr>
          <w:rFonts w:ascii="Times New Roman" w:hAnsi="Times New Roman" w:cs="Times New Roman"/>
          <w:sz w:val="24"/>
          <w:szCs w:val="24"/>
        </w:rPr>
        <w:t xml:space="preserve"> </w:t>
      </w:r>
      <w:r w:rsidR="00B95B48" w:rsidRPr="004A1C60">
        <w:rPr>
          <w:rFonts w:ascii="Times New Roman" w:hAnsi="Times New Roman" w:cs="Times New Roman"/>
          <w:sz w:val="24"/>
          <w:szCs w:val="24"/>
        </w:rPr>
        <w:t>“</w:t>
      </w:r>
      <w:r w:rsidR="00FC1EF8" w:rsidRPr="004A1C60">
        <w:rPr>
          <w:rFonts w:ascii="Times New Roman" w:hAnsi="Times New Roman" w:cs="Times New Roman"/>
          <w:sz w:val="24"/>
          <w:szCs w:val="24"/>
        </w:rPr>
        <w:t xml:space="preserve">…of a [workplace] domain… framed by its culture. Their meaning and purpose are socially constructed through negotiations among </w:t>
      </w:r>
      <w:r w:rsidR="001600A1" w:rsidRPr="004A1C60">
        <w:rPr>
          <w:rFonts w:ascii="Times New Roman" w:hAnsi="Times New Roman" w:cs="Times New Roman"/>
          <w:sz w:val="24"/>
          <w:szCs w:val="24"/>
        </w:rPr>
        <w:t>present and past members…[Such]</w:t>
      </w:r>
      <w:r w:rsidR="00FC1EF8" w:rsidRPr="004A1C60">
        <w:rPr>
          <w:rFonts w:ascii="Times New Roman" w:hAnsi="Times New Roman" w:cs="Times New Roman"/>
          <w:sz w:val="24"/>
          <w:szCs w:val="24"/>
        </w:rPr>
        <w:t xml:space="preserve"> activities thus cohere in a way that is, in theory, if not always in practice, accessible to members who move within the social framework. These coherent, meaningful,</w:t>
      </w:r>
      <w:r w:rsidR="00CA418A" w:rsidRPr="004A1C60">
        <w:rPr>
          <w:rFonts w:ascii="Times New Roman" w:hAnsi="Times New Roman" w:cs="Times New Roman"/>
          <w:sz w:val="24"/>
          <w:szCs w:val="24"/>
        </w:rPr>
        <w:t xml:space="preserve"> and purposeful activities are…</w:t>
      </w:r>
      <w:r w:rsidR="00FC1EF8" w:rsidRPr="004A1C60">
        <w:rPr>
          <w:rFonts w:ascii="Times New Roman" w:hAnsi="Times New Roman" w:cs="Times New Roman"/>
          <w:sz w:val="24"/>
          <w:szCs w:val="24"/>
        </w:rPr>
        <w:t>most simply defined as the ord</w:t>
      </w:r>
      <w:r w:rsidR="002D21E6" w:rsidRPr="004A1C60">
        <w:rPr>
          <w:rFonts w:ascii="Times New Roman" w:hAnsi="Times New Roman" w:cs="Times New Roman"/>
          <w:sz w:val="24"/>
          <w:szCs w:val="24"/>
        </w:rPr>
        <w:t>inary practices of the culture</w:t>
      </w:r>
      <w:r w:rsidR="00DC472B" w:rsidRPr="004A1C60">
        <w:rPr>
          <w:rFonts w:ascii="Times New Roman" w:hAnsi="Times New Roman" w:cs="Times New Roman"/>
          <w:sz w:val="24"/>
          <w:szCs w:val="24"/>
        </w:rPr>
        <w:t>”</w:t>
      </w:r>
      <w:r w:rsidR="002D21E6" w:rsidRPr="004A1C60">
        <w:rPr>
          <w:rFonts w:ascii="Times New Roman" w:hAnsi="Times New Roman" w:cs="Times New Roman"/>
          <w:sz w:val="24"/>
          <w:szCs w:val="24"/>
        </w:rPr>
        <w:t xml:space="preserve"> </w:t>
      </w:r>
      <w:r w:rsidR="00FC1EF8" w:rsidRPr="004A1C60">
        <w:rPr>
          <w:rFonts w:ascii="Times New Roman" w:hAnsi="Times New Roman" w:cs="Times New Roman"/>
          <w:sz w:val="24"/>
          <w:szCs w:val="24"/>
        </w:rPr>
        <w:t>(Seely Brow</w:t>
      </w:r>
      <w:r w:rsidR="00CA418A" w:rsidRPr="004A1C60">
        <w:rPr>
          <w:rFonts w:ascii="Times New Roman" w:hAnsi="Times New Roman" w:cs="Times New Roman"/>
          <w:sz w:val="24"/>
          <w:szCs w:val="24"/>
        </w:rPr>
        <w:t>n, Collins &amp; Duguid 1989:</w:t>
      </w:r>
      <w:r w:rsidR="00FC1EF8" w:rsidRPr="004A1C60">
        <w:rPr>
          <w:rFonts w:ascii="Times New Roman" w:hAnsi="Times New Roman" w:cs="Times New Roman"/>
          <w:sz w:val="24"/>
          <w:szCs w:val="24"/>
        </w:rPr>
        <w:t>1).</w:t>
      </w:r>
    </w:p>
    <w:p w14:paraId="1F432BB1" w14:textId="77777777" w:rsidR="00FC1EF8" w:rsidRPr="004A1C60" w:rsidRDefault="00FC1EF8" w:rsidP="00832802">
      <w:pPr>
        <w:spacing w:before="40" w:after="40" w:line="360" w:lineRule="auto"/>
        <w:rPr>
          <w:rFonts w:ascii="Times New Roman" w:hAnsi="Times New Roman" w:cs="Times New Roman"/>
          <w:sz w:val="24"/>
          <w:szCs w:val="24"/>
        </w:rPr>
      </w:pPr>
    </w:p>
    <w:p w14:paraId="02EAA892" w14:textId="479AAD50" w:rsidR="009935C0" w:rsidRPr="004A1C60" w:rsidRDefault="009245D2" w:rsidP="00832802">
      <w:pPr>
        <w:spacing w:before="40" w:after="40" w:line="360" w:lineRule="auto"/>
        <w:rPr>
          <w:rFonts w:ascii="Times New Roman" w:hAnsi="Times New Roman" w:cs="Times New Roman"/>
          <w:sz w:val="24"/>
          <w:szCs w:val="24"/>
        </w:rPr>
      </w:pPr>
      <w:r w:rsidRPr="004A1C60">
        <w:rPr>
          <w:rFonts w:ascii="Times New Roman" w:hAnsi="Times New Roman" w:cs="Times New Roman"/>
          <w:sz w:val="24"/>
          <w:szCs w:val="24"/>
        </w:rPr>
        <w:t>As figure 1 demonstrates, t</w:t>
      </w:r>
      <w:r w:rsidR="002F1562" w:rsidRPr="004A1C60">
        <w:rPr>
          <w:rFonts w:ascii="Times New Roman" w:hAnsi="Times New Roman" w:cs="Times New Roman"/>
          <w:sz w:val="24"/>
          <w:szCs w:val="24"/>
        </w:rPr>
        <w:t xml:space="preserve">he </w:t>
      </w:r>
      <w:r w:rsidRPr="004A1C60">
        <w:rPr>
          <w:rFonts w:ascii="Times New Roman" w:hAnsi="Times New Roman" w:cs="Times New Roman"/>
          <w:sz w:val="24"/>
          <w:szCs w:val="24"/>
        </w:rPr>
        <w:t xml:space="preserve">shifted </w:t>
      </w:r>
      <w:r w:rsidR="00C1576A" w:rsidRPr="004A1C60">
        <w:rPr>
          <w:rFonts w:ascii="Times New Roman" w:hAnsi="Times New Roman" w:cs="Times New Roman"/>
          <w:sz w:val="24"/>
          <w:szCs w:val="24"/>
        </w:rPr>
        <w:t>emphasis in</w:t>
      </w:r>
      <w:r w:rsidR="00FC09E4" w:rsidRPr="004A1C60">
        <w:rPr>
          <w:rFonts w:ascii="Times New Roman" w:hAnsi="Times New Roman" w:cs="Times New Roman"/>
          <w:sz w:val="24"/>
          <w:szCs w:val="24"/>
        </w:rPr>
        <w:t>forming</w:t>
      </w:r>
      <w:r w:rsidR="00C1576A" w:rsidRPr="004A1C60">
        <w:rPr>
          <w:rFonts w:ascii="Times New Roman" w:hAnsi="Times New Roman" w:cs="Times New Roman"/>
          <w:sz w:val="24"/>
          <w:szCs w:val="24"/>
        </w:rPr>
        <w:t xml:space="preserve"> </w:t>
      </w:r>
      <w:r w:rsidRPr="004A1C60">
        <w:rPr>
          <w:rFonts w:ascii="Times New Roman" w:hAnsi="Times New Roman" w:cs="Times New Roman"/>
          <w:sz w:val="24"/>
          <w:szCs w:val="24"/>
        </w:rPr>
        <w:t xml:space="preserve">the </w:t>
      </w:r>
      <w:r w:rsidR="001600A1" w:rsidRPr="004A1C60">
        <w:rPr>
          <w:rFonts w:ascii="Times New Roman" w:hAnsi="Times New Roman" w:cs="Times New Roman"/>
          <w:sz w:val="24"/>
          <w:szCs w:val="24"/>
        </w:rPr>
        <w:t>L4E</w:t>
      </w:r>
      <w:r w:rsidR="00E52CCB" w:rsidRPr="004A1C60">
        <w:rPr>
          <w:rFonts w:ascii="Times New Roman" w:hAnsi="Times New Roman" w:cs="Times New Roman"/>
          <w:sz w:val="24"/>
          <w:szCs w:val="24"/>
        </w:rPr>
        <w:t xml:space="preserve"> critical employability </w:t>
      </w:r>
      <w:r w:rsidR="002F1562" w:rsidRPr="004A1C60">
        <w:rPr>
          <w:rFonts w:ascii="Times New Roman" w:hAnsi="Times New Roman" w:cs="Times New Roman"/>
          <w:sz w:val="24"/>
          <w:szCs w:val="24"/>
        </w:rPr>
        <w:t xml:space="preserve">literacies </w:t>
      </w:r>
      <w:r w:rsidR="00317B99" w:rsidRPr="004A1C60">
        <w:rPr>
          <w:rFonts w:ascii="Times New Roman" w:hAnsi="Times New Roman" w:cs="Times New Roman"/>
          <w:sz w:val="24"/>
          <w:szCs w:val="24"/>
        </w:rPr>
        <w:t>framework</w:t>
      </w:r>
      <w:r w:rsidRPr="004A1C60">
        <w:rPr>
          <w:rFonts w:ascii="Times New Roman" w:hAnsi="Times New Roman" w:cs="Times New Roman"/>
          <w:sz w:val="24"/>
          <w:szCs w:val="24"/>
        </w:rPr>
        <w:t xml:space="preserve"> </w:t>
      </w:r>
      <w:r w:rsidR="00317B99" w:rsidRPr="004A1C60">
        <w:rPr>
          <w:rFonts w:ascii="Times New Roman" w:hAnsi="Times New Roman" w:cs="Times New Roman"/>
          <w:sz w:val="24"/>
          <w:szCs w:val="24"/>
        </w:rPr>
        <w:t>reflects Barnett’s</w:t>
      </w:r>
      <w:r w:rsidR="007C6F3E" w:rsidRPr="004A1C60">
        <w:rPr>
          <w:rFonts w:ascii="Times New Roman" w:hAnsi="Times New Roman" w:cs="Times New Roman"/>
          <w:sz w:val="24"/>
          <w:szCs w:val="24"/>
        </w:rPr>
        <w:t xml:space="preserve"> (2000) contention</w:t>
      </w:r>
      <w:r w:rsidR="002F1562" w:rsidRPr="004A1C60">
        <w:rPr>
          <w:rFonts w:ascii="Times New Roman" w:hAnsi="Times New Roman" w:cs="Times New Roman"/>
          <w:sz w:val="24"/>
          <w:szCs w:val="24"/>
        </w:rPr>
        <w:t xml:space="preserve"> that contestable and fluid pedagogic frameworks are a vital component of ‘</w:t>
      </w:r>
      <w:r w:rsidR="00647560" w:rsidRPr="004A1C60">
        <w:rPr>
          <w:rFonts w:ascii="Times New Roman" w:hAnsi="Times New Roman" w:cs="Times New Roman"/>
          <w:sz w:val="24"/>
          <w:szCs w:val="24"/>
        </w:rPr>
        <w:t>super complexity</w:t>
      </w:r>
      <w:r w:rsidRPr="004A1C60">
        <w:rPr>
          <w:rFonts w:ascii="Times New Roman" w:hAnsi="Times New Roman" w:cs="Times New Roman"/>
          <w:sz w:val="24"/>
          <w:szCs w:val="24"/>
        </w:rPr>
        <w:t>’ in higher education a</w:t>
      </w:r>
      <w:r w:rsidR="002F1562" w:rsidRPr="004A1C60">
        <w:rPr>
          <w:rFonts w:ascii="Times New Roman" w:hAnsi="Times New Roman" w:cs="Times New Roman"/>
          <w:sz w:val="24"/>
          <w:szCs w:val="24"/>
        </w:rPr>
        <w:t xml:space="preserve">s </w:t>
      </w:r>
      <w:r w:rsidR="00FE659B" w:rsidRPr="004A1C60">
        <w:rPr>
          <w:rFonts w:ascii="Times New Roman" w:hAnsi="Times New Roman" w:cs="Times New Roman"/>
          <w:sz w:val="24"/>
          <w:szCs w:val="24"/>
        </w:rPr>
        <w:t>they seek</w:t>
      </w:r>
      <w:r w:rsidR="00B4219E" w:rsidRPr="004A1C60">
        <w:rPr>
          <w:rFonts w:ascii="Times New Roman" w:hAnsi="Times New Roman" w:cs="Times New Roman"/>
          <w:sz w:val="24"/>
          <w:szCs w:val="24"/>
        </w:rPr>
        <w:t xml:space="preserve"> to create new </w:t>
      </w:r>
      <w:r w:rsidR="002F1562" w:rsidRPr="004A1C60">
        <w:rPr>
          <w:rFonts w:ascii="Times New Roman" w:hAnsi="Times New Roman" w:cs="Times New Roman"/>
          <w:sz w:val="24"/>
          <w:szCs w:val="24"/>
        </w:rPr>
        <w:t xml:space="preserve">spaces for students </w:t>
      </w:r>
      <w:r w:rsidR="00FE659B" w:rsidRPr="004A1C60">
        <w:rPr>
          <w:rFonts w:ascii="Times New Roman" w:hAnsi="Times New Roman" w:cs="Times New Roman"/>
          <w:sz w:val="24"/>
          <w:szCs w:val="24"/>
        </w:rPr>
        <w:t>(and</w:t>
      </w:r>
      <w:r w:rsidR="002F1562" w:rsidRPr="004A1C60">
        <w:rPr>
          <w:rFonts w:ascii="Times New Roman" w:hAnsi="Times New Roman" w:cs="Times New Roman"/>
          <w:sz w:val="24"/>
          <w:szCs w:val="24"/>
        </w:rPr>
        <w:t xml:space="preserve"> lecturers</w:t>
      </w:r>
      <w:r w:rsidR="00FE659B" w:rsidRPr="004A1C60">
        <w:rPr>
          <w:rFonts w:ascii="Times New Roman" w:hAnsi="Times New Roman" w:cs="Times New Roman"/>
          <w:sz w:val="24"/>
          <w:szCs w:val="24"/>
        </w:rPr>
        <w:t>) to</w:t>
      </w:r>
      <w:r w:rsidR="002F1562" w:rsidRPr="004A1C60">
        <w:rPr>
          <w:rFonts w:ascii="Times New Roman" w:hAnsi="Times New Roman" w:cs="Times New Roman"/>
          <w:sz w:val="24"/>
          <w:szCs w:val="24"/>
        </w:rPr>
        <w:t xml:space="preserve"> </w:t>
      </w:r>
      <w:r w:rsidR="00FC09E4" w:rsidRPr="004A1C60">
        <w:rPr>
          <w:rFonts w:ascii="Times New Roman" w:hAnsi="Times New Roman" w:cs="Times New Roman"/>
          <w:sz w:val="24"/>
          <w:szCs w:val="24"/>
        </w:rPr>
        <w:t xml:space="preserve">question traditional practices, in this case in relation to orthodoxies of employability. </w:t>
      </w:r>
      <w:r w:rsidR="00FC09E4" w:rsidRPr="004A1C60">
        <w:rPr>
          <w:rFonts w:ascii="Times New Roman" w:hAnsi="Times New Roman" w:cs="Times New Roman"/>
          <w:i/>
          <w:sz w:val="24"/>
          <w:szCs w:val="24"/>
        </w:rPr>
        <w:t>Employability literacies</w:t>
      </w:r>
      <w:r w:rsidR="00FC09E4" w:rsidRPr="004A1C60">
        <w:rPr>
          <w:rFonts w:ascii="Times New Roman" w:hAnsi="Times New Roman" w:cs="Times New Roman"/>
          <w:sz w:val="24"/>
          <w:szCs w:val="24"/>
        </w:rPr>
        <w:t>, such as</w:t>
      </w:r>
      <w:r w:rsidR="002F1562" w:rsidRPr="004A1C60">
        <w:rPr>
          <w:rFonts w:ascii="Times New Roman" w:hAnsi="Times New Roman" w:cs="Times New Roman"/>
          <w:sz w:val="24"/>
          <w:szCs w:val="24"/>
        </w:rPr>
        <w:t xml:space="preserve"> interviewing, writing application forms and conducting </w:t>
      </w:r>
      <w:r w:rsidR="00FE659B" w:rsidRPr="004A1C60">
        <w:rPr>
          <w:rFonts w:ascii="Times New Roman" w:hAnsi="Times New Roman" w:cs="Times New Roman"/>
          <w:sz w:val="24"/>
          <w:szCs w:val="24"/>
        </w:rPr>
        <w:t>presentations</w:t>
      </w:r>
      <w:r w:rsidR="00E52CCB" w:rsidRPr="004A1C60">
        <w:rPr>
          <w:rFonts w:ascii="Times New Roman" w:hAnsi="Times New Roman" w:cs="Times New Roman"/>
          <w:sz w:val="24"/>
          <w:szCs w:val="24"/>
        </w:rPr>
        <w:t xml:space="preserve"> </w:t>
      </w:r>
      <w:r w:rsidR="002F1562" w:rsidRPr="004A1C60">
        <w:rPr>
          <w:rFonts w:ascii="Times New Roman" w:hAnsi="Times New Roman" w:cs="Times New Roman"/>
          <w:sz w:val="24"/>
          <w:szCs w:val="24"/>
        </w:rPr>
        <w:t xml:space="preserve">can be usefully viewed as socially situated activities which need to take into account the </w:t>
      </w:r>
      <w:r w:rsidR="00317B99" w:rsidRPr="004A1C60">
        <w:rPr>
          <w:rFonts w:ascii="Times New Roman" w:hAnsi="Times New Roman" w:cs="Times New Roman"/>
          <w:sz w:val="24"/>
          <w:szCs w:val="24"/>
        </w:rPr>
        <w:t>wider social</w:t>
      </w:r>
      <w:r w:rsidR="002F1562" w:rsidRPr="004A1C60">
        <w:rPr>
          <w:rFonts w:ascii="Times New Roman" w:hAnsi="Times New Roman" w:cs="Times New Roman"/>
          <w:sz w:val="24"/>
          <w:szCs w:val="24"/>
        </w:rPr>
        <w:t xml:space="preserve"> contexts in which they take place. </w:t>
      </w:r>
      <w:r w:rsidR="009935C0" w:rsidRPr="004A1C60">
        <w:rPr>
          <w:rFonts w:ascii="Times New Roman" w:hAnsi="Times New Roman" w:cs="Times New Roman"/>
          <w:sz w:val="24"/>
          <w:szCs w:val="24"/>
        </w:rPr>
        <w:t>Situated theories of learning/</w:t>
      </w:r>
      <w:r w:rsidR="00317B99" w:rsidRPr="004A1C60">
        <w:rPr>
          <w:rFonts w:ascii="Times New Roman" w:hAnsi="Times New Roman" w:cs="Times New Roman"/>
          <w:sz w:val="24"/>
          <w:szCs w:val="24"/>
        </w:rPr>
        <w:t>cognition provide</w:t>
      </w:r>
      <w:r w:rsidR="009935C0" w:rsidRPr="004A1C60">
        <w:rPr>
          <w:rFonts w:ascii="Times New Roman" w:hAnsi="Times New Roman" w:cs="Times New Roman"/>
          <w:sz w:val="24"/>
          <w:szCs w:val="24"/>
        </w:rPr>
        <w:t xml:space="preserve"> </w:t>
      </w:r>
      <w:r w:rsidR="001600A1" w:rsidRPr="004A1C60">
        <w:rPr>
          <w:rFonts w:ascii="Times New Roman" w:hAnsi="Times New Roman" w:cs="Times New Roman"/>
          <w:sz w:val="24"/>
          <w:szCs w:val="24"/>
        </w:rPr>
        <w:t>“</w:t>
      </w:r>
      <w:r w:rsidR="009935C0" w:rsidRPr="004A1C60">
        <w:rPr>
          <w:rFonts w:ascii="Times New Roman" w:hAnsi="Times New Roman" w:cs="Times New Roman"/>
          <w:sz w:val="24"/>
          <w:szCs w:val="24"/>
        </w:rPr>
        <w:t>…conceptual and methodological resources for investigating the fundamental processes of cognition as</w:t>
      </w:r>
      <w:r w:rsidR="001600A1" w:rsidRPr="004A1C60">
        <w:rPr>
          <w:rFonts w:ascii="Times New Roman" w:hAnsi="Times New Roman" w:cs="Times New Roman"/>
          <w:sz w:val="24"/>
          <w:szCs w:val="24"/>
        </w:rPr>
        <w:t xml:space="preserve"> a social and situated activity</w:t>
      </w:r>
      <w:r w:rsidR="002A0DEC" w:rsidRPr="004A1C60">
        <w:rPr>
          <w:rFonts w:ascii="Times New Roman" w:hAnsi="Times New Roman" w:cs="Times New Roman"/>
          <w:sz w:val="24"/>
          <w:szCs w:val="24"/>
        </w:rPr>
        <w:t>”</w:t>
      </w:r>
      <w:r w:rsidR="00905833" w:rsidRPr="004A1C60">
        <w:rPr>
          <w:rFonts w:ascii="Times New Roman" w:hAnsi="Times New Roman" w:cs="Times New Roman"/>
          <w:sz w:val="24"/>
          <w:szCs w:val="24"/>
        </w:rPr>
        <w:t xml:space="preserve"> </w:t>
      </w:r>
      <w:r w:rsidR="00317B99" w:rsidRPr="004A1C60">
        <w:rPr>
          <w:rFonts w:ascii="Times New Roman" w:hAnsi="Times New Roman" w:cs="Times New Roman"/>
          <w:sz w:val="24"/>
          <w:szCs w:val="24"/>
        </w:rPr>
        <w:t>(</w:t>
      </w:r>
      <w:r w:rsidR="00CA418A" w:rsidRPr="004A1C60">
        <w:rPr>
          <w:rFonts w:ascii="Times New Roman" w:hAnsi="Times New Roman" w:cs="Times New Roman"/>
          <w:sz w:val="24"/>
          <w:szCs w:val="24"/>
        </w:rPr>
        <w:t>Kirshner &amp; Whitson, 1997:</w:t>
      </w:r>
      <w:r w:rsidR="009935C0" w:rsidRPr="004A1C60">
        <w:rPr>
          <w:rFonts w:ascii="Times New Roman" w:hAnsi="Times New Roman" w:cs="Times New Roman"/>
          <w:sz w:val="24"/>
          <w:szCs w:val="24"/>
        </w:rPr>
        <w:t>3).</w:t>
      </w:r>
      <w:r w:rsidR="002A0DEC" w:rsidRPr="004A1C60">
        <w:rPr>
          <w:rFonts w:ascii="Times New Roman" w:hAnsi="Times New Roman" w:cs="Times New Roman"/>
          <w:sz w:val="24"/>
          <w:szCs w:val="24"/>
        </w:rPr>
        <w:t xml:space="preserve"> </w:t>
      </w:r>
      <w:r w:rsidR="009935C0" w:rsidRPr="004A1C60">
        <w:rPr>
          <w:rFonts w:ascii="Times New Roman" w:hAnsi="Times New Roman" w:cs="Times New Roman"/>
          <w:sz w:val="24"/>
          <w:szCs w:val="24"/>
        </w:rPr>
        <w:t>In particular, they trouble tradition</w:t>
      </w:r>
      <w:r w:rsidR="00FC09E4" w:rsidRPr="004A1C60">
        <w:rPr>
          <w:rFonts w:ascii="Times New Roman" w:hAnsi="Times New Roman" w:cs="Times New Roman"/>
          <w:sz w:val="24"/>
          <w:szCs w:val="24"/>
        </w:rPr>
        <w:t>al</w:t>
      </w:r>
      <w:r w:rsidR="009935C0" w:rsidRPr="004A1C60">
        <w:rPr>
          <w:rFonts w:ascii="Times New Roman" w:hAnsi="Times New Roman" w:cs="Times New Roman"/>
          <w:sz w:val="24"/>
          <w:szCs w:val="24"/>
        </w:rPr>
        <w:t xml:space="preserve"> concepts of knowledge transfer and knowledge acquisit</w:t>
      </w:r>
      <w:r w:rsidR="002A0DEC" w:rsidRPr="004A1C60">
        <w:rPr>
          <w:rFonts w:ascii="Times New Roman" w:hAnsi="Times New Roman" w:cs="Times New Roman"/>
          <w:sz w:val="24"/>
          <w:szCs w:val="24"/>
        </w:rPr>
        <w:t xml:space="preserve">ion </w:t>
      </w:r>
      <w:r w:rsidR="007B446A" w:rsidRPr="004A1C60">
        <w:rPr>
          <w:rFonts w:ascii="Times New Roman" w:hAnsi="Times New Roman" w:cs="Times New Roman"/>
          <w:sz w:val="24"/>
          <w:szCs w:val="24"/>
        </w:rPr>
        <w:t>“</w:t>
      </w:r>
      <w:r w:rsidR="002A0DEC" w:rsidRPr="004A1C60">
        <w:rPr>
          <w:rFonts w:ascii="Times New Roman" w:hAnsi="Times New Roman" w:cs="Times New Roman"/>
          <w:sz w:val="24"/>
          <w:szCs w:val="24"/>
        </w:rPr>
        <w:t>by shifting the focus away f</w:t>
      </w:r>
      <w:r w:rsidR="00195143" w:rsidRPr="004A1C60">
        <w:rPr>
          <w:rFonts w:ascii="Times New Roman" w:hAnsi="Times New Roman" w:cs="Times New Roman"/>
          <w:sz w:val="24"/>
          <w:szCs w:val="24"/>
        </w:rPr>
        <w:t>rom</w:t>
      </w:r>
      <w:r w:rsidR="009935C0" w:rsidRPr="004A1C60">
        <w:rPr>
          <w:rFonts w:ascii="Times New Roman" w:hAnsi="Times New Roman" w:cs="Times New Roman"/>
          <w:sz w:val="24"/>
          <w:szCs w:val="24"/>
        </w:rPr>
        <w:t xml:space="preserve"> the individual as the unit of analysis toward the sociocultural setting i</w:t>
      </w:r>
      <w:r w:rsidR="007B446A" w:rsidRPr="004A1C60">
        <w:rPr>
          <w:rFonts w:ascii="Times New Roman" w:hAnsi="Times New Roman" w:cs="Times New Roman"/>
          <w:sz w:val="24"/>
          <w:szCs w:val="24"/>
        </w:rPr>
        <w:t xml:space="preserve">n which activities are embedded </w:t>
      </w:r>
      <w:r w:rsidR="00CA418A" w:rsidRPr="004A1C60">
        <w:rPr>
          <w:rFonts w:ascii="Times New Roman" w:hAnsi="Times New Roman" w:cs="Times New Roman"/>
          <w:sz w:val="24"/>
          <w:szCs w:val="24"/>
        </w:rPr>
        <w:t>(Kirshner and Whitson. 1997:</w:t>
      </w:r>
      <w:r w:rsidR="009935C0" w:rsidRPr="004A1C60">
        <w:rPr>
          <w:rFonts w:ascii="Times New Roman" w:hAnsi="Times New Roman" w:cs="Times New Roman"/>
          <w:sz w:val="24"/>
          <w:szCs w:val="24"/>
        </w:rPr>
        <w:t>5)</w:t>
      </w:r>
      <w:r w:rsidR="007B446A" w:rsidRPr="004A1C60">
        <w:rPr>
          <w:rFonts w:ascii="Times New Roman" w:hAnsi="Times New Roman" w:cs="Times New Roman"/>
          <w:sz w:val="24"/>
          <w:szCs w:val="24"/>
        </w:rPr>
        <w:t>”</w:t>
      </w:r>
      <w:r w:rsidR="007C6F3E" w:rsidRPr="004A1C60">
        <w:rPr>
          <w:rFonts w:ascii="Times New Roman" w:hAnsi="Times New Roman" w:cs="Times New Roman"/>
          <w:sz w:val="24"/>
          <w:szCs w:val="24"/>
        </w:rPr>
        <w:t xml:space="preserve"> and provide new ways of being and doing employability as illustrated in figure 2</w:t>
      </w:r>
      <w:r w:rsidR="009935C0" w:rsidRPr="004A1C60">
        <w:rPr>
          <w:rFonts w:ascii="Times New Roman" w:hAnsi="Times New Roman" w:cs="Times New Roman"/>
          <w:sz w:val="24"/>
          <w:szCs w:val="24"/>
        </w:rPr>
        <w:t xml:space="preserve">.  </w:t>
      </w:r>
    </w:p>
    <w:p w14:paraId="7F51A26E" w14:textId="77777777" w:rsidR="009935C0" w:rsidRPr="004A1C60" w:rsidRDefault="009935C0" w:rsidP="00832802">
      <w:pPr>
        <w:spacing w:before="40" w:after="40" w:line="360" w:lineRule="auto"/>
        <w:rPr>
          <w:rFonts w:ascii="Times New Roman" w:hAnsi="Times New Roman" w:cs="Times New Roman"/>
          <w:sz w:val="24"/>
          <w:szCs w:val="24"/>
        </w:rPr>
      </w:pPr>
    </w:p>
    <w:p w14:paraId="6FACA8E1" w14:textId="78C73A37" w:rsidR="009935C0" w:rsidRPr="004A1C60" w:rsidRDefault="007B446A" w:rsidP="00832802">
      <w:pPr>
        <w:spacing w:before="40" w:after="40" w:line="360" w:lineRule="auto"/>
        <w:rPr>
          <w:rFonts w:ascii="Times New Roman" w:hAnsi="Times New Roman" w:cs="Times New Roman"/>
          <w:sz w:val="24"/>
          <w:szCs w:val="24"/>
        </w:rPr>
      </w:pPr>
      <w:r w:rsidRPr="004A1C60">
        <w:rPr>
          <w:rFonts w:ascii="Times New Roman" w:hAnsi="Times New Roman" w:cs="Times New Roman"/>
          <w:sz w:val="24"/>
          <w:szCs w:val="24"/>
        </w:rPr>
        <w:t>This</w:t>
      </w:r>
      <w:r w:rsidR="009935C0" w:rsidRPr="004A1C60">
        <w:rPr>
          <w:rFonts w:ascii="Times New Roman" w:hAnsi="Times New Roman" w:cs="Times New Roman"/>
          <w:sz w:val="24"/>
          <w:szCs w:val="24"/>
        </w:rPr>
        <w:t xml:space="preserve"> situated learning</w:t>
      </w:r>
      <w:r w:rsidRPr="004A1C60">
        <w:rPr>
          <w:rFonts w:ascii="Times New Roman" w:hAnsi="Times New Roman" w:cs="Times New Roman"/>
          <w:sz w:val="24"/>
          <w:szCs w:val="24"/>
        </w:rPr>
        <w:t xml:space="preserve">/cognition </w:t>
      </w:r>
      <w:r w:rsidR="009935C0" w:rsidRPr="004A1C60">
        <w:rPr>
          <w:rFonts w:ascii="Times New Roman" w:hAnsi="Times New Roman" w:cs="Times New Roman"/>
          <w:sz w:val="24"/>
          <w:szCs w:val="24"/>
        </w:rPr>
        <w:t xml:space="preserve">model challenges the </w:t>
      </w:r>
      <w:r w:rsidRPr="004A1C60">
        <w:rPr>
          <w:rFonts w:ascii="Times New Roman" w:hAnsi="Times New Roman" w:cs="Times New Roman"/>
          <w:sz w:val="24"/>
          <w:szCs w:val="24"/>
        </w:rPr>
        <w:t xml:space="preserve">traditional, </w:t>
      </w:r>
      <w:r w:rsidR="009935C0" w:rsidRPr="004A1C60">
        <w:rPr>
          <w:rFonts w:ascii="Times New Roman" w:hAnsi="Times New Roman" w:cs="Times New Roman"/>
          <w:sz w:val="24"/>
          <w:szCs w:val="24"/>
        </w:rPr>
        <w:t>passive ‘knowledge transfer’ model often im</w:t>
      </w:r>
      <w:r w:rsidRPr="004A1C60">
        <w:rPr>
          <w:rFonts w:ascii="Times New Roman" w:hAnsi="Times New Roman" w:cs="Times New Roman"/>
          <w:sz w:val="24"/>
          <w:szCs w:val="24"/>
        </w:rPr>
        <w:t>plicit in university teaching (</w:t>
      </w:r>
      <w:r w:rsidR="009935C0" w:rsidRPr="004A1C60">
        <w:rPr>
          <w:rFonts w:ascii="Times New Roman" w:hAnsi="Times New Roman" w:cs="Times New Roman"/>
          <w:sz w:val="24"/>
          <w:szCs w:val="24"/>
        </w:rPr>
        <w:t>as dis</w:t>
      </w:r>
      <w:r w:rsidRPr="004A1C60">
        <w:rPr>
          <w:rFonts w:ascii="Times New Roman" w:hAnsi="Times New Roman" w:cs="Times New Roman"/>
          <w:sz w:val="24"/>
          <w:szCs w:val="24"/>
        </w:rPr>
        <w:t xml:space="preserve">cussed above) where there is a </w:t>
      </w:r>
      <w:r w:rsidR="009935C0" w:rsidRPr="004A1C60">
        <w:rPr>
          <w:rFonts w:ascii="Times New Roman" w:hAnsi="Times New Roman" w:cs="Times New Roman"/>
          <w:sz w:val="24"/>
          <w:szCs w:val="24"/>
        </w:rPr>
        <w:t>reliance on individuated, human capital m</w:t>
      </w:r>
      <w:r w:rsidR="00463666" w:rsidRPr="004A1C60">
        <w:rPr>
          <w:rFonts w:ascii="Times New Roman" w:hAnsi="Times New Roman" w:cs="Times New Roman"/>
          <w:sz w:val="24"/>
          <w:szCs w:val="24"/>
        </w:rPr>
        <w:t xml:space="preserve">odels of knowledge acquisition which imply </w:t>
      </w:r>
      <w:r w:rsidR="009935C0" w:rsidRPr="004A1C60">
        <w:rPr>
          <w:rFonts w:ascii="Times New Roman" w:hAnsi="Times New Roman" w:cs="Times New Roman"/>
          <w:sz w:val="24"/>
          <w:szCs w:val="24"/>
        </w:rPr>
        <w:t>little connection between subje</w:t>
      </w:r>
      <w:r w:rsidR="00922377" w:rsidRPr="004A1C60">
        <w:rPr>
          <w:rFonts w:ascii="Times New Roman" w:hAnsi="Times New Roman" w:cs="Times New Roman"/>
          <w:sz w:val="24"/>
          <w:szCs w:val="24"/>
        </w:rPr>
        <w:t xml:space="preserve">ct-specific </w:t>
      </w:r>
      <w:r w:rsidR="009935C0" w:rsidRPr="004A1C60">
        <w:rPr>
          <w:rFonts w:ascii="Times New Roman" w:hAnsi="Times New Roman" w:cs="Times New Roman"/>
          <w:sz w:val="24"/>
          <w:szCs w:val="24"/>
        </w:rPr>
        <w:t>learning, context and discourse</w:t>
      </w:r>
      <w:r w:rsidR="00A905B4" w:rsidRPr="004A1C60">
        <w:rPr>
          <w:rFonts w:ascii="Times New Roman" w:hAnsi="Times New Roman" w:cs="Times New Roman"/>
          <w:sz w:val="24"/>
          <w:szCs w:val="24"/>
        </w:rPr>
        <w:t>, see figure 2</w:t>
      </w:r>
      <w:r w:rsidR="009935C0" w:rsidRPr="004A1C60">
        <w:rPr>
          <w:rFonts w:ascii="Times New Roman" w:hAnsi="Times New Roman" w:cs="Times New Roman"/>
          <w:sz w:val="24"/>
          <w:szCs w:val="24"/>
        </w:rPr>
        <w:t>. One can argue that any situated and social activ</w:t>
      </w:r>
      <w:r w:rsidR="00463666" w:rsidRPr="004A1C60">
        <w:rPr>
          <w:rFonts w:ascii="Times New Roman" w:hAnsi="Times New Roman" w:cs="Times New Roman"/>
          <w:sz w:val="24"/>
          <w:szCs w:val="24"/>
        </w:rPr>
        <w:t xml:space="preserve">ity, such as being interviewed or </w:t>
      </w:r>
      <w:r w:rsidR="009935C0" w:rsidRPr="004A1C60">
        <w:rPr>
          <w:rFonts w:ascii="Times New Roman" w:hAnsi="Times New Roman" w:cs="Times New Roman"/>
          <w:sz w:val="24"/>
          <w:szCs w:val="24"/>
        </w:rPr>
        <w:t xml:space="preserve">writing a letter of </w:t>
      </w:r>
      <w:r w:rsidR="00647560" w:rsidRPr="004A1C60">
        <w:rPr>
          <w:rFonts w:ascii="Times New Roman" w:hAnsi="Times New Roman" w:cs="Times New Roman"/>
          <w:sz w:val="24"/>
          <w:szCs w:val="24"/>
        </w:rPr>
        <w:lastRenderedPageBreak/>
        <w:t>application can</w:t>
      </w:r>
      <w:r w:rsidR="009935C0" w:rsidRPr="004A1C60">
        <w:rPr>
          <w:rFonts w:ascii="Times New Roman" w:hAnsi="Times New Roman" w:cs="Times New Roman"/>
          <w:sz w:val="24"/>
          <w:szCs w:val="24"/>
        </w:rPr>
        <w:t xml:space="preserve"> only become meaningful in an external, social domain rather than through any indi</w:t>
      </w:r>
      <w:r w:rsidR="006F3028" w:rsidRPr="004A1C60">
        <w:rPr>
          <w:rFonts w:ascii="Times New Roman" w:hAnsi="Times New Roman" w:cs="Times New Roman"/>
          <w:sz w:val="24"/>
          <w:szCs w:val="24"/>
        </w:rPr>
        <w:t xml:space="preserve">viduated, internal processes - as </w:t>
      </w:r>
      <w:r w:rsidR="009935C0" w:rsidRPr="004A1C60">
        <w:rPr>
          <w:rFonts w:ascii="Times New Roman" w:hAnsi="Times New Roman" w:cs="Times New Roman"/>
          <w:sz w:val="24"/>
          <w:szCs w:val="24"/>
        </w:rPr>
        <w:t>B</w:t>
      </w:r>
      <w:r w:rsidR="00877E4D" w:rsidRPr="004A1C60">
        <w:rPr>
          <w:rFonts w:ascii="Times New Roman" w:hAnsi="Times New Roman" w:cs="Times New Roman"/>
          <w:sz w:val="24"/>
          <w:szCs w:val="24"/>
        </w:rPr>
        <w:t xml:space="preserve">rown, Collins and Duguid </w:t>
      </w:r>
      <w:r w:rsidR="006F3028" w:rsidRPr="004A1C60">
        <w:rPr>
          <w:rFonts w:ascii="Times New Roman" w:hAnsi="Times New Roman" w:cs="Times New Roman"/>
          <w:sz w:val="24"/>
          <w:szCs w:val="24"/>
        </w:rPr>
        <w:t xml:space="preserve">contend </w:t>
      </w:r>
      <w:r w:rsidR="00877E4D" w:rsidRPr="004A1C60">
        <w:rPr>
          <w:rFonts w:ascii="Times New Roman" w:hAnsi="Times New Roman" w:cs="Times New Roman"/>
          <w:sz w:val="24"/>
          <w:szCs w:val="24"/>
        </w:rPr>
        <w:t xml:space="preserve">when knowledge is co-produced through activity </w:t>
      </w:r>
      <w:r w:rsidR="003B6BF8" w:rsidRPr="004A1C60">
        <w:rPr>
          <w:rFonts w:ascii="Times New Roman" w:hAnsi="Times New Roman" w:cs="Times New Roman"/>
          <w:sz w:val="24"/>
          <w:szCs w:val="24"/>
        </w:rPr>
        <w:t>“learning and cognition…</w:t>
      </w:r>
      <w:r w:rsidR="006F3028" w:rsidRPr="004A1C60">
        <w:rPr>
          <w:rFonts w:ascii="Times New Roman" w:hAnsi="Times New Roman" w:cs="Times New Roman"/>
          <w:sz w:val="24"/>
          <w:szCs w:val="24"/>
        </w:rPr>
        <w:t xml:space="preserve">are fundamentally situated” </w:t>
      </w:r>
      <w:r w:rsidR="009935C0" w:rsidRPr="004A1C60">
        <w:rPr>
          <w:rFonts w:ascii="Times New Roman" w:hAnsi="Times New Roman" w:cs="Times New Roman"/>
          <w:sz w:val="24"/>
          <w:szCs w:val="24"/>
        </w:rPr>
        <w:t>(</w:t>
      </w:r>
      <w:r w:rsidR="00877E4D" w:rsidRPr="004A1C60">
        <w:rPr>
          <w:rFonts w:ascii="Times New Roman" w:hAnsi="Times New Roman" w:cs="Times New Roman"/>
          <w:sz w:val="24"/>
          <w:szCs w:val="24"/>
        </w:rPr>
        <w:t>1989: 1).</w:t>
      </w:r>
      <w:r w:rsidR="009935C0" w:rsidRPr="004A1C60">
        <w:rPr>
          <w:rFonts w:ascii="Times New Roman" w:hAnsi="Times New Roman" w:cs="Times New Roman"/>
          <w:sz w:val="24"/>
          <w:szCs w:val="24"/>
        </w:rPr>
        <w:t xml:space="preserve"> </w:t>
      </w:r>
    </w:p>
    <w:p w14:paraId="4DD7A291" w14:textId="77777777" w:rsidR="00056DF5" w:rsidRPr="004A1C60" w:rsidRDefault="00056DF5" w:rsidP="00832802">
      <w:pPr>
        <w:spacing w:before="40" w:after="40" w:line="360" w:lineRule="auto"/>
        <w:rPr>
          <w:rFonts w:ascii="Times New Roman" w:hAnsi="Times New Roman" w:cs="Times New Roman"/>
          <w:sz w:val="24"/>
          <w:szCs w:val="24"/>
        </w:rPr>
      </w:pPr>
    </w:p>
    <w:p w14:paraId="648484FE" w14:textId="27194A45" w:rsidR="00FF7814" w:rsidRPr="004A1C60" w:rsidRDefault="00D208CA" w:rsidP="00832802">
      <w:pPr>
        <w:pStyle w:val="BodyText"/>
        <w:rPr>
          <w:rFonts w:ascii="Times New Roman" w:hAnsi="Times New Roman"/>
          <w:b/>
          <w:i w:val="0"/>
          <w:szCs w:val="24"/>
        </w:rPr>
      </w:pPr>
      <w:r w:rsidRPr="004A1C60">
        <w:rPr>
          <w:rFonts w:ascii="Times New Roman" w:hAnsi="Times New Roman"/>
          <w:b/>
          <w:i w:val="0"/>
          <w:szCs w:val="24"/>
        </w:rPr>
        <w:t xml:space="preserve">Mapping </w:t>
      </w:r>
      <w:r w:rsidR="004A32A8" w:rsidRPr="004A1C60">
        <w:rPr>
          <w:rFonts w:ascii="Times New Roman" w:hAnsi="Times New Roman"/>
          <w:b/>
          <w:i w:val="0"/>
          <w:szCs w:val="24"/>
        </w:rPr>
        <w:t>a critical</w:t>
      </w:r>
      <w:r w:rsidR="00317B99" w:rsidRPr="004A1C60">
        <w:rPr>
          <w:rFonts w:ascii="Times New Roman" w:hAnsi="Times New Roman"/>
          <w:b/>
          <w:i w:val="0"/>
          <w:szCs w:val="24"/>
        </w:rPr>
        <w:t xml:space="preserve"> employability literacies</w:t>
      </w:r>
      <w:r w:rsidRPr="004A1C60">
        <w:rPr>
          <w:rFonts w:ascii="Times New Roman" w:hAnsi="Times New Roman"/>
          <w:b/>
          <w:i w:val="0"/>
          <w:szCs w:val="24"/>
        </w:rPr>
        <w:t xml:space="preserve"> landscape</w:t>
      </w:r>
      <w:r w:rsidR="002805D9" w:rsidRPr="004A1C60">
        <w:rPr>
          <w:rFonts w:ascii="Times New Roman" w:hAnsi="Times New Roman"/>
          <w:b/>
          <w:i w:val="0"/>
          <w:szCs w:val="24"/>
        </w:rPr>
        <w:t xml:space="preserve"> </w:t>
      </w:r>
    </w:p>
    <w:p w14:paraId="10387B50" w14:textId="77777777" w:rsidR="002805D9" w:rsidRPr="004A1C60" w:rsidRDefault="002805D9" w:rsidP="00832802">
      <w:pPr>
        <w:pStyle w:val="BodyText"/>
        <w:rPr>
          <w:rFonts w:ascii="Times New Roman" w:hAnsi="Times New Roman"/>
          <w:b/>
          <w:i w:val="0"/>
          <w:szCs w:val="24"/>
        </w:rPr>
      </w:pPr>
    </w:p>
    <w:p w14:paraId="793BE4B0" w14:textId="77777777" w:rsidR="00B9126C" w:rsidRPr="004A1C60" w:rsidRDefault="00B9126C" w:rsidP="00832802">
      <w:pPr>
        <w:spacing w:line="360" w:lineRule="auto"/>
        <w:rPr>
          <w:rFonts w:ascii="Times New Roman" w:hAnsi="Times New Roman" w:cs="Times New Roman"/>
          <w:b/>
          <w:i/>
          <w:sz w:val="24"/>
          <w:szCs w:val="24"/>
        </w:rPr>
      </w:pPr>
      <w:r w:rsidRPr="004A1C60">
        <w:rPr>
          <w:rFonts w:ascii="Times New Roman" w:hAnsi="Times New Roman" w:cs="Times New Roman"/>
          <w:b/>
          <w:i/>
          <w:sz w:val="24"/>
          <w:szCs w:val="24"/>
        </w:rPr>
        <w:t>Overview of the L4E Project</w:t>
      </w:r>
    </w:p>
    <w:p w14:paraId="0BCF97C9" w14:textId="7CCD3459" w:rsidR="00015D90" w:rsidRPr="004A1C60" w:rsidRDefault="00B9126C" w:rsidP="00832802">
      <w:pPr>
        <w:spacing w:before="40" w:after="40" w:line="360" w:lineRule="auto"/>
        <w:rPr>
          <w:rFonts w:ascii="Times New Roman" w:hAnsi="Times New Roman" w:cs="Times New Roman"/>
          <w:sz w:val="24"/>
          <w:szCs w:val="24"/>
        </w:rPr>
      </w:pPr>
      <w:r w:rsidRPr="004A1C60">
        <w:rPr>
          <w:rFonts w:ascii="Times New Roman" w:hAnsi="Times New Roman" w:cs="Times New Roman"/>
          <w:sz w:val="24"/>
          <w:szCs w:val="24"/>
        </w:rPr>
        <w:t xml:space="preserve">The </w:t>
      </w:r>
      <w:r w:rsidR="004A32A8" w:rsidRPr="004A1C60">
        <w:rPr>
          <w:rFonts w:ascii="Times New Roman" w:hAnsi="Times New Roman" w:cs="Times New Roman"/>
          <w:sz w:val="24"/>
          <w:szCs w:val="24"/>
        </w:rPr>
        <w:t xml:space="preserve">L4E </w:t>
      </w:r>
      <w:r w:rsidRPr="004A1C60">
        <w:rPr>
          <w:rFonts w:ascii="Times New Roman" w:hAnsi="Times New Roman" w:cs="Times New Roman"/>
          <w:sz w:val="24"/>
          <w:szCs w:val="24"/>
        </w:rPr>
        <w:t>project ran over an eighteenth month period from June 2012 to December 2013 and, as outlined above, drew on contemporary ideas from literacy studies to reconceptualise employability as a process of induction into the social practices of the workplace. Focusing on literacies as a mechanism for enabling successful immersion in workplace cultures the project aimed to develop, pilot and embed a cross-curricular ‘literacies- for-employability’ framework that could be flexed across disciplines and workplace contexts. The project sought to achieve specific be</w:t>
      </w:r>
      <w:r w:rsidR="00FC09E4" w:rsidRPr="004A1C60">
        <w:rPr>
          <w:rFonts w:ascii="Times New Roman" w:hAnsi="Times New Roman" w:cs="Times New Roman"/>
          <w:sz w:val="24"/>
          <w:szCs w:val="24"/>
        </w:rPr>
        <w:t xml:space="preserve">nefits for tutors and students. </w:t>
      </w:r>
      <w:r w:rsidR="00015D90" w:rsidRPr="004A1C60">
        <w:rPr>
          <w:rFonts w:ascii="Times New Roman" w:hAnsi="Times New Roman" w:cs="Times New Roman"/>
          <w:sz w:val="24"/>
          <w:szCs w:val="24"/>
        </w:rPr>
        <w:t xml:space="preserve"> </w:t>
      </w:r>
    </w:p>
    <w:p w14:paraId="09C137E4" w14:textId="5E60D1FC" w:rsidR="00B9126C" w:rsidRPr="004A1C60" w:rsidRDefault="00FC09E4" w:rsidP="00832802">
      <w:pPr>
        <w:spacing w:before="40" w:after="40" w:line="360" w:lineRule="auto"/>
        <w:rPr>
          <w:rFonts w:ascii="Times New Roman" w:hAnsi="Times New Roman" w:cs="Times New Roman"/>
          <w:sz w:val="24"/>
          <w:szCs w:val="24"/>
        </w:rPr>
      </w:pPr>
      <w:r w:rsidRPr="004A1C60">
        <w:rPr>
          <w:rFonts w:ascii="Times New Roman" w:hAnsi="Times New Roman" w:cs="Times New Roman"/>
          <w:sz w:val="24"/>
          <w:szCs w:val="24"/>
        </w:rPr>
        <w:t xml:space="preserve">In </w:t>
      </w:r>
      <w:r w:rsidR="00B9126C" w:rsidRPr="004A1C60">
        <w:rPr>
          <w:rFonts w:ascii="Times New Roman" w:hAnsi="Times New Roman" w:cs="Times New Roman"/>
          <w:sz w:val="24"/>
          <w:szCs w:val="24"/>
        </w:rPr>
        <w:t xml:space="preserve">the case of tutors, to enable them to embed </w:t>
      </w:r>
      <w:r w:rsidRPr="004A1C60">
        <w:rPr>
          <w:rFonts w:ascii="Times New Roman" w:hAnsi="Times New Roman" w:cs="Times New Roman"/>
          <w:sz w:val="24"/>
          <w:szCs w:val="24"/>
        </w:rPr>
        <w:t>‘</w:t>
      </w:r>
      <w:r w:rsidR="00B9126C" w:rsidRPr="004A1C60">
        <w:rPr>
          <w:rFonts w:ascii="Times New Roman" w:hAnsi="Times New Roman" w:cs="Times New Roman"/>
          <w:sz w:val="24"/>
          <w:szCs w:val="24"/>
        </w:rPr>
        <w:t>overt instruction</w:t>
      </w:r>
      <w:r w:rsidRPr="004A1C60">
        <w:rPr>
          <w:rFonts w:ascii="Times New Roman" w:hAnsi="Times New Roman" w:cs="Times New Roman"/>
          <w:sz w:val="24"/>
          <w:szCs w:val="24"/>
        </w:rPr>
        <w:t>’ (after Gee to mean self-conscious ‘teaching about’)</w:t>
      </w:r>
      <w:r w:rsidR="00B9126C" w:rsidRPr="004A1C60">
        <w:rPr>
          <w:rFonts w:ascii="Times New Roman" w:hAnsi="Times New Roman" w:cs="Times New Roman"/>
          <w:sz w:val="24"/>
          <w:szCs w:val="24"/>
        </w:rPr>
        <w:t xml:space="preserve"> </w:t>
      </w:r>
      <w:r w:rsidRPr="004A1C60">
        <w:rPr>
          <w:rFonts w:ascii="Times New Roman" w:hAnsi="Times New Roman" w:cs="Times New Roman"/>
          <w:sz w:val="24"/>
          <w:szCs w:val="24"/>
        </w:rPr>
        <w:t xml:space="preserve">of </w:t>
      </w:r>
      <w:r w:rsidR="00B9126C" w:rsidRPr="004A1C60">
        <w:rPr>
          <w:rFonts w:ascii="Times New Roman" w:hAnsi="Times New Roman" w:cs="Times New Roman"/>
          <w:sz w:val="24"/>
          <w:szCs w:val="24"/>
        </w:rPr>
        <w:t xml:space="preserve">workplace literacies </w:t>
      </w:r>
      <w:r w:rsidRPr="004A1C60">
        <w:rPr>
          <w:rFonts w:ascii="Times New Roman" w:hAnsi="Times New Roman" w:cs="Times New Roman"/>
          <w:sz w:val="24"/>
          <w:szCs w:val="24"/>
        </w:rPr>
        <w:t xml:space="preserve">concepts </w:t>
      </w:r>
      <w:r w:rsidR="00B9126C" w:rsidRPr="004A1C60">
        <w:rPr>
          <w:rFonts w:ascii="Times New Roman" w:hAnsi="Times New Roman" w:cs="Times New Roman"/>
          <w:sz w:val="24"/>
          <w:szCs w:val="24"/>
        </w:rPr>
        <w:t xml:space="preserve">into </w:t>
      </w:r>
      <w:r w:rsidR="00015D90" w:rsidRPr="004A1C60">
        <w:rPr>
          <w:rFonts w:ascii="Times New Roman" w:hAnsi="Times New Roman" w:cs="Times New Roman"/>
          <w:sz w:val="24"/>
          <w:szCs w:val="24"/>
        </w:rPr>
        <w:t xml:space="preserve">the design and content of work-based or placement curricula </w:t>
      </w:r>
      <w:r w:rsidR="00B9126C" w:rsidRPr="004A1C60">
        <w:rPr>
          <w:rFonts w:ascii="Times New Roman" w:hAnsi="Times New Roman" w:cs="Times New Roman"/>
          <w:sz w:val="24"/>
          <w:szCs w:val="24"/>
        </w:rPr>
        <w:t>and to engage them in co-investigation and co-construction, with students, of meta-narratives of workplace l</w:t>
      </w:r>
      <w:r w:rsidRPr="004A1C60">
        <w:rPr>
          <w:rFonts w:ascii="Times New Roman" w:hAnsi="Times New Roman" w:cs="Times New Roman"/>
          <w:sz w:val="24"/>
          <w:szCs w:val="24"/>
        </w:rPr>
        <w:t xml:space="preserve">iteracies. </w:t>
      </w:r>
      <w:r w:rsidR="00B9126C" w:rsidRPr="004A1C60">
        <w:rPr>
          <w:rFonts w:ascii="Times New Roman" w:hAnsi="Times New Roman" w:cs="Times New Roman"/>
          <w:sz w:val="24"/>
          <w:szCs w:val="24"/>
        </w:rPr>
        <w:t xml:space="preserve">In the case of </w:t>
      </w:r>
      <w:r w:rsidR="00015D90" w:rsidRPr="004A1C60">
        <w:rPr>
          <w:rFonts w:ascii="Times New Roman" w:hAnsi="Times New Roman" w:cs="Times New Roman"/>
          <w:sz w:val="24"/>
          <w:szCs w:val="24"/>
        </w:rPr>
        <w:t>students the project focused on</w:t>
      </w:r>
      <w:r w:rsidR="00B9126C" w:rsidRPr="004A1C60">
        <w:rPr>
          <w:rFonts w:ascii="Times New Roman" w:hAnsi="Times New Roman" w:cs="Times New Roman"/>
          <w:sz w:val="24"/>
          <w:szCs w:val="24"/>
        </w:rPr>
        <w:t xml:space="preserve"> re-</w:t>
      </w:r>
      <w:r w:rsidR="00647560" w:rsidRPr="004A1C60">
        <w:rPr>
          <w:rFonts w:ascii="Times New Roman" w:hAnsi="Times New Roman" w:cs="Times New Roman"/>
          <w:sz w:val="24"/>
          <w:szCs w:val="24"/>
        </w:rPr>
        <w:t>conceptualisation</w:t>
      </w:r>
      <w:r w:rsidR="00B9126C" w:rsidRPr="004A1C60">
        <w:rPr>
          <w:rFonts w:ascii="Times New Roman" w:hAnsi="Times New Roman" w:cs="Times New Roman"/>
          <w:sz w:val="24"/>
          <w:szCs w:val="24"/>
        </w:rPr>
        <w:t xml:space="preserve"> of employability as a dynamic, contested </w:t>
      </w:r>
      <w:r w:rsidR="00CA418A" w:rsidRPr="004A1C60">
        <w:rPr>
          <w:rFonts w:ascii="Times New Roman" w:hAnsi="Times New Roman" w:cs="Times New Roman"/>
          <w:sz w:val="24"/>
          <w:szCs w:val="24"/>
        </w:rPr>
        <w:t>concept, which</w:t>
      </w:r>
      <w:r w:rsidR="00B9126C" w:rsidRPr="004A1C60">
        <w:rPr>
          <w:rFonts w:ascii="Times New Roman" w:hAnsi="Times New Roman" w:cs="Times New Roman"/>
          <w:sz w:val="24"/>
          <w:szCs w:val="24"/>
        </w:rPr>
        <w:t xml:space="preserve"> one might </w:t>
      </w:r>
      <w:r w:rsidR="00015D90" w:rsidRPr="004A1C60">
        <w:rPr>
          <w:rFonts w:ascii="Times New Roman" w:hAnsi="Times New Roman" w:cs="Times New Roman"/>
          <w:sz w:val="24"/>
          <w:szCs w:val="24"/>
        </w:rPr>
        <w:t xml:space="preserve">continue to </w:t>
      </w:r>
      <w:r w:rsidR="00B9126C" w:rsidRPr="004A1C60">
        <w:rPr>
          <w:rFonts w:ascii="Times New Roman" w:hAnsi="Times New Roman" w:cs="Times New Roman"/>
          <w:sz w:val="24"/>
          <w:szCs w:val="24"/>
        </w:rPr>
        <w:t>engage c</w:t>
      </w:r>
      <w:r w:rsidR="00015D90" w:rsidRPr="004A1C60">
        <w:rPr>
          <w:rFonts w:ascii="Times New Roman" w:hAnsi="Times New Roman" w:cs="Times New Roman"/>
          <w:sz w:val="24"/>
          <w:szCs w:val="24"/>
        </w:rPr>
        <w:t xml:space="preserve">ritically with over a career course. This </w:t>
      </w:r>
      <w:r w:rsidR="00A905B4" w:rsidRPr="004A1C60">
        <w:rPr>
          <w:rFonts w:ascii="Times New Roman" w:hAnsi="Times New Roman" w:cs="Times New Roman"/>
          <w:sz w:val="24"/>
          <w:szCs w:val="24"/>
        </w:rPr>
        <w:t>included</w:t>
      </w:r>
      <w:r w:rsidR="00015D90" w:rsidRPr="004A1C60">
        <w:rPr>
          <w:rFonts w:ascii="Times New Roman" w:hAnsi="Times New Roman" w:cs="Times New Roman"/>
          <w:sz w:val="24"/>
          <w:szCs w:val="24"/>
        </w:rPr>
        <w:t xml:space="preserve"> </w:t>
      </w:r>
      <w:r w:rsidR="00B9126C" w:rsidRPr="004A1C60">
        <w:rPr>
          <w:rFonts w:ascii="Times New Roman" w:hAnsi="Times New Roman" w:cs="Times New Roman"/>
          <w:sz w:val="24"/>
          <w:szCs w:val="24"/>
        </w:rPr>
        <w:t xml:space="preserve">ethnographic exploration, analysis and critique of the literacy </w:t>
      </w:r>
      <w:r w:rsidR="00015D90" w:rsidRPr="004A1C60">
        <w:rPr>
          <w:rFonts w:ascii="Times New Roman" w:hAnsi="Times New Roman" w:cs="Times New Roman"/>
          <w:sz w:val="24"/>
          <w:szCs w:val="24"/>
        </w:rPr>
        <w:t xml:space="preserve">practices of the workplace, </w:t>
      </w:r>
      <w:r w:rsidR="00B9126C" w:rsidRPr="004A1C60">
        <w:rPr>
          <w:rFonts w:ascii="Times New Roman" w:hAnsi="Times New Roman" w:cs="Times New Roman"/>
          <w:sz w:val="24"/>
          <w:szCs w:val="24"/>
        </w:rPr>
        <w:t xml:space="preserve">consideration of own positionality within existing </w:t>
      </w:r>
      <w:r w:rsidR="00015D90" w:rsidRPr="004A1C60">
        <w:rPr>
          <w:rFonts w:ascii="Times New Roman" w:hAnsi="Times New Roman" w:cs="Times New Roman"/>
          <w:sz w:val="24"/>
          <w:szCs w:val="24"/>
        </w:rPr>
        <w:t xml:space="preserve">work-based practices and </w:t>
      </w:r>
      <w:r w:rsidR="00B9126C" w:rsidRPr="004A1C60">
        <w:rPr>
          <w:rFonts w:ascii="Times New Roman" w:hAnsi="Times New Roman" w:cs="Times New Roman"/>
          <w:sz w:val="24"/>
          <w:szCs w:val="24"/>
        </w:rPr>
        <w:t>opportunities to plan participation</w:t>
      </w:r>
      <w:r w:rsidR="00015D90" w:rsidRPr="004A1C60">
        <w:rPr>
          <w:rFonts w:ascii="Times New Roman" w:hAnsi="Times New Roman" w:cs="Times New Roman"/>
          <w:sz w:val="24"/>
          <w:szCs w:val="24"/>
        </w:rPr>
        <w:t xml:space="preserve"> self-consciously</w:t>
      </w:r>
      <w:r w:rsidR="00B9126C" w:rsidRPr="004A1C60">
        <w:rPr>
          <w:rFonts w:ascii="Times New Roman" w:hAnsi="Times New Roman" w:cs="Times New Roman"/>
          <w:sz w:val="24"/>
          <w:szCs w:val="24"/>
        </w:rPr>
        <w:t xml:space="preserve"> and explore notions of risk. </w:t>
      </w:r>
    </w:p>
    <w:p w14:paraId="5489D45C" w14:textId="77777777" w:rsidR="00B9126C" w:rsidRPr="004A1C60" w:rsidRDefault="00B9126C" w:rsidP="00832802">
      <w:pPr>
        <w:spacing w:before="40" w:after="40" w:line="360" w:lineRule="auto"/>
        <w:rPr>
          <w:rFonts w:ascii="Times New Roman" w:hAnsi="Times New Roman" w:cs="Times New Roman"/>
          <w:sz w:val="24"/>
          <w:szCs w:val="24"/>
        </w:rPr>
      </w:pPr>
    </w:p>
    <w:p w14:paraId="5FB5D729" w14:textId="2081E66E" w:rsidR="00D50D6D" w:rsidRPr="004A1C60" w:rsidRDefault="00B9126C" w:rsidP="00832802">
      <w:pPr>
        <w:widowControl w:val="0"/>
        <w:autoSpaceDE w:val="0"/>
        <w:autoSpaceDN w:val="0"/>
        <w:adjustRightInd w:val="0"/>
        <w:spacing w:after="0" w:line="360" w:lineRule="auto"/>
        <w:rPr>
          <w:rFonts w:ascii="Times New Roman" w:hAnsi="Times New Roman" w:cs="Times New Roman"/>
          <w:sz w:val="24"/>
          <w:szCs w:val="24"/>
        </w:rPr>
      </w:pPr>
      <w:r w:rsidRPr="004A1C60">
        <w:rPr>
          <w:rFonts w:ascii="Times New Roman" w:hAnsi="Times New Roman" w:cs="Times New Roman"/>
          <w:sz w:val="24"/>
          <w:szCs w:val="24"/>
        </w:rPr>
        <w:t>The projec</w:t>
      </w:r>
      <w:r w:rsidR="003E31AF" w:rsidRPr="004A1C60">
        <w:rPr>
          <w:rFonts w:ascii="Times New Roman" w:hAnsi="Times New Roman" w:cs="Times New Roman"/>
          <w:sz w:val="24"/>
          <w:szCs w:val="24"/>
        </w:rPr>
        <w:t>t was undertaken in four phases: development of the L4E framework; piloting of the fra</w:t>
      </w:r>
      <w:r w:rsidR="0086527E" w:rsidRPr="004A1C60">
        <w:rPr>
          <w:rFonts w:ascii="Times New Roman" w:hAnsi="Times New Roman" w:cs="Times New Roman"/>
          <w:sz w:val="24"/>
          <w:szCs w:val="24"/>
        </w:rPr>
        <w:t xml:space="preserve">mework; embedding in to the </w:t>
      </w:r>
      <w:r w:rsidR="003E31AF" w:rsidRPr="004A1C60">
        <w:rPr>
          <w:rFonts w:ascii="Times New Roman" w:hAnsi="Times New Roman" w:cs="Times New Roman"/>
          <w:sz w:val="24"/>
          <w:szCs w:val="24"/>
        </w:rPr>
        <w:t>curriculum</w:t>
      </w:r>
      <w:r w:rsidR="0086527E" w:rsidRPr="004A1C60">
        <w:rPr>
          <w:rFonts w:ascii="Times New Roman" w:hAnsi="Times New Roman" w:cs="Times New Roman"/>
          <w:sz w:val="24"/>
          <w:szCs w:val="24"/>
        </w:rPr>
        <w:t xml:space="preserve"> at our own university</w:t>
      </w:r>
      <w:r w:rsidR="003E31AF" w:rsidRPr="004A1C60">
        <w:rPr>
          <w:rFonts w:ascii="Times New Roman" w:hAnsi="Times New Roman" w:cs="Times New Roman"/>
          <w:sz w:val="24"/>
          <w:szCs w:val="24"/>
        </w:rPr>
        <w:t xml:space="preserve">; and recontextualisation in </w:t>
      </w:r>
      <w:r w:rsidR="0086527E" w:rsidRPr="004A1C60">
        <w:rPr>
          <w:rFonts w:ascii="Times New Roman" w:hAnsi="Times New Roman" w:cs="Times New Roman"/>
          <w:sz w:val="24"/>
          <w:szCs w:val="24"/>
        </w:rPr>
        <w:t xml:space="preserve">a wider partnership of university settings. </w:t>
      </w:r>
      <w:r w:rsidRPr="004A1C60">
        <w:rPr>
          <w:rFonts w:ascii="Times New Roman" w:hAnsi="Times New Roman" w:cs="Times New Roman"/>
          <w:sz w:val="24"/>
          <w:szCs w:val="24"/>
        </w:rPr>
        <w:t>In the development phase a literature review was undertaken to provide the theoretical framing for the project and produce the</w:t>
      </w:r>
      <w:r w:rsidR="002464B2" w:rsidRPr="004A1C60">
        <w:rPr>
          <w:rFonts w:ascii="Times New Roman" w:hAnsi="Times New Roman" w:cs="Times New Roman"/>
          <w:sz w:val="24"/>
          <w:szCs w:val="24"/>
        </w:rPr>
        <w:t xml:space="preserve"> draft framework. The framework, see figure 2, </w:t>
      </w:r>
      <w:r w:rsidRPr="004A1C60">
        <w:rPr>
          <w:rFonts w:ascii="Times New Roman" w:hAnsi="Times New Roman" w:cs="Times New Roman"/>
          <w:sz w:val="24"/>
          <w:szCs w:val="24"/>
        </w:rPr>
        <w:t xml:space="preserve">was adapted from Pardoe and Ivanic’s (2007) work on Literacies for Learning in Further Education (LfLinFE). Pardoe and Ivanic’s work was specifically aimed at supporting teachers to make reading and writing in the FE curriculum more varied, more connected to students literacy practices in life and more </w:t>
      </w:r>
      <w:r w:rsidR="00AF40E9" w:rsidRPr="004A1C60">
        <w:rPr>
          <w:rFonts w:ascii="Times New Roman" w:hAnsi="Times New Roman" w:cs="Times New Roman"/>
          <w:sz w:val="24"/>
          <w:szCs w:val="24"/>
        </w:rPr>
        <w:t>‘</w:t>
      </w:r>
      <w:r w:rsidRPr="004A1C60">
        <w:rPr>
          <w:rFonts w:ascii="Times New Roman" w:hAnsi="Times New Roman" w:cs="Times New Roman"/>
          <w:sz w:val="24"/>
          <w:szCs w:val="24"/>
        </w:rPr>
        <w:t>useful</w:t>
      </w:r>
      <w:r w:rsidR="00AF40E9" w:rsidRPr="004A1C60">
        <w:rPr>
          <w:rFonts w:ascii="Times New Roman" w:hAnsi="Times New Roman" w:cs="Times New Roman"/>
          <w:sz w:val="24"/>
          <w:szCs w:val="24"/>
        </w:rPr>
        <w:t>’</w:t>
      </w:r>
      <w:r w:rsidRPr="004A1C60">
        <w:rPr>
          <w:rFonts w:ascii="Times New Roman" w:hAnsi="Times New Roman" w:cs="Times New Roman"/>
          <w:sz w:val="24"/>
          <w:szCs w:val="24"/>
        </w:rPr>
        <w:t xml:space="preserve"> and </w:t>
      </w:r>
      <w:r w:rsidR="00AF40E9" w:rsidRPr="004A1C60">
        <w:rPr>
          <w:rFonts w:ascii="Times New Roman" w:hAnsi="Times New Roman" w:cs="Times New Roman"/>
          <w:sz w:val="24"/>
          <w:szCs w:val="24"/>
        </w:rPr>
        <w:lastRenderedPageBreak/>
        <w:t>‘</w:t>
      </w:r>
      <w:r w:rsidRPr="004A1C60">
        <w:rPr>
          <w:rFonts w:ascii="Times New Roman" w:hAnsi="Times New Roman" w:cs="Times New Roman"/>
          <w:sz w:val="24"/>
          <w:szCs w:val="24"/>
        </w:rPr>
        <w:t>relevant</w:t>
      </w:r>
      <w:r w:rsidR="00AF40E9" w:rsidRPr="004A1C60">
        <w:rPr>
          <w:rFonts w:ascii="Times New Roman" w:hAnsi="Times New Roman" w:cs="Times New Roman"/>
          <w:sz w:val="24"/>
          <w:szCs w:val="24"/>
        </w:rPr>
        <w:t>;</w:t>
      </w:r>
      <w:r w:rsidRPr="004A1C60">
        <w:rPr>
          <w:rFonts w:ascii="Times New Roman" w:hAnsi="Times New Roman" w:cs="Times New Roman"/>
          <w:sz w:val="24"/>
          <w:szCs w:val="24"/>
        </w:rPr>
        <w:t xml:space="preserve"> to the vocational needs of students as they navigated workplace contexts. Drawing on social practice models they identified nine aspects of literacy that teachers might use to analyse reading and writing within a course, unit or activity to support small changes in practice that contribute to more useful learning for students. Whilst Pardoe and Ivanic</w:t>
      </w:r>
      <w:r w:rsidR="00CA418A" w:rsidRPr="004A1C60">
        <w:rPr>
          <w:rFonts w:ascii="Times New Roman" w:hAnsi="Times New Roman" w:cs="Times New Roman"/>
          <w:sz w:val="24"/>
          <w:szCs w:val="24"/>
        </w:rPr>
        <w:t>’s</w:t>
      </w:r>
      <w:r w:rsidRPr="004A1C60">
        <w:rPr>
          <w:rFonts w:ascii="Times New Roman" w:hAnsi="Times New Roman" w:cs="Times New Roman"/>
          <w:sz w:val="24"/>
          <w:szCs w:val="24"/>
        </w:rPr>
        <w:t xml:space="preserve"> </w:t>
      </w:r>
      <w:r w:rsidR="001E72AA" w:rsidRPr="004A1C60">
        <w:rPr>
          <w:rFonts w:ascii="Times New Roman" w:hAnsi="Times New Roman" w:cs="Times New Roman"/>
          <w:sz w:val="24"/>
          <w:szCs w:val="24"/>
        </w:rPr>
        <w:t>work make</w:t>
      </w:r>
      <w:r w:rsidR="00CA418A" w:rsidRPr="004A1C60">
        <w:rPr>
          <w:rFonts w:ascii="Times New Roman" w:hAnsi="Times New Roman" w:cs="Times New Roman"/>
          <w:sz w:val="24"/>
          <w:szCs w:val="24"/>
        </w:rPr>
        <w:t>s</w:t>
      </w:r>
      <w:r w:rsidR="00055F62" w:rsidRPr="004A1C60">
        <w:rPr>
          <w:rFonts w:ascii="Times New Roman" w:hAnsi="Times New Roman" w:cs="Times New Roman"/>
          <w:sz w:val="24"/>
          <w:szCs w:val="24"/>
        </w:rPr>
        <w:t xml:space="preserve"> a ground-breaking contribution to re-thinking the literacy practices of </w:t>
      </w:r>
      <w:r w:rsidR="00C32437" w:rsidRPr="004A1C60">
        <w:rPr>
          <w:rFonts w:ascii="Times New Roman" w:hAnsi="Times New Roman" w:cs="Times New Roman"/>
          <w:sz w:val="24"/>
          <w:szCs w:val="24"/>
        </w:rPr>
        <w:t xml:space="preserve">curriculum design in </w:t>
      </w:r>
      <w:r w:rsidR="00055F62" w:rsidRPr="004A1C60">
        <w:rPr>
          <w:rFonts w:ascii="Times New Roman" w:hAnsi="Times New Roman" w:cs="Times New Roman"/>
          <w:sz w:val="24"/>
          <w:szCs w:val="24"/>
        </w:rPr>
        <w:t>vocational education</w:t>
      </w:r>
      <w:r w:rsidR="000D70E5" w:rsidRPr="004A1C60">
        <w:rPr>
          <w:rFonts w:ascii="Times New Roman" w:hAnsi="Times New Roman" w:cs="Times New Roman"/>
          <w:sz w:val="24"/>
          <w:szCs w:val="24"/>
        </w:rPr>
        <w:t>,</w:t>
      </w:r>
      <w:r w:rsidR="00055F62" w:rsidRPr="004A1C60">
        <w:rPr>
          <w:rFonts w:ascii="Times New Roman" w:hAnsi="Times New Roman" w:cs="Times New Roman"/>
          <w:sz w:val="24"/>
          <w:szCs w:val="24"/>
        </w:rPr>
        <w:t xml:space="preserve"> </w:t>
      </w:r>
      <w:r w:rsidR="00B0036C" w:rsidRPr="004A1C60">
        <w:rPr>
          <w:rFonts w:ascii="Times New Roman" w:hAnsi="Times New Roman" w:cs="Times New Roman"/>
          <w:sz w:val="24"/>
          <w:szCs w:val="24"/>
        </w:rPr>
        <w:t>it is the teacher in the LfLinFE model, rather than the student or</w:t>
      </w:r>
      <w:r w:rsidR="00FA42E9" w:rsidRPr="004A1C60">
        <w:rPr>
          <w:rFonts w:ascii="Times New Roman" w:hAnsi="Times New Roman" w:cs="Times New Roman"/>
          <w:sz w:val="24"/>
          <w:szCs w:val="24"/>
        </w:rPr>
        <w:t>,</w:t>
      </w:r>
      <w:r w:rsidR="00B0036C" w:rsidRPr="004A1C60">
        <w:rPr>
          <w:rFonts w:ascii="Times New Roman" w:hAnsi="Times New Roman" w:cs="Times New Roman"/>
          <w:sz w:val="24"/>
          <w:szCs w:val="24"/>
        </w:rPr>
        <w:t xml:space="preserve"> the studen</w:t>
      </w:r>
      <w:r w:rsidR="00FA42E9" w:rsidRPr="004A1C60">
        <w:rPr>
          <w:rFonts w:ascii="Times New Roman" w:hAnsi="Times New Roman" w:cs="Times New Roman"/>
          <w:sz w:val="24"/>
          <w:szCs w:val="24"/>
        </w:rPr>
        <w:t xml:space="preserve">t and teacher in collaboration, </w:t>
      </w:r>
      <w:r w:rsidR="00B0036C" w:rsidRPr="004A1C60">
        <w:rPr>
          <w:rFonts w:ascii="Times New Roman" w:hAnsi="Times New Roman" w:cs="Times New Roman"/>
          <w:sz w:val="24"/>
          <w:szCs w:val="24"/>
        </w:rPr>
        <w:t>who does the ‘critical thinking</w:t>
      </w:r>
      <w:r w:rsidR="003704AF" w:rsidRPr="004A1C60">
        <w:rPr>
          <w:rFonts w:ascii="Times New Roman" w:hAnsi="Times New Roman" w:cs="Times New Roman"/>
          <w:sz w:val="24"/>
          <w:szCs w:val="24"/>
        </w:rPr>
        <w:t xml:space="preserve">’ about </w:t>
      </w:r>
      <w:r w:rsidR="00FA42E9" w:rsidRPr="004A1C60">
        <w:rPr>
          <w:rFonts w:ascii="Times New Roman" w:hAnsi="Times New Roman" w:cs="Times New Roman"/>
          <w:sz w:val="24"/>
          <w:szCs w:val="24"/>
        </w:rPr>
        <w:t xml:space="preserve">literacies. </w:t>
      </w:r>
      <w:r w:rsidR="00981D52" w:rsidRPr="004A1C60">
        <w:rPr>
          <w:rFonts w:ascii="Times New Roman" w:hAnsi="Times New Roman" w:cs="Times New Roman"/>
          <w:sz w:val="24"/>
          <w:szCs w:val="24"/>
        </w:rPr>
        <w:t>The aim of LfLinFE is to enable teachers to provide curriculum opportunities that are</w:t>
      </w:r>
      <w:r w:rsidR="00213156" w:rsidRPr="004A1C60">
        <w:rPr>
          <w:rFonts w:ascii="Times New Roman" w:hAnsi="Times New Roman" w:cs="Times New Roman"/>
          <w:sz w:val="24"/>
          <w:szCs w:val="24"/>
        </w:rPr>
        <w:t xml:space="preserve"> more ‘authentic’</w:t>
      </w:r>
      <w:r w:rsidR="00E31A99" w:rsidRPr="004A1C60">
        <w:rPr>
          <w:rFonts w:ascii="Times New Roman" w:hAnsi="Times New Roman" w:cs="Times New Roman"/>
          <w:sz w:val="24"/>
          <w:szCs w:val="24"/>
        </w:rPr>
        <w:t>, useful and relevant,</w:t>
      </w:r>
      <w:r w:rsidR="00213156" w:rsidRPr="004A1C60">
        <w:rPr>
          <w:rFonts w:ascii="Times New Roman" w:hAnsi="Times New Roman" w:cs="Times New Roman"/>
          <w:sz w:val="24"/>
          <w:szCs w:val="24"/>
        </w:rPr>
        <w:t xml:space="preserve"> for </w:t>
      </w:r>
      <w:r w:rsidR="00E31A99" w:rsidRPr="004A1C60">
        <w:rPr>
          <w:rFonts w:ascii="Times New Roman" w:hAnsi="Times New Roman" w:cs="Times New Roman"/>
          <w:sz w:val="24"/>
          <w:szCs w:val="24"/>
        </w:rPr>
        <w:t xml:space="preserve">vocational </w:t>
      </w:r>
      <w:r w:rsidR="00213156" w:rsidRPr="004A1C60">
        <w:rPr>
          <w:rFonts w:ascii="Times New Roman" w:hAnsi="Times New Roman" w:cs="Times New Roman"/>
          <w:sz w:val="24"/>
          <w:szCs w:val="24"/>
        </w:rPr>
        <w:t>student</w:t>
      </w:r>
      <w:r w:rsidR="00E31A99" w:rsidRPr="004A1C60">
        <w:rPr>
          <w:rFonts w:ascii="Times New Roman" w:hAnsi="Times New Roman" w:cs="Times New Roman"/>
          <w:sz w:val="24"/>
          <w:szCs w:val="24"/>
        </w:rPr>
        <w:t>s</w:t>
      </w:r>
      <w:r w:rsidR="00981D52" w:rsidRPr="004A1C60">
        <w:rPr>
          <w:rFonts w:ascii="Times New Roman" w:hAnsi="Times New Roman" w:cs="Times New Roman"/>
          <w:sz w:val="24"/>
          <w:szCs w:val="24"/>
        </w:rPr>
        <w:t xml:space="preserve"> </w:t>
      </w:r>
      <w:r w:rsidR="00213156" w:rsidRPr="004A1C60">
        <w:rPr>
          <w:rFonts w:ascii="Times New Roman" w:hAnsi="Times New Roman" w:cs="Times New Roman"/>
          <w:sz w:val="24"/>
          <w:szCs w:val="24"/>
        </w:rPr>
        <w:t xml:space="preserve">so that they </w:t>
      </w:r>
      <w:r w:rsidR="00E31A99" w:rsidRPr="004A1C60">
        <w:rPr>
          <w:rFonts w:ascii="Times New Roman" w:hAnsi="Times New Roman" w:cs="Times New Roman"/>
          <w:sz w:val="24"/>
          <w:szCs w:val="24"/>
        </w:rPr>
        <w:t xml:space="preserve">are better equipped to participate in vocational literacies and more attuned to the ‘vocational </w:t>
      </w:r>
      <w:r w:rsidR="00213156" w:rsidRPr="004A1C60">
        <w:rPr>
          <w:rFonts w:ascii="Times New Roman" w:hAnsi="Times New Roman" w:cs="Times New Roman"/>
          <w:sz w:val="24"/>
          <w:szCs w:val="24"/>
        </w:rPr>
        <w:t>habitus’</w:t>
      </w:r>
      <w:r w:rsidR="00F679D6" w:rsidRPr="004A1C60">
        <w:rPr>
          <w:rFonts w:ascii="Times New Roman" w:hAnsi="Times New Roman" w:cs="Times New Roman"/>
          <w:sz w:val="24"/>
          <w:szCs w:val="24"/>
        </w:rPr>
        <w:t xml:space="preserve"> of the world of work</w:t>
      </w:r>
      <w:r w:rsidR="00213156" w:rsidRPr="004A1C60">
        <w:rPr>
          <w:rFonts w:ascii="Times New Roman" w:hAnsi="Times New Roman" w:cs="Times New Roman"/>
          <w:sz w:val="24"/>
          <w:szCs w:val="24"/>
        </w:rPr>
        <w:t xml:space="preserve">. </w:t>
      </w:r>
      <w:r w:rsidR="00F679D6" w:rsidRPr="004A1C60">
        <w:rPr>
          <w:rFonts w:ascii="Times New Roman" w:hAnsi="Times New Roman" w:cs="Times New Roman"/>
          <w:sz w:val="24"/>
          <w:szCs w:val="24"/>
        </w:rPr>
        <w:t xml:space="preserve">As such workplace relations are reproduced and insinuated in the classroom rather than </w:t>
      </w:r>
      <w:r w:rsidR="00830D70" w:rsidRPr="004A1C60">
        <w:rPr>
          <w:rFonts w:ascii="Times New Roman" w:hAnsi="Times New Roman" w:cs="Times New Roman"/>
          <w:sz w:val="24"/>
          <w:szCs w:val="24"/>
        </w:rPr>
        <w:t xml:space="preserve">opened up as a possible </w:t>
      </w:r>
      <w:r w:rsidR="00F679D6" w:rsidRPr="004A1C60">
        <w:rPr>
          <w:rFonts w:ascii="Times New Roman" w:hAnsi="Times New Roman" w:cs="Times New Roman"/>
          <w:sz w:val="24"/>
          <w:szCs w:val="24"/>
        </w:rPr>
        <w:t xml:space="preserve">object of study. </w:t>
      </w:r>
      <w:r w:rsidR="00213156" w:rsidRPr="004A1C60">
        <w:rPr>
          <w:rFonts w:ascii="Times New Roman" w:hAnsi="Times New Roman" w:cs="Times New Roman"/>
          <w:sz w:val="24"/>
          <w:szCs w:val="24"/>
        </w:rPr>
        <w:t>For us there is a paradox here</w:t>
      </w:r>
      <w:r w:rsidR="00D74CC5" w:rsidRPr="004A1C60">
        <w:rPr>
          <w:rFonts w:ascii="Times New Roman" w:hAnsi="Times New Roman" w:cs="Times New Roman"/>
          <w:sz w:val="24"/>
          <w:szCs w:val="24"/>
        </w:rPr>
        <w:t xml:space="preserve">. Whilst the teacher is encouraged to </w:t>
      </w:r>
      <w:r w:rsidR="001559F3" w:rsidRPr="004A1C60">
        <w:rPr>
          <w:rFonts w:ascii="Times New Roman" w:hAnsi="Times New Roman" w:cs="Times New Roman"/>
          <w:sz w:val="24"/>
          <w:szCs w:val="24"/>
        </w:rPr>
        <w:t xml:space="preserve">inhabit the right hand </w:t>
      </w:r>
      <w:r w:rsidR="0069751A" w:rsidRPr="004A1C60">
        <w:rPr>
          <w:rFonts w:ascii="Times New Roman" w:hAnsi="Times New Roman" w:cs="Times New Roman"/>
          <w:sz w:val="24"/>
          <w:szCs w:val="24"/>
        </w:rPr>
        <w:t xml:space="preserve">critical </w:t>
      </w:r>
      <w:r w:rsidR="001559F3" w:rsidRPr="004A1C60">
        <w:rPr>
          <w:rFonts w:ascii="Times New Roman" w:hAnsi="Times New Roman" w:cs="Times New Roman"/>
          <w:sz w:val="24"/>
          <w:szCs w:val="24"/>
        </w:rPr>
        <w:t>spaces of fi</w:t>
      </w:r>
      <w:r w:rsidR="0069751A" w:rsidRPr="004A1C60">
        <w:rPr>
          <w:rFonts w:ascii="Times New Roman" w:hAnsi="Times New Roman" w:cs="Times New Roman"/>
          <w:sz w:val="24"/>
          <w:szCs w:val="24"/>
        </w:rPr>
        <w:t>gure 1, the student may constrained</w:t>
      </w:r>
      <w:r w:rsidR="00B04CF8" w:rsidRPr="004A1C60">
        <w:rPr>
          <w:rFonts w:ascii="Times New Roman" w:hAnsi="Times New Roman" w:cs="Times New Roman"/>
          <w:sz w:val="24"/>
          <w:szCs w:val="24"/>
        </w:rPr>
        <w:t xml:space="preserve"> to a more restricted, left hand space experience, their role diminished to </w:t>
      </w:r>
      <w:r w:rsidR="0033008C" w:rsidRPr="004A1C60">
        <w:rPr>
          <w:rFonts w:ascii="Times New Roman" w:hAnsi="Times New Roman" w:cs="Times New Roman"/>
          <w:sz w:val="24"/>
          <w:szCs w:val="24"/>
        </w:rPr>
        <w:t>one of recognition and acquisition of required, prescribed identities and actions</w:t>
      </w:r>
      <w:r w:rsidR="0075215D" w:rsidRPr="004A1C60">
        <w:rPr>
          <w:rFonts w:ascii="Times New Roman" w:hAnsi="Times New Roman" w:cs="Times New Roman"/>
          <w:sz w:val="24"/>
          <w:szCs w:val="24"/>
        </w:rPr>
        <w:t xml:space="preserve"> presented </w:t>
      </w:r>
      <w:r w:rsidR="00920B61" w:rsidRPr="004A1C60">
        <w:rPr>
          <w:rFonts w:ascii="Times New Roman" w:hAnsi="Times New Roman" w:cs="Times New Roman"/>
          <w:sz w:val="24"/>
          <w:szCs w:val="24"/>
        </w:rPr>
        <w:t xml:space="preserve">neutrally as </w:t>
      </w:r>
      <w:r w:rsidR="0075215D" w:rsidRPr="004A1C60">
        <w:rPr>
          <w:rFonts w:ascii="Times New Roman" w:hAnsi="Times New Roman" w:cs="Times New Roman"/>
          <w:sz w:val="24"/>
          <w:szCs w:val="24"/>
        </w:rPr>
        <w:t>‘realities’ of the workplace</w:t>
      </w:r>
      <w:r w:rsidR="007231A8" w:rsidRPr="004A1C60">
        <w:rPr>
          <w:rFonts w:ascii="Times New Roman" w:hAnsi="Times New Roman" w:cs="Times New Roman"/>
          <w:sz w:val="24"/>
          <w:szCs w:val="24"/>
        </w:rPr>
        <w:t>, put simply the ‘</w:t>
      </w:r>
      <w:r w:rsidR="007231A8" w:rsidRPr="004A1C60">
        <w:rPr>
          <w:rFonts w:ascii="Times New Roman" w:hAnsi="Times New Roman" w:cs="Times New Roman"/>
          <w:i/>
          <w:sz w:val="24"/>
          <w:szCs w:val="24"/>
        </w:rPr>
        <w:t>way things are done</w:t>
      </w:r>
      <w:r w:rsidR="007231A8" w:rsidRPr="004A1C60">
        <w:rPr>
          <w:rFonts w:ascii="Times New Roman" w:hAnsi="Times New Roman" w:cs="Times New Roman"/>
          <w:sz w:val="24"/>
          <w:szCs w:val="24"/>
        </w:rPr>
        <w:t>’</w:t>
      </w:r>
      <w:r w:rsidR="00E72AF5" w:rsidRPr="004A1C60">
        <w:rPr>
          <w:rFonts w:ascii="Times New Roman" w:hAnsi="Times New Roman" w:cs="Times New Roman"/>
          <w:sz w:val="24"/>
          <w:szCs w:val="24"/>
        </w:rPr>
        <w:t xml:space="preserve"> </w:t>
      </w:r>
      <w:r w:rsidR="00165139" w:rsidRPr="004A1C60">
        <w:rPr>
          <w:rFonts w:ascii="Times New Roman" w:hAnsi="Times New Roman" w:cs="Times New Roman"/>
          <w:sz w:val="24"/>
          <w:szCs w:val="24"/>
        </w:rPr>
        <w:t>–</w:t>
      </w:r>
      <w:r w:rsidR="00E72AF5" w:rsidRPr="004A1C60">
        <w:rPr>
          <w:rFonts w:ascii="Times New Roman" w:hAnsi="Times New Roman" w:cs="Times New Roman"/>
          <w:sz w:val="24"/>
          <w:szCs w:val="24"/>
        </w:rPr>
        <w:t xml:space="preserve"> the </w:t>
      </w:r>
      <w:r w:rsidR="00763ED7" w:rsidRPr="004A1C60">
        <w:rPr>
          <w:rFonts w:ascii="Times New Roman" w:hAnsi="Times New Roman" w:cs="Times New Roman"/>
          <w:sz w:val="24"/>
          <w:szCs w:val="24"/>
        </w:rPr>
        <w:t>neo-liberal competence model</w:t>
      </w:r>
      <w:r w:rsidR="003C64C2" w:rsidRPr="004A1C60">
        <w:rPr>
          <w:rFonts w:ascii="Times New Roman" w:hAnsi="Times New Roman" w:cs="Times New Roman"/>
          <w:sz w:val="24"/>
          <w:szCs w:val="24"/>
        </w:rPr>
        <w:t>,</w:t>
      </w:r>
      <w:r w:rsidR="00E72AF5" w:rsidRPr="004A1C60">
        <w:rPr>
          <w:rFonts w:ascii="Times New Roman" w:hAnsi="Times New Roman" w:cs="Times New Roman"/>
          <w:sz w:val="24"/>
          <w:szCs w:val="24"/>
        </w:rPr>
        <w:t xml:space="preserve"> </w:t>
      </w:r>
      <w:r w:rsidR="00165139" w:rsidRPr="004A1C60">
        <w:rPr>
          <w:rFonts w:ascii="Times New Roman" w:hAnsi="Times New Roman" w:cs="Times New Roman"/>
          <w:sz w:val="24"/>
          <w:szCs w:val="24"/>
        </w:rPr>
        <w:t>described by Kascak (2011)</w:t>
      </w:r>
      <w:r w:rsidR="003C64C2" w:rsidRPr="004A1C60">
        <w:rPr>
          <w:rFonts w:ascii="Times New Roman" w:hAnsi="Times New Roman" w:cs="Times New Roman"/>
          <w:sz w:val="24"/>
          <w:szCs w:val="24"/>
        </w:rPr>
        <w:t>,</w:t>
      </w:r>
      <w:r w:rsidR="00165139" w:rsidRPr="004A1C60">
        <w:rPr>
          <w:rFonts w:ascii="Times New Roman" w:hAnsi="Times New Roman" w:cs="Times New Roman"/>
          <w:sz w:val="24"/>
          <w:szCs w:val="24"/>
        </w:rPr>
        <w:t xml:space="preserve"> in action.</w:t>
      </w:r>
    </w:p>
    <w:p w14:paraId="48708B24" w14:textId="77777777" w:rsidR="00791BDF" w:rsidRPr="004A1C60" w:rsidRDefault="00791BDF" w:rsidP="00832802">
      <w:pPr>
        <w:widowControl w:val="0"/>
        <w:autoSpaceDE w:val="0"/>
        <w:autoSpaceDN w:val="0"/>
        <w:adjustRightInd w:val="0"/>
        <w:spacing w:after="0" w:line="360" w:lineRule="auto"/>
        <w:rPr>
          <w:rFonts w:ascii="Times New Roman" w:hAnsi="Times New Roman" w:cs="Times New Roman"/>
          <w:sz w:val="24"/>
          <w:szCs w:val="24"/>
        </w:rPr>
      </w:pPr>
    </w:p>
    <w:p w14:paraId="4A66DDB7" w14:textId="62CB7412" w:rsidR="00317B99" w:rsidRPr="004A1C60" w:rsidRDefault="0060463D" w:rsidP="00F070B0">
      <w:pPr>
        <w:widowControl w:val="0"/>
        <w:autoSpaceDE w:val="0"/>
        <w:autoSpaceDN w:val="0"/>
        <w:adjustRightInd w:val="0"/>
        <w:spacing w:after="0" w:line="360" w:lineRule="auto"/>
        <w:rPr>
          <w:rFonts w:ascii="Times New Roman" w:hAnsi="Times New Roman" w:cs="Times New Roman"/>
          <w:sz w:val="24"/>
          <w:szCs w:val="24"/>
        </w:rPr>
      </w:pPr>
      <w:r w:rsidRPr="004A1C60">
        <w:rPr>
          <w:rFonts w:ascii="Times New Roman" w:hAnsi="Times New Roman" w:cs="Times New Roman"/>
          <w:sz w:val="24"/>
          <w:szCs w:val="24"/>
        </w:rPr>
        <w:t xml:space="preserve">We were motivated to put </w:t>
      </w:r>
      <w:r w:rsidR="007231A8" w:rsidRPr="004A1C60">
        <w:rPr>
          <w:rFonts w:ascii="Times New Roman" w:hAnsi="Times New Roman" w:cs="Times New Roman"/>
          <w:sz w:val="24"/>
          <w:szCs w:val="24"/>
        </w:rPr>
        <w:t>the LfLinFE</w:t>
      </w:r>
      <w:r w:rsidR="004344BC" w:rsidRPr="004A1C60">
        <w:rPr>
          <w:rFonts w:ascii="Times New Roman" w:hAnsi="Times New Roman" w:cs="Times New Roman"/>
          <w:sz w:val="24"/>
          <w:szCs w:val="24"/>
        </w:rPr>
        <w:t xml:space="preserve"> framework to</w:t>
      </w:r>
      <w:r w:rsidR="00CC03BC" w:rsidRPr="004A1C60">
        <w:rPr>
          <w:rFonts w:ascii="Times New Roman" w:hAnsi="Times New Roman" w:cs="Times New Roman"/>
          <w:sz w:val="24"/>
          <w:szCs w:val="24"/>
        </w:rPr>
        <w:t xml:space="preserve"> work in a quite different way, as </w:t>
      </w:r>
      <w:r w:rsidR="00791BDF" w:rsidRPr="004A1C60">
        <w:rPr>
          <w:rFonts w:ascii="Times New Roman" w:hAnsi="Times New Roman" w:cs="Times New Roman"/>
          <w:sz w:val="24"/>
          <w:szCs w:val="24"/>
        </w:rPr>
        <w:t xml:space="preserve">a </w:t>
      </w:r>
      <w:r w:rsidR="00CC03BC" w:rsidRPr="004A1C60">
        <w:rPr>
          <w:rFonts w:ascii="Times New Roman" w:hAnsi="Times New Roman" w:cs="Times New Roman"/>
          <w:sz w:val="24"/>
          <w:szCs w:val="24"/>
        </w:rPr>
        <w:t>lens through which students</w:t>
      </w:r>
      <w:r w:rsidR="00461BFC" w:rsidRPr="004A1C60">
        <w:rPr>
          <w:rFonts w:ascii="Times New Roman" w:hAnsi="Times New Roman" w:cs="Times New Roman"/>
          <w:sz w:val="24"/>
          <w:szCs w:val="24"/>
        </w:rPr>
        <w:t xml:space="preserve">, </w:t>
      </w:r>
      <w:r w:rsidR="000C0882" w:rsidRPr="004A1C60">
        <w:rPr>
          <w:rFonts w:ascii="Times New Roman" w:hAnsi="Times New Roman" w:cs="Times New Roman"/>
          <w:sz w:val="24"/>
          <w:szCs w:val="24"/>
        </w:rPr>
        <w:t xml:space="preserve">teachers, and </w:t>
      </w:r>
      <w:r w:rsidR="00356BF2" w:rsidRPr="004A1C60">
        <w:rPr>
          <w:rFonts w:ascii="Times New Roman" w:hAnsi="Times New Roman" w:cs="Times New Roman"/>
          <w:sz w:val="24"/>
          <w:szCs w:val="24"/>
        </w:rPr>
        <w:t>students and</w:t>
      </w:r>
      <w:r w:rsidR="00461BFC" w:rsidRPr="004A1C60">
        <w:rPr>
          <w:rFonts w:ascii="Times New Roman" w:hAnsi="Times New Roman" w:cs="Times New Roman"/>
          <w:sz w:val="24"/>
          <w:szCs w:val="24"/>
        </w:rPr>
        <w:t xml:space="preserve"> teachers</w:t>
      </w:r>
      <w:r w:rsidR="00356BF2" w:rsidRPr="004A1C60">
        <w:rPr>
          <w:rFonts w:ascii="Times New Roman" w:hAnsi="Times New Roman" w:cs="Times New Roman"/>
          <w:sz w:val="24"/>
          <w:szCs w:val="24"/>
        </w:rPr>
        <w:t xml:space="preserve"> as collaborators</w:t>
      </w:r>
      <w:r w:rsidR="00461BFC" w:rsidRPr="004A1C60">
        <w:rPr>
          <w:rFonts w:ascii="Times New Roman" w:hAnsi="Times New Roman" w:cs="Times New Roman"/>
          <w:sz w:val="24"/>
          <w:szCs w:val="24"/>
        </w:rPr>
        <w:t>,</w:t>
      </w:r>
      <w:r w:rsidR="00CC03BC" w:rsidRPr="004A1C60">
        <w:rPr>
          <w:rFonts w:ascii="Times New Roman" w:hAnsi="Times New Roman" w:cs="Times New Roman"/>
          <w:sz w:val="24"/>
          <w:szCs w:val="24"/>
        </w:rPr>
        <w:t xml:space="preserve"> might </w:t>
      </w:r>
      <w:r w:rsidR="00461BFC" w:rsidRPr="004A1C60">
        <w:rPr>
          <w:rFonts w:ascii="Times New Roman" w:hAnsi="Times New Roman" w:cs="Times New Roman"/>
          <w:sz w:val="24"/>
          <w:szCs w:val="24"/>
        </w:rPr>
        <w:t>re-</w:t>
      </w:r>
      <w:r w:rsidR="00CC03BC" w:rsidRPr="004A1C60">
        <w:rPr>
          <w:rFonts w:ascii="Times New Roman" w:hAnsi="Times New Roman" w:cs="Times New Roman"/>
          <w:sz w:val="24"/>
          <w:szCs w:val="24"/>
        </w:rPr>
        <w:t xml:space="preserve">view and interrogate workplace literacies </w:t>
      </w:r>
      <w:r w:rsidR="00461BFC" w:rsidRPr="004A1C60">
        <w:rPr>
          <w:rFonts w:ascii="Times New Roman" w:hAnsi="Times New Roman" w:cs="Times New Roman"/>
          <w:sz w:val="24"/>
          <w:szCs w:val="24"/>
        </w:rPr>
        <w:t xml:space="preserve">as </w:t>
      </w:r>
      <w:r w:rsidR="006900D9" w:rsidRPr="004A1C60">
        <w:rPr>
          <w:rFonts w:ascii="Times New Roman" w:hAnsi="Times New Roman" w:cs="Times New Roman"/>
          <w:sz w:val="24"/>
          <w:szCs w:val="24"/>
        </w:rPr>
        <w:t>starting point</w:t>
      </w:r>
      <w:r w:rsidR="00461BFC" w:rsidRPr="004A1C60">
        <w:rPr>
          <w:rFonts w:ascii="Times New Roman" w:hAnsi="Times New Roman" w:cs="Times New Roman"/>
          <w:sz w:val="24"/>
          <w:szCs w:val="24"/>
        </w:rPr>
        <w:t>s</w:t>
      </w:r>
      <w:r w:rsidR="006900D9" w:rsidRPr="004A1C60">
        <w:rPr>
          <w:rFonts w:ascii="Times New Roman" w:hAnsi="Times New Roman" w:cs="Times New Roman"/>
          <w:sz w:val="24"/>
          <w:szCs w:val="24"/>
        </w:rPr>
        <w:t xml:space="preserve"> for thinking</w:t>
      </w:r>
      <w:r w:rsidR="00461BFC" w:rsidRPr="004A1C60">
        <w:rPr>
          <w:rFonts w:ascii="Times New Roman" w:hAnsi="Times New Roman" w:cs="Times New Roman"/>
          <w:sz w:val="24"/>
          <w:szCs w:val="24"/>
        </w:rPr>
        <w:t xml:space="preserve"> through </w:t>
      </w:r>
      <w:r w:rsidR="006900D9" w:rsidRPr="004A1C60">
        <w:rPr>
          <w:rFonts w:ascii="Times New Roman" w:hAnsi="Times New Roman" w:cs="Times New Roman"/>
          <w:sz w:val="24"/>
          <w:szCs w:val="24"/>
        </w:rPr>
        <w:t xml:space="preserve">employability. </w:t>
      </w:r>
      <w:r w:rsidR="0057590A" w:rsidRPr="004A1C60">
        <w:rPr>
          <w:rFonts w:ascii="Times New Roman" w:hAnsi="Times New Roman" w:cs="Times New Roman"/>
          <w:sz w:val="24"/>
          <w:szCs w:val="24"/>
        </w:rPr>
        <w:t xml:space="preserve">We wanted this lens to be both literal and conceptual, an </w:t>
      </w:r>
      <w:r w:rsidR="002D6ABE" w:rsidRPr="004A1C60">
        <w:rPr>
          <w:rFonts w:ascii="Times New Roman" w:hAnsi="Times New Roman" w:cs="Times New Roman"/>
          <w:sz w:val="24"/>
          <w:szCs w:val="24"/>
        </w:rPr>
        <w:t>auto-</w:t>
      </w:r>
      <w:r w:rsidR="0057590A" w:rsidRPr="004A1C60">
        <w:rPr>
          <w:rFonts w:ascii="Times New Roman" w:hAnsi="Times New Roman" w:cs="Times New Roman"/>
          <w:sz w:val="24"/>
          <w:szCs w:val="24"/>
        </w:rPr>
        <w:t xml:space="preserve">ethnographic experience of ‘turning one’s </w:t>
      </w:r>
      <w:r w:rsidR="008E167B" w:rsidRPr="004A1C60">
        <w:rPr>
          <w:rFonts w:ascii="Times New Roman" w:hAnsi="Times New Roman" w:cs="Times New Roman"/>
          <w:sz w:val="24"/>
          <w:szCs w:val="24"/>
        </w:rPr>
        <w:t xml:space="preserve">critical </w:t>
      </w:r>
      <w:r w:rsidR="0057590A" w:rsidRPr="004A1C60">
        <w:rPr>
          <w:rFonts w:ascii="Times New Roman" w:hAnsi="Times New Roman" w:cs="Times New Roman"/>
          <w:sz w:val="24"/>
          <w:szCs w:val="24"/>
        </w:rPr>
        <w:t xml:space="preserve">gaze towards’ </w:t>
      </w:r>
      <w:r w:rsidR="00FB23DB" w:rsidRPr="004A1C60">
        <w:rPr>
          <w:rFonts w:ascii="Times New Roman" w:hAnsi="Times New Roman" w:cs="Times New Roman"/>
          <w:sz w:val="24"/>
          <w:szCs w:val="24"/>
        </w:rPr>
        <w:t xml:space="preserve">the workplace within which one is </w:t>
      </w:r>
      <w:r w:rsidR="00B1438B" w:rsidRPr="004A1C60">
        <w:rPr>
          <w:rFonts w:ascii="Times New Roman" w:hAnsi="Times New Roman" w:cs="Times New Roman"/>
          <w:sz w:val="24"/>
          <w:szCs w:val="24"/>
        </w:rPr>
        <w:t xml:space="preserve">immersed. </w:t>
      </w:r>
      <w:r w:rsidR="00CC153D" w:rsidRPr="004A1C60">
        <w:rPr>
          <w:rFonts w:ascii="Times New Roman" w:hAnsi="Times New Roman" w:cs="Times New Roman"/>
          <w:sz w:val="24"/>
          <w:szCs w:val="24"/>
        </w:rPr>
        <w:t>The framework, described below</w:t>
      </w:r>
      <w:r w:rsidR="00FB23DB" w:rsidRPr="004A1C60">
        <w:rPr>
          <w:rFonts w:ascii="Times New Roman" w:hAnsi="Times New Roman" w:cs="Times New Roman"/>
          <w:sz w:val="24"/>
          <w:szCs w:val="24"/>
        </w:rPr>
        <w:t>, was theref</w:t>
      </w:r>
      <w:r w:rsidR="008E167B" w:rsidRPr="004A1C60">
        <w:rPr>
          <w:rFonts w:ascii="Times New Roman" w:hAnsi="Times New Roman" w:cs="Times New Roman"/>
          <w:sz w:val="24"/>
          <w:szCs w:val="24"/>
        </w:rPr>
        <w:t xml:space="preserve">ore developed as an ‘app’ for use with </w:t>
      </w:r>
      <w:r w:rsidR="00FB23DB" w:rsidRPr="004A1C60">
        <w:rPr>
          <w:rFonts w:ascii="Times New Roman" w:hAnsi="Times New Roman" w:cs="Times New Roman"/>
          <w:sz w:val="24"/>
          <w:szCs w:val="24"/>
        </w:rPr>
        <w:t>mobile devices that could</w:t>
      </w:r>
      <w:r w:rsidR="009407B6" w:rsidRPr="004A1C60">
        <w:rPr>
          <w:rFonts w:ascii="Times New Roman" w:hAnsi="Times New Roman" w:cs="Times New Roman"/>
          <w:sz w:val="24"/>
          <w:szCs w:val="24"/>
        </w:rPr>
        <w:t xml:space="preserve"> be used </w:t>
      </w:r>
      <w:r w:rsidR="009407B6" w:rsidRPr="004A1C60">
        <w:rPr>
          <w:rFonts w:ascii="Times New Roman" w:hAnsi="Times New Roman" w:cs="Times New Roman"/>
          <w:i/>
          <w:sz w:val="24"/>
          <w:szCs w:val="24"/>
        </w:rPr>
        <w:t>in situ</w:t>
      </w:r>
      <w:r w:rsidR="009407B6" w:rsidRPr="004A1C60">
        <w:rPr>
          <w:rFonts w:ascii="Times New Roman" w:hAnsi="Times New Roman" w:cs="Times New Roman"/>
          <w:sz w:val="24"/>
          <w:szCs w:val="24"/>
        </w:rPr>
        <w:t xml:space="preserve"> to ‘capture’ literacy moments, texts, events, practices, interactions and interventions, anything considere</w:t>
      </w:r>
      <w:r w:rsidR="00A45DAB" w:rsidRPr="004A1C60">
        <w:rPr>
          <w:rFonts w:ascii="Times New Roman" w:hAnsi="Times New Roman" w:cs="Times New Roman"/>
          <w:sz w:val="24"/>
          <w:szCs w:val="24"/>
        </w:rPr>
        <w:t>d to be significant as it occur</w:t>
      </w:r>
      <w:r w:rsidR="008E167B" w:rsidRPr="004A1C60">
        <w:rPr>
          <w:rFonts w:ascii="Times New Roman" w:hAnsi="Times New Roman" w:cs="Times New Roman"/>
          <w:sz w:val="24"/>
          <w:szCs w:val="24"/>
        </w:rPr>
        <w:t>r</w:t>
      </w:r>
      <w:r w:rsidR="00A45DAB" w:rsidRPr="004A1C60">
        <w:rPr>
          <w:rFonts w:ascii="Times New Roman" w:hAnsi="Times New Roman" w:cs="Times New Roman"/>
          <w:sz w:val="24"/>
          <w:szCs w:val="24"/>
        </w:rPr>
        <w:t>ed</w:t>
      </w:r>
      <w:r w:rsidR="008E167B" w:rsidRPr="004A1C60">
        <w:rPr>
          <w:rFonts w:ascii="Times New Roman" w:hAnsi="Times New Roman" w:cs="Times New Roman"/>
          <w:sz w:val="24"/>
          <w:szCs w:val="24"/>
        </w:rPr>
        <w:t xml:space="preserve"> in the moment</w:t>
      </w:r>
      <w:r w:rsidR="00A45DAB" w:rsidRPr="004A1C60">
        <w:rPr>
          <w:rFonts w:ascii="Times New Roman" w:hAnsi="Times New Roman" w:cs="Times New Roman"/>
          <w:sz w:val="24"/>
          <w:szCs w:val="24"/>
        </w:rPr>
        <w:t>. The app th</w:t>
      </w:r>
      <w:r w:rsidR="00DC542E" w:rsidRPr="004A1C60">
        <w:rPr>
          <w:rFonts w:ascii="Times New Roman" w:hAnsi="Times New Roman" w:cs="Times New Roman"/>
          <w:sz w:val="24"/>
          <w:szCs w:val="24"/>
        </w:rPr>
        <w:t>en enables critical interrogation</w:t>
      </w:r>
      <w:r w:rsidR="009A205C" w:rsidRPr="004A1C60">
        <w:rPr>
          <w:rFonts w:ascii="Times New Roman" w:hAnsi="Times New Roman" w:cs="Times New Roman"/>
          <w:sz w:val="24"/>
          <w:szCs w:val="24"/>
        </w:rPr>
        <w:t xml:space="preserve"> of the chosen tableau</w:t>
      </w:r>
      <w:r w:rsidR="008B1BE7" w:rsidRPr="004A1C60">
        <w:rPr>
          <w:rFonts w:ascii="Times New Roman" w:hAnsi="Times New Roman" w:cs="Times New Roman"/>
          <w:sz w:val="24"/>
          <w:szCs w:val="24"/>
        </w:rPr>
        <w:t xml:space="preserve"> </w:t>
      </w:r>
      <w:r w:rsidR="00DC542E" w:rsidRPr="004A1C60">
        <w:rPr>
          <w:rFonts w:ascii="Times New Roman" w:hAnsi="Times New Roman" w:cs="Times New Roman"/>
          <w:sz w:val="24"/>
          <w:szCs w:val="24"/>
        </w:rPr>
        <w:t xml:space="preserve">through dialogic question prompts </w:t>
      </w:r>
      <w:r w:rsidR="003E5E20" w:rsidRPr="004A1C60">
        <w:rPr>
          <w:rFonts w:ascii="Times New Roman" w:hAnsi="Times New Roman" w:cs="Times New Roman"/>
          <w:sz w:val="24"/>
          <w:szCs w:val="24"/>
        </w:rPr>
        <w:t xml:space="preserve">that relate back to the </w:t>
      </w:r>
      <w:r w:rsidR="00146E0D" w:rsidRPr="004A1C60">
        <w:rPr>
          <w:rFonts w:ascii="Times New Roman" w:hAnsi="Times New Roman" w:cs="Times New Roman"/>
          <w:sz w:val="24"/>
          <w:szCs w:val="24"/>
        </w:rPr>
        <w:t>nin</w:t>
      </w:r>
      <w:r w:rsidR="00606791" w:rsidRPr="004A1C60">
        <w:rPr>
          <w:rFonts w:ascii="Times New Roman" w:hAnsi="Times New Roman" w:cs="Times New Roman"/>
          <w:sz w:val="24"/>
          <w:szCs w:val="24"/>
        </w:rPr>
        <w:t>e aspects of a literacy practice</w:t>
      </w:r>
      <w:r w:rsidR="005E022D" w:rsidRPr="004A1C60">
        <w:rPr>
          <w:rFonts w:ascii="Times New Roman" w:hAnsi="Times New Roman" w:cs="Times New Roman"/>
          <w:sz w:val="24"/>
          <w:szCs w:val="24"/>
        </w:rPr>
        <w:t>, see figure 2</w:t>
      </w:r>
      <w:r w:rsidR="00CF225B" w:rsidRPr="004A1C60">
        <w:rPr>
          <w:rFonts w:ascii="Times New Roman" w:hAnsi="Times New Roman" w:cs="Times New Roman"/>
          <w:sz w:val="24"/>
          <w:szCs w:val="24"/>
        </w:rPr>
        <w:t xml:space="preserve">. </w:t>
      </w:r>
      <w:r w:rsidR="00146E0D" w:rsidRPr="004A1C60">
        <w:rPr>
          <w:rFonts w:ascii="Times New Roman" w:hAnsi="Times New Roman" w:cs="Times New Roman"/>
          <w:sz w:val="24"/>
          <w:szCs w:val="24"/>
        </w:rPr>
        <w:t xml:space="preserve">The student is </w:t>
      </w:r>
      <w:r w:rsidR="00133E8E" w:rsidRPr="004A1C60">
        <w:rPr>
          <w:rFonts w:ascii="Times New Roman" w:hAnsi="Times New Roman" w:cs="Times New Roman"/>
          <w:sz w:val="24"/>
          <w:szCs w:val="24"/>
        </w:rPr>
        <w:t xml:space="preserve">then </w:t>
      </w:r>
      <w:r w:rsidR="00146E0D" w:rsidRPr="004A1C60">
        <w:rPr>
          <w:rFonts w:ascii="Times New Roman" w:hAnsi="Times New Roman" w:cs="Times New Roman"/>
          <w:sz w:val="24"/>
          <w:szCs w:val="24"/>
        </w:rPr>
        <w:t xml:space="preserve">able to share their </w:t>
      </w:r>
      <w:r w:rsidR="00F54A75" w:rsidRPr="004A1C60">
        <w:rPr>
          <w:rFonts w:ascii="Times New Roman" w:hAnsi="Times New Roman" w:cs="Times New Roman"/>
          <w:sz w:val="24"/>
          <w:szCs w:val="24"/>
        </w:rPr>
        <w:t xml:space="preserve">thinking through </w:t>
      </w:r>
      <w:r w:rsidR="00606791" w:rsidRPr="004A1C60">
        <w:rPr>
          <w:rFonts w:ascii="Times New Roman" w:hAnsi="Times New Roman" w:cs="Times New Roman"/>
          <w:sz w:val="24"/>
          <w:szCs w:val="24"/>
        </w:rPr>
        <w:t>analysis</w:t>
      </w:r>
      <w:r w:rsidR="00146E0D" w:rsidRPr="004A1C60">
        <w:rPr>
          <w:rFonts w:ascii="Times New Roman" w:hAnsi="Times New Roman" w:cs="Times New Roman"/>
          <w:sz w:val="24"/>
          <w:szCs w:val="24"/>
        </w:rPr>
        <w:t xml:space="preserve"> </w:t>
      </w:r>
      <w:r w:rsidR="00606791" w:rsidRPr="004A1C60">
        <w:rPr>
          <w:rFonts w:ascii="Times New Roman" w:hAnsi="Times New Roman" w:cs="Times New Roman"/>
          <w:sz w:val="24"/>
          <w:szCs w:val="24"/>
        </w:rPr>
        <w:t>with their teacher</w:t>
      </w:r>
      <w:r w:rsidR="00133E8E" w:rsidRPr="004A1C60">
        <w:rPr>
          <w:rFonts w:ascii="Times New Roman" w:hAnsi="Times New Roman" w:cs="Times New Roman"/>
          <w:sz w:val="24"/>
          <w:szCs w:val="24"/>
        </w:rPr>
        <w:t xml:space="preserve"> and peers via a shared web</w:t>
      </w:r>
      <w:r w:rsidR="00C12EDD" w:rsidRPr="004A1C60">
        <w:rPr>
          <w:rFonts w:ascii="Times New Roman" w:hAnsi="Times New Roman" w:cs="Times New Roman"/>
          <w:sz w:val="24"/>
          <w:szCs w:val="24"/>
        </w:rPr>
        <w:t>-</w:t>
      </w:r>
      <w:r w:rsidR="00133E8E" w:rsidRPr="004A1C60">
        <w:rPr>
          <w:rFonts w:ascii="Times New Roman" w:hAnsi="Times New Roman" w:cs="Times New Roman"/>
          <w:sz w:val="24"/>
          <w:szCs w:val="24"/>
        </w:rPr>
        <w:t xml:space="preserve">space mediated by the teacher. </w:t>
      </w:r>
      <w:r w:rsidR="00F91D70" w:rsidRPr="004A1C60">
        <w:rPr>
          <w:rFonts w:ascii="Times New Roman" w:hAnsi="Times New Roman" w:cs="Times New Roman"/>
          <w:sz w:val="24"/>
          <w:szCs w:val="24"/>
        </w:rPr>
        <w:t>The web</w:t>
      </w:r>
      <w:r w:rsidR="00C12EDD" w:rsidRPr="004A1C60">
        <w:rPr>
          <w:rFonts w:ascii="Times New Roman" w:hAnsi="Times New Roman" w:cs="Times New Roman"/>
          <w:sz w:val="24"/>
          <w:szCs w:val="24"/>
        </w:rPr>
        <w:t>-</w:t>
      </w:r>
      <w:r w:rsidR="00F91D70" w:rsidRPr="004A1C60">
        <w:rPr>
          <w:rFonts w:ascii="Times New Roman" w:hAnsi="Times New Roman" w:cs="Times New Roman"/>
          <w:sz w:val="24"/>
          <w:szCs w:val="24"/>
        </w:rPr>
        <w:t xml:space="preserve">space allows </w:t>
      </w:r>
      <w:r w:rsidR="00C12EDD" w:rsidRPr="004A1C60">
        <w:rPr>
          <w:rFonts w:ascii="Times New Roman" w:hAnsi="Times New Roman" w:cs="Times New Roman"/>
          <w:sz w:val="24"/>
          <w:szCs w:val="24"/>
        </w:rPr>
        <w:t xml:space="preserve">individual, group and collective </w:t>
      </w:r>
      <w:r w:rsidR="001D7D22" w:rsidRPr="004A1C60">
        <w:rPr>
          <w:rFonts w:ascii="Times New Roman" w:hAnsi="Times New Roman" w:cs="Times New Roman"/>
          <w:sz w:val="24"/>
          <w:szCs w:val="24"/>
        </w:rPr>
        <w:t xml:space="preserve">collation and curation </w:t>
      </w:r>
      <w:r w:rsidR="00F91D70" w:rsidRPr="004A1C60">
        <w:rPr>
          <w:rFonts w:ascii="Times New Roman" w:hAnsi="Times New Roman" w:cs="Times New Roman"/>
          <w:sz w:val="24"/>
          <w:szCs w:val="24"/>
        </w:rPr>
        <w:t xml:space="preserve">of </w:t>
      </w:r>
      <w:r w:rsidR="00F54A75" w:rsidRPr="004A1C60">
        <w:rPr>
          <w:rFonts w:ascii="Times New Roman" w:hAnsi="Times New Roman" w:cs="Times New Roman"/>
          <w:sz w:val="24"/>
          <w:szCs w:val="24"/>
        </w:rPr>
        <w:t xml:space="preserve">the </w:t>
      </w:r>
      <w:r w:rsidR="00F91D70" w:rsidRPr="004A1C60">
        <w:rPr>
          <w:rFonts w:ascii="Times New Roman" w:hAnsi="Times New Roman" w:cs="Times New Roman"/>
          <w:sz w:val="24"/>
          <w:szCs w:val="24"/>
        </w:rPr>
        <w:t>empirical material</w:t>
      </w:r>
      <w:r w:rsidR="00F54A75" w:rsidRPr="004A1C60">
        <w:rPr>
          <w:rFonts w:ascii="Times New Roman" w:hAnsi="Times New Roman" w:cs="Times New Roman"/>
          <w:sz w:val="24"/>
          <w:szCs w:val="24"/>
        </w:rPr>
        <w:t>, photographs, descriptions, reflections and commentaries,</w:t>
      </w:r>
      <w:r w:rsidR="00F91D70" w:rsidRPr="004A1C60">
        <w:rPr>
          <w:rFonts w:ascii="Times New Roman" w:hAnsi="Times New Roman" w:cs="Times New Roman"/>
          <w:sz w:val="24"/>
          <w:szCs w:val="24"/>
        </w:rPr>
        <w:t xml:space="preserve"> amassed</w:t>
      </w:r>
      <w:r w:rsidR="00F54A75" w:rsidRPr="004A1C60">
        <w:rPr>
          <w:rFonts w:ascii="Times New Roman" w:hAnsi="Times New Roman" w:cs="Times New Roman"/>
          <w:sz w:val="24"/>
          <w:szCs w:val="24"/>
        </w:rPr>
        <w:t xml:space="preserve"> by the group, yielding a substantial </w:t>
      </w:r>
      <w:r w:rsidR="003A197A" w:rsidRPr="004A1C60">
        <w:rPr>
          <w:rFonts w:ascii="Times New Roman" w:hAnsi="Times New Roman" w:cs="Times New Roman"/>
          <w:sz w:val="24"/>
          <w:szCs w:val="24"/>
        </w:rPr>
        <w:t xml:space="preserve">ethnographic ‘data’ </w:t>
      </w:r>
      <w:r w:rsidR="00F54A75" w:rsidRPr="004A1C60">
        <w:rPr>
          <w:rFonts w:ascii="Times New Roman" w:hAnsi="Times New Roman" w:cs="Times New Roman"/>
          <w:sz w:val="24"/>
          <w:szCs w:val="24"/>
        </w:rPr>
        <w:t xml:space="preserve">archive about a particular </w:t>
      </w:r>
      <w:r w:rsidR="001D7D22" w:rsidRPr="004A1C60">
        <w:rPr>
          <w:rFonts w:ascii="Times New Roman" w:hAnsi="Times New Roman" w:cs="Times New Roman"/>
          <w:sz w:val="24"/>
          <w:szCs w:val="24"/>
        </w:rPr>
        <w:t>type or gr</w:t>
      </w:r>
      <w:r w:rsidR="003A197A" w:rsidRPr="004A1C60">
        <w:rPr>
          <w:rFonts w:ascii="Times New Roman" w:hAnsi="Times New Roman" w:cs="Times New Roman"/>
          <w:sz w:val="24"/>
          <w:szCs w:val="24"/>
        </w:rPr>
        <w:t xml:space="preserve">ouping </w:t>
      </w:r>
      <w:r w:rsidR="0046578C" w:rsidRPr="004A1C60">
        <w:rPr>
          <w:rFonts w:ascii="Times New Roman" w:hAnsi="Times New Roman" w:cs="Times New Roman"/>
          <w:sz w:val="24"/>
          <w:szCs w:val="24"/>
        </w:rPr>
        <w:t xml:space="preserve">of workplace settings. This resource can then be used, as we did in the embedding stage of the project, as content for </w:t>
      </w:r>
      <w:r w:rsidR="00F90FC7" w:rsidRPr="004A1C60">
        <w:rPr>
          <w:rFonts w:ascii="Times New Roman" w:hAnsi="Times New Roman" w:cs="Times New Roman"/>
          <w:sz w:val="24"/>
          <w:szCs w:val="24"/>
        </w:rPr>
        <w:t xml:space="preserve">meta-learning </w:t>
      </w:r>
      <w:r w:rsidR="00F90FC7" w:rsidRPr="004A1C60">
        <w:rPr>
          <w:rFonts w:ascii="Times New Roman" w:hAnsi="Times New Roman" w:cs="Times New Roman"/>
          <w:sz w:val="24"/>
          <w:szCs w:val="24"/>
        </w:rPr>
        <w:lastRenderedPageBreak/>
        <w:t>about workplaces in a critical employability curriculum.</w:t>
      </w:r>
    </w:p>
    <w:tbl>
      <w:tblPr>
        <w:tblStyle w:val="TableGrid"/>
        <w:tblpPr w:leftFromText="180" w:rightFromText="180" w:vertAnchor="text" w:horzAnchor="margin" w:tblpXSpec="center" w:tblpY="424"/>
        <w:tblW w:w="0" w:type="auto"/>
        <w:tblLook w:val="04A0" w:firstRow="1" w:lastRow="0" w:firstColumn="1" w:lastColumn="0" w:noHBand="0" w:noVBand="1"/>
      </w:tblPr>
      <w:tblGrid>
        <w:gridCol w:w="2406"/>
        <w:gridCol w:w="2410"/>
        <w:gridCol w:w="2671"/>
      </w:tblGrid>
      <w:tr w:rsidR="00FC1EF8" w:rsidRPr="004A1C60" w14:paraId="661FE506" w14:textId="77777777" w:rsidTr="00FC1EF8">
        <w:trPr>
          <w:trHeight w:val="2440"/>
        </w:trPr>
        <w:tc>
          <w:tcPr>
            <w:tcW w:w="2406" w:type="dxa"/>
            <w:tcBorders>
              <w:top w:val="single" w:sz="4" w:space="0" w:color="auto"/>
              <w:left w:val="single" w:sz="4" w:space="0" w:color="auto"/>
              <w:bottom w:val="single" w:sz="4" w:space="0" w:color="auto"/>
              <w:right w:val="single" w:sz="4" w:space="0" w:color="auto"/>
            </w:tcBorders>
          </w:tcPr>
          <w:p w14:paraId="6D724179" w14:textId="28691768" w:rsidR="00FC1EF8" w:rsidRPr="004A1C60" w:rsidRDefault="007639AC" w:rsidP="00832802">
            <w:pPr>
              <w:spacing w:line="360" w:lineRule="auto"/>
              <w:rPr>
                <w:b/>
                <w:sz w:val="24"/>
                <w:szCs w:val="24"/>
                <w:lang w:eastAsia="zh-CN"/>
              </w:rPr>
            </w:pPr>
            <w:r w:rsidRPr="004A1C60">
              <w:rPr>
                <w:b/>
                <w:sz w:val="24"/>
                <w:szCs w:val="24"/>
              </w:rPr>
              <w:t>Picture</w:t>
            </w:r>
          </w:p>
        </w:tc>
        <w:tc>
          <w:tcPr>
            <w:tcW w:w="2410" w:type="dxa"/>
            <w:tcBorders>
              <w:top w:val="single" w:sz="4" w:space="0" w:color="auto"/>
              <w:left w:val="single" w:sz="4" w:space="0" w:color="auto"/>
              <w:bottom w:val="single" w:sz="4" w:space="0" w:color="auto"/>
              <w:right w:val="single" w:sz="4" w:space="0" w:color="auto"/>
            </w:tcBorders>
            <w:hideMark/>
          </w:tcPr>
          <w:p w14:paraId="53469F2A" w14:textId="77777777" w:rsidR="00FC1EF8" w:rsidRPr="004A1C60" w:rsidRDefault="00FC1EF8" w:rsidP="00832802">
            <w:pPr>
              <w:spacing w:line="360" w:lineRule="auto"/>
              <w:rPr>
                <w:sz w:val="24"/>
                <w:szCs w:val="24"/>
                <w:lang w:eastAsia="zh-CN"/>
              </w:rPr>
            </w:pPr>
            <w:r w:rsidRPr="004A1C60">
              <w:rPr>
                <w:b/>
                <w:sz w:val="24"/>
                <w:szCs w:val="24"/>
              </w:rPr>
              <w:t>Purpose of work-based communication</w:t>
            </w:r>
            <w:r w:rsidRPr="004A1C60">
              <w:rPr>
                <w:sz w:val="24"/>
                <w:szCs w:val="24"/>
              </w:rPr>
              <w:t xml:space="preserve"> </w:t>
            </w:r>
          </w:p>
          <w:p w14:paraId="5758A3AF" w14:textId="31E1282F" w:rsidR="00FC1EF8" w:rsidRPr="004A1C60" w:rsidRDefault="002D76DD" w:rsidP="00832802">
            <w:pPr>
              <w:spacing w:line="360" w:lineRule="auto"/>
              <w:rPr>
                <w:sz w:val="24"/>
                <w:szCs w:val="24"/>
                <w:lang w:eastAsia="zh-CN"/>
              </w:rPr>
            </w:pPr>
            <w:r w:rsidRPr="004A1C60">
              <w:rPr>
                <w:sz w:val="24"/>
                <w:szCs w:val="24"/>
                <w:lang w:val="en-US"/>
              </w:rPr>
              <w:t>In your example what is the purpose of the communication? What is the nature of your example and what is it trying to achieve? Is it individual? Is it institutional? Is it information gathering?</w:t>
            </w:r>
          </w:p>
        </w:tc>
        <w:tc>
          <w:tcPr>
            <w:tcW w:w="2671" w:type="dxa"/>
            <w:tcBorders>
              <w:top w:val="single" w:sz="4" w:space="0" w:color="auto"/>
              <w:left w:val="single" w:sz="4" w:space="0" w:color="auto"/>
              <w:bottom w:val="single" w:sz="4" w:space="0" w:color="auto"/>
              <w:right w:val="single" w:sz="4" w:space="0" w:color="auto"/>
            </w:tcBorders>
            <w:hideMark/>
          </w:tcPr>
          <w:p w14:paraId="7E8C50C7" w14:textId="77777777" w:rsidR="00FC1EF8" w:rsidRPr="004A1C60" w:rsidRDefault="00FC1EF8" w:rsidP="00832802">
            <w:pPr>
              <w:spacing w:line="360" w:lineRule="auto"/>
              <w:rPr>
                <w:b/>
                <w:sz w:val="24"/>
                <w:szCs w:val="24"/>
                <w:lang w:eastAsia="zh-CN"/>
              </w:rPr>
            </w:pPr>
            <w:r w:rsidRPr="004A1C60">
              <w:rPr>
                <w:b/>
                <w:sz w:val="24"/>
                <w:szCs w:val="24"/>
              </w:rPr>
              <w:t xml:space="preserve">Audience (s)for work-based information </w:t>
            </w:r>
          </w:p>
          <w:p w14:paraId="45B94391" w14:textId="77777777" w:rsidR="00FC1EF8" w:rsidRPr="004A1C60" w:rsidRDefault="00FC1EF8" w:rsidP="00832802">
            <w:pPr>
              <w:spacing w:line="360" w:lineRule="auto"/>
              <w:rPr>
                <w:sz w:val="24"/>
                <w:szCs w:val="24"/>
              </w:rPr>
            </w:pPr>
          </w:p>
          <w:p w14:paraId="1734F822" w14:textId="6F61ED16" w:rsidR="00CF225B" w:rsidRPr="004A1C60" w:rsidRDefault="00CF225B" w:rsidP="00832802">
            <w:pPr>
              <w:spacing w:line="360" w:lineRule="auto"/>
              <w:rPr>
                <w:sz w:val="24"/>
                <w:szCs w:val="24"/>
                <w:lang w:eastAsia="zh-CN"/>
              </w:rPr>
            </w:pPr>
            <w:r w:rsidRPr="004A1C60">
              <w:rPr>
                <w:sz w:val="24"/>
                <w:szCs w:val="24"/>
                <w:lang w:val="en-US"/>
              </w:rPr>
              <w:t>In your example, who is saying what &amp; to whom? Service user - Employee Customer – Employee Manager – Employee What are the dynamics of the relationship in your example? How is power exercised through forms of communication in your workplace example?</w:t>
            </w:r>
          </w:p>
        </w:tc>
      </w:tr>
      <w:tr w:rsidR="00FC1EF8" w:rsidRPr="004A1C60" w14:paraId="11044BDF" w14:textId="77777777" w:rsidTr="00FC1EF8">
        <w:trPr>
          <w:trHeight w:val="2440"/>
        </w:trPr>
        <w:tc>
          <w:tcPr>
            <w:tcW w:w="2406" w:type="dxa"/>
            <w:tcBorders>
              <w:top w:val="single" w:sz="4" w:space="0" w:color="auto"/>
              <w:left w:val="single" w:sz="4" w:space="0" w:color="auto"/>
              <w:bottom w:val="single" w:sz="4" w:space="0" w:color="auto"/>
              <w:right w:val="single" w:sz="4" w:space="0" w:color="auto"/>
            </w:tcBorders>
            <w:hideMark/>
          </w:tcPr>
          <w:p w14:paraId="70A20B9E" w14:textId="3AFD159A" w:rsidR="00FC1EF8" w:rsidRPr="004A1C60" w:rsidRDefault="00F575AB" w:rsidP="00832802">
            <w:pPr>
              <w:spacing w:line="360" w:lineRule="auto"/>
              <w:rPr>
                <w:b/>
                <w:sz w:val="24"/>
                <w:szCs w:val="24"/>
                <w:lang w:eastAsia="zh-CN"/>
              </w:rPr>
            </w:pPr>
            <w:r w:rsidRPr="004A1C60">
              <w:rPr>
                <w:b/>
                <w:sz w:val="24"/>
                <w:szCs w:val="24"/>
              </w:rPr>
              <w:t>House/Corporate</w:t>
            </w:r>
            <w:r w:rsidR="00FC1EF8" w:rsidRPr="004A1C60">
              <w:rPr>
                <w:b/>
                <w:sz w:val="24"/>
                <w:szCs w:val="24"/>
              </w:rPr>
              <w:t xml:space="preserve"> Styles </w:t>
            </w:r>
          </w:p>
          <w:p w14:paraId="76F428A9" w14:textId="38432DCB" w:rsidR="00FC1EF8" w:rsidRPr="004A1C60" w:rsidRDefault="00F575AB" w:rsidP="00832802">
            <w:pPr>
              <w:spacing w:line="360" w:lineRule="auto"/>
              <w:rPr>
                <w:sz w:val="24"/>
                <w:szCs w:val="24"/>
                <w:lang w:eastAsia="zh-CN"/>
              </w:rPr>
            </w:pPr>
            <w:r w:rsidRPr="004A1C60">
              <w:rPr>
                <w:sz w:val="24"/>
                <w:szCs w:val="24"/>
                <w:lang w:val="en-US"/>
              </w:rPr>
              <w:t>Do you wear a uniform as part of your role in your example? How are corporate logos or branding used in your example? Typeface Prompt Use of colour What does your example tell you about business custom and practice in your workplace?</w:t>
            </w:r>
            <w:r w:rsidR="00FC1EF8" w:rsidRPr="004A1C60">
              <w:rPr>
                <w:sz w:val="24"/>
                <w:szCs w:val="24"/>
              </w:rPr>
              <w:t xml:space="preserve"> </w:t>
            </w:r>
          </w:p>
        </w:tc>
        <w:tc>
          <w:tcPr>
            <w:tcW w:w="2410" w:type="dxa"/>
            <w:tcBorders>
              <w:top w:val="single" w:sz="4" w:space="0" w:color="auto"/>
              <w:left w:val="single" w:sz="4" w:space="0" w:color="auto"/>
              <w:bottom w:val="single" w:sz="4" w:space="0" w:color="auto"/>
              <w:right w:val="single" w:sz="4" w:space="0" w:color="auto"/>
            </w:tcBorders>
            <w:hideMark/>
          </w:tcPr>
          <w:p w14:paraId="0FC8DAA0" w14:textId="0A8FDBC4" w:rsidR="00FC1EF8" w:rsidRPr="004A1C60" w:rsidRDefault="002D76DD" w:rsidP="00832802">
            <w:pPr>
              <w:spacing w:line="360" w:lineRule="auto"/>
              <w:rPr>
                <w:b/>
                <w:sz w:val="24"/>
                <w:szCs w:val="24"/>
                <w:lang w:eastAsia="zh-CN"/>
              </w:rPr>
            </w:pPr>
            <w:r w:rsidRPr="004A1C60">
              <w:rPr>
                <w:b/>
                <w:sz w:val="24"/>
                <w:szCs w:val="24"/>
              </w:rPr>
              <w:t xml:space="preserve">Risks, </w:t>
            </w:r>
            <w:r w:rsidR="00FC1EF8" w:rsidRPr="004A1C60">
              <w:rPr>
                <w:b/>
                <w:sz w:val="24"/>
                <w:szCs w:val="24"/>
              </w:rPr>
              <w:t xml:space="preserve">Flexibility and constraints </w:t>
            </w:r>
          </w:p>
          <w:p w14:paraId="1BB7D638" w14:textId="3A1A8A9A" w:rsidR="00FC1EF8" w:rsidRPr="004A1C60" w:rsidRDefault="002D76DD" w:rsidP="00832802">
            <w:pPr>
              <w:spacing w:line="360" w:lineRule="auto"/>
              <w:rPr>
                <w:sz w:val="24"/>
                <w:szCs w:val="24"/>
              </w:rPr>
            </w:pPr>
            <w:r w:rsidRPr="004A1C60">
              <w:rPr>
                <w:sz w:val="24"/>
                <w:szCs w:val="24"/>
                <w:lang w:val="en-US"/>
              </w:rPr>
              <w:t xml:space="preserve">In terms of your example: Why here? Why now? Why like this? To what extent do communications in this example have to be done like this? Is this the only way this could have been done? Why – who decides? What are the opportunities for doing this differently? What is the risk </w:t>
            </w:r>
            <w:r w:rsidRPr="004A1C60">
              <w:rPr>
                <w:sz w:val="24"/>
                <w:szCs w:val="24"/>
                <w:lang w:val="en-US"/>
              </w:rPr>
              <w:lastRenderedPageBreak/>
              <w:t>involved for doing it differently?</w:t>
            </w:r>
          </w:p>
          <w:p w14:paraId="76A1E69A" w14:textId="77777777" w:rsidR="00FC1EF8" w:rsidRPr="004A1C60" w:rsidRDefault="00FC1EF8" w:rsidP="00832802">
            <w:pPr>
              <w:spacing w:line="360" w:lineRule="auto"/>
              <w:rPr>
                <w:sz w:val="24"/>
                <w:szCs w:val="24"/>
                <w:lang w:eastAsia="zh-CN"/>
              </w:rPr>
            </w:pPr>
            <w:r w:rsidRPr="004A1C60">
              <w:rPr>
                <w:sz w:val="24"/>
                <w:szCs w:val="24"/>
              </w:rPr>
              <w:t xml:space="preserve"> </w:t>
            </w:r>
          </w:p>
        </w:tc>
        <w:tc>
          <w:tcPr>
            <w:tcW w:w="2671" w:type="dxa"/>
            <w:tcBorders>
              <w:top w:val="single" w:sz="4" w:space="0" w:color="auto"/>
              <w:left w:val="single" w:sz="4" w:space="0" w:color="auto"/>
              <w:bottom w:val="single" w:sz="4" w:space="0" w:color="auto"/>
              <w:right w:val="single" w:sz="4" w:space="0" w:color="auto"/>
            </w:tcBorders>
            <w:hideMark/>
          </w:tcPr>
          <w:p w14:paraId="3C188DFE" w14:textId="77777777" w:rsidR="00FC1EF8" w:rsidRPr="004A1C60" w:rsidRDefault="00FC1EF8" w:rsidP="00832802">
            <w:pPr>
              <w:spacing w:line="360" w:lineRule="auto"/>
              <w:rPr>
                <w:b/>
                <w:sz w:val="24"/>
                <w:szCs w:val="24"/>
                <w:lang w:eastAsia="zh-CN"/>
              </w:rPr>
            </w:pPr>
            <w:r w:rsidRPr="004A1C60">
              <w:rPr>
                <w:b/>
                <w:sz w:val="24"/>
                <w:szCs w:val="24"/>
              </w:rPr>
              <w:lastRenderedPageBreak/>
              <w:t>Workplace Roles</w:t>
            </w:r>
          </w:p>
          <w:p w14:paraId="1404A395" w14:textId="2E7D9E0E" w:rsidR="00FC1EF8" w:rsidRPr="004A1C60" w:rsidRDefault="00F575AB" w:rsidP="00832802">
            <w:pPr>
              <w:spacing w:line="360" w:lineRule="auto"/>
              <w:rPr>
                <w:sz w:val="24"/>
                <w:szCs w:val="24"/>
                <w:lang w:eastAsia="zh-CN"/>
              </w:rPr>
            </w:pPr>
            <w:r w:rsidRPr="004A1C60">
              <w:rPr>
                <w:sz w:val="24"/>
                <w:szCs w:val="24"/>
                <w:lang w:val="en-US"/>
              </w:rPr>
              <w:t>Who has originated your example and in what role does this happen? What values and priorities do they bring to your example? Do your values and priorities comply or contrast with those priorities?</w:t>
            </w:r>
          </w:p>
        </w:tc>
      </w:tr>
      <w:tr w:rsidR="00FC1EF8" w:rsidRPr="004A1C60" w14:paraId="4D27FF47" w14:textId="77777777" w:rsidTr="00FC1EF8">
        <w:trPr>
          <w:trHeight w:val="1756"/>
        </w:trPr>
        <w:tc>
          <w:tcPr>
            <w:tcW w:w="2406" w:type="dxa"/>
            <w:tcBorders>
              <w:top w:val="single" w:sz="4" w:space="0" w:color="auto"/>
              <w:left w:val="single" w:sz="4" w:space="0" w:color="auto"/>
              <w:bottom w:val="single" w:sz="4" w:space="0" w:color="auto"/>
              <w:right w:val="single" w:sz="4" w:space="0" w:color="auto"/>
            </w:tcBorders>
            <w:hideMark/>
          </w:tcPr>
          <w:p w14:paraId="6CDF5B16" w14:textId="77777777" w:rsidR="00FC1EF8" w:rsidRPr="004A1C60" w:rsidRDefault="00FC1EF8" w:rsidP="00832802">
            <w:pPr>
              <w:spacing w:line="360" w:lineRule="auto"/>
              <w:rPr>
                <w:b/>
                <w:sz w:val="24"/>
                <w:szCs w:val="24"/>
                <w:lang w:eastAsia="zh-CN"/>
              </w:rPr>
            </w:pPr>
            <w:r w:rsidRPr="004A1C60">
              <w:rPr>
                <w:b/>
                <w:sz w:val="24"/>
                <w:szCs w:val="24"/>
              </w:rPr>
              <w:lastRenderedPageBreak/>
              <w:t>Means and modes of communication</w:t>
            </w:r>
          </w:p>
          <w:p w14:paraId="7816704B" w14:textId="6585F9A7" w:rsidR="00FC1EF8" w:rsidRPr="004A1C60" w:rsidRDefault="002546B4" w:rsidP="00832802">
            <w:pPr>
              <w:spacing w:line="360" w:lineRule="auto"/>
              <w:rPr>
                <w:sz w:val="24"/>
                <w:szCs w:val="24"/>
                <w:lang w:eastAsia="zh-CN"/>
              </w:rPr>
            </w:pPr>
            <w:r w:rsidRPr="004A1C60">
              <w:rPr>
                <w:sz w:val="24"/>
                <w:szCs w:val="24"/>
                <w:lang w:val="en-US"/>
              </w:rPr>
              <w:t>What type of communication is your example illustrating? Is the communication multi-modal: Paper? Digital? Is it to be read in linear or non-linear way? Is the communication face-to-face? Who is the communication by?</w:t>
            </w:r>
          </w:p>
        </w:tc>
        <w:tc>
          <w:tcPr>
            <w:tcW w:w="2410" w:type="dxa"/>
            <w:tcBorders>
              <w:top w:val="single" w:sz="4" w:space="0" w:color="auto"/>
              <w:left w:val="single" w:sz="4" w:space="0" w:color="auto"/>
              <w:bottom w:val="single" w:sz="4" w:space="0" w:color="auto"/>
              <w:right w:val="single" w:sz="4" w:space="0" w:color="auto"/>
            </w:tcBorders>
            <w:hideMark/>
          </w:tcPr>
          <w:p w14:paraId="0FDED4BA" w14:textId="77777777" w:rsidR="00FC1EF8" w:rsidRPr="004A1C60" w:rsidRDefault="00FC1EF8" w:rsidP="00832802">
            <w:pPr>
              <w:spacing w:line="360" w:lineRule="auto"/>
              <w:rPr>
                <w:b/>
                <w:sz w:val="24"/>
                <w:szCs w:val="24"/>
                <w:lang w:eastAsia="zh-CN"/>
              </w:rPr>
            </w:pPr>
            <w:r w:rsidRPr="004A1C60">
              <w:rPr>
                <w:b/>
                <w:sz w:val="24"/>
                <w:szCs w:val="24"/>
              </w:rPr>
              <w:t xml:space="preserve">Professional practices </w:t>
            </w:r>
          </w:p>
          <w:p w14:paraId="16B9BDD4" w14:textId="3BE1BC76" w:rsidR="00FC1EF8" w:rsidRPr="004A1C60" w:rsidRDefault="002546B4" w:rsidP="00832802">
            <w:pPr>
              <w:spacing w:line="360" w:lineRule="auto"/>
              <w:rPr>
                <w:sz w:val="24"/>
                <w:szCs w:val="24"/>
                <w:lang w:eastAsia="zh-CN"/>
              </w:rPr>
            </w:pPr>
            <w:r w:rsidRPr="004A1C60">
              <w:rPr>
                <w:sz w:val="24"/>
                <w:szCs w:val="24"/>
                <w:lang w:val="en-US"/>
              </w:rPr>
              <w:t>What does your example tell you about professional practices in you workplace? What aspect of professional practice is your example a part of? What is your example trying to achieve? Is there a protective element underlying the professional practice in question?</w:t>
            </w:r>
            <w:r w:rsidR="00FC1EF8" w:rsidRPr="004A1C60">
              <w:rPr>
                <w:sz w:val="24"/>
                <w:szCs w:val="24"/>
              </w:rPr>
              <w:t xml:space="preserve"> </w:t>
            </w:r>
          </w:p>
        </w:tc>
        <w:tc>
          <w:tcPr>
            <w:tcW w:w="2671" w:type="dxa"/>
            <w:tcBorders>
              <w:top w:val="single" w:sz="4" w:space="0" w:color="auto"/>
              <w:left w:val="single" w:sz="4" w:space="0" w:color="auto"/>
              <w:bottom w:val="single" w:sz="4" w:space="0" w:color="auto"/>
              <w:right w:val="single" w:sz="4" w:space="0" w:color="auto"/>
            </w:tcBorders>
            <w:hideMark/>
          </w:tcPr>
          <w:p w14:paraId="6EB41F04" w14:textId="77777777" w:rsidR="00FC1EF8" w:rsidRPr="004A1C60" w:rsidRDefault="00FC1EF8" w:rsidP="00832802">
            <w:pPr>
              <w:spacing w:line="360" w:lineRule="auto"/>
              <w:rPr>
                <w:b/>
                <w:sz w:val="24"/>
                <w:szCs w:val="24"/>
                <w:lang w:eastAsia="zh-CN"/>
              </w:rPr>
            </w:pPr>
            <w:r w:rsidRPr="004A1C60">
              <w:rPr>
                <w:b/>
                <w:sz w:val="24"/>
                <w:szCs w:val="24"/>
              </w:rPr>
              <w:t>Work-based social relationships</w:t>
            </w:r>
          </w:p>
          <w:p w14:paraId="4FE2DC3D" w14:textId="35ACC7BC" w:rsidR="00FC1EF8" w:rsidRPr="004A1C60" w:rsidRDefault="002546B4" w:rsidP="00832802">
            <w:pPr>
              <w:spacing w:line="360" w:lineRule="auto"/>
              <w:rPr>
                <w:sz w:val="24"/>
                <w:szCs w:val="24"/>
                <w:lang w:eastAsia="zh-CN"/>
              </w:rPr>
            </w:pPr>
            <w:r w:rsidRPr="004A1C60">
              <w:rPr>
                <w:sz w:val="24"/>
                <w:szCs w:val="24"/>
                <w:lang w:val="en-US"/>
              </w:rPr>
              <w:t>What does your example suggest to you about social relationships in your workplace? Interaction? Collaboration? Power relations?</w:t>
            </w:r>
          </w:p>
        </w:tc>
      </w:tr>
    </w:tbl>
    <w:p w14:paraId="12792EF2" w14:textId="77777777" w:rsidR="00FC1EF8" w:rsidRPr="004A1C60" w:rsidRDefault="00FC1EF8" w:rsidP="00832802">
      <w:pPr>
        <w:spacing w:line="360" w:lineRule="auto"/>
        <w:rPr>
          <w:rFonts w:ascii="Times New Roman" w:hAnsi="Times New Roman" w:cs="Times New Roman"/>
          <w:sz w:val="24"/>
          <w:szCs w:val="24"/>
        </w:rPr>
      </w:pPr>
    </w:p>
    <w:p w14:paraId="4E0ABFD2" w14:textId="77777777" w:rsidR="00FC1EF8" w:rsidRPr="004A1C60" w:rsidRDefault="00FC1EF8" w:rsidP="00832802">
      <w:pPr>
        <w:spacing w:line="360" w:lineRule="auto"/>
        <w:rPr>
          <w:rFonts w:ascii="Times New Roman" w:hAnsi="Times New Roman" w:cs="Times New Roman"/>
          <w:sz w:val="24"/>
          <w:szCs w:val="24"/>
        </w:rPr>
      </w:pPr>
    </w:p>
    <w:p w14:paraId="0D6DC730" w14:textId="77777777" w:rsidR="00FC1EF8" w:rsidRPr="004A1C60" w:rsidRDefault="00FC1EF8" w:rsidP="00832802">
      <w:pPr>
        <w:spacing w:line="360" w:lineRule="auto"/>
        <w:rPr>
          <w:rFonts w:ascii="Times New Roman" w:hAnsi="Times New Roman" w:cs="Times New Roman"/>
          <w:sz w:val="24"/>
          <w:szCs w:val="24"/>
        </w:rPr>
      </w:pPr>
    </w:p>
    <w:p w14:paraId="477F457E" w14:textId="77777777" w:rsidR="00FC1EF8" w:rsidRPr="004A1C60" w:rsidRDefault="00FC1EF8" w:rsidP="00832802">
      <w:pPr>
        <w:spacing w:line="360" w:lineRule="auto"/>
        <w:rPr>
          <w:rFonts w:ascii="Times New Roman" w:hAnsi="Times New Roman" w:cs="Times New Roman"/>
          <w:sz w:val="24"/>
          <w:szCs w:val="24"/>
        </w:rPr>
      </w:pPr>
    </w:p>
    <w:p w14:paraId="7899D06E" w14:textId="3C42CB0B" w:rsidR="00FC1EF8" w:rsidRPr="004A1C60" w:rsidRDefault="00D6499D" w:rsidP="00832802">
      <w:pPr>
        <w:spacing w:line="360" w:lineRule="auto"/>
        <w:rPr>
          <w:rFonts w:ascii="Times New Roman" w:hAnsi="Times New Roman" w:cs="Times New Roman"/>
          <w:sz w:val="24"/>
          <w:szCs w:val="24"/>
        </w:rPr>
      </w:pPr>
      <w:r w:rsidRPr="004A1C60">
        <w:rPr>
          <w:rFonts w:ascii="Times New Roman" w:hAnsi="Times New Roman" w:cs="Times New Roman"/>
          <w:sz w:val="24"/>
          <w:szCs w:val="24"/>
        </w:rPr>
        <w:t xml:space="preserve">Figure 3.  </w:t>
      </w:r>
      <w:r w:rsidR="00FC1EF8" w:rsidRPr="004A1C60">
        <w:rPr>
          <w:rFonts w:ascii="Times New Roman" w:hAnsi="Times New Roman" w:cs="Times New Roman"/>
          <w:sz w:val="24"/>
          <w:szCs w:val="24"/>
        </w:rPr>
        <w:t xml:space="preserve">Literacies </w:t>
      </w:r>
      <w:r w:rsidRPr="004A1C60">
        <w:rPr>
          <w:rFonts w:ascii="Times New Roman" w:hAnsi="Times New Roman" w:cs="Times New Roman"/>
          <w:sz w:val="24"/>
          <w:szCs w:val="24"/>
        </w:rPr>
        <w:t xml:space="preserve">for Employability (L4E) </w:t>
      </w:r>
      <w:r w:rsidR="00FC1EF8" w:rsidRPr="004A1C60">
        <w:rPr>
          <w:rFonts w:ascii="Times New Roman" w:hAnsi="Times New Roman" w:cs="Times New Roman"/>
          <w:sz w:val="24"/>
          <w:szCs w:val="24"/>
        </w:rPr>
        <w:t>framework.</w:t>
      </w:r>
    </w:p>
    <w:p w14:paraId="5EE962D8" w14:textId="2486FA3C" w:rsidR="005B7330" w:rsidRPr="004A1C60" w:rsidRDefault="00EE6174" w:rsidP="00832802">
      <w:pPr>
        <w:spacing w:before="40" w:after="40" w:line="360" w:lineRule="auto"/>
        <w:rPr>
          <w:rFonts w:ascii="Times New Roman" w:hAnsi="Times New Roman" w:cs="Times New Roman"/>
          <w:sz w:val="24"/>
          <w:szCs w:val="24"/>
        </w:rPr>
      </w:pPr>
      <w:r w:rsidRPr="004A1C60">
        <w:rPr>
          <w:rFonts w:ascii="Times New Roman" w:hAnsi="Times New Roman" w:cs="Times New Roman"/>
          <w:sz w:val="24"/>
          <w:szCs w:val="24"/>
        </w:rPr>
        <w:t xml:space="preserve">In </w:t>
      </w:r>
      <w:r w:rsidR="00F90FC7" w:rsidRPr="004A1C60">
        <w:rPr>
          <w:rFonts w:ascii="Times New Roman" w:hAnsi="Times New Roman" w:cs="Times New Roman"/>
          <w:sz w:val="24"/>
          <w:szCs w:val="24"/>
        </w:rPr>
        <w:t>the piloting phase of L4E</w:t>
      </w:r>
      <w:r w:rsidR="00D03EC5" w:rsidRPr="004A1C60">
        <w:rPr>
          <w:rFonts w:ascii="Times New Roman" w:hAnsi="Times New Roman" w:cs="Times New Roman"/>
          <w:sz w:val="24"/>
          <w:szCs w:val="24"/>
        </w:rPr>
        <w:t xml:space="preserve"> </w:t>
      </w:r>
      <w:r w:rsidRPr="004A1C60">
        <w:rPr>
          <w:rFonts w:ascii="Times New Roman" w:hAnsi="Times New Roman" w:cs="Times New Roman"/>
          <w:sz w:val="24"/>
          <w:szCs w:val="24"/>
        </w:rPr>
        <w:t xml:space="preserve">nine </w:t>
      </w:r>
      <w:r w:rsidR="00D6499D" w:rsidRPr="004A1C60">
        <w:rPr>
          <w:rFonts w:ascii="Times New Roman" w:hAnsi="Times New Roman" w:cs="Times New Roman"/>
          <w:sz w:val="24"/>
          <w:szCs w:val="24"/>
        </w:rPr>
        <w:t xml:space="preserve">funded </w:t>
      </w:r>
      <w:r w:rsidRPr="004A1C60">
        <w:rPr>
          <w:rFonts w:ascii="Times New Roman" w:hAnsi="Times New Roman" w:cs="Times New Roman"/>
          <w:sz w:val="24"/>
          <w:szCs w:val="24"/>
        </w:rPr>
        <w:t>student researchers undertaking either work placements integral to their programmes or study</w:t>
      </w:r>
      <w:r w:rsidR="00B644B7" w:rsidRPr="004A1C60">
        <w:rPr>
          <w:rFonts w:ascii="Times New Roman" w:hAnsi="Times New Roman" w:cs="Times New Roman"/>
          <w:sz w:val="24"/>
          <w:szCs w:val="24"/>
        </w:rPr>
        <w:t>,</w:t>
      </w:r>
      <w:r w:rsidRPr="004A1C60">
        <w:rPr>
          <w:rFonts w:ascii="Times New Roman" w:hAnsi="Times New Roman" w:cs="Times New Roman"/>
          <w:sz w:val="24"/>
          <w:szCs w:val="24"/>
        </w:rPr>
        <w:t xml:space="preserve"> or paid work alongside their study made use of the framework to collect empirical material – pictures, reflections and responses to the prompts. </w:t>
      </w:r>
      <w:r w:rsidR="00A00F8E" w:rsidRPr="004A1C60">
        <w:rPr>
          <w:rFonts w:ascii="Times New Roman" w:hAnsi="Times New Roman" w:cs="Times New Roman"/>
          <w:sz w:val="24"/>
          <w:szCs w:val="24"/>
        </w:rPr>
        <w:t xml:space="preserve">The student researchers were recruited </w:t>
      </w:r>
      <w:r w:rsidR="00350789" w:rsidRPr="004A1C60">
        <w:rPr>
          <w:rFonts w:ascii="Times New Roman" w:hAnsi="Times New Roman" w:cs="Times New Roman"/>
          <w:sz w:val="24"/>
          <w:szCs w:val="24"/>
        </w:rPr>
        <w:t xml:space="preserve">by open advert via the Universities employment agency ‘Student Opportunity.’ Applicants were selected based on their enthusiasm </w:t>
      </w:r>
      <w:r w:rsidR="005B7330" w:rsidRPr="004A1C60">
        <w:rPr>
          <w:rFonts w:ascii="Times New Roman" w:hAnsi="Times New Roman" w:cs="Times New Roman"/>
          <w:sz w:val="24"/>
          <w:szCs w:val="24"/>
        </w:rPr>
        <w:t>for</w:t>
      </w:r>
      <w:r w:rsidR="00350789" w:rsidRPr="004A1C60">
        <w:rPr>
          <w:rFonts w:ascii="Times New Roman" w:hAnsi="Times New Roman" w:cs="Times New Roman"/>
          <w:sz w:val="24"/>
          <w:szCs w:val="24"/>
        </w:rPr>
        <w:t xml:space="preserve"> the project, their access to a workplace or placement during the material collection phase and their</w:t>
      </w:r>
      <w:r w:rsidR="005B7330" w:rsidRPr="004A1C60">
        <w:rPr>
          <w:rFonts w:ascii="Times New Roman" w:hAnsi="Times New Roman" w:cs="Times New Roman"/>
          <w:sz w:val="24"/>
          <w:szCs w:val="24"/>
        </w:rPr>
        <w:t xml:space="preserve"> availability in terms of time commitments. As such researchers were </w:t>
      </w:r>
      <w:r w:rsidR="00A00F8E" w:rsidRPr="004A1C60">
        <w:rPr>
          <w:rFonts w:ascii="Times New Roman" w:hAnsi="Times New Roman" w:cs="Times New Roman"/>
          <w:sz w:val="24"/>
          <w:szCs w:val="24"/>
        </w:rPr>
        <w:t>drawn from disciplines across the University</w:t>
      </w:r>
      <w:r w:rsidR="005B7330" w:rsidRPr="004A1C60">
        <w:rPr>
          <w:rFonts w:ascii="Times New Roman" w:hAnsi="Times New Roman" w:cs="Times New Roman"/>
          <w:sz w:val="24"/>
          <w:szCs w:val="24"/>
        </w:rPr>
        <w:t>’s Schools and Departments</w:t>
      </w:r>
      <w:r w:rsidR="00A00F8E" w:rsidRPr="004A1C60">
        <w:rPr>
          <w:rFonts w:ascii="Times New Roman" w:hAnsi="Times New Roman" w:cs="Times New Roman"/>
          <w:sz w:val="24"/>
          <w:szCs w:val="24"/>
        </w:rPr>
        <w:t xml:space="preserve"> including, Post-compulsory Education, Law, </w:t>
      </w:r>
      <w:r w:rsidR="005B7330" w:rsidRPr="004A1C60">
        <w:rPr>
          <w:rFonts w:ascii="Times New Roman" w:hAnsi="Times New Roman" w:cs="Times New Roman"/>
          <w:sz w:val="24"/>
          <w:szCs w:val="24"/>
        </w:rPr>
        <w:t xml:space="preserve">Sociology and </w:t>
      </w:r>
      <w:r w:rsidR="00A00F8E" w:rsidRPr="004A1C60">
        <w:rPr>
          <w:rFonts w:ascii="Times New Roman" w:hAnsi="Times New Roman" w:cs="Times New Roman"/>
          <w:sz w:val="24"/>
          <w:szCs w:val="24"/>
        </w:rPr>
        <w:t>Early Childhood Studies</w:t>
      </w:r>
      <w:r w:rsidR="003B26C5" w:rsidRPr="004A1C60">
        <w:rPr>
          <w:rFonts w:ascii="Times New Roman" w:hAnsi="Times New Roman" w:cs="Times New Roman"/>
          <w:sz w:val="24"/>
          <w:szCs w:val="24"/>
        </w:rPr>
        <w:t xml:space="preserve"> and were at </w:t>
      </w:r>
      <w:r w:rsidR="003B26C5" w:rsidRPr="004A1C60">
        <w:rPr>
          <w:rFonts w:ascii="Times New Roman" w:hAnsi="Times New Roman" w:cs="Times New Roman"/>
          <w:sz w:val="24"/>
          <w:szCs w:val="24"/>
        </w:rPr>
        <w:lastRenderedPageBreak/>
        <w:t>different stages of their degree study</w:t>
      </w:r>
      <w:r w:rsidR="005B7330" w:rsidRPr="004A1C60">
        <w:rPr>
          <w:rFonts w:ascii="Times New Roman" w:hAnsi="Times New Roman" w:cs="Times New Roman"/>
          <w:sz w:val="24"/>
          <w:szCs w:val="24"/>
        </w:rPr>
        <w:t>. This mix of disciplines provided a variety of contexts through which to explore the play of li</w:t>
      </w:r>
      <w:r w:rsidR="003B26C5" w:rsidRPr="004A1C60">
        <w:rPr>
          <w:rFonts w:ascii="Times New Roman" w:hAnsi="Times New Roman" w:cs="Times New Roman"/>
          <w:sz w:val="24"/>
          <w:szCs w:val="24"/>
        </w:rPr>
        <w:t>teracies in workplace settings and opportunities to compare and contrast practices and encounters.</w:t>
      </w:r>
    </w:p>
    <w:p w14:paraId="4CD1BFF5" w14:textId="77777777" w:rsidR="001B2EFD" w:rsidRPr="004A1C60" w:rsidRDefault="001B2EFD" w:rsidP="00832802">
      <w:pPr>
        <w:spacing w:before="40" w:after="40" w:line="360" w:lineRule="auto"/>
        <w:rPr>
          <w:rFonts w:ascii="Times New Roman" w:hAnsi="Times New Roman" w:cs="Times New Roman"/>
          <w:sz w:val="24"/>
          <w:szCs w:val="24"/>
        </w:rPr>
      </w:pPr>
    </w:p>
    <w:p w14:paraId="747067B1" w14:textId="7469449D" w:rsidR="0025443F" w:rsidRPr="004A1C60" w:rsidRDefault="005B7330" w:rsidP="00832802">
      <w:pPr>
        <w:spacing w:before="40" w:after="40" w:line="360" w:lineRule="auto"/>
        <w:rPr>
          <w:rFonts w:ascii="Times New Roman" w:hAnsi="Times New Roman" w:cs="Times New Roman"/>
          <w:sz w:val="24"/>
          <w:szCs w:val="24"/>
        </w:rPr>
      </w:pPr>
      <w:r w:rsidRPr="004A1C60">
        <w:rPr>
          <w:rFonts w:ascii="Times New Roman" w:hAnsi="Times New Roman" w:cs="Times New Roman"/>
          <w:sz w:val="24"/>
          <w:szCs w:val="24"/>
        </w:rPr>
        <w:t>Researchers</w:t>
      </w:r>
      <w:r w:rsidR="0025443F" w:rsidRPr="004A1C60">
        <w:rPr>
          <w:rFonts w:ascii="Times New Roman" w:hAnsi="Times New Roman" w:cs="Times New Roman"/>
          <w:sz w:val="24"/>
          <w:szCs w:val="24"/>
        </w:rPr>
        <w:t xml:space="preserve"> were given little guidance on ‘what’ to collect, invited alternatively to capture ‘hot spots’ in their experience of work-place literacy, that is to say moments of recognition, “movemen</w:t>
      </w:r>
      <w:r w:rsidR="0052434F" w:rsidRPr="004A1C60">
        <w:rPr>
          <w:rFonts w:ascii="Times New Roman" w:hAnsi="Times New Roman" w:cs="Times New Roman"/>
          <w:sz w:val="24"/>
          <w:szCs w:val="24"/>
        </w:rPr>
        <w:t>t, singularity, emergence” (Maclure, 2013:</w:t>
      </w:r>
      <w:r w:rsidR="0025443F" w:rsidRPr="004A1C60">
        <w:rPr>
          <w:rFonts w:ascii="Times New Roman" w:hAnsi="Times New Roman" w:cs="Times New Roman"/>
          <w:sz w:val="24"/>
          <w:szCs w:val="24"/>
        </w:rPr>
        <w:t xml:space="preserve"> 171)</w:t>
      </w:r>
      <w:r w:rsidR="003574BF" w:rsidRPr="004A1C60">
        <w:rPr>
          <w:rFonts w:ascii="Times New Roman" w:hAnsi="Times New Roman" w:cs="Times New Roman"/>
          <w:sz w:val="24"/>
          <w:szCs w:val="24"/>
        </w:rPr>
        <w:t>,</w:t>
      </w:r>
      <w:r w:rsidR="0025443F" w:rsidRPr="004A1C60">
        <w:rPr>
          <w:rFonts w:ascii="Times New Roman" w:hAnsi="Times New Roman" w:cs="Times New Roman"/>
          <w:sz w:val="24"/>
          <w:szCs w:val="24"/>
        </w:rPr>
        <w:t xml:space="preserve"> “gut feelings [that] point to the existence of embodied connections with other people, things and thoughts.” (ibid: 172).</w:t>
      </w:r>
    </w:p>
    <w:p w14:paraId="270EC94B" w14:textId="3BFED4E8" w:rsidR="00EE6174" w:rsidRPr="004A1C60" w:rsidRDefault="00EE6174" w:rsidP="00832802">
      <w:pPr>
        <w:spacing w:before="40" w:after="40" w:line="360" w:lineRule="auto"/>
        <w:rPr>
          <w:rFonts w:ascii="Times New Roman" w:hAnsi="Times New Roman" w:cs="Times New Roman"/>
          <w:sz w:val="24"/>
          <w:szCs w:val="24"/>
        </w:rPr>
      </w:pPr>
      <w:r w:rsidRPr="004A1C60">
        <w:rPr>
          <w:rFonts w:ascii="Times New Roman" w:hAnsi="Times New Roman" w:cs="Times New Roman"/>
          <w:sz w:val="24"/>
          <w:szCs w:val="24"/>
        </w:rPr>
        <w:t xml:space="preserve">This material was </w:t>
      </w:r>
      <w:r w:rsidR="00D03EC5" w:rsidRPr="004A1C60">
        <w:rPr>
          <w:rFonts w:ascii="Times New Roman" w:hAnsi="Times New Roman" w:cs="Times New Roman"/>
          <w:sz w:val="24"/>
          <w:szCs w:val="24"/>
        </w:rPr>
        <w:t xml:space="preserve">then </w:t>
      </w:r>
      <w:r w:rsidRPr="004A1C60">
        <w:rPr>
          <w:rFonts w:ascii="Times New Roman" w:hAnsi="Times New Roman" w:cs="Times New Roman"/>
          <w:sz w:val="24"/>
          <w:szCs w:val="24"/>
        </w:rPr>
        <w:t>shared and discussed in a whole research group conversation (student researchers and university researchers) at which the framework was revised and refined. Student researchers were undertak</w:t>
      </w:r>
      <w:r w:rsidR="00954463" w:rsidRPr="004A1C60">
        <w:rPr>
          <w:rFonts w:ascii="Times New Roman" w:hAnsi="Times New Roman" w:cs="Times New Roman"/>
          <w:sz w:val="24"/>
          <w:szCs w:val="24"/>
        </w:rPr>
        <w:t xml:space="preserve">ing programmes of study in Law, </w:t>
      </w:r>
      <w:r w:rsidRPr="004A1C60">
        <w:rPr>
          <w:rFonts w:ascii="Times New Roman" w:hAnsi="Times New Roman" w:cs="Times New Roman"/>
          <w:sz w:val="24"/>
          <w:szCs w:val="24"/>
        </w:rPr>
        <w:t xml:space="preserve">Further Education </w:t>
      </w:r>
      <w:r w:rsidR="00954463" w:rsidRPr="004A1C60">
        <w:rPr>
          <w:rFonts w:ascii="Times New Roman" w:hAnsi="Times New Roman" w:cs="Times New Roman"/>
          <w:sz w:val="24"/>
          <w:szCs w:val="24"/>
        </w:rPr>
        <w:t xml:space="preserve">teacher training, Sociology and </w:t>
      </w:r>
      <w:r w:rsidRPr="004A1C60">
        <w:rPr>
          <w:rFonts w:ascii="Times New Roman" w:hAnsi="Times New Roman" w:cs="Times New Roman"/>
          <w:sz w:val="24"/>
          <w:szCs w:val="24"/>
        </w:rPr>
        <w:t xml:space="preserve">Early Childhood Studies and collected and responded to empirical material generated in </w:t>
      </w:r>
      <w:r w:rsidR="00102B61" w:rsidRPr="004A1C60">
        <w:rPr>
          <w:rFonts w:ascii="Times New Roman" w:hAnsi="Times New Roman" w:cs="Times New Roman"/>
          <w:sz w:val="24"/>
          <w:szCs w:val="24"/>
        </w:rPr>
        <w:t xml:space="preserve">a </w:t>
      </w:r>
      <w:r w:rsidRPr="004A1C60">
        <w:rPr>
          <w:rFonts w:ascii="Times New Roman" w:hAnsi="Times New Roman" w:cs="Times New Roman"/>
          <w:sz w:val="24"/>
          <w:szCs w:val="24"/>
        </w:rPr>
        <w:t>range of conte</w:t>
      </w:r>
      <w:r w:rsidR="00102B61" w:rsidRPr="004A1C60">
        <w:rPr>
          <w:rFonts w:ascii="Times New Roman" w:hAnsi="Times New Roman" w:cs="Times New Roman"/>
          <w:sz w:val="24"/>
          <w:szCs w:val="24"/>
        </w:rPr>
        <w:t xml:space="preserve">xts including </w:t>
      </w:r>
      <w:r w:rsidRPr="004A1C60">
        <w:rPr>
          <w:rFonts w:ascii="Times New Roman" w:hAnsi="Times New Roman" w:cs="Times New Roman"/>
          <w:sz w:val="24"/>
          <w:szCs w:val="24"/>
        </w:rPr>
        <w:t>the Citizens Advice Bureau</w:t>
      </w:r>
      <w:r w:rsidRPr="004A1C60">
        <w:rPr>
          <w:rStyle w:val="FootnoteReference"/>
          <w:rFonts w:ascii="Times New Roman" w:hAnsi="Times New Roman" w:cs="Times New Roman"/>
          <w:sz w:val="24"/>
          <w:szCs w:val="24"/>
        </w:rPr>
        <w:footnoteReference w:id="2"/>
      </w:r>
      <w:r w:rsidRPr="004A1C60">
        <w:rPr>
          <w:rFonts w:ascii="Times New Roman" w:hAnsi="Times New Roman" w:cs="Times New Roman"/>
          <w:sz w:val="24"/>
          <w:szCs w:val="24"/>
        </w:rPr>
        <w:t>, a nursery school, a further education college, a rehabilitation centre for people recovering fro</w:t>
      </w:r>
      <w:r w:rsidR="004C7F9D" w:rsidRPr="004A1C60">
        <w:rPr>
          <w:rFonts w:ascii="Times New Roman" w:hAnsi="Times New Roman" w:cs="Times New Roman"/>
          <w:sz w:val="24"/>
          <w:szCs w:val="24"/>
        </w:rPr>
        <w:t xml:space="preserve">m drug and alcohol addiction, </w:t>
      </w:r>
      <w:r w:rsidRPr="004A1C60">
        <w:rPr>
          <w:rFonts w:ascii="Times New Roman" w:hAnsi="Times New Roman" w:cs="Times New Roman"/>
          <w:sz w:val="24"/>
          <w:szCs w:val="24"/>
        </w:rPr>
        <w:t>clothing retail outlet</w:t>
      </w:r>
      <w:r w:rsidR="004C7F9D" w:rsidRPr="004A1C60">
        <w:rPr>
          <w:rFonts w:ascii="Times New Roman" w:hAnsi="Times New Roman" w:cs="Times New Roman"/>
          <w:sz w:val="24"/>
          <w:szCs w:val="24"/>
        </w:rPr>
        <w:t>s</w:t>
      </w:r>
      <w:r w:rsidRPr="004A1C60">
        <w:rPr>
          <w:rFonts w:ascii="Times New Roman" w:hAnsi="Times New Roman" w:cs="Times New Roman"/>
          <w:sz w:val="24"/>
          <w:szCs w:val="24"/>
        </w:rPr>
        <w:t xml:space="preserve"> and a </w:t>
      </w:r>
      <w:r w:rsidR="004C7F9D" w:rsidRPr="004A1C60">
        <w:rPr>
          <w:rFonts w:ascii="Times New Roman" w:hAnsi="Times New Roman" w:cs="Times New Roman"/>
          <w:sz w:val="24"/>
          <w:szCs w:val="24"/>
        </w:rPr>
        <w:t>nightclub/</w:t>
      </w:r>
      <w:r w:rsidRPr="004A1C60">
        <w:rPr>
          <w:rFonts w:ascii="Times New Roman" w:hAnsi="Times New Roman" w:cs="Times New Roman"/>
          <w:sz w:val="24"/>
          <w:szCs w:val="24"/>
        </w:rPr>
        <w:t xml:space="preserve">bar. It is our conversations at this stage of the project that </w:t>
      </w:r>
      <w:r w:rsidR="00564279" w:rsidRPr="004A1C60">
        <w:rPr>
          <w:rFonts w:ascii="Times New Roman" w:hAnsi="Times New Roman" w:cs="Times New Roman"/>
          <w:sz w:val="24"/>
          <w:szCs w:val="24"/>
        </w:rPr>
        <w:t>we discuss in</w:t>
      </w:r>
      <w:r w:rsidR="00EE21E1" w:rsidRPr="004A1C60">
        <w:rPr>
          <w:rFonts w:ascii="Times New Roman" w:hAnsi="Times New Roman" w:cs="Times New Roman"/>
          <w:sz w:val="24"/>
          <w:szCs w:val="24"/>
        </w:rPr>
        <w:t xml:space="preserve"> the next section of the paper to explore the effects of working with the L4E framework.</w:t>
      </w:r>
    </w:p>
    <w:p w14:paraId="608C2760" w14:textId="77777777" w:rsidR="00F24A6C" w:rsidRPr="004A1C60" w:rsidRDefault="00F24A6C" w:rsidP="00832802">
      <w:pPr>
        <w:pStyle w:val="BodyText"/>
        <w:rPr>
          <w:rFonts w:ascii="Times New Roman" w:hAnsi="Times New Roman"/>
          <w:i w:val="0"/>
          <w:szCs w:val="24"/>
        </w:rPr>
      </w:pPr>
    </w:p>
    <w:p w14:paraId="33B7112E" w14:textId="385C0E94" w:rsidR="001017C2" w:rsidRPr="004A1C60" w:rsidRDefault="001017C2" w:rsidP="00832802">
      <w:pPr>
        <w:pStyle w:val="BodyText"/>
        <w:rPr>
          <w:rFonts w:ascii="Times New Roman" w:hAnsi="Times New Roman"/>
          <w:b/>
          <w:i w:val="0"/>
          <w:szCs w:val="24"/>
        </w:rPr>
      </w:pPr>
      <w:r w:rsidRPr="004A1C60">
        <w:rPr>
          <w:rFonts w:ascii="Times New Roman" w:hAnsi="Times New Roman"/>
          <w:b/>
          <w:i w:val="0"/>
          <w:szCs w:val="24"/>
        </w:rPr>
        <w:t>Figured worlds –</w:t>
      </w:r>
      <w:r w:rsidR="00EE21E1" w:rsidRPr="004A1C60">
        <w:rPr>
          <w:rFonts w:ascii="Times New Roman" w:hAnsi="Times New Roman"/>
          <w:b/>
          <w:i w:val="0"/>
          <w:szCs w:val="24"/>
        </w:rPr>
        <w:t xml:space="preserve"> towards a critical</w:t>
      </w:r>
      <w:r w:rsidR="00193595" w:rsidRPr="004A1C60">
        <w:rPr>
          <w:rFonts w:ascii="Times New Roman" w:hAnsi="Times New Roman"/>
          <w:b/>
          <w:i w:val="0"/>
          <w:szCs w:val="24"/>
        </w:rPr>
        <w:t xml:space="preserve"> employability</w:t>
      </w:r>
      <w:r w:rsidRPr="004A1C60">
        <w:rPr>
          <w:rFonts w:ascii="Times New Roman" w:hAnsi="Times New Roman"/>
          <w:b/>
          <w:i w:val="0"/>
          <w:szCs w:val="24"/>
        </w:rPr>
        <w:t xml:space="preserve"> </w:t>
      </w:r>
      <w:r w:rsidR="00EE21E1" w:rsidRPr="004A1C60">
        <w:rPr>
          <w:rFonts w:ascii="Times New Roman" w:hAnsi="Times New Roman"/>
          <w:b/>
          <w:i w:val="0"/>
          <w:szCs w:val="24"/>
        </w:rPr>
        <w:t>curriculum</w:t>
      </w:r>
    </w:p>
    <w:p w14:paraId="23030CF4" w14:textId="77777777" w:rsidR="006B68D2" w:rsidRPr="004A1C60" w:rsidRDefault="006B68D2" w:rsidP="00832802">
      <w:pPr>
        <w:pStyle w:val="BodyText"/>
        <w:rPr>
          <w:rFonts w:ascii="Times New Roman" w:hAnsi="Times New Roman"/>
          <w:i w:val="0"/>
          <w:szCs w:val="24"/>
        </w:rPr>
      </w:pPr>
    </w:p>
    <w:p w14:paraId="4714AE81" w14:textId="7A265790" w:rsidR="006B68D2" w:rsidRPr="004A1C60" w:rsidRDefault="00D85316" w:rsidP="00832802">
      <w:pPr>
        <w:pStyle w:val="BodyText"/>
        <w:rPr>
          <w:rFonts w:ascii="Times New Roman" w:hAnsi="Times New Roman"/>
          <w:i w:val="0"/>
          <w:szCs w:val="24"/>
        </w:rPr>
      </w:pPr>
      <w:r w:rsidRPr="004A1C60">
        <w:rPr>
          <w:rFonts w:ascii="Times New Roman" w:hAnsi="Times New Roman"/>
          <w:i w:val="0"/>
          <w:szCs w:val="24"/>
        </w:rPr>
        <w:t xml:space="preserve">In this section we explore the impact of the L4E framework on </w:t>
      </w:r>
      <w:r w:rsidR="00D6499D" w:rsidRPr="004A1C60">
        <w:rPr>
          <w:rFonts w:ascii="Times New Roman" w:hAnsi="Times New Roman"/>
          <w:i w:val="0"/>
          <w:szCs w:val="24"/>
        </w:rPr>
        <w:t xml:space="preserve">student researchers’ </w:t>
      </w:r>
      <w:r w:rsidRPr="004A1C60">
        <w:rPr>
          <w:rFonts w:ascii="Times New Roman" w:hAnsi="Times New Roman"/>
          <w:i w:val="0"/>
          <w:szCs w:val="24"/>
        </w:rPr>
        <w:t>concept-making</w:t>
      </w:r>
      <w:r w:rsidR="00D6499D" w:rsidRPr="004A1C60">
        <w:rPr>
          <w:rFonts w:ascii="Times New Roman" w:hAnsi="Times New Roman"/>
          <w:i w:val="0"/>
          <w:szCs w:val="24"/>
        </w:rPr>
        <w:t>,</w:t>
      </w:r>
      <w:r w:rsidRPr="004A1C60">
        <w:rPr>
          <w:rFonts w:ascii="Times New Roman" w:hAnsi="Times New Roman"/>
          <w:i w:val="0"/>
          <w:szCs w:val="24"/>
        </w:rPr>
        <w:t xml:space="preserve"> or what</w:t>
      </w:r>
      <w:r w:rsidR="00743C2D" w:rsidRPr="004A1C60">
        <w:rPr>
          <w:rFonts w:ascii="Times New Roman" w:hAnsi="Times New Roman"/>
          <w:i w:val="0"/>
          <w:szCs w:val="24"/>
        </w:rPr>
        <w:t xml:space="preserve"> Gee </w:t>
      </w:r>
      <w:r w:rsidR="00015D90" w:rsidRPr="004A1C60">
        <w:rPr>
          <w:rFonts w:ascii="Times New Roman" w:hAnsi="Times New Roman"/>
          <w:i w:val="0"/>
          <w:szCs w:val="24"/>
        </w:rPr>
        <w:t xml:space="preserve">(2011) </w:t>
      </w:r>
      <w:r w:rsidR="00743C2D" w:rsidRPr="004A1C60">
        <w:rPr>
          <w:rFonts w:ascii="Times New Roman" w:hAnsi="Times New Roman"/>
          <w:i w:val="0"/>
          <w:szCs w:val="24"/>
        </w:rPr>
        <w:t>might call ‘little d’ world-figuring</w:t>
      </w:r>
      <w:r w:rsidR="00D6499D" w:rsidRPr="004A1C60">
        <w:rPr>
          <w:rFonts w:ascii="Times New Roman" w:hAnsi="Times New Roman"/>
          <w:i w:val="0"/>
          <w:szCs w:val="24"/>
        </w:rPr>
        <w:t xml:space="preserve"> about their experiences of the world of work</w:t>
      </w:r>
      <w:r w:rsidRPr="004A1C60">
        <w:rPr>
          <w:rFonts w:ascii="Times New Roman" w:hAnsi="Times New Roman"/>
          <w:i w:val="0"/>
          <w:szCs w:val="24"/>
        </w:rPr>
        <w:t xml:space="preserve">. </w:t>
      </w:r>
      <w:r w:rsidR="00561A87" w:rsidRPr="004A1C60">
        <w:rPr>
          <w:rFonts w:ascii="Times New Roman" w:hAnsi="Times New Roman"/>
          <w:i w:val="0"/>
          <w:szCs w:val="24"/>
        </w:rPr>
        <w:t>In this discussion we focus</w:t>
      </w:r>
      <w:r w:rsidR="00743C2D" w:rsidRPr="004A1C60">
        <w:rPr>
          <w:rFonts w:ascii="Times New Roman" w:hAnsi="Times New Roman"/>
          <w:i w:val="0"/>
          <w:szCs w:val="24"/>
        </w:rPr>
        <w:t xml:space="preserve"> particular</w:t>
      </w:r>
      <w:r w:rsidR="00A858D8" w:rsidRPr="004A1C60">
        <w:rPr>
          <w:rFonts w:ascii="Times New Roman" w:hAnsi="Times New Roman"/>
          <w:i w:val="0"/>
          <w:szCs w:val="24"/>
        </w:rPr>
        <w:t xml:space="preserve">ly on the </w:t>
      </w:r>
      <w:r w:rsidR="00EB34AB" w:rsidRPr="004A1C60">
        <w:rPr>
          <w:rFonts w:ascii="Times New Roman" w:hAnsi="Times New Roman"/>
          <w:i w:val="0"/>
          <w:szCs w:val="24"/>
        </w:rPr>
        <w:t xml:space="preserve">methodological, the </w:t>
      </w:r>
      <w:r w:rsidR="00A858D8" w:rsidRPr="004A1C60">
        <w:rPr>
          <w:rFonts w:ascii="Times New Roman" w:hAnsi="Times New Roman"/>
          <w:i w:val="0"/>
          <w:szCs w:val="24"/>
        </w:rPr>
        <w:t xml:space="preserve">auto-ethnographic processes of </w:t>
      </w:r>
      <w:r w:rsidR="00DD1E5E" w:rsidRPr="004A1C60">
        <w:rPr>
          <w:rFonts w:ascii="Times New Roman" w:hAnsi="Times New Roman"/>
          <w:i w:val="0"/>
          <w:szCs w:val="24"/>
        </w:rPr>
        <w:t xml:space="preserve">self-conscious </w:t>
      </w:r>
      <w:r w:rsidR="00A858D8" w:rsidRPr="004A1C60">
        <w:rPr>
          <w:rFonts w:ascii="Times New Roman" w:hAnsi="Times New Roman"/>
          <w:i w:val="0"/>
          <w:szCs w:val="24"/>
        </w:rPr>
        <w:t xml:space="preserve">‘noticing differently’ that </w:t>
      </w:r>
      <w:r w:rsidR="007B7F8F" w:rsidRPr="004A1C60">
        <w:rPr>
          <w:rFonts w:ascii="Times New Roman" w:hAnsi="Times New Roman"/>
          <w:i w:val="0"/>
          <w:szCs w:val="24"/>
        </w:rPr>
        <w:t>L4E facilitates</w:t>
      </w:r>
      <w:r w:rsidR="00743C2D" w:rsidRPr="004A1C60">
        <w:rPr>
          <w:rFonts w:ascii="Times New Roman" w:hAnsi="Times New Roman"/>
          <w:i w:val="0"/>
          <w:szCs w:val="24"/>
        </w:rPr>
        <w:t xml:space="preserve">, </w:t>
      </w:r>
      <w:r w:rsidR="00DD1E5E" w:rsidRPr="004A1C60">
        <w:rPr>
          <w:rFonts w:ascii="Times New Roman" w:hAnsi="Times New Roman"/>
          <w:i w:val="0"/>
          <w:szCs w:val="24"/>
        </w:rPr>
        <w:t xml:space="preserve">and use </w:t>
      </w:r>
      <w:r w:rsidR="007B7F8F" w:rsidRPr="004A1C60">
        <w:rPr>
          <w:rFonts w:ascii="Times New Roman" w:hAnsi="Times New Roman"/>
          <w:i w:val="0"/>
          <w:szCs w:val="24"/>
        </w:rPr>
        <w:t xml:space="preserve">of the framework to explore </w:t>
      </w:r>
      <w:r w:rsidR="00561A87" w:rsidRPr="004A1C60">
        <w:rPr>
          <w:rFonts w:ascii="Times New Roman" w:hAnsi="Times New Roman"/>
          <w:i w:val="0"/>
          <w:szCs w:val="24"/>
        </w:rPr>
        <w:t xml:space="preserve">social relationships and </w:t>
      </w:r>
      <w:r w:rsidR="007B7F8F" w:rsidRPr="004A1C60">
        <w:rPr>
          <w:rFonts w:ascii="Times New Roman" w:hAnsi="Times New Roman"/>
          <w:i w:val="0"/>
          <w:szCs w:val="24"/>
        </w:rPr>
        <w:t xml:space="preserve">evaluate </w:t>
      </w:r>
      <w:r w:rsidR="00B912B2" w:rsidRPr="004A1C60">
        <w:rPr>
          <w:rFonts w:ascii="Times New Roman" w:hAnsi="Times New Roman"/>
          <w:i w:val="0"/>
          <w:szCs w:val="24"/>
        </w:rPr>
        <w:t>risk, flexibility and constraints</w:t>
      </w:r>
      <w:r w:rsidR="007B7F8F" w:rsidRPr="004A1C60">
        <w:rPr>
          <w:rFonts w:ascii="Times New Roman" w:hAnsi="Times New Roman"/>
          <w:i w:val="0"/>
          <w:szCs w:val="24"/>
        </w:rPr>
        <w:t xml:space="preserve"> in relation to workplace practice</w:t>
      </w:r>
      <w:r w:rsidR="00B912B2" w:rsidRPr="004A1C60">
        <w:rPr>
          <w:rFonts w:ascii="Times New Roman" w:hAnsi="Times New Roman"/>
          <w:i w:val="0"/>
          <w:szCs w:val="24"/>
        </w:rPr>
        <w:t xml:space="preserve">. </w:t>
      </w:r>
    </w:p>
    <w:p w14:paraId="486402B5" w14:textId="77777777" w:rsidR="00AC3065" w:rsidRPr="004A1C60" w:rsidRDefault="00AC3065" w:rsidP="00832802">
      <w:pPr>
        <w:pStyle w:val="BodyText"/>
        <w:rPr>
          <w:rFonts w:ascii="Times New Roman" w:hAnsi="Times New Roman"/>
          <w:b/>
          <w:i w:val="0"/>
          <w:szCs w:val="24"/>
        </w:rPr>
      </w:pPr>
    </w:p>
    <w:p w14:paraId="225321ED" w14:textId="7617AAAA" w:rsidR="00D51EA7" w:rsidRPr="004A1C60" w:rsidRDefault="00B7335C" w:rsidP="00832802">
      <w:pPr>
        <w:pStyle w:val="BodyText"/>
        <w:rPr>
          <w:rFonts w:ascii="Times New Roman" w:hAnsi="Times New Roman"/>
          <w:b/>
          <w:szCs w:val="24"/>
        </w:rPr>
      </w:pPr>
      <w:r w:rsidRPr="004A1C60">
        <w:rPr>
          <w:rFonts w:ascii="Times New Roman" w:hAnsi="Times New Roman"/>
          <w:b/>
          <w:szCs w:val="24"/>
        </w:rPr>
        <w:t>Noticing</w:t>
      </w:r>
    </w:p>
    <w:p w14:paraId="0F014A1E" w14:textId="77777777" w:rsidR="002026F8" w:rsidRPr="004A1C60" w:rsidRDefault="002026F8" w:rsidP="00832802">
      <w:pPr>
        <w:pStyle w:val="BodyText"/>
        <w:rPr>
          <w:rFonts w:ascii="Times New Roman" w:hAnsi="Times New Roman"/>
          <w:szCs w:val="24"/>
        </w:rPr>
      </w:pPr>
    </w:p>
    <w:p w14:paraId="7807C7A2" w14:textId="3CE49D83" w:rsidR="00E36B77" w:rsidRPr="004A1C60" w:rsidRDefault="0084728C" w:rsidP="00832802">
      <w:pPr>
        <w:pStyle w:val="BodyText"/>
        <w:rPr>
          <w:rFonts w:ascii="Times New Roman" w:hAnsi="Times New Roman"/>
          <w:i w:val="0"/>
          <w:szCs w:val="24"/>
        </w:rPr>
      </w:pPr>
      <w:r w:rsidRPr="004A1C60">
        <w:rPr>
          <w:rFonts w:ascii="Times New Roman" w:hAnsi="Times New Roman"/>
          <w:i w:val="0"/>
          <w:szCs w:val="24"/>
        </w:rPr>
        <w:lastRenderedPageBreak/>
        <w:t>Working with t</w:t>
      </w:r>
      <w:r w:rsidR="004C3B6B" w:rsidRPr="004A1C60">
        <w:rPr>
          <w:rFonts w:ascii="Times New Roman" w:hAnsi="Times New Roman"/>
          <w:i w:val="0"/>
          <w:szCs w:val="24"/>
        </w:rPr>
        <w:t>he L4E framework seemed to facilitate</w:t>
      </w:r>
      <w:r w:rsidR="00CD7D88" w:rsidRPr="004A1C60">
        <w:rPr>
          <w:rFonts w:ascii="Times New Roman" w:hAnsi="Times New Roman"/>
          <w:i w:val="0"/>
          <w:szCs w:val="24"/>
        </w:rPr>
        <w:t xml:space="preserve"> a heightened </w:t>
      </w:r>
      <w:r w:rsidR="00E36B77" w:rsidRPr="004A1C60">
        <w:rPr>
          <w:rFonts w:ascii="Times New Roman" w:hAnsi="Times New Roman"/>
          <w:i w:val="0"/>
          <w:szCs w:val="24"/>
        </w:rPr>
        <w:t>sensitivity to aspects of workplace practice that had previously been taken for granted</w:t>
      </w:r>
      <w:r w:rsidR="002555D2" w:rsidRPr="004A1C60">
        <w:rPr>
          <w:rFonts w:ascii="Times New Roman" w:hAnsi="Times New Roman"/>
          <w:i w:val="0"/>
          <w:szCs w:val="24"/>
        </w:rPr>
        <w:t xml:space="preserve"> as the ‘common sense’ of work as the students</w:t>
      </w:r>
      <w:r w:rsidR="00CD17AF" w:rsidRPr="004A1C60">
        <w:rPr>
          <w:rFonts w:ascii="Times New Roman" w:hAnsi="Times New Roman"/>
          <w:i w:val="0"/>
          <w:szCs w:val="24"/>
        </w:rPr>
        <w:t xml:space="preserve"> ‘noticed’ their environment differently:</w:t>
      </w:r>
    </w:p>
    <w:p w14:paraId="0A962C24" w14:textId="77777777" w:rsidR="00EA44AB" w:rsidRPr="004A1C60" w:rsidRDefault="00EA44AB" w:rsidP="00832802">
      <w:pPr>
        <w:pStyle w:val="BodyText"/>
        <w:rPr>
          <w:rFonts w:ascii="Times New Roman" w:hAnsi="Times New Roman"/>
          <w:i w:val="0"/>
          <w:szCs w:val="24"/>
        </w:rPr>
      </w:pPr>
    </w:p>
    <w:p w14:paraId="55B24863" w14:textId="4DC4F237" w:rsidR="00D97EE1" w:rsidRPr="004A1C60" w:rsidRDefault="00EA44AB" w:rsidP="00832802">
      <w:pPr>
        <w:spacing w:line="360" w:lineRule="auto"/>
        <w:ind w:left="720"/>
        <w:rPr>
          <w:rFonts w:ascii="Times New Roman" w:hAnsi="Times New Roman" w:cs="Times New Roman"/>
          <w:i/>
          <w:sz w:val="24"/>
          <w:szCs w:val="24"/>
        </w:rPr>
      </w:pPr>
      <w:r w:rsidRPr="004A1C60">
        <w:rPr>
          <w:rFonts w:ascii="Times New Roman" w:hAnsi="Times New Roman" w:cs="Times New Roman"/>
          <w:i/>
          <w:sz w:val="24"/>
          <w:szCs w:val="24"/>
        </w:rPr>
        <w:t xml:space="preserve">Yeah it did help </w:t>
      </w:r>
      <w:r w:rsidR="0057585F" w:rsidRPr="004A1C60">
        <w:rPr>
          <w:rFonts w:ascii="Times New Roman" w:hAnsi="Times New Roman" w:cs="Times New Roman"/>
          <w:i/>
          <w:sz w:val="24"/>
          <w:szCs w:val="24"/>
        </w:rPr>
        <w:t>me to notice…</w:t>
      </w:r>
      <w:r w:rsidRPr="004A1C60">
        <w:rPr>
          <w:rFonts w:ascii="Times New Roman" w:hAnsi="Times New Roman" w:cs="Times New Roman"/>
          <w:i/>
          <w:sz w:val="24"/>
          <w:szCs w:val="24"/>
        </w:rPr>
        <w:t>so for example with the marking I think it made me notice the formal side of it…so it might be informal in terms of the way you communicate but then you’ve got the formal paperwork that you’ve got to fill in…</w:t>
      </w:r>
    </w:p>
    <w:p w14:paraId="2AB500D5" w14:textId="7E51F55C" w:rsidR="00EB7B5E" w:rsidRPr="004A1C60" w:rsidRDefault="00EB7B5E" w:rsidP="00832802">
      <w:pPr>
        <w:spacing w:line="360" w:lineRule="auto"/>
        <w:ind w:left="720"/>
        <w:rPr>
          <w:rFonts w:ascii="Times New Roman" w:hAnsi="Times New Roman" w:cs="Times New Roman"/>
          <w:i/>
          <w:sz w:val="24"/>
          <w:szCs w:val="24"/>
        </w:rPr>
      </w:pPr>
      <w:r w:rsidRPr="004A1C60">
        <w:rPr>
          <w:rFonts w:ascii="Times New Roman" w:hAnsi="Times New Roman" w:cs="Times New Roman"/>
          <w:i/>
          <w:sz w:val="24"/>
          <w:szCs w:val="24"/>
        </w:rPr>
        <w:t>Very good at drawing your atten</w:t>
      </w:r>
      <w:r w:rsidR="0057585F" w:rsidRPr="004A1C60">
        <w:rPr>
          <w:rFonts w:ascii="Times New Roman" w:hAnsi="Times New Roman" w:cs="Times New Roman"/>
          <w:i/>
          <w:sz w:val="24"/>
          <w:szCs w:val="24"/>
        </w:rPr>
        <w:t xml:space="preserve">tion to things… </w:t>
      </w:r>
    </w:p>
    <w:p w14:paraId="39E16D99" w14:textId="5553798A" w:rsidR="00566C51" w:rsidRPr="004A1C60" w:rsidRDefault="00566C51" w:rsidP="00832802">
      <w:pPr>
        <w:spacing w:line="360" w:lineRule="auto"/>
        <w:ind w:left="720"/>
        <w:rPr>
          <w:rFonts w:ascii="Times New Roman" w:hAnsi="Times New Roman" w:cs="Times New Roman"/>
          <w:sz w:val="24"/>
          <w:szCs w:val="24"/>
        </w:rPr>
      </w:pPr>
      <w:r w:rsidRPr="004A1C60">
        <w:rPr>
          <w:rFonts w:ascii="Times New Roman" w:hAnsi="Times New Roman" w:cs="Times New Roman"/>
          <w:i/>
          <w:sz w:val="24"/>
          <w:szCs w:val="24"/>
        </w:rPr>
        <w:t>So there were certain things that I may be didn’t look at initially that I went back and u</w:t>
      </w:r>
      <w:r w:rsidR="0057585F" w:rsidRPr="004A1C60">
        <w:rPr>
          <w:rFonts w:ascii="Times New Roman" w:hAnsi="Times New Roman" w:cs="Times New Roman"/>
          <w:i/>
          <w:sz w:val="24"/>
          <w:szCs w:val="24"/>
        </w:rPr>
        <w:t>sed the grid I thought “oh yeah</w:t>
      </w:r>
      <w:r w:rsidRPr="004A1C60">
        <w:rPr>
          <w:rFonts w:ascii="Times New Roman" w:hAnsi="Times New Roman" w:cs="Times New Roman"/>
          <w:i/>
          <w:sz w:val="24"/>
          <w:szCs w:val="24"/>
        </w:rPr>
        <w:t xml:space="preserve"> that fits in nicely there</w:t>
      </w:r>
      <w:r w:rsidR="0057585F" w:rsidRPr="004A1C60">
        <w:rPr>
          <w:rFonts w:ascii="Times New Roman" w:hAnsi="Times New Roman" w:cs="Times New Roman"/>
          <w:i/>
          <w:sz w:val="24"/>
          <w:szCs w:val="24"/>
        </w:rPr>
        <w:t>”</w:t>
      </w:r>
    </w:p>
    <w:p w14:paraId="6FE699EC" w14:textId="348188D7" w:rsidR="00FE0D71" w:rsidRPr="004A1C60" w:rsidRDefault="00B15176" w:rsidP="00832802">
      <w:pPr>
        <w:spacing w:line="360" w:lineRule="auto"/>
        <w:rPr>
          <w:rFonts w:ascii="Times New Roman" w:hAnsi="Times New Roman" w:cs="Times New Roman"/>
          <w:sz w:val="24"/>
          <w:szCs w:val="24"/>
        </w:rPr>
      </w:pPr>
      <w:r w:rsidRPr="004A1C60">
        <w:rPr>
          <w:rFonts w:ascii="Times New Roman" w:hAnsi="Times New Roman" w:cs="Times New Roman"/>
          <w:sz w:val="24"/>
          <w:szCs w:val="24"/>
        </w:rPr>
        <w:t xml:space="preserve">This enabled students to understand </w:t>
      </w:r>
      <w:r w:rsidR="00FB3534" w:rsidRPr="004A1C60">
        <w:rPr>
          <w:rFonts w:ascii="Times New Roman" w:hAnsi="Times New Roman" w:cs="Times New Roman"/>
          <w:sz w:val="24"/>
          <w:szCs w:val="24"/>
        </w:rPr>
        <w:t xml:space="preserve">their situatedness – to see </w:t>
      </w:r>
      <w:r w:rsidRPr="004A1C60">
        <w:rPr>
          <w:rFonts w:ascii="Times New Roman" w:hAnsi="Times New Roman" w:cs="Times New Roman"/>
          <w:sz w:val="24"/>
          <w:szCs w:val="24"/>
        </w:rPr>
        <w:t>themselves</w:t>
      </w:r>
      <w:r w:rsidR="00FE0D71" w:rsidRPr="004A1C60">
        <w:rPr>
          <w:rFonts w:ascii="Times New Roman" w:hAnsi="Times New Roman" w:cs="Times New Roman"/>
          <w:sz w:val="24"/>
          <w:szCs w:val="24"/>
        </w:rPr>
        <w:t xml:space="preserve"> as ‘exp</w:t>
      </w:r>
      <w:r w:rsidR="009426A4" w:rsidRPr="004A1C60">
        <w:rPr>
          <w:rFonts w:ascii="Times New Roman" w:hAnsi="Times New Roman" w:cs="Times New Roman"/>
          <w:sz w:val="24"/>
          <w:szCs w:val="24"/>
        </w:rPr>
        <w:t>ert witnesses</w:t>
      </w:r>
      <w:r w:rsidR="00FB3534" w:rsidRPr="004A1C60">
        <w:rPr>
          <w:rFonts w:ascii="Times New Roman" w:hAnsi="Times New Roman" w:cs="Times New Roman"/>
          <w:sz w:val="24"/>
          <w:szCs w:val="24"/>
        </w:rPr>
        <w:t xml:space="preserve">’ or ‘subjective </w:t>
      </w:r>
      <w:r w:rsidR="009426A4" w:rsidRPr="004A1C60">
        <w:rPr>
          <w:rFonts w:ascii="Times New Roman" w:hAnsi="Times New Roman" w:cs="Times New Roman"/>
          <w:sz w:val="24"/>
          <w:szCs w:val="24"/>
        </w:rPr>
        <w:t>participants</w:t>
      </w:r>
      <w:r w:rsidR="00FE0D71" w:rsidRPr="004A1C60">
        <w:rPr>
          <w:rFonts w:ascii="Times New Roman" w:hAnsi="Times New Roman" w:cs="Times New Roman"/>
          <w:sz w:val="24"/>
          <w:szCs w:val="24"/>
        </w:rPr>
        <w:t xml:space="preserve">’ always, already </w:t>
      </w:r>
      <w:r w:rsidR="007532FD" w:rsidRPr="004A1C60">
        <w:rPr>
          <w:rFonts w:ascii="Times New Roman" w:hAnsi="Times New Roman" w:cs="Times New Roman"/>
          <w:sz w:val="24"/>
          <w:szCs w:val="24"/>
        </w:rPr>
        <w:t xml:space="preserve">immersed </w:t>
      </w:r>
      <w:r w:rsidR="00EB5FBF" w:rsidRPr="004A1C60">
        <w:rPr>
          <w:rFonts w:ascii="Times New Roman" w:hAnsi="Times New Roman" w:cs="Times New Roman"/>
          <w:sz w:val="24"/>
          <w:szCs w:val="24"/>
        </w:rPr>
        <w:t xml:space="preserve">in </w:t>
      </w:r>
      <w:r w:rsidR="007532FD" w:rsidRPr="004A1C60">
        <w:rPr>
          <w:rFonts w:ascii="Times New Roman" w:hAnsi="Times New Roman" w:cs="Times New Roman"/>
          <w:sz w:val="24"/>
          <w:szCs w:val="24"/>
        </w:rPr>
        <w:t xml:space="preserve">and </w:t>
      </w:r>
      <w:r w:rsidR="00FE0D71" w:rsidRPr="004A1C60">
        <w:rPr>
          <w:rFonts w:ascii="Times New Roman" w:hAnsi="Times New Roman" w:cs="Times New Roman"/>
          <w:sz w:val="24"/>
          <w:szCs w:val="24"/>
        </w:rPr>
        <w:t xml:space="preserve">entangled </w:t>
      </w:r>
      <w:r w:rsidR="00EB5FBF" w:rsidRPr="004A1C60">
        <w:rPr>
          <w:rFonts w:ascii="Times New Roman" w:hAnsi="Times New Roman" w:cs="Times New Roman"/>
          <w:sz w:val="24"/>
          <w:szCs w:val="24"/>
        </w:rPr>
        <w:t xml:space="preserve">with </w:t>
      </w:r>
      <w:r w:rsidR="00FE0D71" w:rsidRPr="004A1C60">
        <w:rPr>
          <w:rFonts w:ascii="Times New Roman" w:hAnsi="Times New Roman" w:cs="Times New Roman"/>
          <w:sz w:val="24"/>
          <w:szCs w:val="24"/>
        </w:rPr>
        <w:t xml:space="preserve">the day to day </w:t>
      </w:r>
      <w:r w:rsidR="007532FD" w:rsidRPr="004A1C60">
        <w:rPr>
          <w:rFonts w:ascii="Times New Roman" w:hAnsi="Times New Roman" w:cs="Times New Roman"/>
          <w:sz w:val="24"/>
          <w:szCs w:val="24"/>
        </w:rPr>
        <w:t xml:space="preserve">social </w:t>
      </w:r>
      <w:r w:rsidR="00FE0D71" w:rsidRPr="004A1C60">
        <w:rPr>
          <w:rFonts w:ascii="Times New Roman" w:hAnsi="Times New Roman" w:cs="Times New Roman"/>
          <w:sz w:val="24"/>
          <w:szCs w:val="24"/>
        </w:rPr>
        <w:t>pra</w:t>
      </w:r>
      <w:r w:rsidR="00740845" w:rsidRPr="004A1C60">
        <w:rPr>
          <w:rFonts w:ascii="Times New Roman" w:hAnsi="Times New Roman" w:cs="Times New Roman"/>
          <w:sz w:val="24"/>
          <w:szCs w:val="24"/>
        </w:rPr>
        <w:t xml:space="preserve">ctices of </w:t>
      </w:r>
      <w:r w:rsidR="00015D90" w:rsidRPr="004A1C60">
        <w:rPr>
          <w:rFonts w:ascii="Times New Roman" w:hAnsi="Times New Roman" w:cs="Times New Roman"/>
          <w:sz w:val="24"/>
          <w:szCs w:val="24"/>
        </w:rPr>
        <w:t>their work-based</w:t>
      </w:r>
      <w:r w:rsidR="00740845" w:rsidRPr="004A1C60">
        <w:rPr>
          <w:rFonts w:ascii="Times New Roman" w:hAnsi="Times New Roman" w:cs="Times New Roman"/>
          <w:sz w:val="24"/>
          <w:szCs w:val="24"/>
        </w:rPr>
        <w:t xml:space="preserve"> environments</w:t>
      </w:r>
      <w:r w:rsidR="00E40F72" w:rsidRPr="004A1C60">
        <w:rPr>
          <w:rFonts w:ascii="Times New Roman" w:hAnsi="Times New Roman" w:cs="Times New Roman"/>
          <w:sz w:val="24"/>
          <w:szCs w:val="24"/>
        </w:rPr>
        <w:t>, “you’ve got the knowledge…the grid helps you apply i</w:t>
      </w:r>
      <w:r w:rsidR="006B68D2" w:rsidRPr="004A1C60">
        <w:rPr>
          <w:rFonts w:ascii="Times New Roman" w:hAnsi="Times New Roman" w:cs="Times New Roman"/>
          <w:sz w:val="24"/>
          <w:szCs w:val="24"/>
        </w:rPr>
        <w:t>t and…then you can evaluate it,”</w:t>
      </w:r>
      <w:r w:rsidR="00E40F72" w:rsidRPr="004A1C60">
        <w:rPr>
          <w:rFonts w:ascii="Times New Roman" w:hAnsi="Times New Roman" w:cs="Times New Roman"/>
          <w:sz w:val="24"/>
          <w:szCs w:val="24"/>
        </w:rPr>
        <w:t xml:space="preserve"> </w:t>
      </w:r>
      <w:r w:rsidR="00EB5FBF" w:rsidRPr="004A1C60">
        <w:rPr>
          <w:rFonts w:ascii="Times New Roman" w:hAnsi="Times New Roman" w:cs="Times New Roman"/>
          <w:sz w:val="24"/>
          <w:szCs w:val="24"/>
        </w:rPr>
        <w:t xml:space="preserve">that are in turn </w:t>
      </w:r>
      <w:r w:rsidR="00F81DA6" w:rsidRPr="004A1C60">
        <w:rPr>
          <w:rFonts w:ascii="Times New Roman" w:hAnsi="Times New Roman" w:cs="Times New Roman"/>
          <w:sz w:val="24"/>
          <w:szCs w:val="24"/>
        </w:rPr>
        <w:t>int</w:t>
      </w:r>
      <w:r w:rsidR="006B68D2" w:rsidRPr="004A1C60">
        <w:rPr>
          <w:rFonts w:ascii="Times New Roman" w:hAnsi="Times New Roman" w:cs="Times New Roman"/>
          <w:sz w:val="24"/>
          <w:szCs w:val="24"/>
        </w:rPr>
        <w:t>ricately linked to wider life-world experience</w:t>
      </w:r>
      <w:r w:rsidR="003C6278" w:rsidRPr="004A1C60">
        <w:rPr>
          <w:rFonts w:ascii="Times New Roman" w:hAnsi="Times New Roman" w:cs="Times New Roman"/>
          <w:sz w:val="24"/>
          <w:szCs w:val="24"/>
        </w:rPr>
        <w:t>:</w:t>
      </w:r>
    </w:p>
    <w:p w14:paraId="1D00AE49" w14:textId="7B1F9D5D" w:rsidR="00F46DE6" w:rsidRPr="004A1C60" w:rsidRDefault="00F46DE6" w:rsidP="00832802">
      <w:pPr>
        <w:spacing w:line="360" w:lineRule="auto"/>
        <w:ind w:left="720"/>
        <w:rPr>
          <w:rFonts w:ascii="Times New Roman" w:hAnsi="Times New Roman" w:cs="Times New Roman"/>
          <w:i/>
          <w:sz w:val="24"/>
          <w:szCs w:val="24"/>
        </w:rPr>
      </w:pPr>
      <w:r w:rsidRPr="004A1C60">
        <w:rPr>
          <w:rFonts w:ascii="Times New Roman" w:hAnsi="Times New Roman" w:cs="Times New Roman"/>
          <w:i/>
          <w:sz w:val="24"/>
          <w:szCs w:val="24"/>
        </w:rPr>
        <w:t>Or it might identify certain relationships</w:t>
      </w:r>
      <w:r w:rsidR="0057585F" w:rsidRPr="004A1C60">
        <w:rPr>
          <w:rFonts w:ascii="Times New Roman" w:hAnsi="Times New Roman" w:cs="Times New Roman"/>
          <w:i/>
          <w:sz w:val="24"/>
          <w:szCs w:val="24"/>
        </w:rPr>
        <w:t>,</w:t>
      </w:r>
      <w:r w:rsidRPr="004A1C60">
        <w:rPr>
          <w:rFonts w:ascii="Times New Roman" w:hAnsi="Times New Roman" w:cs="Times New Roman"/>
          <w:i/>
          <w:sz w:val="24"/>
          <w:szCs w:val="24"/>
        </w:rPr>
        <w:t xml:space="preserve"> </w:t>
      </w:r>
      <w:r w:rsidR="00740845" w:rsidRPr="004A1C60">
        <w:rPr>
          <w:rFonts w:ascii="Times New Roman" w:hAnsi="Times New Roman" w:cs="Times New Roman"/>
          <w:i/>
          <w:sz w:val="24"/>
          <w:szCs w:val="24"/>
        </w:rPr>
        <w:t xml:space="preserve">especially for example with </w:t>
      </w:r>
      <w:r w:rsidRPr="004A1C60">
        <w:rPr>
          <w:rFonts w:ascii="Times New Roman" w:hAnsi="Times New Roman" w:cs="Times New Roman"/>
          <w:i/>
          <w:sz w:val="24"/>
          <w:szCs w:val="24"/>
        </w:rPr>
        <w:t>Facebook or the Twitter which you’d aut</w:t>
      </w:r>
      <w:r w:rsidR="00740845" w:rsidRPr="004A1C60">
        <w:rPr>
          <w:rFonts w:ascii="Times New Roman" w:hAnsi="Times New Roman" w:cs="Times New Roman"/>
          <w:i/>
          <w:sz w:val="24"/>
          <w:szCs w:val="24"/>
        </w:rPr>
        <w:t>omatically think</w:t>
      </w:r>
      <w:r w:rsidRPr="004A1C60">
        <w:rPr>
          <w:rFonts w:ascii="Times New Roman" w:hAnsi="Times New Roman" w:cs="Times New Roman"/>
          <w:i/>
          <w:sz w:val="24"/>
          <w:szCs w:val="24"/>
        </w:rPr>
        <w:t xml:space="preserve"> </w:t>
      </w:r>
      <w:r w:rsidR="0057585F" w:rsidRPr="004A1C60">
        <w:rPr>
          <w:rFonts w:ascii="Times New Roman" w:hAnsi="Times New Roman" w:cs="Times New Roman"/>
          <w:i/>
          <w:sz w:val="24"/>
          <w:szCs w:val="24"/>
        </w:rPr>
        <w:t xml:space="preserve">[it’s only for] </w:t>
      </w:r>
      <w:r w:rsidR="006A7AFA" w:rsidRPr="004A1C60">
        <w:rPr>
          <w:rFonts w:ascii="Times New Roman" w:hAnsi="Times New Roman" w:cs="Times New Roman"/>
          <w:i/>
          <w:sz w:val="24"/>
          <w:szCs w:val="24"/>
        </w:rPr>
        <w:t>‘</w:t>
      </w:r>
      <w:r w:rsidRPr="004A1C60">
        <w:rPr>
          <w:rFonts w:ascii="Times New Roman" w:hAnsi="Times New Roman" w:cs="Times New Roman"/>
          <w:i/>
          <w:sz w:val="24"/>
          <w:szCs w:val="24"/>
        </w:rPr>
        <w:t>stude</w:t>
      </w:r>
      <w:r w:rsidR="00740845" w:rsidRPr="004A1C60">
        <w:rPr>
          <w:rFonts w:ascii="Times New Roman" w:hAnsi="Times New Roman" w:cs="Times New Roman"/>
          <w:i/>
          <w:sz w:val="24"/>
          <w:szCs w:val="24"/>
        </w:rPr>
        <w:t>n</w:t>
      </w:r>
      <w:r w:rsidR="00D92E24" w:rsidRPr="004A1C60">
        <w:rPr>
          <w:rFonts w:ascii="Times New Roman" w:hAnsi="Times New Roman" w:cs="Times New Roman"/>
          <w:i/>
          <w:sz w:val="24"/>
          <w:szCs w:val="24"/>
        </w:rPr>
        <w:t>ts</w:t>
      </w:r>
      <w:r w:rsidR="006A7AFA" w:rsidRPr="004A1C60">
        <w:rPr>
          <w:rFonts w:ascii="Times New Roman" w:hAnsi="Times New Roman" w:cs="Times New Roman"/>
          <w:i/>
          <w:sz w:val="24"/>
          <w:szCs w:val="24"/>
        </w:rPr>
        <w:t>’</w:t>
      </w:r>
      <w:r w:rsidR="00D92E24" w:rsidRPr="004A1C60">
        <w:rPr>
          <w:rFonts w:ascii="Times New Roman" w:hAnsi="Times New Roman" w:cs="Times New Roman"/>
          <w:i/>
          <w:sz w:val="24"/>
          <w:szCs w:val="24"/>
        </w:rPr>
        <w:t xml:space="preserve"> but actually , it’</w:t>
      </w:r>
      <w:r w:rsidRPr="004A1C60">
        <w:rPr>
          <w:rFonts w:ascii="Times New Roman" w:hAnsi="Times New Roman" w:cs="Times New Roman"/>
          <w:i/>
          <w:sz w:val="24"/>
          <w:szCs w:val="24"/>
        </w:rPr>
        <w:t>s open to the public, the public c</w:t>
      </w:r>
      <w:r w:rsidR="00AA0D23" w:rsidRPr="004A1C60">
        <w:rPr>
          <w:rFonts w:ascii="Times New Roman" w:hAnsi="Times New Roman" w:cs="Times New Roman"/>
          <w:i/>
          <w:sz w:val="24"/>
          <w:szCs w:val="24"/>
        </w:rPr>
        <w:t>an see those…you realis</w:t>
      </w:r>
      <w:r w:rsidR="00740845" w:rsidRPr="004A1C60">
        <w:rPr>
          <w:rFonts w:ascii="Times New Roman" w:hAnsi="Times New Roman" w:cs="Times New Roman"/>
          <w:i/>
          <w:sz w:val="24"/>
          <w:szCs w:val="24"/>
        </w:rPr>
        <w:t>e there’s</w:t>
      </w:r>
      <w:r w:rsidRPr="004A1C60">
        <w:rPr>
          <w:rFonts w:ascii="Times New Roman" w:hAnsi="Times New Roman" w:cs="Times New Roman"/>
          <w:i/>
          <w:sz w:val="24"/>
          <w:szCs w:val="24"/>
        </w:rPr>
        <w:t xml:space="preserve"> a difference to the working relationships that you can have based on the different forms of communication</w:t>
      </w:r>
      <w:r w:rsidR="00364371" w:rsidRPr="004A1C60">
        <w:rPr>
          <w:rFonts w:ascii="Times New Roman" w:hAnsi="Times New Roman" w:cs="Times New Roman"/>
          <w:i/>
          <w:sz w:val="24"/>
          <w:szCs w:val="24"/>
        </w:rPr>
        <w:t>.</w:t>
      </w:r>
      <w:r w:rsidRPr="004A1C60">
        <w:rPr>
          <w:rFonts w:ascii="Times New Roman" w:hAnsi="Times New Roman" w:cs="Times New Roman"/>
          <w:i/>
          <w:sz w:val="24"/>
          <w:szCs w:val="24"/>
        </w:rPr>
        <w:t xml:space="preserve"> </w:t>
      </w:r>
    </w:p>
    <w:p w14:paraId="386BDCC1" w14:textId="118DBDB3" w:rsidR="00F46DE6" w:rsidRPr="004A1C60" w:rsidRDefault="006A7AFA" w:rsidP="00832802">
      <w:pPr>
        <w:spacing w:line="360" w:lineRule="auto"/>
        <w:rPr>
          <w:rFonts w:ascii="Times New Roman" w:hAnsi="Times New Roman" w:cs="Times New Roman"/>
          <w:sz w:val="24"/>
          <w:szCs w:val="24"/>
        </w:rPr>
      </w:pPr>
      <w:r w:rsidRPr="004A1C60">
        <w:rPr>
          <w:rFonts w:ascii="Times New Roman" w:hAnsi="Times New Roman" w:cs="Times New Roman"/>
          <w:sz w:val="24"/>
          <w:szCs w:val="24"/>
        </w:rPr>
        <w:t xml:space="preserve">Using and discussing the grid </w:t>
      </w:r>
      <w:r w:rsidR="00364371" w:rsidRPr="004A1C60">
        <w:rPr>
          <w:rFonts w:ascii="Times New Roman" w:hAnsi="Times New Roman" w:cs="Times New Roman"/>
          <w:sz w:val="24"/>
          <w:szCs w:val="24"/>
        </w:rPr>
        <w:t>stimul</w:t>
      </w:r>
      <w:r w:rsidR="00772FB8" w:rsidRPr="004A1C60">
        <w:rPr>
          <w:rFonts w:ascii="Times New Roman" w:hAnsi="Times New Roman" w:cs="Times New Roman"/>
          <w:sz w:val="24"/>
          <w:szCs w:val="24"/>
        </w:rPr>
        <w:t xml:space="preserve">ated new opportunities for </w:t>
      </w:r>
      <w:r w:rsidR="00804CB7" w:rsidRPr="004A1C60">
        <w:rPr>
          <w:rFonts w:ascii="Times New Roman" w:hAnsi="Times New Roman" w:cs="Times New Roman"/>
          <w:sz w:val="24"/>
          <w:szCs w:val="24"/>
        </w:rPr>
        <w:t>forging connections between</w:t>
      </w:r>
      <w:r w:rsidR="00364371" w:rsidRPr="004A1C60">
        <w:rPr>
          <w:rFonts w:ascii="Times New Roman" w:hAnsi="Times New Roman" w:cs="Times New Roman"/>
          <w:sz w:val="24"/>
          <w:szCs w:val="24"/>
        </w:rPr>
        <w:t xml:space="preserve"> </w:t>
      </w:r>
      <w:r w:rsidR="00C649CE" w:rsidRPr="004A1C60">
        <w:rPr>
          <w:rFonts w:ascii="Times New Roman" w:hAnsi="Times New Roman" w:cs="Times New Roman"/>
          <w:sz w:val="24"/>
          <w:szCs w:val="24"/>
        </w:rPr>
        <w:t>aspects of experience</w:t>
      </w:r>
      <w:r w:rsidRPr="004A1C60">
        <w:rPr>
          <w:rFonts w:ascii="Times New Roman" w:hAnsi="Times New Roman" w:cs="Times New Roman"/>
          <w:sz w:val="24"/>
          <w:szCs w:val="24"/>
        </w:rPr>
        <w:t xml:space="preserve"> </w:t>
      </w:r>
      <w:r w:rsidR="00C649CE" w:rsidRPr="004A1C60">
        <w:rPr>
          <w:rFonts w:ascii="Times New Roman" w:hAnsi="Times New Roman" w:cs="Times New Roman"/>
          <w:sz w:val="24"/>
          <w:szCs w:val="24"/>
        </w:rPr>
        <w:t xml:space="preserve">that had </w:t>
      </w:r>
      <w:r w:rsidR="00EA1ABA" w:rsidRPr="004A1C60">
        <w:rPr>
          <w:rFonts w:ascii="Times New Roman" w:hAnsi="Times New Roman" w:cs="Times New Roman"/>
          <w:sz w:val="24"/>
          <w:szCs w:val="24"/>
        </w:rPr>
        <w:t xml:space="preserve">previously </w:t>
      </w:r>
      <w:r w:rsidR="00C649CE" w:rsidRPr="004A1C60">
        <w:rPr>
          <w:rFonts w:ascii="Times New Roman" w:hAnsi="Times New Roman" w:cs="Times New Roman"/>
          <w:sz w:val="24"/>
          <w:szCs w:val="24"/>
        </w:rPr>
        <w:t>been considered distinctive</w:t>
      </w:r>
      <w:r w:rsidR="00E71FC1" w:rsidRPr="004A1C60">
        <w:rPr>
          <w:rFonts w:ascii="Times New Roman" w:hAnsi="Times New Roman" w:cs="Times New Roman"/>
          <w:sz w:val="24"/>
          <w:szCs w:val="24"/>
        </w:rPr>
        <w:t xml:space="preserve"> and un</w:t>
      </w:r>
      <w:r w:rsidR="00E4252C" w:rsidRPr="004A1C60">
        <w:rPr>
          <w:rFonts w:ascii="Times New Roman" w:hAnsi="Times New Roman" w:cs="Times New Roman"/>
          <w:sz w:val="24"/>
          <w:szCs w:val="24"/>
        </w:rPr>
        <w:t xml:space="preserve">related, </w:t>
      </w:r>
      <w:r w:rsidRPr="004A1C60">
        <w:rPr>
          <w:rFonts w:ascii="Times New Roman" w:hAnsi="Times New Roman" w:cs="Times New Roman"/>
          <w:sz w:val="24"/>
          <w:szCs w:val="24"/>
        </w:rPr>
        <w:t>for example work-based/public</w:t>
      </w:r>
      <w:r w:rsidR="00E4252C" w:rsidRPr="004A1C60">
        <w:rPr>
          <w:rFonts w:ascii="Times New Roman" w:hAnsi="Times New Roman" w:cs="Times New Roman"/>
          <w:sz w:val="24"/>
          <w:szCs w:val="24"/>
        </w:rPr>
        <w:t xml:space="preserve"> and non work-based/private such as Facebook, </w:t>
      </w:r>
      <w:r w:rsidR="0075239D" w:rsidRPr="004A1C60">
        <w:rPr>
          <w:rFonts w:ascii="Times New Roman" w:hAnsi="Times New Roman" w:cs="Times New Roman"/>
          <w:sz w:val="24"/>
          <w:szCs w:val="24"/>
        </w:rPr>
        <w:t xml:space="preserve">allowing </w:t>
      </w:r>
      <w:r w:rsidR="00F320AA" w:rsidRPr="004A1C60">
        <w:rPr>
          <w:rFonts w:ascii="Times New Roman" w:hAnsi="Times New Roman" w:cs="Times New Roman"/>
          <w:sz w:val="24"/>
          <w:szCs w:val="24"/>
        </w:rPr>
        <w:t>openings for</w:t>
      </w:r>
      <w:r w:rsidR="000F0E39" w:rsidRPr="004A1C60">
        <w:rPr>
          <w:rFonts w:ascii="Times New Roman" w:hAnsi="Times New Roman" w:cs="Times New Roman"/>
          <w:sz w:val="24"/>
          <w:szCs w:val="24"/>
        </w:rPr>
        <w:t xml:space="preserve"> new meaning-making about</w:t>
      </w:r>
      <w:r w:rsidR="00644917" w:rsidRPr="004A1C60">
        <w:rPr>
          <w:rFonts w:ascii="Times New Roman" w:hAnsi="Times New Roman" w:cs="Times New Roman"/>
          <w:sz w:val="24"/>
          <w:szCs w:val="24"/>
        </w:rPr>
        <w:t xml:space="preserve"> </w:t>
      </w:r>
      <w:r w:rsidR="0075239D" w:rsidRPr="004A1C60">
        <w:rPr>
          <w:rFonts w:ascii="Times New Roman" w:hAnsi="Times New Roman" w:cs="Times New Roman"/>
          <w:sz w:val="24"/>
          <w:szCs w:val="24"/>
        </w:rPr>
        <w:t xml:space="preserve">and </w:t>
      </w:r>
      <w:r w:rsidR="00EA1ABA" w:rsidRPr="004A1C60">
        <w:rPr>
          <w:rFonts w:ascii="Times New Roman" w:hAnsi="Times New Roman" w:cs="Times New Roman"/>
          <w:sz w:val="24"/>
          <w:szCs w:val="24"/>
        </w:rPr>
        <w:t xml:space="preserve">interpretations </w:t>
      </w:r>
      <w:r w:rsidR="00D54284" w:rsidRPr="004A1C60">
        <w:rPr>
          <w:rFonts w:ascii="Times New Roman" w:hAnsi="Times New Roman" w:cs="Times New Roman"/>
          <w:sz w:val="24"/>
          <w:szCs w:val="24"/>
        </w:rPr>
        <w:t>of everyday practice:</w:t>
      </w:r>
    </w:p>
    <w:p w14:paraId="271CB5C2" w14:textId="0117492F" w:rsidR="00C649CE" w:rsidRPr="004A1C60" w:rsidRDefault="00C649CE" w:rsidP="00832802">
      <w:pPr>
        <w:spacing w:line="360" w:lineRule="auto"/>
        <w:ind w:left="720"/>
        <w:rPr>
          <w:rFonts w:ascii="Times New Roman" w:hAnsi="Times New Roman" w:cs="Times New Roman"/>
          <w:i/>
          <w:sz w:val="24"/>
          <w:szCs w:val="24"/>
        </w:rPr>
      </w:pPr>
      <w:r w:rsidRPr="004A1C60">
        <w:rPr>
          <w:rFonts w:ascii="Times New Roman" w:hAnsi="Times New Roman" w:cs="Times New Roman"/>
          <w:i/>
          <w:sz w:val="24"/>
          <w:szCs w:val="24"/>
        </w:rPr>
        <w:t>I think it</w:t>
      </w:r>
      <w:r w:rsidR="0057585F" w:rsidRPr="004A1C60">
        <w:rPr>
          <w:rFonts w:ascii="Times New Roman" w:hAnsi="Times New Roman" w:cs="Times New Roman"/>
          <w:i/>
          <w:sz w:val="24"/>
          <w:szCs w:val="24"/>
        </w:rPr>
        <w:t>’</w:t>
      </w:r>
      <w:r w:rsidRPr="004A1C60">
        <w:rPr>
          <w:rFonts w:ascii="Times New Roman" w:hAnsi="Times New Roman" w:cs="Times New Roman"/>
          <w:i/>
          <w:sz w:val="24"/>
          <w:szCs w:val="24"/>
        </w:rPr>
        <w:t>s helpful</w:t>
      </w:r>
      <w:r w:rsidR="0036308B" w:rsidRPr="004A1C60">
        <w:rPr>
          <w:rFonts w:ascii="Times New Roman" w:hAnsi="Times New Roman" w:cs="Times New Roman"/>
          <w:i/>
          <w:sz w:val="24"/>
          <w:szCs w:val="24"/>
        </w:rPr>
        <w:t xml:space="preserve"> to see how they link together…the </w:t>
      </w:r>
      <w:r w:rsidRPr="004A1C60">
        <w:rPr>
          <w:rFonts w:ascii="Times New Roman" w:hAnsi="Times New Roman" w:cs="Times New Roman"/>
          <w:i/>
          <w:sz w:val="24"/>
          <w:szCs w:val="24"/>
        </w:rPr>
        <w:t>grid is v</w:t>
      </w:r>
      <w:r w:rsidR="00FC094F" w:rsidRPr="004A1C60">
        <w:rPr>
          <w:rFonts w:ascii="Times New Roman" w:hAnsi="Times New Roman" w:cs="Times New Roman"/>
          <w:i/>
          <w:sz w:val="24"/>
          <w:szCs w:val="24"/>
        </w:rPr>
        <w:t xml:space="preserve">ery </w:t>
      </w:r>
      <w:r w:rsidR="0036308B" w:rsidRPr="004A1C60">
        <w:rPr>
          <w:rFonts w:ascii="Times New Roman" w:hAnsi="Times New Roman" w:cs="Times New Roman"/>
          <w:i/>
          <w:sz w:val="24"/>
          <w:szCs w:val="24"/>
        </w:rPr>
        <w:t>good at making it obvious</w:t>
      </w:r>
      <w:r w:rsidRPr="004A1C60">
        <w:rPr>
          <w:rFonts w:ascii="Times New Roman" w:hAnsi="Times New Roman" w:cs="Times New Roman"/>
          <w:i/>
          <w:sz w:val="24"/>
          <w:szCs w:val="24"/>
        </w:rPr>
        <w:t xml:space="preserve"> if you like</w:t>
      </w:r>
      <w:r w:rsidR="0036308B" w:rsidRPr="004A1C60">
        <w:rPr>
          <w:rFonts w:ascii="Times New Roman" w:hAnsi="Times New Roman" w:cs="Times New Roman"/>
          <w:i/>
          <w:sz w:val="24"/>
          <w:szCs w:val="24"/>
        </w:rPr>
        <w:t>,</w:t>
      </w:r>
      <w:r w:rsidRPr="004A1C60">
        <w:rPr>
          <w:rFonts w:ascii="Times New Roman" w:hAnsi="Times New Roman" w:cs="Times New Roman"/>
          <w:i/>
          <w:sz w:val="24"/>
          <w:szCs w:val="24"/>
        </w:rPr>
        <w:t xml:space="preserve"> how the constraints and how the logo or the identity work together</w:t>
      </w:r>
      <w:r w:rsidR="0057585F" w:rsidRPr="004A1C60">
        <w:rPr>
          <w:rFonts w:ascii="Times New Roman" w:hAnsi="Times New Roman" w:cs="Times New Roman"/>
          <w:i/>
          <w:sz w:val="24"/>
          <w:szCs w:val="24"/>
        </w:rPr>
        <w:t>…</w:t>
      </w:r>
      <w:r w:rsidRPr="004A1C60">
        <w:rPr>
          <w:rFonts w:ascii="Times New Roman" w:hAnsi="Times New Roman" w:cs="Times New Roman"/>
          <w:i/>
          <w:sz w:val="24"/>
          <w:szCs w:val="24"/>
        </w:rPr>
        <w:t>how one piece of comm</w:t>
      </w:r>
      <w:r w:rsidR="00FC094F" w:rsidRPr="004A1C60">
        <w:rPr>
          <w:rFonts w:ascii="Times New Roman" w:hAnsi="Times New Roman" w:cs="Times New Roman"/>
          <w:i/>
          <w:sz w:val="24"/>
          <w:szCs w:val="24"/>
        </w:rPr>
        <w:t>unication</w:t>
      </w:r>
      <w:r w:rsidR="003167F8" w:rsidRPr="004A1C60">
        <w:rPr>
          <w:rFonts w:ascii="Times New Roman" w:hAnsi="Times New Roman" w:cs="Times New Roman"/>
          <w:i/>
          <w:sz w:val="24"/>
          <w:szCs w:val="24"/>
        </w:rPr>
        <w:t xml:space="preserve"> </w:t>
      </w:r>
      <w:r w:rsidRPr="004A1C60">
        <w:rPr>
          <w:rFonts w:ascii="Times New Roman" w:hAnsi="Times New Roman" w:cs="Times New Roman"/>
          <w:i/>
          <w:sz w:val="24"/>
          <w:szCs w:val="24"/>
        </w:rPr>
        <w:t>is comm</w:t>
      </w:r>
      <w:r w:rsidR="0057585F" w:rsidRPr="004A1C60">
        <w:rPr>
          <w:rFonts w:ascii="Times New Roman" w:hAnsi="Times New Roman" w:cs="Times New Roman"/>
          <w:i/>
          <w:sz w:val="24"/>
          <w:szCs w:val="24"/>
        </w:rPr>
        <w:t>on to</w:t>
      </w:r>
      <w:r w:rsidRPr="004A1C60">
        <w:rPr>
          <w:rFonts w:ascii="Times New Roman" w:hAnsi="Times New Roman" w:cs="Times New Roman"/>
          <w:i/>
          <w:sz w:val="24"/>
          <w:szCs w:val="24"/>
        </w:rPr>
        <w:t xml:space="preserve"> a</w:t>
      </w:r>
      <w:r w:rsidR="003167F8" w:rsidRPr="004A1C60">
        <w:rPr>
          <w:rFonts w:ascii="Times New Roman" w:hAnsi="Times New Roman" w:cs="Times New Roman"/>
          <w:i/>
          <w:sz w:val="24"/>
          <w:szCs w:val="24"/>
        </w:rPr>
        <w:t xml:space="preserve"> whole</w:t>
      </w:r>
      <w:r w:rsidRPr="004A1C60">
        <w:rPr>
          <w:rFonts w:ascii="Times New Roman" w:hAnsi="Times New Roman" w:cs="Times New Roman"/>
          <w:i/>
          <w:sz w:val="24"/>
          <w:szCs w:val="24"/>
        </w:rPr>
        <w:t xml:space="preserve"> lot of things in the grid. For ex</w:t>
      </w:r>
      <w:r w:rsidR="003167F8" w:rsidRPr="004A1C60">
        <w:rPr>
          <w:rFonts w:ascii="Times New Roman" w:hAnsi="Times New Roman" w:cs="Times New Roman"/>
          <w:i/>
          <w:sz w:val="24"/>
          <w:szCs w:val="24"/>
        </w:rPr>
        <w:t>ample</w:t>
      </w:r>
      <w:r w:rsidR="00414FF7" w:rsidRPr="004A1C60">
        <w:rPr>
          <w:rFonts w:ascii="Times New Roman" w:hAnsi="Times New Roman" w:cs="Times New Roman"/>
          <w:i/>
          <w:sz w:val="24"/>
          <w:szCs w:val="24"/>
        </w:rPr>
        <w:t>,</w:t>
      </w:r>
      <w:r w:rsidR="003167F8" w:rsidRPr="004A1C60">
        <w:rPr>
          <w:rFonts w:ascii="Times New Roman" w:hAnsi="Times New Roman" w:cs="Times New Roman"/>
          <w:i/>
          <w:sz w:val="24"/>
          <w:szCs w:val="24"/>
        </w:rPr>
        <w:t xml:space="preserve"> at the </w:t>
      </w:r>
      <w:r w:rsidRPr="004A1C60">
        <w:rPr>
          <w:rFonts w:ascii="Times New Roman" w:hAnsi="Times New Roman" w:cs="Times New Roman"/>
          <w:i/>
          <w:sz w:val="24"/>
          <w:szCs w:val="24"/>
        </w:rPr>
        <w:t xml:space="preserve">nursery rules grid is </w:t>
      </w:r>
      <w:r w:rsidR="00414FF7" w:rsidRPr="004A1C60">
        <w:rPr>
          <w:rFonts w:ascii="Times New Roman" w:hAnsi="Times New Roman" w:cs="Times New Roman"/>
          <w:i/>
          <w:sz w:val="24"/>
          <w:szCs w:val="24"/>
        </w:rPr>
        <w:t>s</w:t>
      </w:r>
      <w:r w:rsidRPr="004A1C60">
        <w:rPr>
          <w:rFonts w:ascii="Times New Roman" w:hAnsi="Times New Roman" w:cs="Times New Roman"/>
          <w:i/>
          <w:sz w:val="24"/>
          <w:szCs w:val="24"/>
        </w:rPr>
        <w:t>howing how it can comm</w:t>
      </w:r>
      <w:r w:rsidR="00414FF7" w:rsidRPr="004A1C60">
        <w:rPr>
          <w:rFonts w:ascii="Times New Roman" w:hAnsi="Times New Roman" w:cs="Times New Roman"/>
          <w:i/>
          <w:sz w:val="24"/>
          <w:szCs w:val="24"/>
        </w:rPr>
        <w:t>unicate…</w:t>
      </w:r>
      <w:r w:rsidRPr="004A1C60">
        <w:rPr>
          <w:rFonts w:ascii="Times New Roman" w:hAnsi="Times New Roman" w:cs="Times New Roman"/>
          <w:i/>
          <w:sz w:val="24"/>
          <w:szCs w:val="24"/>
        </w:rPr>
        <w:t>the child</w:t>
      </w:r>
      <w:r w:rsidR="00414FF7" w:rsidRPr="004A1C60">
        <w:rPr>
          <w:rFonts w:ascii="Times New Roman" w:hAnsi="Times New Roman" w:cs="Times New Roman"/>
          <w:i/>
          <w:sz w:val="24"/>
          <w:szCs w:val="24"/>
        </w:rPr>
        <w:t>’</w:t>
      </w:r>
      <w:r w:rsidRPr="004A1C60">
        <w:rPr>
          <w:rFonts w:ascii="Times New Roman" w:hAnsi="Times New Roman" w:cs="Times New Roman"/>
          <w:i/>
          <w:sz w:val="24"/>
          <w:szCs w:val="24"/>
        </w:rPr>
        <w:t>s identity as they</w:t>
      </w:r>
      <w:r w:rsidR="00414FF7" w:rsidRPr="004A1C60">
        <w:rPr>
          <w:rFonts w:ascii="Times New Roman" w:hAnsi="Times New Roman" w:cs="Times New Roman"/>
          <w:i/>
          <w:sz w:val="24"/>
          <w:szCs w:val="24"/>
        </w:rPr>
        <w:t xml:space="preserve"> belong to that nursery…or</w:t>
      </w:r>
      <w:r w:rsidRPr="004A1C60">
        <w:rPr>
          <w:rFonts w:ascii="Times New Roman" w:hAnsi="Times New Roman" w:cs="Times New Roman"/>
          <w:i/>
          <w:sz w:val="24"/>
          <w:szCs w:val="24"/>
        </w:rPr>
        <w:t xml:space="preserve"> it can comm</w:t>
      </w:r>
      <w:r w:rsidR="00414FF7" w:rsidRPr="004A1C60">
        <w:rPr>
          <w:rFonts w:ascii="Times New Roman" w:hAnsi="Times New Roman" w:cs="Times New Roman"/>
          <w:i/>
          <w:sz w:val="24"/>
          <w:szCs w:val="24"/>
        </w:rPr>
        <w:t>unicate</w:t>
      </w:r>
      <w:r w:rsidRPr="004A1C60">
        <w:rPr>
          <w:rFonts w:ascii="Times New Roman" w:hAnsi="Times New Roman" w:cs="Times New Roman"/>
          <w:i/>
          <w:sz w:val="24"/>
          <w:szCs w:val="24"/>
        </w:rPr>
        <w:t xml:space="preserve"> the constraints…</w:t>
      </w:r>
      <w:r w:rsidR="00414FF7" w:rsidRPr="004A1C60">
        <w:rPr>
          <w:rFonts w:ascii="Times New Roman" w:hAnsi="Times New Roman" w:cs="Times New Roman"/>
          <w:i/>
          <w:sz w:val="24"/>
          <w:szCs w:val="24"/>
        </w:rPr>
        <w:t>the gri</w:t>
      </w:r>
      <w:r w:rsidRPr="004A1C60">
        <w:rPr>
          <w:rFonts w:ascii="Times New Roman" w:hAnsi="Times New Roman" w:cs="Times New Roman"/>
          <w:i/>
          <w:sz w:val="24"/>
          <w:szCs w:val="24"/>
        </w:rPr>
        <w:t>d i</w:t>
      </w:r>
      <w:r w:rsidR="00414FF7" w:rsidRPr="004A1C60">
        <w:rPr>
          <w:rFonts w:ascii="Times New Roman" w:hAnsi="Times New Roman" w:cs="Times New Roman"/>
          <w:i/>
          <w:sz w:val="24"/>
          <w:szCs w:val="24"/>
        </w:rPr>
        <w:t xml:space="preserve">s very good at showing how one </w:t>
      </w:r>
      <w:r w:rsidRPr="004A1C60">
        <w:rPr>
          <w:rFonts w:ascii="Times New Roman" w:hAnsi="Times New Roman" w:cs="Times New Roman"/>
          <w:i/>
          <w:sz w:val="24"/>
          <w:szCs w:val="24"/>
        </w:rPr>
        <w:t>piece of text or conversation has a whole lot of diff</w:t>
      </w:r>
      <w:r w:rsidR="00414FF7" w:rsidRPr="004A1C60">
        <w:rPr>
          <w:rFonts w:ascii="Times New Roman" w:hAnsi="Times New Roman" w:cs="Times New Roman"/>
          <w:i/>
          <w:sz w:val="24"/>
          <w:szCs w:val="24"/>
        </w:rPr>
        <w:t>erent</w:t>
      </w:r>
      <w:r w:rsidRPr="004A1C60">
        <w:rPr>
          <w:rFonts w:ascii="Times New Roman" w:hAnsi="Times New Roman" w:cs="Times New Roman"/>
          <w:i/>
          <w:sz w:val="24"/>
          <w:szCs w:val="24"/>
        </w:rPr>
        <w:t xml:space="preserve"> cat</w:t>
      </w:r>
      <w:r w:rsidR="00414FF7" w:rsidRPr="004A1C60">
        <w:rPr>
          <w:rFonts w:ascii="Times New Roman" w:hAnsi="Times New Roman" w:cs="Times New Roman"/>
          <w:i/>
          <w:sz w:val="24"/>
          <w:szCs w:val="24"/>
        </w:rPr>
        <w:t>egories</w:t>
      </w:r>
      <w:r w:rsidRPr="004A1C60">
        <w:rPr>
          <w:rFonts w:ascii="Times New Roman" w:hAnsi="Times New Roman" w:cs="Times New Roman"/>
          <w:i/>
          <w:sz w:val="24"/>
          <w:szCs w:val="24"/>
        </w:rPr>
        <w:t xml:space="preserve"> to fall in to…</w:t>
      </w:r>
    </w:p>
    <w:p w14:paraId="17AA0370" w14:textId="35C76710" w:rsidR="00EF18E4" w:rsidRPr="004A1C60" w:rsidRDefault="00BD6450" w:rsidP="00832802">
      <w:pPr>
        <w:spacing w:line="360" w:lineRule="auto"/>
        <w:rPr>
          <w:rFonts w:ascii="Times New Roman" w:hAnsi="Times New Roman" w:cs="Times New Roman"/>
          <w:sz w:val="24"/>
          <w:szCs w:val="24"/>
        </w:rPr>
      </w:pPr>
      <w:r w:rsidRPr="004A1C60">
        <w:rPr>
          <w:rFonts w:ascii="Times New Roman" w:hAnsi="Times New Roman" w:cs="Times New Roman"/>
          <w:sz w:val="24"/>
          <w:szCs w:val="24"/>
        </w:rPr>
        <w:lastRenderedPageBreak/>
        <w:t xml:space="preserve">Noticing differently prompted </w:t>
      </w:r>
      <w:r w:rsidR="001D5B7E" w:rsidRPr="004A1C60">
        <w:rPr>
          <w:rFonts w:ascii="Times New Roman" w:hAnsi="Times New Roman" w:cs="Times New Roman"/>
          <w:sz w:val="24"/>
          <w:szCs w:val="24"/>
        </w:rPr>
        <w:t>re-evaluati</w:t>
      </w:r>
      <w:r w:rsidR="00B45919" w:rsidRPr="004A1C60">
        <w:rPr>
          <w:rFonts w:ascii="Times New Roman" w:hAnsi="Times New Roman" w:cs="Times New Roman"/>
          <w:sz w:val="24"/>
          <w:szCs w:val="24"/>
        </w:rPr>
        <w:t xml:space="preserve">on, </w:t>
      </w:r>
      <w:r w:rsidR="009A2F9F" w:rsidRPr="004A1C60">
        <w:rPr>
          <w:rFonts w:ascii="Times New Roman" w:hAnsi="Times New Roman" w:cs="Times New Roman"/>
          <w:sz w:val="24"/>
          <w:szCs w:val="24"/>
        </w:rPr>
        <w:t xml:space="preserve">a </w:t>
      </w:r>
      <w:r w:rsidR="004271ED" w:rsidRPr="004A1C60">
        <w:rPr>
          <w:rFonts w:ascii="Times New Roman" w:hAnsi="Times New Roman" w:cs="Times New Roman"/>
          <w:sz w:val="24"/>
          <w:szCs w:val="24"/>
        </w:rPr>
        <w:t xml:space="preserve">reflexive </w:t>
      </w:r>
      <w:r w:rsidR="009A2F9F" w:rsidRPr="004A1C60">
        <w:rPr>
          <w:rFonts w:ascii="Times New Roman" w:hAnsi="Times New Roman" w:cs="Times New Roman"/>
          <w:sz w:val="24"/>
          <w:szCs w:val="24"/>
        </w:rPr>
        <w:t>‘</w:t>
      </w:r>
      <w:r w:rsidR="00B45919" w:rsidRPr="004A1C60">
        <w:rPr>
          <w:rFonts w:ascii="Times New Roman" w:hAnsi="Times New Roman" w:cs="Times New Roman"/>
          <w:sz w:val="24"/>
          <w:szCs w:val="24"/>
        </w:rPr>
        <w:t>picking away</w:t>
      </w:r>
      <w:r w:rsidR="009A2F9F" w:rsidRPr="004A1C60">
        <w:rPr>
          <w:rFonts w:ascii="Times New Roman" w:hAnsi="Times New Roman" w:cs="Times New Roman"/>
          <w:sz w:val="24"/>
          <w:szCs w:val="24"/>
        </w:rPr>
        <w:t>’</w:t>
      </w:r>
      <w:r w:rsidR="00B45919" w:rsidRPr="004A1C60">
        <w:rPr>
          <w:rFonts w:ascii="Times New Roman" w:hAnsi="Times New Roman" w:cs="Times New Roman"/>
          <w:sz w:val="24"/>
          <w:szCs w:val="24"/>
        </w:rPr>
        <w:t xml:space="preserve"> at the everyday</w:t>
      </w:r>
      <w:r w:rsidR="001D5B7E" w:rsidRPr="004A1C60">
        <w:rPr>
          <w:rFonts w:ascii="Times New Roman" w:hAnsi="Times New Roman" w:cs="Times New Roman"/>
          <w:sz w:val="24"/>
          <w:szCs w:val="24"/>
        </w:rPr>
        <w:t>-</w:t>
      </w:r>
      <w:r w:rsidR="009A2F9F" w:rsidRPr="004A1C60">
        <w:rPr>
          <w:rFonts w:ascii="Times New Roman" w:hAnsi="Times New Roman" w:cs="Times New Roman"/>
          <w:sz w:val="24"/>
          <w:szCs w:val="24"/>
        </w:rPr>
        <w:t>ness of long-held certainties as students moved around the grid applying the question prompts</w:t>
      </w:r>
      <w:r w:rsidR="006A7AFA" w:rsidRPr="004A1C60">
        <w:rPr>
          <w:rFonts w:ascii="Times New Roman" w:hAnsi="Times New Roman" w:cs="Times New Roman"/>
          <w:sz w:val="24"/>
          <w:szCs w:val="24"/>
        </w:rPr>
        <w:t xml:space="preserve"> </w:t>
      </w:r>
      <w:r w:rsidR="004271ED" w:rsidRPr="004A1C60">
        <w:rPr>
          <w:rFonts w:ascii="Times New Roman" w:hAnsi="Times New Roman" w:cs="Times New Roman"/>
          <w:sz w:val="24"/>
          <w:szCs w:val="24"/>
        </w:rPr>
        <w:t>destabilising</w:t>
      </w:r>
      <w:r w:rsidR="00761A20" w:rsidRPr="004A1C60">
        <w:rPr>
          <w:rFonts w:ascii="Times New Roman" w:hAnsi="Times New Roman" w:cs="Times New Roman"/>
          <w:sz w:val="24"/>
          <w:szCs w:val="24"/>
        </w:rPr>
        <w:t xml:space="preserve">, </w:t>
      </w:r>
      <w:r w:rsidR="001D5B7E" w:rsidRPr="004A1C60">
        <w:rPr>
          <w:rFonts w:ascii="Times New Roman" w:hAnsi="Times New Roman" w:cs="Times New Roman"/>
          <w:sz w:val="24"/>
          <w:szCs w:val="24"/>
        </w:rPr>
        <w:t>un-fix</w:t>
      </w:r>
      <w:r w:rsidR="004271ED" w:rsidRPr="004A1C60">
        <w:rPr>
          <w:rFonts w:ascii="Times New Roman" w:hAnsi="Times New Roman" w:cs="Times New Roman"/>
          <w:sz w:val="24"/>
          <w:szCs w:val="24"/>
        </w:rPr>
        <w:t>ing</w:t>
      </w:r>
      <w:r w:rsidR="001D5B7E" w:rsidRPr="004A1C60">
        <w:rPr>
          <w:rFonts w:ascii="Times New Roman" w:hAnsi="Times New Roman" w:cs="Times New Roman"/>
          <w:sz w:val="24"/>
          <w:szCs w:val="24"/>
        </w:rPr>
        <w:t xml:space="preserve"> </w:t>
      </w:r>
      <w:r w:rsidR="00761A20" w:rsidRPr="004A1C60">
        <w:rPr>
          <w:rFonts w:ascii="Times New Roman" w:hAnsi="Times New Roman" w:cs="Times New Roman"/>
          <w:sz w:val="24"/>
          <w:szCs w:val="24"/>
        </w:rPr>
        <w:t xml:space="preserve">and un-doing </w:t>
      </w:r>
      <w:r w:rsidR="00221685" w:rsidRPr="004A1C60">
        <w:rPr>
          <w:rFonts w:ascii="Times New Roman" w:hAnsi="Times New Roman" w:cs="Times New Roman"/>
          <w:sz w:val="24"/>
          <w:szCs w:val="24"/>
        </w:rPr>
        <w:t xml:space="preserve">(the being and doing modes of L4E outlined in figure 2) </w:t>
      </w:r>
      <w:r w:rsidR="00AA0D23" w:rsidRPr="004A1C60">
        <w:rPr>
          <w:rFonts w:ascii="Times New Roman" w:hAnsi="Times New Roman" w:cs="Times New Roman"/>
          <w:sz w:val="24"/>
          <w:szCs w:val="24"/>
        </w:rPr>
        <w:t xml:space="preserve">long held </w:t>
      </w:r>
      <w:r w:rsidR="001D5B7E" w:rsidRPr="004A1C60">
        <w:rPr>
          <w:rFonts w:ascii="Times New Roman" w:hAnsi="Times New Roman" w:cs="Times New Roman"/>
          <w:sz w:val="24"/>
          <w:szCs w:val="24"/>
        </w:rPr>
        <w:t>reference</w:t>
      </w:r>
      <w:r w:rsidR="00AA0D23" w:rsidRPr="004A1C60">
        <w:rPr>
          <w:rFonts w:ascii="Times New Roman" w:hAnsi="Times New Roman" w:cs="Times New Roman"/>
          <w:sz w:val="24"/>
          <w:szCs w:val="24"/>
        </w:rPr>
        <w:t xml:space="preserve"> points</w:t>
      </w:r>
      <w:r w:rsidR="001D5B7E" w:rsidRPr="004A1C60">
        <w:rPr>
          <w:rFonts w:ascii="Times New Roman" w:hAnsi="Times New Roman" w:cs="Times New Roman"/>
          <w:sz w:val="24"/>
          <w:szCs w:val="24"/>
        </w:rPr>
        <w:t xml:space="preserve"> </w:t>
      </w:r>
      <w:r w:rsidR="00EC3414" w:rsidRPr="004A1C60">
        <w:rPr>
          <w:rFonts w:ascii="Times New Roman" w:hAnsi="Times New Roman" w:cs="Times New Roman"/>
          <w:sz w:val="24"/>
          <w:szCs w:val="24"/>
        </w:rPr>
        <w:t>as they grappled to engage with each dimension of the framework</w:t>
      </w:r>
      <w:r w:rsidR="007F4BDD" w:rsidRPr="004A1C60">
        <w:rPr>
          <w:rFonts w:ascii="Times New Roman" w:hAnsi="Times New Roman" w:cs="Times New Roman"/>
          <w:sz w:val="24"/>
          <w:szCs w:val="24"/>
        </w:rPr>
        <w:t>:</w:t>
      </w:r>
      <w:r w:rsidR="00B53E20" w:rsidRPr="004A1C60">
        <w:rPr>
          <w:rFonts w:ascii="Times New Roman" w:hAnsi="Times New Roman" w:cs="Times New Roman"/>
          <w:sz w:val="24"/>
          <w:szCs w:val="24"/>
        </w:rPr>
        <w:t xml:space="preserve"> </w:t>
      </w:r>
    </w:p>
    <w:p w14:paraId="412D2AF8" w14:textId="71C77FD9" w:rsidR="00E936A1" w:rsidRPr="004A1C60" w:rsidRDefault="00E936A1" w:rsidP="00832802">
      <w:pPr>
        <w:spacing w:line="360" w:lineRule="auto"/>
        <w:ind w:left="720"/>
        <w:rPr>
          <w:rFonts w:ascii="Times New Roman" w:hAnsi="Times New Roman" w:cs="Times New Roman"/>
          <w:i/>
          <w:sz w:val="24"/>
          <w:szCs w:val="24"/>
        </w:rPr>
      </w:pPr>
      <w:r w:rsidRPr="004A1C60">
        <w:rPr>
          <w:rFonts w:ascii="Times New Roman" w:hAnsi="Times New Roman" w:cs="Times New Roman"/>
          <w:i/>
          <w:sz w:val="24"/>
          <w:szCs w:val="24"/>
        </w:rPr>
        <w:t xml:space="preserve">Diff lit used in a </w:t>
      </w:r>
      <w:r w:rsidR="00CA418A" w:rsidRPr="004A1C60">
        <w:rPr>
          <w:rFonts w:ascii="Times New Roman" w:hAnsi="Times New Roman" w:cs="Times New Roman"/>
          <w:i/>
          <w:sz w:val="24"/>
          <w:szCs w:val="24"/>
        </w:rPr>
        <w:t>nursery</w:t>
      </w:r>
      <w:r w:rsidRPr="004A1C60">
        <w:rPr>
          <w:rFonts w:ascii="Times New Roman" w:hAnsi="Times New Roman" w:cs="Times New Roman"/>
          <w:i/>
          <w:sz w:val="24"/>
          <w:szCs w:val="24"/>
        </w:rPr>
        <w:t xml:space="preserve"> I think that by using the grid it became very obvious first of all that there</w:t>
      </w:r>
      <w:r w:rsidR="00414FF7" w:rsidRPr="004A1C60">
        <w:rPr>
          <w:rFonts w:ascii="Times New Roman" w:hAnsi="Times New Roman" w:cs="Times New Roman"/>
          <w:i/>
          <w:sz w:val="24"/>
          <w:szCs w:val="24"/>
        </w:rPr>
        <w:t xml:space="preserve">’s </w:t>
      </w:r>
      <w:r w:rsidRPr="004A1C60">
        <w:rPr>
          <w:rFonts w:ascii="Times New Roman" w:hAnsi="Times New Roman" w:cs="Times New Roman"/>
          <w:i/>
          <w:sz w:val="24"/>
          <w:szCs w:val="24"/>
        </w:rPr>
        <w:t>kind of two sep</w:t>
      </w:r>
      <w:r w:rsidR="00414FF7" w:rsidRPr="004A1C60">
        <w:rPr>
          <w:rFonts w:ascii="Times New Roman" w:hAnsi="Times New Roman" w:cs="Times New Roman"/>
          <w:i/>
          <w:sz w:val="24"/>
          <w:szCs w:val="24"/>
        </w:rPr>
        <w:t>arate</w:t>
      </w:r>
      <w:r w:rsidRPr="004A1C60">
        <w:rPr>
          <w:rFonts w:ascii="Times New Roman" w:hAnsi="Times New Roman" w:cs="Times New Roman"/>
          <w:i/>
          <w:sz w:val="24"/>
          <w:szCs w:val="24"/>
        </w:rPr>
        <w:t xml:space="preserve"> erm types of lit used, I think the types of comm</w:t>
      </w:r>
      <w:r w:rsidR="00414FF7" w:rsidRPr="004A1C60">
        <w:rPr>
          <w:rFonts w:ascii="Times New Roman" w:hAnsi="Times New Roman" w:cs="Times New Roman"/>
          <w:i/>
          <w:sz w:val="24"/>
          <w:szCs w:val="24"/>
        </w:rPr>
        <w:t>unication</w:t>
      </w:r>
      <w:r w:rsidRPr="004A1C60">
        <w:rPr>
          <w:rFonts w:ascii="Times New Roman" w:hAnsi="Times New Roman" w:cs="Times New Roman"/>
          <w:i/>
          <w:sz w:val="24"/>
          <w:szCs w:val="24"/>
        </w:rPr>
        <w:t xml:space="preserve"> used betwe</w:t>
      </w:r>
      <w:r w:rsidR="00414FF7" w:rsidRPr="004A1C60">
        <w:rPr>
          <w:rFonts w:ascii="Times New Roman" w:hAnsi="Times New Roman" w:cs="Times New Roman"/>
          <w:i/>
          <w:sz w:val="24"/>
          <w:szCs w:val="24"/>
        </w:rPr>
        <w:t>en</w:t>
      </w:r>
      <w:r w:rsidRPr="004A1C60">
        <w:rPr>
          <w:rFonts w:ascii="Times New Roman" w:hAnsi="Times New Roman" w:cs="Times New Roman"/>
          <w:i/>
          <w:sz w:val="24"/>
          <w:szCs w:val="24"/>
        </w:rPr>
        <w:t xml:space="preserve"> adults and between adult</w:t>
      </w:r>
      <w:r w:rsidR="00414FF7" w:rsidRPr="004A1C60">
        <w:rPr>
          <w:rFonts w:ascii="Times New Roman" w:hAnsi="Times New Roman" w:cs="Times New Roman"/>
          <w:i/>
          <w:sz w:val="24"/>
          <w:szCs w:val="24"/>
        </w:rPr>
        <w:t>s</w:t>
      </w:r>
      <w:r w:rsidRPr="004A1C60">
        <w:rPr>
          <w:rFonts w:ascii="Times New Roman" w:hAnsi="Times New Roman" w:cs="Times New Roman"/>
          <w:i/>
          <w:sz w:val="24"/>
          <w:szCs w:val="24"/>
        </w:rPr>
        <w:t xml:space="preserve"> to children are v</w:t>
      </w:r>
      <w:r w:rsidR="00414FF7" w:rsidRPr="004A1C60">
        <w:rPr>
          <w:rFonts w:ascii="Times New Roman" w:hAnsi="Times New Roman" w:cs="Times New Roman"/>
          <w:i/>
          <w:sz w:val="24"/>
          <w:szCs w:val="24"/>
        </w:rPr>
        <w:t>ery</w:t>
      </w:r>
      <w:r w:rsidRPr="004A1C60">
        <w:rPr>
          <w:rFonts w:ascii="Times New Roman" w:hAnsi="Times New Roman" w:cs="Times New Roman"/>
          <w:i/>
          <w:sz w:val="24"/>
          <w:szCs w:val="24"/>
        </w:rPr>
        <w:t xml:space="preserve"> diff</w:t>
      </w:r>
      <w:r w:rsidR="00414FF7" w:rsidRPr="004A1C60">
        <w:rPr>
          <w:rFonts w:ascii="Times New Roman" w:hAnsi="Times New Roman" w:cs="Times New Roman"/>
          <w:i/>
          <w:sz w:val="24"/>
          <w:szCs w:val="24"/>
        </w:rPr>
        <w:t>erent</w:t>
      </w:r>
      <w:r w:rsidRPr="004A1C60">
        <w:rPr>
          <w:rFonts w:ascii="Times New Roman" w:hAnsi="Times New Roman" w:cs="Times New Roman"/>
          <w:i/>
          <w:sz w:val="24"/>
          <w:szCs w:val="24"/>
        </w:rPr>
        <w:t xml:space="preserve"> and that’s in the style and the type of language used</w:t>
      </w:r>
      <w:r w:rsidR="00414FF7" w:rsidRPr="004A1C60">
        <w:rPr>
          <w:rFonts w:ascii="Times New Roman" w:hAnsi="Times New Roman" w:cs="Times New Roman"/>
          <w:i/>
          <w:sz w:val="24"/>
          <w:szCs w:val="24"/>
        </w:rPr>
        <w:t>,</w:t>
      </w:r>
      <w:r w:rsidRPr="004A1C60">
        <w:rPr>
          <w:rFonts w:ascii="Times New Roman" w:hAnsi="Times New Roman" w:cs="Times New Roman"/>
          <w:i/>
          <w:sz w:val="24"/>
          <w:szCs w:val="24"/>
        </w:rPr>
        <w:t xml:space="preserve"> it</w:t>
      </w:r>
      <w:r w:rsidR="00414FF7" w:rsidRPr="004A1C60">
        <w:rPr>
          <w:rFonts w:ascii="Times New Roman" w:hAnsi="Times New Roman" w:cs="Times New Roman"/>
          <w:i/>
          <w:sz w:val="24"/>
          <w:szCs w:val="24"/>
        </w:rPr>
        <w:t>’</w:t>
      </w:r>
      <w:r w:rsidRPr="004A1C60">
        <w:rPr>
          <w:rFonts w:ascii="Times New Roman" w:hAnsi="Times New Roman" w:cs="Times New Roman"/>
          <w:i/>
          <w:sz w:val="24"/>
          <w:szCs w:val="24"/>
        </w:rPr>
        <w:t>s obv</w:t>
      </w:r>
      <w:r w:rsidR="00414FF7" w:rsidRPr="004A1C60">
        <w:rPr>
          <w:rFonts w:ascii="Times New Roman" w:hAnsi="Times New Roman" w:cs="Times New Roman"/>
          <w:i/>
          <w:sz w:val="24"/>
          <w:szCs w:val="24"/>
        </w:rPr>
        <w:t>iously a</w:t>
      </w:r>
      <w:r w:rsidRPr="004A1C60">
        <w:rPr>
          <w:rFonts w:ascii="Times New Roman" w:hAnsi="Times New Roman" w:cs="Times New Roman"/>
          <w:i/>
          <w:sz w:val="24"/>
          <w:szCs w:val="24"/>
        </w:rPr>
        <w:t xml:space="preserve"> lot simpler for child</w:t>
      </w:r>
      <w:r w:rsidR="00414FF7" w:rsidRPr="004A1C60">
        <w:rPr>
          <w:rFonts w:ascii="Times New Roman" w:hAnsi="Times New Roman" w:cs="Times New Roman"/>
          <w:i/>
          <w:sz w:val="24"/>
          <w:szCs w:val="24"/>
        </w:rPr>
        <w:t>ren</w:t>
      </w:r>
      <w:r w:rsidRPr="004A1C60">
        <w:rPr>
          <w:rFonts w:ascii="Times New Roman" w:hAnsi="Times New Roman" w:cs="Times New Roman"/>
          <w:i/>
          <w:sz w:val="24"/>
          <w:szCs w:val="24"/>
        </w:rPr>
        <w:t xml:space="preserve"> but also you haven’t got as much of it but also the way you’re expected to comm</w:t>
      </w:r>
      <w:r w:rsidR="00414FF7" w:rsidRPr="004A1C60">
        <w:rPr>
          <w:rFonts w:ascii="Times New Roman" w:hAnsi="Times New Roman" w:cs="Times New Roman"/>
          <w:i/>
          <w:sz w:val="24"/>
          <w:szCs w:val="24"/>
        </w:rPr>
        <w:t>unicate</w:t>
      </w:r>
      <w:r w:rsidRPr="004A1C60">
        <w:rPr>
          <w:rFonts w:ascii="Times New Roman" w:hAnsi="Times New Roman" w:cs="Times New Roman"/>
          <w:i/>
          <w:sz w:val="24"/>
          <w:szCs w:val="24"/>
        </w:rPr>
        <w:t xml:space="preserve"> for example it’s mu</w:t>
      </w:r>
      <w:r w:rsidR="00414FF7" w:rsidRPr="004A1C60">
        <w:rPr>
          <w:rFonts w:ascii="Times New Roman" w:hAnsi="Times New Roman" w:cs="Times New Roman"/>
          <w:i/>
          <w:sz w:val="24"/>
          <w:szCs w:val="24"/>
        </w:rPr>
        <w:t xml:space="preserve">ch </w:t>
      </w:r>
      <w:r w:rsidR="00CA418A" w:rsidRPr="004A1C60">
        <w:rPr>
          <w:rFonts w:ascii="Times New Roman" w:hAnsi="Times New Roman" w:cs="Times New Roman"/>
          <w:i/>
          <w:sz w:val="24"/>
          <w:szCs w:val="24"/>
        </w:rPr>
        <w:t xml:space="preserve">more multi-modal with children </w:t>
      </w:r>
      <w:r w:rsidR="00414FF7" w:rsidRPr="004A1C60">
        <w:rPr>
          <w:rFonts w:ascii="Times New Roman" w:hAnsi="Times New Roman" w:cs="Times New Roman"/>
          <w:i/>
          <w:sz w:val="24"/>
          <w:szCs w:val="24"/>
        </w:rPr>
        <w:t>in the nurser</w:t>
      </w:r>
      <w:r w:rsidRPr="004A1C60">
        <w:rPr>
          <w:rFonts w:ascii="Times New Roman" w:hAnsi="Times New Roman" w:cs="Times New Roman"/>
          <w:i/>
          <w:sz w:val="24"/>
          <w:szCs w:val="24"/>
        </w:rPr>
        <w:t>y there are a lot of ways that the multimodal stuff is more positioned towards the children…whereas the staff</w:t>
      </w:r>
      <w:r w:rsidR="00D33993" w:rsidRPr="004A1C60">
        <w:rPr>
          <w:rFonts w:ascii="Times New Roman" w:hAnsi="Times New Roman" w:cs="Times New Roman"/>
          <w:i/>
          <w:sz w:val="24"/>
          <w:szCs w:val="24"/>
        </w:rPr>
        <w:t xml:space="preserve"> would use more technology, they</w:t>
      </w:r>
      <w:r w:rsidRPr="004A1C60">
        <w:rPr>
          <w:rFonts w:ascii="Times New Roman" w:hAnsi="Times New Roman" w:cs="Times New Roman"/>
          <w:i/>
          <w:sz w:val="24"/>
          <w:szCs w:val="24"/>
        </w:rPr>
        <w:t>’d be on the phone or they’d be on the ema</w:t>
      </w:r>
      <w:r w:rsidR="00D33993" w:rsidRPr="004A1C60">
        <w:rPr>
          <w:rFonts w:ascii="Times New Roman" w:hAnsi="Times New Roman" w:cs="Times New Roman"/>
          <w:i/>
          <w:sz w:val="24"/>
          <w:szCs w:val="24"/>
        </w:rPr>
        <w:t>i</w:t>
      </w:r>
      <w:r w:rsidRPr="004A1C60">
        <w:rPr>
          <w:rFonts w:ascii="Times New Roman" w:hAnsi="Times New Roman" w:cs="Times New Roman"/>
          <w:i/>
          <w:sz w:val="24"/>
          <w:szCs w:val="24"/>
        </w:rPr>
        <w:t>l …whereas the children would be given role play areas to</w:t>
      </w:r>
      <w:r w:rsidR="00D33993" w:rsidRPr="004A1C60">
        <w:rPr>
          <w:rFonts w:ascii="Times New Roman" w:hAnsi="Times New Roman" w:cs="Times New Roman"/>
          <w:i/>
          <w:sz w:val="24"/>
          <w:szCs w:val="24"/>
        </w:rPr>
        <w:t xml:space="preserve"> encourage interaction or given art and </w:t>
      </w:r>
      <w:r w:rsidR="00CA418A" w:rsidRPr="004A1C60">
        <w:rPr>
          <w:rFonts w:ascii="Times New Roman" w:hAnsi="Times New Roman" w:cs="Times New Roman"/>
          <w:i/>
          <w:sz w:val="24"/>
          <w:szCs w:val="24"/>
        </w:rPr>
        <w:t>gluing</w:t>
      </w:r>
      <w:r w:rsidR="00D33993" w:rsidRPr="004A1C60">
        <w:rPr>
          <w:rFonts w:ascii="Times New Roman" w:hAnsi="Times New Roman" w:cs="Times New Roman"/>
          <w:i/>
          <w:sz w:val="24"/>
          <w:szCs w:val="24"/>
        </w:rPr>
        <w:t xml:space="preserve"> and things to paly with to </w:t>
      </w:r>
      <w:r w:rsidRPr="004A1C60">
        <w:rPr>
          <w:rFonts w:ascii="Times New Roman" w:hAnsi="Times New Roman" w:cs="Times New Roman"/>
          <w:i/>
          <w:sz w:val="24"/>
          <w:szCs w:val="24"/>
        </w:rPr>
        <w:t>get th</w:t>
      </w:r>
      <w:r w:rsidR="00D33993" w:rsidRPr="004A1C60">
        <w:rPr>
          <w:rFonts w:ascii="Times New Roman" w:hAnsi="Times New Roman" w:cs="Times New Roman"/>
          <w:i/>
          <w:sz w:val="24"/>
          <w:szCs w:val="24"/>
        </w:rPr>
        <w:t>em learning  how to communicate.</w:t>
      </w:r>
      <w:r w:rsidRPr="004A1C60">
        <w:rPr>
          <w:rFonts w:ascii="Times New Roman" w:hAnsi="Times New Roman" w:cs="Times New Roman"/>
          <w:i/>
          <w:sz w:val="24"/>
          <w:szCs w:val="24"/>
        </w:rPr>
        <w:t xml:space="preserve"> I think it’s more centred arou</w:t>
      </w:r>
      <w:r w:rsidR="00D33993" w:rsidRPr="004A1C60">
        <w:rPr>
          <w:rFonts w:ascii="Times New Roman" w:hAnsi="Times New Roman" w:cs="Times New Roman"/>
          <w:i/>
          <w:sz w:val="24"/>
          <w:szCs w:val="24"/>
        </w:rPr>
        <w:t>n</w:t>
      </w:r>
      <w:r w:rsidRPr="004A1C60">
        <w:rPr>
          <w:rFonts w:ascii="Times New Roman" w:hAnsi="Times New Roman" w:cs="Times New Roman"/>
          <w:i/>
          <w:sz w:val="24"/>
          <w:szCs w:val="24"/>
        </w:rPr>
        <w:t>d getting the children to lear</w:t>
      </w:r>
      <w:r w:rsidR="00D33993" w:rsidRPr="004A1C60">
        <w:rPr>
          <w:rFonts w:ascii="Times New Roman" w:hAnsi="Times New Roman" w:cs="Times New Roman"/>
          <w:i/>
          <w:sz w:val="24"/>
          <w:szCs w:val="24"/>
        </w:rPr>
        <w:t>n how to communicate rather than</w:t>
      </w:r>
      <w:r w:rsidRPr="004A1C60">
        <w:rPr>
          <w:rFonts w:ascii="Times New Roman" w:hAnsi="Times New Roman" w:cs="Times New Roman"/>
          <w:i/>
          <w:sz w:val="24"/>
          <w:szCs w:val="24"/>
        </w:rPr>
        <w:t xml:space="preserve"> sharing any act</w:t>
      </w:r>
      <w:r w:rsidR="00D33993" w:rsidRPr="004A1C60">
        <w:rPr>
          <w:rFonts w:ascii="Times New Roman" w:hAnsi="Times New Roman" w:cs="Times New Roman"/>
          <w:i/>
          <w:sz w:val="24"/>
          <w:szCs w:val="24"/>
        </w:rPr>
        <w:t>ual</w:t>
      </w:r>
      <w:r w:rsidRPr="004A1C60">
        <w:rPr>
          <w:rFonts w:ascii="Times New Roman" w:hAnsi="Times New Roman" w:cs="Times New Roman"/>
          <w:i/>
          <w:sz w:val="24"/>
          <w:szCs w:val="24"/>
        </w:rPr>
        <w:t xml:space="preserve"> inform</w:t>
      </w:r>
      <w:r w:rsidR="00D33993" w:rsidRPr="004A1C60">
        <w:rPr>
          <w:rFonts w:ascii="Times New Roman" w:hAnsi="Times New Roman" w:cs="Times New Roman"/>
          <w:i/>
          <w:sz w:val="24"/>
          <w:szCs w:val="24"/>
        </w:rPr>
        <w:t>ation</w:t>
      </w:r>
      <w:r w:rsidRPr="004A1C60">
        <w:rPr>
          <w:rFonts w:ascii="Times New Roman" w:hAnsi="Times New Roman" w:cs="Times New Roman"/>
          <w:i/>
          <w:sz w:val="24"/>
          <w:szCs w:val="24"/>
        </w:rPr>
        <w:t xml:space="preserve"> with them. I think in grid area 5, if you look at resources there are a whole load of things that do go in to ot</w:t>
      </w:r>
      <w:r w:rsidR="00CA418A" w:rsidRPr="004A1C60">
        <w:rPr>
          <w:rFonts w:ascii="Times New Roman" w:hAnsi="Times New Roman" w:cs="Times New Roman"/>
          <w:i/>
          <w:sz w:val="24"/>
          <w:szCs w:val="24"/>
        </w:rPr>
        <w:t>her areas of the grid as well…</w:t>
      </w:r>
      <w:r w:rsidRPr="004A1C60">
        <w:rPr>
          <w:rFonts w:ascii="Times New Roman" w:hAnsi="Times New Roman" w:cs="Times New Roman"/>
          <w:i/>
          <w:sz w:val="24"/>
          <w:szCs w:val="24"/>
        </w:rPr>
        <w:t>teaching children how to read or write rather</w:t>
      </w:r>
      <w:r w:rsidR="00D33993" w:rsidRPr="004A1C60">
        <w:rPr>
          <w:rFonts w:ascii="Times New Roman" w:hAnsi="Times New Roman" w:cs="Times New Roman"/>
          <w:i/>
          <w:sz w:val="24"/>
          <w:szCs w:val="24"/>
        </w:rPr>
        <w:t xml:space="preserve"> than teaching information </w:t>
      </w:r>
      <w:r w:rsidRPr="004A1C60">
        <w:rPr>
          <w:rFonts w:ascii="Times New Roman" w:hAnsi="Times New Roman" w:cs="Times New Roman"/>
          <w:i/>
          <w:sz w:val="24"/>
          <w:szCs w:val="24"/>
        </w:rPr>
        <w:t>about that</w:t>
      </w:r>
      <w:r w:rsidR="007F4BDD" w:rsidRPr="004A1C60">
        <w:rPr>
          <w:rFonts w:ascii="Times New Roman" w:hAnsi="Times New Roman" w:cs="Times New Roman"/>
          <w:i/>
          <w:sz w:val="24"/>
          <w:szCs w:val="24"/>
        </w:rPr>
        <w:t>.</w:t>
      </w:r>
    </w:p>
    <w:p w14:paraId="2A167E7D" w14:textId="18E113DE" w:rsidR="00B7335C" w:rsidRPr="004A1C60" w:rsidRDefault="00B60A13" w:rsidP="00832802">
      <w:pPr>
        <w:spacing w:line="360" w:lineRule="auto"/>
        <w:rPr>
          <w:rFonts w:ascii="Times New Roman" w:hAnsi="Times New Roman" w:cs="Times New Roman"/>
          <w:sz w:val="24"/>
          <w:szCs w:val="24"/>
        </w:rPr>
      </w:pPr>
      <w:r w:rsidRPr="004A1C60">
        <w:rPr>
          <w:rFonts w:ascii="Times New Roman" w:hAnsi="Times New Roman" w:cs="Times New Roman"/>
          <w:sz w:val="24"/>
          <w:szCs w:val="24"/>
        </w:rPr>
        <w:t>The question promp</w:t>
      </w:r>
      <w:r w:rsidR="00455D0B" w:rsidRPr="004A1C60">
        <w:rPr>
          <w:rFonts w:ascii="Times New Roman" w:hAnsi="Times New Roman" w:cs="Times New Roman"/>
          <w:sz w:val="24"/>
          <w:szCs w:val="24"/>
        </w:rPr>
        <w:t>ts were appreciated as generative, dialogic openings,</w:t>
      </w:r>
      <w:r w:rsidR="00EF3668" w:rsidRPr="004A1C60">
        <w:rPr>
          <w:rFonts w:ascii="Times New Roman" w:hAnsi="Times New Roman" w:cs="Times New Roman"/>
          <w:sz w:val="24"/>
          <w:szCs w:val="24"/>
        </w:rPr>
        <w:t xml:space="preserve"> </w:t>
      </w:r>
      <w:r w:rsidRPr="004A1C60">
        <w:rPr>
          <w:rFonts w:ascii="Times New Roman" w:hAnsi="Times New Roman" w:cs="Times New Roman"/>
          <w:sz w:val="24"/>
          <w:szCs w:val="24"/>
        </w:rPr>
        <w:t xml:space="preserve">ways </w:t>
      </w:r>
      <w:r w:rsidR="00EF3668" w:rsidRPr="004A1C60">
        <w:rPr>
          <w:rFonts w:ascii="Times New Roman" w:hAnsi="Times New Roman" w:cs="Times New Roman"/>
          <w:sz w:val="24"/>
          <w:szCs w:val="24"/>
        </w:rPr>
        <w:t>‘</w:t>
      </w:r>
      <w:r w:rsidRPr="004A1C60">
        <w:rPr>
          <w:rFonts w:ascii="Times New Roman" w:hAnsi="Times New Roman" w:cs="Times New Roman"/>
          <w:sz w:val="24"/>
          <w:szCs w:val="24"/>
        </w:rPr>
        <w:t>in’</w:t>
      </w:r>
      <w:r w:rsidR="00EF3668" w:rsidRPr="004A1C60">
        <w:rPr>
          <w:rFonts w:ascii="Times New Roman" w:hAnsi="Times New Roman" w:cs="Times New Roman"/>
          <w:sz w:val="24"/>
          <w:szCs w:val="24"/>
        </w:rPr>
        <w:t xml:space="preserve"> to thinking a bit differently, “the thing about the grid” remarked one student is </w:t>
      </w:r>
      <w:r w:rsidR="001976DC" w:rsidRPr="004A1C60">
        <w:rPr>
          <w:rFonts w:ascii="Times New Roman" w:hAnsi="Times New Roman" w:cs="Times New Roman"/>
          <w:sz w:val="24"/>
          <w:szCs w:val="24"/>
        </w:rPr>
        <w:t>that it “[draws your attention to]</w:t>
      </w:r>
      <w:r w:rsidRPr="004A1C60">
        <w:rPr>
          <w:rFonts w:ascii="Times New Roman" w:hAnsi="Times New Roman" w:cs="Times New Roman"/>
          <w:sz w:val="24"/>
          <w:szCs w:val="24"/>
        </w:rPr>
        <w:t xml:space="preserve"> </w:t>
      </w:r>
      <w:r w:rsidR="001976DC" w:rsidRPr="004A1C60">
        <w:rPr>
          <w:rFonts w:ascii="Times New Roman" w:hAnsi="Times New Roman" w:cs="Times New Roman"/>
          <w:sz w:val="24"/>
          <w:szCs w:val="24"/>
        </w:rPr>
        <w:t xml:space="preserve">all those things that they don’t tell you about the job, that they don’t teach you, it allows you to identify </w:t>
      </w:r>
      <w:r w:rsidR="00A5666E" w:rsidRPr="004A1C60">
        <w:rPr>
          <w:rFonts w:ascii="Times New Roman" w:hAnsi="Times New Roman" w:cs="Times New Roman"/>
          <w:sz w:val="24"/>
          <w:szCs w:val="24"/>
        </w:rPr>
        <w:t xml:space="preserve">all </w:t>
      </w:r>
      <w:r w:rsidR="00973027" w:rsidRPr="004A1C60">
        <w:rPr>
          <w:rFonts w:ascii="Times New Roman" w:hAnsi="Times New Roman" w:cs="Times New Roman"/>
          <w:sz w:val="24"/>
          <w:szCs w:val="24"/>
        </w:rPr>
        <w:t xml:space="preserve">those things that are going on </w:t>
      </w:r>
      <w:r w:rsidR="00A5666E" w:rsidRPr="004A1C60">
        <w:rPr>
          <w:rFonts w:ascii="Times New Roman" w:hAnsi="Times New Roman" w:cs="Times New Roman"/>
          <w:sz w:val="24"/>
          <w:szCs w:val="24"/>
        </w:rPr>
        <w:t>in the job.”</w:t>
      </w:r>
      <w:r w:rsidR="00973027" w:rsidRPr="004A1C60">
        <w:rPr>
          <w:rFonts w:ascii="Times New Roman" w:hAnsi="Times New Roman" w:cs="Times New Roman"/>
          <w:sz w:val="24"/>
          <w:szCs w:val="24"/>
        </w:rPr>
        <w:t xml:space="preserve"> Users became </w:t>
      </w:r>
      <w:r w:rsidR="00EA240C" w:rsidRPr="004A1C60">
        <w:rPr>
          <w:rFonts w:ascii="Times New Roman" w:hAnsi="Times New Roman" w:cs="Times New Roman"/>
          <w:sz w:val="24"/>
          <w:szCs w:val="24"/>
        </w:rPr>
        <w:t xml:space="preserve">researchers, </w:t>
      </w:r>
      <w:r w:rsidR="00CA418A" w:rsidRPr="004A1C60">
        <w:rPr>
          <w:rFonts w:ascii="Times New Roman" w:hAnsi="Times New Roman" w:cs="Times New Roman"/>
          <w:sz w:val="24"/>
          <w:szCs w:val="24"/>
        </w:rPr>
        <w:t>auto-ethnographers</w:t>
      </w:r>
      <w:r w:rsidR="00EA240C" w:rsidRPr="004A1C60">
        <w:rPr>
          <w:rFonts w:ascii="Times New Roman" w:hAnsi="Times New Roman" w:cs="Times New Roman"/>
          <w:sz w:val="24"/>
          <w:szCs w:val="24"/>
        </w:rPr>
        <w:t xml:space="preserve"> of the </w:t>
      </w:r>
      <w:r w:rsidR="00973027" w:rsidRPr="004A1C60">
        <w:rPr>
          <w:rFonts w:ascii="Times New Roman" w:hAnsi="Times New Roman" w:cs="Times New Roman"/>
          <w:sz w:val="24"/>
          <w:szCs w:val="24"/>
        </w:rPr>
        <w:t>work-place</w:t>
      </w:r>
      <w:r w:rsidR="00EA240C" w:rsidRPr="004A1C60">
        <w:rPr>
          <w:rFonts w:ascii="Times New Roman" w:hAnsi="Times New Roman" w:cs="Times New Roman"/>
          <w:sz w:val="24"/>
          <w:szCs w:val="24"/>
        </w:rPr>
        <w:t>s</w:t>
      </w:r>
      <w:r w:rsidR="00973027" w:rsidRPr="004A1C60">
        <w:rPr>
          <w:rFonts w:ascii="Times New Roman" w:hAnsi="Times New Roman" w:cs="Times New Roman"/>
          <w:sz w:val="24"/>
          <w:szCs w:val="24"/>
        </w:rPr>
        <w:t xml:space="preserve"> setting </w:t>
      </w:r>
      <w:r w:rsidR="00F90627" w:rsidRPr="004A1C60">
        <w:rPr>
          <w:rFonts w:ascii="Times New Roman" w:hAnsi="Times New Roman" w:cs="Times New Roman"/>
          <w:sz w:val="24"/>
          <w:szCs w:val="24"/>
        </w:rPr>
        <w:t xml:space="preserve">describing, </w:t>
      </w:r>
      <w:r w:rsidR="00EA240C" w:rsidRPr="004A1C60">
        <w:rPr>
          <w:rFonts w:ascii="Times New Roman" w:hAnsi="Times New Roman" w:cs="Times New Roman"/>
          <w:sz w:val="24"/>
          <w:szCs w:val="24"/>
        </w:rPr>
        <w:t xml:space="preserve">re-presenting </w:t>
      </w:r>
      <w:r w:rsidR="00F90627" w:rsidRPr="004A1C60">
        <w:rPr>
          <w:rFonts w:ascii="Times New Roman" w:hAnsi="Times New Roman" w:cs="Times New Roman"/>
          <w:sz w:val="24"/>
          <w:szCs w:val="24"/>
        </w:rPr>
        <w:t xml:space="preserve">and playing with </w:t>
      </w:r>
      <w:r w:rsidR="00EA240C" w:rsidRPr="004A1C60">
        <w:rPr>
          <w:rFonts w:ascii="Times New Roman" w:hAnsi="Times New Roman" w:cs="Times New Roman"/>
          <w:sz w:val="24"/>
          <w:szCs w:val="24"/>
        </w:rPr>
        <w:t>social and structural relations and reflecting o</w:t>
      </w:r>
      <w:r w:rsidR="00F90627" w:rsidRPr="004A1C60">
        <w:rPr>
          <w:rFonts w:ascii="Times New Roman" w:hAnsi="Times New Roman" w:cs="Times New Roman"/>
          <w:sz w:val="24"/>
          <w:szCs w:val="24"/>
        </w:rPr>
        <w:t>n their own positionality and choices and the affordances an</w:t>
      </w:r>
      <w:r w:rsidR="000864CF" w:rsidRPr="004A1C60">
        <w:rPr>
          <w:rFonts w:ascii="Times New Roman" w:hAnsi="Times New Roman" w:cs="Times New Roman"/>
          <w:sz w:val="24"/>
          <w:szCs w:val="24"/>
        </w:rPr>
        <w:t>d constraints that framed these;</w:t>
      </w:r>
    </w:p>
    <w:p w14:paraId="2FA46C3F" w14:textId="375E64C9" w:rsidR="00CE13DC" w:rsidRPr="004A1C60" w:rsidRDefault="00CE13DC" w:rsidP="00832802">
      <w:pPr>
        <w:spacing w:line="360" w:lineRule="auto"/>
        <w:ind w:left="720"/>
        <w:rPr>
          <w:rFonts w:ascii="Times New Roman" w:hAnsi="Times New Roman" w:cs="Times New Roman"/>
          <w:i/>
          <w:sz w:val="24"/>
          <w:szCs w:val="24"/>
        </w:rPr>
      </w:pPr>
      <w:r w:rsidRPr="004A1C60">
        <w:rPr>
          <w:rFonts w:ascii="Times New Roman" w:hAnsi="Times New Roman" w:cs="Times New Roman"/>
          <w:i/>
          <w:sz w:val="24"/>
          <w:szCs w:val="24"/>
        </w:rPr>
        <w:t>You’ve got the knowledge…the grid helps you apply it and…then you can evaluate it</w:t>
      </w:r>
    </w:p>
    <w:p w14:paraId="76297862" w14:textId="77777777" w:rsidR="003F2C1D" w:rsidRPr="004A1C60" w:rsidRDefault="00EC3CC4" w:rsidP="00832802">
      <w:pPr>
        <w:spacing w:line="360" w:lineRule="auto"/>
        <w:rPr>
          <w:rFonts w:ascii="Times New Roman" w:hAnsi="Times New Roman" w:cs="Times New Roman"/>
          <w:sz w:val="24"/>
          <w:szCs w:val="24"/>
        </w:rPr>
      </w:pPr>
      <w:r w:rsidRPr="004A1C60">
        <w:rPr>
          <w:rFonts w:ascii="Times New Roman" w:hAnsi="Times New Roman" w:cs="Times New Roman"/>
          <w:sz w:val="24"/>
          <w:szCs w:val="24"/>
        </w:rPr>
        <w:t xml:space="preserve">For some this served to de-festishise the </w:t>
      </w:r>
      <w:r w:rsidR="00C340A9" w:rsidRPr="004A1C60">
        <w:rPr>
          <w:rFonts w:ascii="Times New Roman" w:hAnsi="Times New Roman" w:cs="Times New Roman"/>
          <w:sz w:val="24"/>
          <w:szCs w:val="24"/>
        </w:rPr>
        <w:t>notion of employment readiness</w:t>
      </w:r>
      <w:r w:rsidRPr="004A1C60">
        <w:rPr>
          <w:rFonts w:ascii="Times New Roman" w:hAnsi="Times New Roman" w:cs="Times New Roman"/>
          <w:sz w:val="24"/>
          <w:szCs w:val="24"/>
        </w:rPr>
        <w:t xml:space="preserve"> and </w:t>
      </w:r>
      <w:r w:rsidR="005833C6" w:rsidRPr="004A1C60">
        <w:rPr>
          <w:rFonts w:ascii="Times New Roman" w:hAnsi="Times New Roman" w:cs="Times New Roman"/>
          <w:sz w:val="24"/>
          <w:szCs w:val="24"/>
        </w:rPr>
        <w:t xml:space="preserve">instead </w:t>
      </w:r>
      <w:r w:rsidR="00A9273A" w:rsidRPr="004A1C60">
        <w:rPr>
          <w:rFonts w:ascii="Times New Roman" w:hAnsi="Times New Roman" w:cs="Times New Roman"/>
          <w:sz w:val="24"/>
          <w:szCs w:val="24"/>
        </w:rPr>
        <w:t xml:space="preserve">to </w:t>
      </w:r>
      <w:r w:rsidR="00C340A9" w:rsidRPr="004A1C60">
        <w:rPr>
          <w:rFonts w:ascii="Times New Roman" w:hAnsi="Times New Roman" w:cs="Times New Roman"/>
          <w:sz w:val="24"/>
          <w:szCs w:val="24"/>
        </w:rPr>
        <w:t>interrogate</w:t>
      </w:r>
      <w:r w:rsidR="00636026" w:rsidRPr="004A1C60">
        <w:rPr>
          <w:rFonts w:ascii="Times New Roman" w:hAnsi="Times New Roman" w:cs="Times New Roman"/>
          <w:sz w:val="24"/>
          <w:szCs w:val="24"/>
        </w:rPr>
        <w:t xml:space="preserve"> their ow</w:t>
      </w:r>
      <w:r w:rsidR="005833C6" w:rsidRPr="004A1C60">
        <w:rPr>
          <w:rFonts w:ascii="Times New Roman" w:hAnsi="Times New Roman" w:cs="Times New Roman"/>
          <w:sz w:val="24"/>
          <w:szCs w:val="24"/>
        </w:rPr>
        <w:t>n motivation with regard participation in a par</w:t>
      </w:r>
      <w:r w:rsidR="00A97B69" w:rsidRPr="004A1C60">
        <w:rPr>
          <w:rFonts w:ascii="Times New Roman" w:hAnsi="Times New Roman" w:cs="Times New Roman"/>
          <w:sz w:val="24"/>
          <w:szCs w:val="24"/>
        </w:rPr>
        <w:t>ticular set of social practices</w:t>
      </w:r>
      <w:r w:rsidR="00C650B0" w:rsidRPr="004A1C60">
        <w:rPr>
          <w:rFonts w:ascii="Times New Roman" w:hAnsi="Times New Roman" w:cs="Times New Roman"/>
          <w:sz w:val="24"/>
          <w:szCs w:val="24"/>
        </w:rPr>
        <w:t xml:space="preserve">, </w:t>
      </w:r>
      <w:r w:rsidR="00FE0086" w:rsidRPr="004A1C60">
        <w:rPr>
          <w:rFonts w:ascii="Times New Roman" w:hAnsi="Times New Roman" w:cs="Times New Roman"/>
          <w:sz w:val="24"/>
          <w:szCs w:val="24"/>
        </w:rPr>
        <w:t>‘</w:t>
      </w:r>
      <w:r w:rsidR="00C650B0" w:rsidRPr="004A1C60">
        <w:rPr>
          <w:rFonts w:ascii="Times New Roman" w:hAnsi="Times New Roman" w:cs="Times New Roman"/>
          <w:sz w:val="24"/>
          <w:szCs w:val="24"/>
        </w:rPr>
        <w:t>reading themselves</w:t>
      </w:r>
      <w:r w:rsidR="00FE0086" w:rsidRPr="004A1C60">
        <w:rPr>
          <w:rFonts w:ascii="Times New Roman" w:hAnsi="Times New Roman" w:cs="Times New Roman"/>
          <w:sz w:val="24"/>
          <w:szCs w:val="24"/>
        </w:rPr>
        <w:t xml:space="preserve">’ against </w:t>
      </w:r>
      <w:r w:rsidR="00C650B0" w:rsidRPr="004A1C60">
        <w:rPr>
          <w:rFonts w:ascii="Times New Roman" w:hAnsi="Times New Roman" w:cs="Times New Roman"/>
          <w:sz w:val="24"/>
          <w:szCs w:val="24"/>
        </w:rPr>
        <w:t>Big D discourses of work</w:t>
      </w:r>
      <w:r w:rsidR="00A97B69" w:rsidRPr="004A1C60">
        <w:rPr>
          <w:rFonts w:ascii="Times New Roman" w:hAnsi="Times New Roman" w:cs="Times New Roman"/>
          <w:sz w:val="24"/>
          <w:szCs w:val="24"/>
        </w:rPr>
        <w:t xml:space="preserve">. </w:t>
      </w:r>
    </w:p>
    <w:p w14:paraId="5B1476DF" w14:textId="6D1FE91A" w:rsidR="003F2C1D" w:rsidRPr="004A1C60" w:rsidRDefault="003F2C1D" w:rsidP="003F2C1D">
      <w:pPr>
        <w:spacing w:line="360" w:lineRule="auto"/>
        <w:ind w:left="720"/>
        <w:rPr>
          <w:rFonts w:ascii="Times New Roman" w:hAnsi="Times New Roman" w:cs="Times New Roman"/>
          <w:i/>
          <w:sz w:val="24"/>
          <w:szCs w:val="24"/>
        </w:rPr>
      </w:pPr>
      <w:r w:rsidRPr="004A1C60">
        <w:rPr>
          <w:rFonts w:ascii="Times New Roman" w:hAnsi="Times New Roman" w:cs="Times New Roman"/>
          <w:i/>
          <w:sz w:val="24"/>
          <w:szCs w:val="24"/>
        </w:rPr>
        <w:lastRenderedPageBreak/>
        <w:t>clients are willing to wait for three hours purely because it’s free…with increasing costs for solicitors and lawyers…clients are willing to give up a whole day…and we’re shouldered with that burden as in we’ve really go</w:t>
      </w:r>
      <w:r w:rsidR="00D33993" w:rsidRPr="004A1C60">
        <w:rPr>
          <w:rFonts w:ascii="Times New Roman" w:hAnsi="Times New Roman" w:cs="Times New Roman"/>
          <w:i/>
          <w:sz w:val="24"/>
          <w:szCs w:val="24"/>
        </w:rPr>
        <w:t>t</w:t>
      </w:r>
      <w:r w:rsidRPr="004A1C60">
        <w:rPr>
          <w:rFonts w:ascii="Times New Roman" w:hAnsi="Times New Roman" w:cs="Times New Roman"/>
          <w:i/>
          <w:sz w:val="24"/>
          <w:szCs w:val="24"/>
        </w:rPr>
        <w:t xml:space="preserve"> to rise to expectation….with this like I’m doing a law degree and I really do want to practice….but this placement has really made me think what kind… do I really want to become that?...what kind? Do I really want to become a lawyer? I think its really good, I didn’t really think about…the grid was fine and as soon as I started to talk about it to the staff…I thought is it something that I really want?</w:t>
      </w:r>
    </w:p>
    <w:p w14:paraId="7378655D" w14:textId="7BC8CEF0" w:rsidR="002770E9" w:rsidRPr="004A1C60" w:rsidRDefault="00EF42B2" w:rsidP="00832802">
      <w:pPr>
        <w:spacing w:line="360" w:lineRule="auto"/>
        <w:rPr>
          <w:rFonts w:ascii="Times New Roman" w:hAnsi="Times New Roman" w:cs="Times New Roman"/>
          <w:sz w:val="24"/>
          <w:szCs w:val="24"/>
        </w:rPr>
      </w:pPr>
      <w:r w:rsidRPr="004A1C60">
        <w:rPr>
          <w:rFonts w:ascii="Times New Roman" w:hAnsi="Times New Roman" w:cs="Times New Roman"/>
          <w:sz w:val="24"/>
          <w:szCs w:val="24"/>
        </w:rPr>
        <w:t>For this</w:t>
      </w:r>
      <w:r w:rsidR="00A97B69" w:rsidRPr="004A1C60">
        <w:rPr>
          <w:rFonts w:ascii="Times New Roman" w:hAnsi="Times New Roman" w:cs="Times New Roman"/>
          <w:sz w:val="24"/>
          <w:szCs w:val="24"/>
        </w:rPr>
        <w:t xml:space="preserve"> student in particular this meant taking responsibility</w:t>
      </w:r>
      <w:r w:rsidR="00494171" w:rsidRPr="004A1C60">
        <w:rPr>
          <w:rFonts w:ascii="Times New Roman" w:hAnsi="Times New Roman" w:cs="Times New Roman"/>
          <w:sz w:val="24"/>
          <w:szCs w:val="24"/>
        </w:rPr>
        <w:t xml:space="preserve"> for her </w:t>
      </w:r>
      <w:r w:rsidR="00A97B69" w:rsidRPr="004A1C60">
        <w:rPr>
          <w:rFonts w:ascii="Times New Roman" w:hAnsi="Times New Roman" w:cs="Times New Roman"/>
          <w:sz w:val="24"/>
          <w:szCs w:val="24"/>
        </w:rPr>
        <w:t>own decision-making</w:t>
      </w:r>
      <w:r w:rsidR="00494171" w:rsidRPr="004A1C60">
        <w:rPr>
          <w:rFonts w:ascii="Times New Roman" w:hAnsi="Times New Roman" w:cs="Times New Roman"/>
          <w:sz w:val="24"/>
          <w:szCs w:val="24"/>
        </w:rPr>
        <w:t xml:space="preserve"> asking herself what did it mean to her</w:t>
      </w:r>
      <w:r w:rsidR="002770E9" w:rsidRPr="004A1C60">
        <w:rPr>
          <w:rFonts w:ascii="Times New Roman" w:hAnsi="Times New Roman" w:cs="Times New Roman"/>
          <w:sz w:val="24"/>
          <w:szCs w:val="24"/>
        </w:rPr>
        <w:t xml:space="preserve"> to be a lawyer </w:t>
      </w:r>
      <w:r w:rsidR="002770E9" w:rsidRPr="004A1C60">
        <w:rPr>
          <w:rFonts w:ascii="Times New Roman" w:hAnsi="Times New Roman" w:cs="Times New Roman"/>
          <w:i/>
          <w:sz w:val="24"/>
          <w:szCs w:val="24"/>
        </w:rPr>
        <w:t>in practice</w:t>
      </w:r>
      <w:r w:rsidR="002770E9" w:rsidRPr="004A1C60">
        <w:rPr>
          <w:rFonts w:ascii="Times New Roman" w:hAnsi="Times New Roman" w:cs="Times New Roman"/>
          <w:sz w:val="24"/>
          <w:szCs w:val="24"/>
        </w:rPr>
        <w:t>, what sorts of roles and identities did i</w:t>
      </w:r>
      <w:r w:rsidR="00C7164F" w:rsidRPr="004A1C60">
        <w:rPr>
          <w:rFonts w:ascii="Times New Roman" w:hAnsi="Times New Roman" w:cs="Times New Roman"/>
          <w:sz w:val="24"/>
          <w:szCs w:val="24"/>
        </w:rPr>
        <w:t>t require her to enact and ho</w:t>
      </w:r>
      <w:r w:rsidR="00B521F3" w:rsidRPr="004A1C60">
        <w:rPr>
          <w:rFonts w:ascii="Times New Roman" w:hAnsi="Times New Roman" w:cs="Times New Roman"/>
          <w:sz w:val="24"/>
          <w:szCs w:val="24"/>
        </w:rPr>
        <w:t>w did these collide with her existing</w:t>
      </w:r>
      <w:r w:rsidR="00761A20" w:rsidRPr="004A1C60">
        <w:rPr>
          <w:rFonts w:ascii="Times New Roman" w:hAnsi="Times New Roman" w:cs="Times New Roman"/>
          <w:sz w:val="24"/>
          <w:szCs w:val="24"/>
        </w:rPr>
        <w:t xml:space="preserve"> </w:t>
      </w:r>
      <w:r w:rsidR="00C7164F" w:rsidRPr="004A1C60">
        <w:rPr>
          <w:rFonts w:ascii="Times New Roman" w:hAnsi="Times New Roman" w:cs="Times New Roman"/>
          <w:sz w:val="24"/>
          <w:szCs w:val="24"/>
        </w:rPr>
        <w:t>va</w:t>
      </w:r>
      <w:r w:rsidR="00761A20" w:rsidRPr="004A1C60">
        <w:rPr>
          <w:rFonts w:ascii="Times New Roman" w:hAnsi="Times New Roman" w:cs="Times New Roman"/>
          <w:sz w:val="24"/>
          <w:szCs w:val="24"/>
        </w:rPr>
        <w:t>lues, politics and preferred social identities.</w:t>
      </w:r>
    </w:p>
    <w:p w14:paraId="53F351D9" w14:textId="347019FF" w:rsidR="00E06002" w:rsidRPr="004A1C60" w:rsidRDefault="00915699" w:rsidP="00832802">
      <w:pPr>
        <w:spacing w:line="360" w:lineRule="auto"/>
        <w:rPr>
          <w:rFonts w:ascii="Times New Roman" w:hAnsi="Times New Roman" w:cs="Times New Roman"/>
          <w:b/>
          <w:i/>
          <w:sz w:val="24"/>
          <w:szCs w:val="24"/>
        </w:rPr>
      </w:pPr>
      <w:r w:rsidRPr="004A1C60">
        <w:rPr>
          <w:rFonts w:ascii="Times New Roman" w:hAnsi="Times New Roman" w:cs="Times New Roman"/>
          <w:b/>
          <w:i/>
          <w:sz w:val="24"/>
          <w:szCs w:val="24"/>
        </w:rPr>
        <w:t xml:space="preserve">Risks, Flexibility and constraints </w:t>
      </w:r>
    </w:p>
    <w:p w14:paraId="1E209C19" w14:textId="0DC3F096" w:rsidR="00544072" w:rsidRPr="004A1C60" w:rsidRDefault="009B4C9F" w:rsidP="00832802">
      <w:pPr>
        <w:spacing w:line="360" w:lineRule="auto"/>
        <w:rPr>
          <w:rFonts w:ascii="Times New Roman" w:hAnsi="Times New Roman" w:cs="Times New Roman"/>
          <w:sz w:val="24"/>
          <w:szCs w:val="24"/>
        </w:rPr>
      </w:pPr>
      <w:r w:rsidRPr="004A1C60">
        <w:rPr>
          <w:rFonts w:ascii="Times New Roman" w:hAnsi="Times New Roman" w:cs="Times New Roman"/>
          <w:sz w:val="24"/>
          <w:szCs w:val="24"/>
        </w:rPr>
        <w:t>S</w:t>
      </w:r>
      <w:r w:rsidR="00A67A6E" w:rsidRPr="004A1C60">
        <w:rPr>
          <w:rFonts w:ascii="Times New Roman" w:hAnsi="Times New Roman" w:cs="Times New Roman"/>
          <w:sz w:val="24"/>
          <w:szCs w:val="24"/>
        </w:rPr>
        <w:t>tudent researchers were quick to recognise</w:t>
      </w:r>
      <w:r w:rsidR="0090794B" w:rsidRPr="004A1C60">
        <w:rPr>
          <w:rFonts w:ascii="Times New Roman" w:hAnsi="Times New Roman" w:cs="Times New Roman"/>
          <w:sz w:val="24"/>
          <w:szCs w:val="24"/>
        </w:rPr>
        <w:t xml:space="preserve"> the potential for </w:t>
      </w:r>
      <w:r w:rsidR="00E06002" w:rsidRPr="004A1C60">
        <w:rPr>
          <w:rFonts w:ascii="Times New Roman" w:hAnsi="Times New Roman" w:cs="Times New Roman"/>
          <w:sz w:val="24"/>
          <w:szCs w:val="24"/>
        </w:rPr>
        <w:t>sensitiviti</w:t>
      </w:r>
      <w:r w:rsidR="0090794B" w:rsidRPr="004A1C60">
        <w:rPr>
          <w:rFonts w:ascii="Times New Roman" w:hAnsi="Times New Roman" w:cs="Times New Roman"/>
          <w:sz w:val="24"/>
          <w:szCs w:val="24"/>
        </w:rPr>
        <w:t>es around the</w:t>
      </w:r>
      <w:r w:rsidR="00E06002" w:rsidRPr="004A1C60">
        <w:rPr>
          <w:rFonts w:ascii="Times New Roman" w:hAnsi="Times New Roman" w:cs="Times New Roman"/>
          <w:sz w:val="24"/>
          <w:szCs w:val="24"/>
        </w:rPr>
        <w:t xml:space="preserve"> sort of reflexive analysis </w:t>
      </w:r>
      <w:r w:rsidR="0090794B" w:rsidRPr="004A1C60">
        <w:rPr>
          <w:rFonts w:ascii="Times New Roman" w:hAnsi="Times New Roman" w:cs="Times New Roman"/>
          <w:sz w:val="24"/>
          <w:szCs w:val="24"/>
        </w:rPr>
        <w:t xml:space="preserve">they were engaged in and </w:t>
      </w:r>
      <w:r w:rsidR="00E06002" w:rsidRPr="004A1C60">
        <w:rPr>
          <w:rFonts w:ascii="Times New Roman" w:hAnsi="Times New Roman" w:cs="Times New Roman"/>
          <w:sz w:val="24"/>
          <w:szCs w:val="24"/>
        </w:rPr>
        <w:t xml:space="preserve">how their insights might position them in relation to </w:t>
      </w:r>
      <w:r w:rsidR="00544072" w:rsidRPr="004A1C60">
        <w:rPr>
          <w:rFonts w:ascii="Times New Roman" w:hAnsi="Times New Roman" w:cs="Times New Roman"/>
          <w:sz w:val="24"/>
          <w:szCs w:val="24"/>
        </w:rPr>
        <w:t>domin</w:t>
      </w:r>
      <w:r w:rsidR="00793CC9" w:rsidRPr="004A1C60">
        <w:rPr>
          <w:rFonts w:ascii="Times New Roman" w:hAnsi="Times New Roman" w:cs="Times New Roman"/>
          <w:sz w:val="24"/>
          <w:szCs w:val="24"/>
        </w:rPr>
        <w:t xml:space="preserve">ant rhetoric of </w:t>
      </w:r>
      <w:r w:rsidR="00E36EE0" w:rsidRPr="004A1C60">
        <w:rPr>
          <w:rFonts w:ascii="Times New Roman" w:hAnsi="Times New Roman" w:cs="Times New Roman"/>
          <w:sz w:val="24"/>
          <w:szCs w:val="24"/>
        </w:rPr>
        <w:t>the workplace.</w:t>
      </w:r>
      <w:r w:rsidR="00793CC9" w:rsidRPr="004A1C60">
        <w:rPr>
          <w:rFonts w:ascii="Times New Roman" w:hAnsi="Times New Roman" w:cs="Times New Roman"/>
          <w:sz w:val="24"/>
          <w:szCs w:val="24"/>
        </w:rPr>
        <w:t xml:space="preserve"> This led to discussion of</w:t>
      </w:r>
      <w:r w:rsidR="00EB2E43" w:rsidRPr="004A1C60">
        <w:rPr>
          <w:rFonts w:ascii="Times New Roman" w:hAnsi="Times New Roman" w:cs="Times New Roman"/>
          <w:sz w:val="24"/>
          <w:szCs w:val="24"/>
        </w:rPr>
        <w:t xml:space="preserve"> the </w:t>
      </w:r>
      <w:r w:rsidR="00793CC9" w:rsidRPr="004A1C60">
        <w:rPr>
          <w:rFonts w:ascii="Times New Roman" w:hAnsi="Times New Roman" w:cs="Times New Roman"/>
          <w:sz w:val="24"/>
          <w:szCs w:val="24"/>
        </w:rPr>
        <w:t xml:space="preserve">constraints of workplace practice and </w:t>
      </w:r>
      <w:r w:rsidR="00AC42ED" w:rsidRPr="004A1C60">
        <w:rPr>
          <w:rFonts w:ascii="Times New Roman" w:hAnsi="Times New Roman" w:cs="Times New Roman"/>
          <w:sz w:val="24"/>
          <w:szCs w:val="24"/>
        </w:rPr>
        <w:t xml:space="preserve">consideration of </w:t>
      </w:r>
      <w:r w:rsidR="00761A20" w:rsidRPr="004A1C60">
        <w:rPr>
          <w:rFonts w:ascii="Times New Roman" w:hAnsi="Times New Roman" w:cs="Times New Roman"/>
          <w:sz w:val="24"/>
          <w:szCs w:val="24"/>
        </w:rPr>
        <w:t xml:space="preserve">individual </w:t>
      </w:r>
      <w:r w:rsidR="00793CC9" w:rsidRPr="004A1C60">
        <w:rPr>
          <w:rFonts w:ascii="Times New Roman" w:hAnsi="Times New Roman" w:cs="Times New Roman"/>
          <w:sz w:val="24"/>
          <w:szCs w:val="24"/>
        </w:rPr>
        <w:t>positionality in</w:t>
      </w:r>
      <w:r w:rsidR="00AC42ED" w:rsidRPr="004A1C60">
        <w:rPr>
          <w:rFonts w:ascii="Times New Roman" w:hAnsi="Times New Roman" w:cs="Times New Roman"/>
          <w:sz w:val="24"/>
          <w:szCs w:val="24"/>
        </w:rPr>
        <w:t xml:space="preserve"> relation to these</w:t>
      </w:r>
      <w:r w:rsidR="007B2A25" w:rsidRPr="004A1C60">
        <w:rPr>
          <w:rFonts w:ascii="Times New Roman" w:hAnsi="Times New Roman" w:cs="Times New Roman"/>
          <w:sz w:val="24"/>
          <w:szCs w:val="24"/>
        </w:rPr>
        <w:t>;</w:t>
      </w:r>
    </w:p>
    <w:p w14:paraId="3D7B0B5F" w14:textId="3B512C3B" w:rsidR="00E06002" w:rsidRPr="004A1C60" w:rsidRDefault="00E06002" w:rsidP="00832802">
      <w:pPr>
        <w:spacing w:line="360" w:lineRule="auto"/>
        <w:ind w:left="720"/>
        <w:rPr>
          <w:rFonts w:ascii="Times New Roman" w:hAnsi="Times New Roman" w:cs="Times New Roman"/>
          <w:i/>
          <w:sz w:val="24"/>
          <w:szCs w:val="24"/>
        </w:rPr>
      </w:pPr>
      <w:r w:rsidRPr="004A1C60">
        <w:rPr>
          <w:rFonts w:ascii="Times New Roman" w:hAnsi="Times New Roman" w:cs="Times New Roman"/>
          <w:i/>
          <w:sz w:val="24"/>
          <w:szCs w:val="24"/>
        </w:rPr>
        <w:t>I think if you were going to use it as something to learn about the literacies in workplaces it might be something to use for yourself rather than comment on all the time…I think in a nursery if we went in and said how flexible are we they would say “oh we’re very flexible and we adhere to the child</w:t>
      </w:r>
      <w:r w:rsidR="00C87DC1" w:rsidRPr="004A1C60">
        <w:rPr>
          <w:rFonts w:ascii="Times New Roman" w:hAnsi="Times New Roman" w:cs="Times New Roman"/>
          <w:i/>
          <w:sz w:val="24"/>
          <w:szCs w:val="24"/>
        </w:rPr>
        <w:t>'</w:t>
      </w:r>
      <w:r w:rsidRPr="004A1C60">
        <w:rPr>
          <w:rFonts w:ascii="Times New Roman" w:hAnsi="Times New Roman" w:cs="Times New Roman"/>
          <w:i/>
          <w:sz w:val="24"/>
          <w:szCs w:val="24"/>
        </w:rPr>
        <w:t>s needs and we do this and we do that” and if you wer</w:t>
      </w:r>
      <w:r w:rsidR="00177A9A" w:rsidRPr="004A1C60">
        <w:rPr>
          <w:rFonts w:ascii="Times New Roman" w:hAnsi="Times New Roman" w:cs="Times New Roman"/>
          <w:i/>
          <w:sz w:val="24"/>
          <w:szCs w:val="24"/>
        </w:rPr>
        <w:t>e using the grid you might say “</w:t>
      </w:r>
      <w:r w:rsidRPr="004A1C60">
        <w:rPr>
          <w:rFonts w:ascii="Times New Roman" w:hAnsi="Times New Roman" w:cs="Times New Roman"/>
          <w:i/>
          <w:sz w:val="24"/>
          <w:szCs w:val="24"/>
        </w:rPr>
        <w:t>well you don’t do this and you don’t do that</w:t>
      </w:r>
      <w:r w:rsidR="00177A9A" w:rsidRPr="004A1C60">
        <w:rPr>
          <w:rFonts w:ascii="Times New Roman" w:hAnsi="Times New Roman" w:cs="Times New Roman"/>
          <w:i/>
          <w:sz w:val="24"/>
          <w:szCs w:val="24"/>
        </w:rPr>
        <w:t>”</w:t>
      </w:r>
      <w:r w:rsidRPr="004A1C60">
        <w:rPr>
          <w:rFonts w:ascii="Times New Roman" w:hAnsi="Times New Roman" w:cs="Times New Roman"/>
          <w:i/>
          <w:sz w:val="24"/>
          <w:szCs w:val="24"/>
        </w:rPr>
        <w:t xml:space="preserve"> and these are your constraints because I think they don’t neces</w:t>
      </w:r>
      <w:r w:rsidR="00177A9A" w:rsidRPr="004A1C60">
        <w:rPr>
          <w:rFonts w:ascii="Times New Roman" w:hAnsi="Times New Roman" w:cs="Times New Roman"/>
          <w:i/>
          <w:sz w:val="24"/>
          <w:szCs w:val="24"/>
        </w:rPr>
        <w:t>sarily want that spoken about….</w:t>
      </w:r>
    </w:p>
    <w:p w14:paraId="29A39546" w14:textId="09269679" w:rsidR="0067694B" w:rsidRPr="004A1C60" w:rsidRDefault="005F5947" w:rsidP="00832802">
      <w:pPr>
        <w:spacing w:line="360" w:lineRule="auto"/>
        <w:rPr>
          <w:rFonts w:ascii="Times New Roman" w:hAnsi="Times New Roman" w:cs="Times New Roman"/>
          <w:sz w:val="24"/>
          <w:szCs w:val="24"/>
        </w:rPr>
      </w:pPr>
      <w:r w:rsidRPr="004A1C60">
        <w:rPr>
          <w:rFonts w:ascii="Times New Roman" w:hAnsi="Times New Roman" w:cs="Times New Roman"/>
          <w:sz w:val="24"/>
          <w:szCs w:val="24"/>
        </w:rPr>
        <w:t>Identifying boundaries and the risks associate</w:t>
      </w:r>
      <w:r w:rsidR="00742701" w:rsidRPr="004A1C60">
        <w:rPr>
          <w:rFonts w:ascii="Times New Roman" w:hAnsi="Times New Roman" w:cs="Times New Roman"/>
          <w:sz w:val="24"/>
          <w:szCs w:val="24"/>
        </w:rPr>
        <w:t>d with boundary crossing mobilised</w:t>
      </w:r>
      <w:r w:rsidRPr="004A1C60">
        <w:rPr>
          <w:rFonts w:ascii="Times New Roman" w:hAnsi="Times New Roman" w:cs="Times New Roman"/>
          <w:sz w:val="24"/>
          <w:szCs w:val="24"/>
        </w:rPr>
        <w:t xml:space="preserve"> </w:t>
      </w:r>
      <w:r w:rsidR="00742701" w:rsidRPr="004A1C60">
        <w:rPr>
          <w:rFonts w:ascii="Times New Roman" w:hAnsi="Times New Roman" w:cs="Times New Roman"/>
          <w:sz w:val="24"/>
          <w:szCs w:val="24"/>
        </w:rPr>
        <w:t xml:space="preserve">potential for </w:t>
      </w:r>
      <w:r w:rsidR="00E11F32" w:rsidRPr="004A1C60">
        <w:rPr>
          <w:rFonts w:ascii="Times New Roman" w:hAnsi="Times New Roman" w:cs="Times New Roman"/>
          <w:sz w:val="24"/>
          <w:szCs w:val="24"/>
        </w:rPr>
        <w:t>agentic</w:t>
      </w:r>
      <w:r w:rsidRPr="004A1C60">
        <w:rPr>
          <w:rFonts w:ascii="Times New Roman" w:hAnsi="Times New Roman" w:cs="Times New Roman"/>
          <w:sz w:val="24"/>
          <w:szCs w:val="24"/>
        </w:rPr>
        <w:t xml:space="preserve"> decision-making that </w:t>
      </w:r>
      <w:r w:rsidR="00742701" w:rsidRPr="004A1C60">
        <w:rPr>
          <w:rFonts w:ascii="Times New Roman" w:hAnsi="Times New Roman" w:cs="Times New Roman"/>
          <w:sz w:val="24"/>
          <w:szCs w:val="24"/>
        </w:rPr>
        <w:t xml:space="preserve">re-interpreted rather than reproduced pervasive </w:t>
      </w:r>
      <w:r w:rsidR="00FD2B01" w:rsidRPr="004A1C60">
        <w:rPr>
          <w:rFonts w:ascii="Times New Roman" w:hAnsi="Times New Roman" w:cs="Times New Roman"/>
          <w:sz w:val="24"/>
          <w:szCs w:val="24"/>
        </w:rPr>
        <w:t>practice and identities and opened up new possibilit</w:t>
      </w:r>
      <w:r w:rsidR="003D6F8F" w:rsidRPr="004A1C60">
        <w:rPr>
          <w:rFonts w:ascii="Times New Roman" w:hAnsi="Times New Roman" w:cs="Times New Roman"/>
          <w:sz w:val="24"/>
          <w:szCs w:val="24"/>
        </w:rPr>
        <w:t>ies for alternative ways</w:t>
      </w:r>
      <w:r w:rsidR="0013407A" w:rsidRPr="004A1C60">
        <w:rPr>
          <w:rFonts w:ascii="Times New Roman" w:hAnsi="Times New Roman" w:cs="Times New Roman"/>
          <w:sz w:val="24"/>
          <w:szCs w:val="24"/>
        </w:rPr>
        <w:t xml:space="preserve"> of doing and being as a worker, “Learning where you can be flexible and what your </w:t>
      </w:r>
      <w:r w:rsidR="00CA418A" w:rsidRPr="004A1C60">
        <w:rPr>
          <w:rFonts w:ascii="Times New Roman" w:hAnsi="Times New Roman" w:cs="Times New Roman"/>
          <w:sz w:val="24"/>
          <w:szCs w:val="24"/>
        </w:rPr>
        <w:t>constraints</w:t>
      </w:r>
      <w:r w:rsidR="0013407A" w:rsidRPr="004A1C60">
        <w:rPr>
          <w:rFonts w:ascii="Times New Roman" w:hAnsi="Times New Roman" w:cs="Times New Roman"/>
          <w:sz w:val="24"/>
          <w:szCs w:val="24"/>
        </w:rPr>
        <w:t xml:space="preserve"> are – where there is leeway to make decisions”.</w:t>
      </w:r>
      <w:r w:rsidR="000A5923" w:rsidRPr="004A1C60">
        <w:rPr>
          <w:rFonts w:ascii="Times New Roman" w:hAnsi="Times New Roman" w:cs="Times New Roman"/>
          <w:sz w:val="24"/>
          <w:szCs w:val="24"/>
        </w:rPr>
        <w:t xml:space="preserve"> Rules came to be understood as framing</w:t>
      </w:r>
      <w:r w:rsidR="00FE0086" w:rsidRPr="004A1C60">
        <w:rPr>
          <w:rFonts w:ascii="Times New Roman" w:hAnsi="Times New Roman" w:cs="Times New Roman"/>
          <w:sz w:val="24"/>
          <w:szCs w:val="24"/>
        </w:rPr>
        <w:t>,</w:t>
      </w:r>
      <w:r w:rsidR="000A5923" w:rsidRPr="004A1C60">
        <w:rPr>
          <w:rFonts w:ascii="Times New Roman" w:hAnsi="Times New Roman" w:cs="Times New Roman"/>
          <w:sz w:val="24"/>
          <w:szCs w:val="24"/>
        </w:rPr>
        <w:t xml:space="preserve"> rather than defining</w:t>
      </w:r>
      <w:r w:rsidR="00FE0086" w:rsidRPr="004A1C60">
        <w:rPr>
          <w:rFonts w:ascii="Times New Roman" w:hAnsi="Times New Roman" w:cs="Times New Roman"/>
          <w:sz w:val="24"/>
          <w:szCs w:val="24"/>
        </w:rPr>
        <w:t>,</w:t>
      </w:r>
      <w:r w:rsidR="000A5923" w:rsidRPr="004A1C60">
        <w:rPr>
          <w:rFonts w:ascii="Times New Roman" w:hAnsi="Times New Roman" w:cs="Times New Roman"/>
          <w:sz w:val="24"/>
          <w:szCs w:val="24"/>
        </w:rPr>
        <w:t xml:space="preserve"> capacity for agency</w:t>
      </w:r>
      <w:r w:rsidR="0044414A" w:rsidRPr="004A1C60">
        <w:rPr>
          <w:rFonts w:ascii="Times New Roman" w:hAnsi="Times New Roman" w:cs="Times New Roman"/>
          <w:sz w:val="24"/>
          <w:szCs w:val="24"/>
        </w:rPr>
        <w:t xml:space="preserve">, with </w:t>
      </w:r>
      <w:r w:rsidR="007A2678" w:rsidRPr="004A1C60">
        <w:rPr>
          <w:rFonts w:ascii="Times New Roman" w:hAnsi="Times New Roman" w:cs="Times New Roman"/>
          <w:sz w:val="24"/>
          <w:szCs w:val="24"/>
        </w:rPr>
        <w:t xml:space="preserve">ideas about </w:t>
      </w:r>
      <w:r w:rsidR="0044414A" w:rsidRPr="004A1C60">
        <w:rPr>
          <w:rFonts w:ascii="Times New Roman" w:hAnsi="Times New Roman" w:cs="Times New Roman"/>
          <w:sz w:val="24"/>
          <w:szCs w:val="24"/>
        </w:rPr>
        <w:t>responsibility, purpose</w:t>
      </w:r>
      <w:r w:rsidR="007A2678" w:rsidRPr="004A1C60">
        <w:rPr>
          <w:rFonts w:ascii="Times New Roman" w:hAnsi="Times New Roman" w:cs="Times New Roman"/>
          <w:sz w:val="24"/>
          <w:szCs w:val="24"/>
        </w:rPr>
        <w:t>, morality and</w:t>
      </w:r>
      <w:r w:rsidR="00205D74" w:rsidRPr="004A1C60">
        <w:rPr>
          <w:rFonts w:ascii="Times New Roman" w:hAnsi="Times New Roman" w:cs="Times New Roman"/>
          <w:sz w:val="24"/>
          <w:szCs w:val="24"/>
        </w:rPr>
        <w:t xml:space="preserve"> ethics </w:t>
      </w:r>
      <w:r w:rsidR="00DD6B4A" w:rsidRPr="004A1C60">
        <w:rPr>
          <w:rFonts w:ascii="Times New Roman" w:hAnsi="Times New Roman" w:cs="Times New Roman"/>
          <w:sz w:val="24"/>
          <w:szCs w:val="24"/>
        </w:rPr>
        <w:t>mobilised</w:t>
      </w:r>
      <w:r w:rsidR="00205D74" w:rsidRPr="004A1C60">
        <w:rPr>
          <w:rFonts w:ascii="Times New Roman" w:hAnsi="Times New Roman" w:cs="Times New Roman"/>
          <w:sz w:val="24"/>
          <w:szCs w:val="24"/>
        </w:rPr>
        <w:t xml:space="preserve"> to mediate reactions, </w:t>
      </w:r>
      <w:r w:rsidR="007A2678" w:rsidRPr="004A1C60">
        <w:rPr>
          <w:rFonts w:ascii="Times New Roman" w:hAnsi="Times New Roman" w:cs="Times New Roman"/>
          <w:sz w:val="24"/>
          <w:szCs w:val="24"/>
        </w:rPr>
        <w:t>resp</w:t>
      </w:r>
      <w:r w:rsidR="00205D74" w:rsidRPr="004A1C60">
        <w:rPr>
          <w:rFonts w:ascii="Times New Roman" w:hAnsi="Times New Roman" w:cs="Times New Roman"/>
          <w:sz w:val="24"/>
          <w:szCs w:val="24"/>
        </w:rPr>
        <w:t>onses and decision-making:</w:t>
      </w:r>
    </w:p>
    <w:p w14:paraId="69C494E4" w14:textId="64AA6212" w:rsidR="0067694B" w:rsidRPr="004A1C60" w:rsidRDefault="0067694B" w:rsidP="00832802">
      <w:pPr>
        <w:spacing w:line="360" w:lineRule="auto"/>
        <w:ind w:left="720"/>
        <w:rPr>
          <w:rFonts w:ascii="Times New Roman" w:hAnsi="Times New Roman" w:cs="Times New Roman"/>
          <w:i/>
          <w:sz w:val="24"/>
          <w:szCs w:val="24"/>
        </w:rPr>
      </w:pPr>
      <w:r w:rsidRPr="004A1C60">
        <w:rPr>
          <w:rFonts w:ascii="Times New Roman" w:hAnsi="Times New Roman" w:cs="Times New Roman"/>
          <w:i/>
          <w:sz w:val="24"/>
          <w:szCs w:val="24"/>
        </w:rPr>
        <w:lastRenderedPageBreak/>
        <w:t>In reality we’re told is that an interview with a client</w:t>
      </w:r>
      <w:r w:rsidR="00D33993" w:rsidRPr="004A1C60">
        <w:rPr>
          <w:rFonts w:ascii="Times New Roman" w:hAnsi="Times New Roman" w:cs="Times New Roman"/>
          <w:i/>
          <w:sz w:val="24"/>
          <w:szCs w:val="24"/>
        </w:rPr>
        <w:t xml:space="preserve"> it is meant to be 15 minute, it doesn’t happen, some take up to an hour </w:t>
      </w:r>
      <w:r w:rsidRPr="004A1C60">
        <w:rPr>
          <w:rFonts w:ascii="Times New Roman" w:hAnsi="Times New Roman" w:cs="Times New Roman"/>
          <w:i/>
          <w:sz w:val="24"/>
          <w:szCs w:val="24"/>
        </w:rPr>
        <w:t>because a client might be upset, they might need to pop out or want to te</w:t>
      </w:r>
      <w:r w:rsidR="00D33993" w:rsidRPr="004A1C60">
        <w:rPr>
          <w:rFonts w:ascii="Times New Roman" w:hAnsi="Times New Roman" w:cs="Times New Roman"/>
          <w:i/>
          <w:sz w:val="24"/>
          <w:szCs w:val="24"/>
        </w:rPr>
        <w:t>ll you more about the situation</w:t>
      </w:r>
      <w:r w:rsidRPr="004A1C60">
        <w:rPr>
          <w:rFonts w:ascii="Times New Roman" w:hAnsi="Times New Roman" w:cs="Times New Roman"/>
          <w:i/>
          <w:sz w:val="24"/>
          <w:szCs w:val="24"/>
        </w:rPr>
        <w:t>, rules are there for a purpose and it</w:t>
      </w:r>
      <w:r w:rsidR="00D33993" w:rsidRPr="004A1C60">
        <w:rPr>
          <w:rFonts w:ascii="Times New Roman" w:hAnsi="Times New Roman" w:cs="Times New Roman"/>
          <w:i/>
          <w:sz w:val="24"/>
          <w:szCs w:val="24"/>
        </w:rPr>
        <w:t>’</w:t>
      </w:r>
      <w:r w:rsidRPr="004A1C60">
        <w:rPr>
          <w:rFonts w:ascii="Times New Roman" w:hAnsi="Times New Roman" w:cs="Times New Roman"/>
          <w:i/>
          <w:sz w:val="24"/>
          <w:szCs w:val="24"/>
        </w:rPr>
        <w:t>s great but sometimes in practice they don’t work. That’s what it’s r</w:t>
      </w:r>
      <w:r w:rsidR="00D33993" w:rsidRPr="004A1C60">
        <w:rPr>
          <w:rFonts w:ascii="Times New Roman" w:hAnsi="Times New Roman" w:cs="Times New Roman"/>
          <w:i/>
          <w:sz w:val="24"/>
          <w:szCs w:val="24"/>
        </w:rPr>
        <w:t xml:space="preserve">eally highlighted for me that </w:t>
      </w:r>
      <w:r w:rsidR="00CA418A" w:rsidRPr="004A1C60">
        <w:rPr>
          <w:rFonts w:ascii="Times New Roman" w:hAnsi="Times New Roman" w:cs="Times New Roman"/>
          <w:i/>
          <w:sz w:val="24"/>
          <w:szCs w:val="24"/>
        </w:rPr>
        <w:t>I’ve</w:t>
      </w:r>
      <w:r w:rsidRPr="004A1C60">
        <w:rPr>
          <w:rFonts w:ascii="Times New Roman" w:hAnsi="Times New Roman" w:cs="Times New Roman"/>
          <w:i/>
          <w:sz w:val="24"/>
          <w:szCs w:val="24"/>
        </w:rPr>
        <w:t xml:space="preserve"> really picked up that there are rules but you’ve got to be flexible to reach a purpose or </w:t>
      </w:r>
      <w:r w:rsidR="00CA418A" w:rsidRPr="004A1C60">
        <w:rPr>
          <w:rFonts w:ascii="Times New Roman" w:hAnsi="Times New Roman" w:cs="Times New Roman"/>
          <w:i/>
          <w:sz w:val="24"/>
          <w:szCs w:val="24"/>
        </w:rPr>
        <w:t>fulfil</w:t>
      </w:r>
      <w:r w:rsidRPr="004A1C60">
        <w:rPr>
          <w:rFonts w:ascii="Times New Roman" w:hAnsi="Times New Roman" w:cs="Times New Roman"/>
          <w:i/>
          <w:sz w:val="24"/>
          <w:szCs w:val="24"/>
        </w:rPr>
        <w:t xml:space="preserve"> an aim</w:t>
      </w:r>
    </w:p>
    <w:p w14:paraId="77FF064E" w14:textId="4BA58400" w:rsidR="00177A9A" w:rsidRPr="004A1C60" w:rsidRDefault="00205D74" w:rsidP="00832802">
      <w:pPr>
        <w:spacing w:line="360" w:lineRule="auto"/>
        <w:rPr>
          <w:rFonts w:ascii="Times New Roman" w:hAnsi="Times New Roman" w:cs="Times New Roman"/>
          <w:sz w:val="24"/>
          <w:szCs w:val="24"/>
        </w:rPr>
      </w:pPr>
      <w:r w:rsidRPr="004A1C60">
        <w:rPr>
          <w:rFonts w:ascii="Times New Roman" w:hAnsi="Times New Roman" w:cs="Times New Roman"/>
          <w:sz w:val="24"/>
          <w:szCs w:val="24"/>
        </w:rPr>
        <w:t xml:space="preserve">Equally students used the grid to explore the entangled </w:t>
      </w:r>
      <w:r w:rsidR="00C92E82" w:rsidRPr="004A1C60">
        <w:rPr>
          <w:rFonts w:ascii="Times New Roman" w:hAnsi="Times New Roman" w:cs="Times New Roman"/>
          <w:sz w:val="24"/>
          <w:szCs w:val="24"/>
        </w:rPr>
        <w:t>nature of life and work domains</w:t>
      </w:r>
      <w:r w:rsidR="00D277B9" w:rsidRPr="004A1C60">
        <w:rPr>
          <w:rFonts w:ascii="Times New Roman" w:hAnsi="Times New Roman" w:cs="Times New Roman"/>
          <w:sz w:val="24"/>
          <w:szCs w:val="24"/>
        </w:rPr>
        <w:t>, in the extract belo</w:t>
      </w:r>
      <w:r w:rsidR="003825EC" w:rsidRPr="004A1C60">
        <w:rPr>
          <w:rFonts w:ascii="Times New Roman" w:hAnsi="Times New Roman" w:cs="Times New Roman"/>
          <w:sz w:val="24"/>
          <w:szCs w:val="24"/>
        </w:rPr>
        <w:t xml:space="preserve">w for example the </w:t>
      </w:r>
      <w:r w:rsidR="00FF3A57" w:rsidRPr="004A1C60">
        <w:rPr>
          <w:rFonts w:ascii="Times New Roman" w:hAnsi="Times New Roman" w:cs="Times New Roman"/>
          <w:sz w:val="24"/>
          <w:szCs w:val="24"/>
        </w:rPr>
        <w:t>relationship between</w:t>
      </w:r>
      <w:r w:rsidR="00635A16" w:rsidRPr="004A1C60">
        <w:rPr>
          <w:rFonts w:ascii="Times New Roman" w:hAnsi="Times New Roman" w:cs="Times New Roman"/>
          <w:sz w:val="24"/>
          <w:szCs w:val="24"/>
        </w:rPr>
        <w:t xml:space="preserve"> </w:t>
      </w:r>
      <w:r w:rsidR="00D277B9" w:rsidRPr="004A1C60">
        <w:rPr>
          <w:rFonts w:ascii="Times New Roman" w:hAnsi="Times New Roman" w:cs="Times New Roman"/>
          <w:sz w:val="24"/>
          <w:szCs w:val="24"/>
        </w:rPr>
        <w:t>life-world and work</w:t>
      </w:r>
      <w:r w:rsidR="00635A16" w:rsidRPr="004A1C60">
        <w:rPr>
          <w:rFonts w:ascii="Times New Roman" w:hAnsi="Times New Roman" w:cs="Times New Roman"/>
          <w:sz w:val="24"/>
          <w:szCs w:val="24"/>
        </w:rPr>
        <w:t xml:space="preserve">-world identities, priorities and concerns is scrutinised as the student begins to wonder </w:t>
      </w:r>
      <w:r w:rsidR="003E0C95" w:rsidRPr="004A1C60">
        <w:rPr>
          <w:rFonts w:ascii="Times New Roman" w:hAnsi="Times New Roman" w:cs="Times New Roman"/>
          <w:sz w:val="24"/>
          <w:szCs w:val="24"/>
        </w:rPr>
        <w:t xml:space="preserve">what </w:t>
      </w:r>
      <w:r w:rsidR="00635A16" w:rsidRPr="004A1C60">
        <w:rPr>
          <w:rFonts w:ascii="Times New Roman" w:hAnsi="Times New Roman" w:cs="Times New Roman"/>
          <w:sz w:val="24"/>
          <w:szCs w:val="24"/>
        </w:rPr>
        <w:t>it mean</w:t>
      </w:r>
      <w:r w:rsidR="003E0C95" w:rsidRPr="004A1C60">
        <w:rPr>
          <w:rFonts w:ascii="Times New Roman" w:hAnsi="Times New Roman" w:cs="Times New Roman"/>
          <w:sz w:val="24"/>
          <w:szCs w:val="24"/>
        </w:rPr>
        <w:t>s</w:t>
      </w:r>
      <w:r w:rsidR="00635A16" w:rsidRPr="004A1C60">
        <w:rPr>
          <w:rFonts w:ascii="Times New Roman" w:hAnsi="Times New Roman" w:cs="Times New Roman"/>
          <w:sz w:val="24"/>
          <w:szCs w:val="24"/>
        </w:rPr>
        <w:t xml:space="preserve"> to </w:t>
      </w:r>
      <w:r w:rsidR="003E0C95" w:rsidRPr="004A1C60">
        <w:rPr>
          <w:rFonts w:ascii="Times New Roman" w:hAnsi="Times New Roman" w:cs="Times New Roman"/>
          <w:sz w:val="24"/>
          <w:szCs w:val="24"/>
        </w:rPr>
        <w:t xml:space="preserve">make choices about </w:t>
      </w:r>
      <w:r w:rsidR="00023E47" w:rsidRPr="004A1C60">
        <w:rPr>
          <w:rFonts w:ascii="Times New Roman" w:hAnsi="Times New Roman" w:cs="Times New Roman"/>
          <w:sz w:val="24"/>
          <w:szCs w:val="24"/>
        </w:rPr>
        <w:t>forms and mediums of comm</w:t>
      </w:r>
      <w:r w:rsidR="007A1E50" w:rsidRPr="004A1C60">
        <w:rPr>
          <w:rFonts w:ascii="Times New Roman" w:hAnsi="Times New Roman" w:cs="Times New Roman"/>
          <w:sz w:val="24"/>
          <w:szCs w:val="24"/>
        </w:rPr>
        <w:t xml:space="preserve">unication and in turn </w:t>
      </w:r>
      <w:r w:rsidR="00E11F32" w:rsidRPr="004A1C60">
        <w:rPr>
          <w:rFonts w:ascii="Times New Roman" w:hAnsi="Times New Roman" w:cs="Times New Roman"/>
          <w:sz w:val="24"/>
          <w:szCs w:val="24"/>
        </w:rPr>
        <w:t xml:space="preserve">(and perhaps more importantly) </w:t>
      </w:r>
      <w:r w:rsidR="007A1E50" w:rsidRPr="004A1C60">
        <w:rPr>
          <w:rFonts w:ascii="Times New Roman" w:hAnsi="Times New Roman" w:cs="Times New Roman"/>
          <w:sz w:val="24"/>
          <w:szCs w:val="24"/>
        </w:rPr>
        <w:t>whose interests are best served by decisions taken</w:t>
      </w:r>
      <w:r w:rsidR="00CA418A" w:rsidRPr="004A1C60">
        <w:rPr>
          <w:rFonts w:ascii="Times New Roman" w:hAnsi="Times New Roman" w:cs="Times New Roman"/>
          <w:sz w:val="24"/>
          <w:szCs w:val="24"/>
        </w:rPr>
        <w:t>: -</w:t>
      </w:r>
    </w:p>
    <w:p w14:paraId="11EF5368" w14:textId="6D5F0148" w:rsidR="00177A9A" w:rsidRPr="004A1C60" w:rsidRDefault="00E11F32" w:rsidP="00832802">
      <w:pPr>
        <w:spacing w:line="360" w:lineRule="auto"/>
        <w:ind w:left="720"/>
        <w:rPr>
          <w:rFonts w:ascii="Times New Roman" w:hAnsi="Times New Roman" w:cs="Times New Roman"/>
          <w:i/>
          <w:sz w:val="24"/>
          <w:szCs w:val="24"/>
        </w:rPr>
      </w:pPr>
      <w:r w:rsidRPr="004A1C60">
        <w:rPr>
          <w:rFonts w:ascii="Times New Roman" w:hAnsi="Times New Roman" w:cs="Times New Roman"/>
          <w:i/>
          <w:sz w:val="24"/>
          <w:szCs w:val="24"/>
        </w:rPr>
        <w:t>We were told by member of sta</w:t>
      </w:r>
      <w:r w:rsidR="00177A9A" w:rsidRPr="004A1C60">
        <w:rPr>
          <w:rFonts w:ascii="Times New Roman" w:hAnsi="Times New Roman" w:cs="Times New Roman"/>
          <w:i/>
          <w:sz w:val="24"/>
          <w:szCs w:val="24"/>
        </w:rPr>
        <w:t>ff training us that if a client speaks a ce</w:t>
      </w:r>
      <w:r w:rsidR="00FA7EB5" w:rsidRPr="004A1C60">
        <w:rPr>
          <w:rFonts w:ascii="Times New Roman" w:hAnsi="Times New Roman" w:cs="Times New Roman"/>
          <w:i/>
          <w:sz w:val="24"/>
          <w:szCs w:val="24"/>
        </w:rPr>
        <w:t xml:space="preserve">rtain language and you speak it, for example I speak Punjabi, </w:t>
      </w:r>
      <w:r w:rsidR="00177A9A" w:rsidRPr="004A1C60">
        <w:rPr>
          <w:rFonts w:ascii="Times New Roman" w:hAnsi="Times New Roman" w:cs="Times New Roman"/>
          <w:i/>
          <w:sz w:val="24"/>
          <w:szCs w:val="24"/>
        </w:rPr>
        <w:t>it’s up to you whether you want to speak it or not but if you do the client might get used to you and ask for you again and if you don’t the</w:t>
      </w:r>
      <w:r w:rsidR="00FA7EB5" w:rsidRPr="004A1C60">
        <w:rPr>
          <w:rFonts w:ascii="Times New Roman" w:hAnsi="Times New Roman" w:cs="Times New Roman"/>
          <w:i/>
          <w:sz w:val="24"/>
          <w:szCs w:val="24"/>
        </w:rPr>
        <w:t xml:space="preserve">y might not want to talk to you. </w:t>
      </w:r>
      <w:r w:rsidR="00177A9A" w:rsidRPr="004A1C60">
        <w:rPr>
          <w:rFonts w:ascii="Times New Roman" w:hAnsi="Times New Roman" w:cs="Times New Roman"/>
          <w:i/>
          <w:sz w:val="24"/>
          <w:szCs w:val="24"/>
        </w:rPr>
        <w:t>If a client comes in and I can see that they would really benefit from sp</w:t>
      </w:r>
      <w:r w:rsidR="00FA7EB5" w:rsidRPr="004A1C60">
        <w:rPr>
          <w:rFonts w:ascii="Times New Roman" w:hAnsi="Times New Roman" w:cs="Times New Roman"/>
          <w:i/>
          <w:sz w:val="24"/>
          <w:szCs w:val="24"/>
        </w:rPr>
        <w:t>eaking Punjabi then I’ll do it. T</w:t>
      </w:r>
      <w:r w:rsidR="00177A9A" w:rsidRPr="004A1C60">
        <w:rPr>
          <w:rFonts w:ascii="Times New Roman" w:hAnsi="Times New Roman" w:cs="Times New Roman"/>
          <w:i/>
          <w:sz w:val="24"/>
          <w:szCs w:val="24"/>
        </w:rPr>
        <w:t>here was an example of someone who I referred to a debt counsel</w:t>
      </w:r>
      <w:r w:rsidR="00FA7EB5" w:rsidRPr="004A1C60">
        <w:rPr>
          <w:rFonts w:ascii="Times New Roman" w:hAnsi="Times New Roman" w:cs="Times New Roman"/>
          <w:i/>
          <w:sz w:val="24"/>
          <w:szCs w:val="24"/>
        </w:rPr>
        <w:t>lor and the debt counsell</w:t>
      </w:r>
      <w:r w:rsidR="00177A9A" w:rsidRPr="004A1C60">
        <w:rPr>
          <w:rFonts w:ascii="Times New Roman" w:hAnsi="Times New Roman" w:cs="Times New Roman"/>
          <w:i/>
          <w:sz w:val="24"/>
          <w:szCs w:val="24"/>
        </w:rPr>
        <w:t xml:space="preserve">or was Indian too </w:t>
      </w:r>
      <w:r w:rsidR="00FA7EB5" w:rsidRPr="004A1C60">
        <w:rPr>
          <w:rFonts w:ascii="Times New Roman" w:hAnsi="Times New Roman" w:cs="Times New Roman"/>
          <w:i/>
          <w:sz w:val="24"/>
          <w:szCs w:val="24"/>
        </w:rPr>
        <w:t xml:space="preserve">but refused to speak Punjabi, </w:t>
      </w:r>
      <w:r w:rsidR="00177A9A" w:rsidRPr="004A1C60">
        <w:rPr>
          <w:rFonts w:ascii="Times New Roman" w:hAnsi="Times New Roman" w:cs="Times New Roman"/>
          <w:i/>
          <w:sz w:val="24"/>
          <w:szCs w:val="24"/>
        </w:rPr>
        <w:t xml:space="preserve">we were shocked, the clients come to you for help and you’ve got the power to speak </w:t>
      </w:r>
      <w:r w:rsidR="00CA418A" w:rsidRPr="004A1C60">
        <w:rPr>
          <w:rFonts w:ascii="Times New Roman" w:hAnsi="Times New Roman" w:cs="Times New Roman"/>
          <w:i/>
          <w:sz w:val="24"/>
          <w:szCs w:val="24"/>
        </w:rPr>
        <w:t>Punjabi</w:t>
      </w:r>
      <w:r w:rsidR="00177A9A" w:rsidRPr="004A1C60">
        <w:rPr>
          <w:rFonts w:ascii="Times New Roman" w:hAnsi="Times New Roman" w:cs="Times New Roman"/>
          <w:i/>
          <w:sz w:val="24"/>
          <w:szCs w:val="24"/>
        </w:rPr>
        <w:t xml:space="preserve"> but you’re not going to speak it</w:t>
      </w:r>
      <w:r w:rsidR="007A1E50" w:rsidRPr="004A1C60">
        <w:rPr>
          <w:rFonts w:ascii="Times New Roman" w:hAnsi="Times New Roman" w:cs="Times New Roman"/>
          <w:i/>
          <w:sz w:val="24"/>
          <w:szCs w:val="24"/>
        </w:rPr>
        <w:t>…</w:t>
      </w:r>
    </w:p>
    <w:p w14:paraId="2B73AADE" w14:textId="7E5AA422" w:rsidR="00ED77B8" w:rsidRPr="004A1C60" w:rsidRDefault="00D1616D" w:rsidP="00832802">
      <w:pPr>
        <w:spacing w:line="360" w:lineRule="auto"/>
        <w:rPr>
          <w:rFonts w:ascii="Times New Roman" w:hAnsi="Times New Roman" w:cs="Times New Roman"/>
          <w:sz w:val="24"/>
          <w:szCs w:val="24"/>
        </w:rPr>
      </w:pPr>
      <w:r w:rsidRPr="004A1C60">
        <w:rPr>
          <w:rFonts w:ascii="Times New Roman" w:hAnsi="Times New Roman" w:cs="Times New Roman"/>
          <w:sz w:val="24"/>
          <w:szCs w:val="24"/>
        </w:rPr>
        <w:t xml:space="preserve">This concern with how power is exercised </w:t>
      </w:r>
      <w:r w:rsidR="00C870AA" w:rsidRPr="004A1C60">
        <w:rPr>
          <w:rFonts w:ascii="Times New Roman" w:hAnsi="Times New Roman" w:cs="Times New Roman"/>
          <w:sz w:val="24"/>
          <w:szCs w:val="24"/>
        </w:rPr>
        <w:t>in the work-place, a sense that “you won’t ever get the ‘ideal client’” but</w:t>
      </w:r>
      <w:r w:rsidR="00BD3965" w:rsidRPr="004A1C60">
        <w:rPr>
          <w:rFonts w:ascii="Times New Roman" w:hAnsi="Times New Roman" w:cs="Times New Roman"/>
          <w:sz w:val="24"/>
          <w:szCs w:val="24"/>
        </w:rPr>
        <w:t xml:space="preserve"> i</w:t>
      </w:r>
      <w:r w:rsidR="00A207F1" w:rsidRPr="004A1C60">
        <w:rPr>
          <w:rFonts w:ascii="Times New Roman" w:hAnsi="Times New Roman" w:cs="Times New Roman"/>
          <w:sz w:val="24"/>
          <w:szCs w:val="24"/>
        </w:rPr>
        <w:t>nstead need to engage</w:t>
      </w:r>
      <w:r w:rsidR="00BD3965" w:rsidRPr="004A1C60">
        <w:rPr>
          <w:rFonts w:ascii="Times New Roman" w:hAnsi="Times New Roman" w:cs="Times New Roman"/>
          <w:sz w:val="24"/>
          <w:szCs w:val="24"/>
        </w:rPr>
        <w:t xml:space="preserve"> creatively, flexibly but cr</w:t>
      </w:r>
      <w:r w:rsidR="00A207F1" w:rsidRPr="004A1C60">
        <w:rPr>
          <w:rFonts w:ascii="Times New Roman" w:hAnsi="Times New Roman" w:cs="Times New Roman"/>
          <w:sz w:val="24"/>
          <w:szCs w:val="24"/>
        </w:rPr>
        <w:t>ucially, critically, with the unpredictability of the circumstances within which you find yourself</w:t>
      </w:r>
      <w:r w:rsidR="00381324" w:rsidRPr="004A1C60">
        <w:rPr>
          <w:rFonts w:ascii="Times New Roman" w:hAnsi="Times New Roman" w:cs="Times New Roman"/>
          <w:sz w:val="24"/>
          <w:szCs w:val="24"/>
        </w:rPr>
        <w:t xml:space="preserve"> – “building relationships and interacting is part of our job” </w:t>
      </w:r>
      <w:r w:rsidR="00CA418A" w:rsidRPr="004A1C60">
        <w:rPr>
          <w:rFonts w:ascii="Times New Roman" w:hAnsi="Times New Roman" w:cs="Times New Roman"/>
          <w:sz w:val="24"/>
          <w:szCs w:val="24"/>
        </w:rPr>
        <w:t>- prompted</w:t>
      </w:r>
      <w:r w:rsidR="00A207F1" w:rsidRPr="004A1C60">
        <w:rPr>
          <w:rFonts w:ascii="Times New Roman" w:hAnsi="Times New Roman" w:cs="Times New Roman"/>
          <w:sz w:val="24"/>
          <w:szCs w:val="24"/>
        </w:rPr>
        <w:t xml:space="preserve"> interesting reflections on</w:t>
      </w:r>
      <w:r w:rsidR="00C870AA" w:rsidRPr="004A1C60">
        <w:rPr>
          <w:rFonts w:ascii="Times New Roman" w:hAnsi="Times New Roman" w:cs="Times New Roman"/>
          <w:sz w:val="24"/>
          <w:szCs w:val="24"/>
        </w:rPr>
        <w:t xml:space="preserve"> work-based roles and social relationships.</w:t>
      </w:r>
      <w:r w:rsidRPr="004A1C60">
        <w:rPr>
          <w:rFonts w:ascii="Times New Roman" w:hAnsi="Times New Roman" w:cs="Times New Roman"/>
          <w:sz w:val="24"/>
          <w:szCs w:val="24"/>
        </w:rPr>
        <w:t xml:space="preserve"> </w:t>
      </w:r>
    </w:p>
    <w:p w14:paraId="4EF02C8D" w14:textId="12EDFC85" w:rsidR="005039CC" w:rsidRPr="004A1C60" w:rsidRDefault="001132FF" w:rsidP="00832802">
      <w:pPr>
        <w:spacing w:line="360" w:lineRule="auto"/>
        <w:rPr>
          <w:rFonts w:ascii="Times New Roman" w:hAnsi="Times New Roman" w:cs="Times New Roman"/>
          <w:b/>
          <w:i/>
          <w:sz w:val="24"/>
          <w:szCs w:val="24"/>
        </w:rPr>
      </w:pPr>
      <w:r w:rsidRPr="004A1C60">
        <w:rPr>
          <w:rFonts w:ascii="Times New Roman" w:hAnsi="Times New Roman" w:cs="Times New Roman"/>
          <w:b/>
          <w:i/>
          <w:sz w:val="24"/>
          <w:szCs w:val="24"/>
        </w:rPr>
        <w:t>Work-based</w:t>
      </w:r>
      <w:r w:rsidR="009755FD" w:rsidRPr="004A1C60">
        <w:rPr>
          <w:rFonts w:ascii="Times New Roman" w:hAnsi="Times New Roman" w:cs="Times New Roman"/>
          <w:b/>
          <w:i/>
          <w:sz w:val="24"/>
          <w:szCs w:val="24"/>
        </w:rPr>
        <w:t xml:space="preserve"> roles and</w:t>
      </w:r>
      <w:r w:rsidRPr="004A1C60">
        <w:rPr>
          <w:rFonts w:ascii="Times New Roman" w:hAnsi="Times New Roman" w:cs="Times New Roman"/>
          <w:b/>
          <w:i/>
          <w:sz w:val="24"/>
          <w:szCs w:val="24"/>
        </w:rPr>
        <w:t xml:space="preserve"> social relationships</w:t>
      </w:r>
    </w:p>
    <w:p w14:paraId="62868697" w14:textId="7BDA79A2" w:rsidR="009F62B8" w:rsidRPr="004A1C60" w:rsidRDefault="0057278A" w:rsidP="00832802">
      <w:pPr>
        <w:spacing w:line="360" w:lineRule="auto"/>
        <w:rPr>
          <w:rFonts w:ascii="Times New Roman" w:hAnsi="Times New Roman" w:cs="Times New Roman"/>
          <w:sz w:val="24"/>
          <w:szCs w:val="24"/>
        </w:rPr>
      </w:pPr>
      <w:r w:rsidRPr="004A1C60">
        <w:rPr>
          <w:rFonts w:ascii="Times New Roman" w:hAnsi="Times New Roman" w:cs="Times New Roman"/>
          <w:sz w:val="24"/>
          <w:szCs w:val="24"/>
        </w:rPr>
        <w:t>Whilst the idea that “</w:t>
      </w:r>
      <w:r w:rsidR="00381324" w:rsidRPr="004A1C60">
        <w:rPr>
          <w:rFonts w:ascii="Times New Roman" w:hAnsi="Times New Roman" w:cs="Times New Roman"/>
          <w:sz w:val="24"/>
          <w:szCs w:val="24"/>
        </w:rPr>
        <w:t>You’ve got to make people feel comfortable</w:t>
      </w:r>
      <w:r w:rsidRPr="004A1C60">
        <w:rPr>
          <w:rFonts w:ascii="Times New Roman" w:hAnsi="Times New Roman" w:cs="Times New Roman"/>
          <w:sz w:val="24"/>
          <w:szCs w:val="24"/>
        </w:rPr>
        <w:t xml:space="preserve">” influenced </w:t>
      </w:r>
      <w:r w:rsidR="00CA418A" w:rsidRPr="004A1C60">
        <w:rPr>
          <w:rFonts w:ascii="Times New Roman" w:hAnsi="Times New Roman" w:cs="Times New Roman"/>
          <w:sz w:val="24"/>
          <w:szCs w:val="24"/>
        </w:rPr>
        <w:t>concept making</w:t>
      </w:r>
      <w:r w:rsidRPr="004A1C60">
        <w:rPr>
          <w:rFonts w:ascii="Times New Roman" w:hAnsi="Times New Roman" w:cs="Times New Roman"/>
          <w:sz w:val="24"/>
          <w:szCs w:val="24"/>
        </w:rPr>
        <w:t xml:space="preserve"> this was equally likely to be coupled </w:t>
      </w:r>
      <w:r w:rsidR="00312481" w:rsidRPr="004A1C60">
        <w:rPr>
          <w:rFonts w:ascii="Times New Roman" w:hAnsi="Times New Roman" w:cs="Times New Roman"/>
          <w:sz w:val="24"/>
          <w:szCs w:val="24"/>
        </w:rPr>
        <w:t xml:space="preserve">with </w:t>
      </w:r>
      <w:r w:rsidR="00CA418A" w:rsidRPr="004A1C60">
        <w:rPr>
          <w:rFonts w:ascii="Times New Roman" w:hAnsi="Times New Roman" w:cs="Times New Roman"/>
          <w:sz w:val="24"/>
          <w:szCs w:val="24"/>
        </w:rPr>
        <w:t>recognition</w:t>
      </w:r>
      <w:r w:rsidR="00312481" w:rsidRPr="004A1C60">
        <w:rPr>
          <w:rFonts w:ascii="Times New Roman" w:hAnsi="Times New Roman" w:cs="Times New Roman"/>
          <w:sz w:val="24"/>
          <w:szCs w:val="24"/>
        </w:rPr>
        <w:t xml:space="preserve"> that comfort and discomfort were not </w:t>
      </w:r>
      <w:r w:rsidR="00742FAB" w:rsidRPr="004A1C60">
        <w:rPr>
          <w:rFonts w:ascii="Times New Roman" w:hAnsi="Times New Roman" w:cs="Times New Roman"/>
          <w:sz w:val="24"/>
          <w:szCs w:val="24"/>
        </w:rPr>
        <w:t xml:space="preserve">entirely </w:t>
      </w:r>
      <w:r w:rsidR="00312481" w:rsidRPr="004A1C60">
        <w:rPr>
          <w:rFonts w:ascii="Times New Roman" w:hAnsi="Times New Roman" w:cs="Times New Roman"/>
          <w:sz w:val="24"/>
          <w:szCs w:val="24"/>
        </w:rPr>
        <w:t xml:space="preserve">stable opposites,  </w:t>
      </w:r>
    </w:p>
    <w:p w14:paraId="5DE63043" w14:textId="2FCE060E" w:rsidR="009F62B8" w:rsidRPr="004A1C60" w:rsidRDefault="009F62B8" w:rsidP="00832802">
      <w:pPr>
        <w:spacing w:line="360" w:lineRule="auto"/>
        <w:ind w:left="720"/>
        <w:rPr>
          <w:rFonts w:ascii="Times New Roman" w:hAnsi="Times New Roman" w:cs="Times New Roman"/>
          <w:i/>
          <w:sz w:val="24"/>
          <w:szCs w:val="24"/>
        </w:rPr>
      </w:pPr>
      <w:r w:rsidRPr="004A1C60">
        <w:rPr>
          <w:rFonts w:ascii="Times New Roman" w:hAnsi="Times New Roman" w:cs="Times New Roman"/>
          <w:i/>
          <w:sz w:val="24"/>
          <w:szCs w:val="24"/>
        </w:rPr>
        <w:t>Social interaction is really important and bui</w:t>
      </w:r>
      <w:r w:rsidR="00FA7EB5" w:rsidRPr="004A1C60">
        <w:rPr>
          <w:rFonts w:ascii="Times New Roman" w:hAnsi="Times New Roman" w:cs="Times New Roman"/>
          <w:i/>
          <w:sz w:val="24"/>
          <w:szCs w:val="24"/>
        </w:rPr>
        <w:t>lding relationships over time…</w:t>
      </w:r>
      <w:r w:rsidRPr="004A1C60">
        <w:rPr>
          <w:rFonts w:ascii="Times New Roman" w:hAnsi="Times New Roman" w:cs="Times New Roman"/>
          <w:i/>
          <w:sz w:val="24"/>
          <w:szCs w:val="24"/>
        </w:rPr>
        <w:t>making d</w:t>
      </w:r>
      <w:r w:rsidR="00B36ECC" w:rsidRPr="004A1C60">
        <w:rPr>
          <w:rFonts w:ascii="Times New Roman" w:hAnsi="Times New Roman" w:cs="Times New Roman"/>
          <w:i/>
          <w:sz w:val="24"/>
          <w:szCs w:val="24"/>
        </w:rPr>
        <w:t>ecisions and taking risks – giv</w:t>
      </w:r>
      <w:r w:rsidRPr="004A1C60">
        <w:rPr>
          <w:rFonts w:ascii="Times New Roman" w:hAnsi="Times New Roman" w:cs="Times New Roman"/>
          <w:i/>
          <w:sz w:val="24"/>
          <w:szCs w:val="24"/>
        </w:rPr>
        <w:t xml:space="preserve">ing children a hug, </w:t>
      </w:r>
      <w:r w:rsidR="00742FAB" w:rsidRPr="004A1C60">
        <w:rPr>
          <w:rFonts w:ascii="Times New Roman" w:hAnsi="Times New Roman" w:cs="Times New Roman"/>
          <w:i/>
          <w:sz w:val="24"/>
          <w:szCs w:val="24"/>
        </w:rPr>
        <w:t xml:space="preserve">[although the rules caution against this] </w:t>
      </w:r>
      <w:r w:rsidR="00B36ECC" w:rsidRPr="004A1C60">
        <w:rPr>
          <w:rFonts w:ascii="Times New Roman" w:hAnsi="Times New Roman" w:cs="Times New Roman"/>
          <w:i/>
          <w:sz w:val="24"/>
          <w:szCs w:val="24"/>
        </w:rPr>
        <w:t>‘</w:t>
      </w:r>
      <w:r w:rsidRPr="004A1C60">
        <w:rPr>
          <w:rFonts w:ascii="Times New Roman" w:hAnsi="Times New Roman" w:cs="Times New Roman"/>
          <w:i/>
          <w:sz w:val="24"/>
          <w:szCs w:val="24"/>
        </w:rPr>
        <w:t>mum</w:t>
      </w:r>
      <w:r w:rsidR="00B36ECC" w:rsidRPr="004A1C60">
        <w:rPr>
          <w:rFonts w:ascii="Times New Roman" w:hAnsi="Times New Roman" w:cs="Times New Roman"/>
          <w:i/>
          <w:sz w:val="24"/>
          <w:szCs w:val="24"/>
        </w:rPr>
        <w:t>’</w:t>
      </w:r>
      <w:r w:rsidRPr="004A1C60">
        <w:rPr>
          <w:rFonts w:ascii="Times New Roman" w:hAnsi="Times New Roman" w:cs="Times New Roman"/>
          <w:i/>
          <w:sz w:val="24"/>
          <w:szCs w:val="24"/>
        </w:rPr>
        <w:t xml:space="preserve"> would </w:t>
      </w:r>
      <w:r w:rsidR="00B36ECC" w:rsidRPr="004A1C60">
        <w:rPr>
          <w:rFonts w:ascii="Times New Roman" w:hAnsi="Times New Roman" w:cs="Times New Roman"/>
          <w:i/>
          <w:sz w:val="24"/>
          <w:szCs w:val="24"/>
        </w:rPr>
        <w:t>want us to pick them up</w:t>
      </w:r>
      <w:r w:rsidR="00742FAB" w:rsidRPr="004A1C60">
        <w:rPr>
          <w:rFonts w:ascii="Times New Roman" w:hAnsi="Times New Roman" w:cs="Times New Roman"/>
          <w:i/>
          <w:sz w:val="24"/>
          <w:szCs w:val="24"/>
        </w:rPr>
        <w:t xml:space="preserve"> and give them </w:t>
      </w:r>
      <w:r w:rsidRPr="004A1C60">
        <w:rPr>
          <w:rFonts w:ascii="Times New Roman" w:hAnsi="Times New Roman" w:cs="Times New Roman"/>
          <w:i/>
          <w:sz w:val="24"/>
          <w:szCs w:val="24"/>
        </w:rPr>
        <w:t>a hug</w:t>
      </w:r>
    </w:p>
    <w:p w14:paraId="279246FB" w14:textId="638C0EA4" w:rsidR="00EA3AB5" w:rsidRPr="004A1C60" w:rsidRDefault="00E10014" w:rsidP="00832802">
      <w:pPr>
        <w:spacing w:line="360" w:lineRule="auto"/>
        <w:rPr>
          <w:rFonts w:ascii="Times New Roman" w:hAnsi="Times New Roman" w:cs="Times New Roman"/>
          <w:sz w:val="24"/>
          <w:szCs w:val="24"/>
        </w:rPr>
      </w:pPr>
      <w:r w:rsidRPr="004A1C60">
        <w:rPr>
          <w:rFonts w:ascii="Times New Roman" w:hAnsi="Times New Roman" w:cs="Times New Roman"/>
          <w:sz w:val="24"/>
          <w:szCs w:val="24"/>
        </w:rPr>
        <w:lastRenderedPageBreak/>
        <w:t xml:space="preserve">In this </w:t>
      </w:r>
      <w:r w:rsidR="003A612F" w:rsidRPr="004A1C60">
        <w:rPr>
          <w:rFonts w:ascii="Times New Roman" w:hAnsi="Times New Roman" w:cs="Times New Roman"/>
          <w:sz w:val="24"/>
          <w:szCs w:val="24"/>
        </w:rPr>
        <w:t>extract for example the tension</w:t>
      </w:r>
      <w:r w:rsidRPr="004A1C60">
        <w:rPr>
          <w:rFonts w:ascii="Times New Roman" w:hAnsi="Times New Roman" w:cs="Times New Roman"/>
          <w:sz w:val="24"/>
          <w:szCs w:val="24"/>
        </w:rPr>
        <w:t xml:space="preserve"> between serving corporate </w:t>
      </w:r>
      <w:r w:rsidR="00E6588C" w:rsidRPr="004A1C60">
        <w:rPr>
          <w:rFonts w:ascii="Times New Roman" w:hAnsi="Times New Roman" w:cs="Times New Roman"/>
          <w:sz w:val="24"/>
          <w:szCs w:val="24"/>
        </w:rPr>
        <w:t>guidelines and</w:t>
      </w:r>
      <w:r w:rsidRPr="004A1C60">
        <w:rPr>
          <w:rFonts w:ascii="Times New Roman" w:hAnsi="Times New Roman" w:cs="Times New Roman"/>
          <w:sz w:val="24"/>
          <w:szCs w:val="24"/>
        </w:rPr>
        <w:t xml:space="preserve"> pa</w:t>
      </w:r>
      <w:r w:rsidR="00E6588C" w:rsidRPr="004A1C60">
        <w:rPr>
          <w:rFonts w:ascii="Times New Roman" w:hAnsi="Times New Roman" w:cs="Times New Roman"/>
          <w:sz w:val="24"/>
          <w:szCs w:val="24"/>
        </w:rPr>
        <w:t>rents and children as differently positioned clients</w:t>
      </w:r>
      <w:r w:rsidR="00B36ECC" w:rsidRPr="004A1C60">
        <w:rPr>
          <w:rFonts w:ascii="Times New Roman" w:hAnsi="Times New Roman" w:cs="Times New Roman"/>
          <w:sz w:val="24"/>
          <w:szCs w:val="24"/>
        </w:rPr>
        <w:t xml:space="preserve"> within a practice</w:t>
      </w:r>
      <w:r w:rsidR="00E6588C" w:rsidRPr="004A1C60">
        <w:rPr>
          <w:rFonts w:ascii="Times New Roman" w:hAnsi="Times New Roman" w:cs="Times New Roman"/>
          <w:sz w:val="24"/>
          <w:szCs w:val="24"/>
        </w:rPr>
        <w:t xml:space="preserve"> is managed through </w:t>
      </w:r>
      <w:r w:rsidR="003A612F" w:rsidRPr="004A1C60">
        <w:rPr>
          <w:rFonts w:ascii="Times New Roman" w:hAnsi="Times New Roman" w:cs="Times New Roman"/>
          <w:sz w:val="24"/>
          <w:szCs w:val="24"/>
        </w:rPr>
        <w:t xml:space="preserve">a reckoning and balancing of </w:t>
      </w:r>
      <w:r w:rsidR="00E6588C" w:rsidRPr="004A1C60">
        <w:rPr>
          <w:rFonts w:ascii="Times New Roman" w:hAnsi="Times New Roman" w:cs="Times New Roman"/>
          <w:sz w:val="24"/>
          <w:szCs w:val="24"/>
        </w:rPr>
        <w:t>interpersonal relationships and action in context</w:t>
      </w:r>
      <w:r w:rsidR="003A612F" w:rsidRPr="004A1C60">
        <w:rPr>
          <w:rFonts w:ascii="Times New Roman" w:hAnsi="Times New Roman" w:cs="Times New Roman"/>
          <w:sz w:val="24"/>
          <w:szCs w:val="24"/>
        </w:rPr>
        <w:t xml:space="preserve"> and decision-making is</w:t>
      </w:r>
      <w:r w:rsidR="00217378" w:rsidRPr="004A1C60">
        <w:rPr>
          <w:rFonts w:ascii="Times New Roman" w:hAnsi="Times New Roman" w:cs="Times New Roman"/>
          <w:sz w:val="24"/>
          <w:szCs w:val="24"/>
        </w:rPr>
        <w:t xml:space="preserve"> co</w:t>
      </w:r>
      <w:r w:rsidR="00B36ECC" w:rsidRPr="004A1C60">
        <w:rPr>
          <w:rFonts w:ascii="Times New Roman" w:hAnsi="Times New Roman" w:cs="Times New Roman"/>
          <w:sz w:val="24"/>
          <w:szCs w:val="24"/>
        </w:rPr>
        <w:t xml:space="preserve">ntingent, dynamic and dialogic (see figure 2). </w:t>
      </w:r>
      <w:r w:rsidR="00C24DB7" w:rsidRPr="004A1C60">
        <w:rPr>
          <w:rFonts w:ascii="Times New Roman" w:hAnsi="Times New Roman" w:cs="Times New Roman"/>
          <w:sz w:val="24"/>
          <w:szCs w:val="24"/>
        </w:rPr>
        <w:t xml:space="preserve">This resonates with Stronach et al’s </w:t>
      </w:r>
      <w:r w:rsidR="00CA418A" w:rsidRPr="004A1C60">
        <w:rPr>
          <w:rFonts w:ascii="Times New Roman" w:hAnsi="Times New Roman" w:cs="Times New Roman"/>
          <w:sz w:val="24"/>
          <w:szCs w:val="24"/>
        </w:rPr>
        <w:t>(2002</w:t>
      </w:r>
      <w:r w:rsidR="00EA3AB5" w:rsidRPr="004A1C60">
        <w:rPr>
          <w:rFonts w:ascii="Times New Roman" w:hAnsi="Times New Roman" w:cs="Times New Roman"/>
          <w:sz w:val="24"/>
          <w:szCs w:val="24"/>
        </w:rPr>
        <w:t>)</w:t>
      </w:r>
      <w:r w:rsidR="00C24DB7" w:rsidRPr="004A1C60">
        <w:rPr>
          <w:rFonts w:ascii="Times New Roman" w:hAnsi="Times New Roman" w:cs="Times New Roman"/>
          <w:sz w:val="24"/>
          <w:szCs w:val="24"/>
        </w:rPr>
        <w:t xml:space="preserve"> </w:t>
      </w:r>
      <w:r w:rsidR="00EA3AB5" w:rsidRPr="004A1C60">
        <w:rPr>
          <w:rFonts w:ascii="Times New Roman" w:hAnsi="Times New Roman" w:cs="Times New Roman"/>
          <w:sz w:val="24"/>
          <w:szCs w:val="24"/>
        </w:rPr>
        <w:t xml:space="preserve">descriptions of </w:t>
      </w:r>
      <w:r w:rsidR="00C24DB7" w:rsidRPr="004A1C60">
        <w:rPr>
          <w:rFonts w:ascii="Times New Roman" w:hAnsi="Times New Roman" w:cs="Times New Roman"/>
          <w:sz w:val="24"/>
          <w:szCs w:val="24"/>
        </w:rPr>
        <w:t>‘jockying stories’ as student Nurses and Teachers ‘juggle’ and ‘toggle’ selves and practices in their attempts to navigate the big D d</w:t>
      </w:r>
      <w:r w:rsidR="0092247C" w:rsidRPr="004A1C60">
        <w:rPr>
          <w:rFonts w:ascii="Times New Roman" w:hAnsi="Times New Roman" w:cs="Times New Roman"/>
          <w:sz w:val="24"/>
          <w:szCs w:val="24"/>
        </w:rPr>
        <w:t>iscourses of learning world of work T</w:t>
      </w:r>
      <w:r w:rsidR="00C24DB7" w:rsidRPr="004A1C60">
        <w:rPr>
          <w:rFonts w:ascii="Times New Roman" w:hAnsi="Times New Roman" w:cs="Times New Roman"/>
          <w:sz w:val="24"/>
          <w:szCs w:val="24"/>
        </w:rPr>
        <w:t xml:space="preserve">eaching and Nursing. </w:t>
      </w:r>
    </w:p>
    <w:p w14:paraId="28E04C59" w14:textId="54F5A609" w:rsidR="001132FF" w:rsidRPr="004A1C60" w:rsidRDefault="00EA3AB5" w:rsidP="00832802">
      <w:pPr>
        <w:spacing w:line="360" w:lineRule="auto"/>
        <w:rPr>
          <w:rFonts w:ascii="Times New Roman" w:hAnsi="Times New Roman" w:cs="Times New Roman"/>
          <w:sz w:val="24"/>
          <w:szCs w:val="24"/>
        </w:rPr>
      </w:pPr>
      <w:r w:rsidRPr="004A1C60">
        <w:rPr>
          <w:rFonts w:ascii="Times New Roman" w:hAnsi="Times New Roman" w:cs="Times New Roman"/>
          <w:sz w:val="24"/>
          <w:szCs w:val="24"/>
        </w:rPr>
        <w:t>Student</w:t>
      </w:r>
      <w:r w:rsidR="00CA418A" w:rsidRPr="004A1C60">
        <w:rPr>
          <w:rFonts w:ascii="Times New Roman" w:hAnsi="Times New Roman" w:cs="Times New Roman"/>
          <w:sz w:val="24"/>
          <w:szCs w:val="24"/>
        </w:rPr>
        <w:t>s</w:t>
      </w:r>
      <w:r w:rsidRPr="004A1C60">
        <w:rPr>
          <w:rFonts w:ascii="Times New Roman" w:hAnsi="Times New Roman" w:cs="Times New Roman"/>
          <w:sz w:val="24"/>
          <w:szCs w:val="24"/>
        </w:rPr>
        <w:t xml:space="preserve"> also recognised the risk inherent in </w:t>
      </w:r>
      <w:r w:rsidR="0092247C" w:rsidRPr="004A1C60">
        <w:rPr>
          <w:rFonts w:ascii="Times New Roman" w:hAnsi="Times New Roman" w:cs="Times New Roman"/>
          <w:sz w:val="24"/>
          <w:szCs w:val="24"/>
        </w:rPr>
        <w:t>decision making</w:t>
      </w:r>
      <w:r w:rsidRPr="004A1C60">
        <w:rPr>
          <w:rFonts w:ascii="Times New Roman" w:hAnsi="Times New Roman" w:cs="Times New Roman"/>
          <w:sz w:val="24"/>
          <w:szCs w:val="24"/>
        </w:rPr>
        <w:t xml:space="preserve">, not only for themselves </w:t>
      </w:r>
      <w:r w:rsidR="00CA418A" w:rsidRPr="004A1C60">
        <w:rPr>
          <w:rFonts w:ascii="Times New Roman" w:hAnsi="Times New Roman" w:cs="Times New Roman"/>
          <w:sz w:val="24"/>
          <w:szCs w:val="24"/>
        </w:rPr>
        <w:t>but also</w:t>
      </w:r>
      <w:r w:rsidRPr="004A1C60">
        <w:rPr>
          <w:rFonts w:ascii="Times New Roman" w:hAnsi="Times New Roman" w:cs="Times New Roman"/>
          <w:sz w:val="24"/>
          <w:szCs w:val="24"/>
        </w:rPr>
        <w:t xml:space="preserve"> for more se</w:t>
      </w:r>
      <w:r w:rsidR="0092247C" w:rsidRPr="004A1C60">
        <w:rPr>
          <w:rFonts w:ascii="Times New Roman" w:hAnsi="Times New Roman" w:cs="Times New Roman"/>
          <w:sz w:val="24"/>
          <w:szCs w:val="24"/>
        </w:rPr>
        <w:t>nior or experienced colleagues, as individual commitments came in to collision with with corporate values and priorities. Describing her work in retail this student rese</w:t>
      </w:r>
      <w:r w:rsidR="001F3BF1" w:rsidRPr="004A1C60">
        <w:rPr>
          <w:rFonts w:ascii="Times New Roman" w:hAnsi="Times New Roman" w:cs="Times New Roman"/>
          <w:sz w:val="24"/>
          <w:szCs w:val="24"/>
        </w:rPr>
        <w:t>archer reflected o</w:t>
      </w:r>
      <w:r w:rsidR="00143F81" w:rsidRPr="004A1C60">
        <w:rPr>
          <w:rFonts w:ascii="Times New Roman" w:hAnsi="Times New Roman" w:cs="Times New Roman"/>
          <w:sz w:val="24"/>
          <w:szCs w:val="24"/>
        </w:rPr>
        <w:t xml:space="preserve">n the precarity </w:t>
      </w:r>
      <w:r w:rsidR="001F3BF1" w:rsidRPr="004A1C60">
        <w:rPr>
          <w:rFonts w:ascii="Times New Roman" w:hAnsi="Times New Roman" w:cs="Times New Roman"/>
          <w:sz w:val="24"/>
          <w:szCs w:val="24"/>
        </w:rPr>
        <w:t>of the employee experience, “</w:t>
      </w:r>
      <w:r w:rsidR="001132FF" w:rsidRPr="004A1C60">
        <w:rPr>
          <w:rFonts w:ascii="Times New Roman" w:hAnsi="Times New Roman" w:cs="Times New Roman"/>
          <w:i/>
          <w:sz w:val="24"/>
          <w:szCs w:val="24"/>
        </w:rPr>
        <w:t>Even the managers…</w:t>
      </w:r>
      <w:r w:rsidR="00143F81" w:rsidRPr="004A1C60">
        <w:rPr>
          <w:rFonts w:ascii="Times New Roman" w:hAnsi="Times New Roman" w:cs="Times New Roman"/>
          <w:i/>
          <w:sz w:val="24"/>
          <w:szCs w:val="24"/>
        </w:rPr>
        <w:t xml:space="preserve"> </w:t>
      </w:r>
      <w:r w:rsidR="001132FF" w:rsidRPr="004A1C60">
        <w:rPr>
          <w:rFonts w:ascii="Times New Roman" w:hAnsi="Times New Roman" w:cs="Times New Roman"/>
          <w:i/>
          <w:sz w:val="24"/>
          <w:szCs w:val="24"/>
        </w:rPr>
        <w:t>if a shop gets a new concept it’s the managers figh</w:t>
      </w:r>
      <w:r w:rsidR="00143F81" w:rsidRPr="004A1C60">
        <w:rPr>
          <w:rFonts w:ascii="Times New Roman" w:hAnsi="Times New Roman" w:cs="Times New Roman"/>
          <w:i/>
          <w:sz w:val="24"/>
          <w:szCs w:val="24"/>
        </w:rPr>
        <w:t xml:space="preserve">ting for their own jobs….they’re </w:t>
      </w:r>
      <w:r w:rsidR="00CA418A" w:rsidRPr="004A1C60">
        <w:rPr>
          <w:rFonts w:ascii="Times New Roman" w:hAnsi="Times New Roman" w:cs="Times New Roman"/>
          <w:i/>
          <w:sz w:val="24"/>
          <w:szCs w:val="24"/>
        </w:rPr>
        <w:t>fighting for</w:t>
      </w:r>
      <w:r w:rsidR="001132FF" w:rsidRPr="004A1C60">
        <w:rPr>
          <w:rFonts w:ascii="Times New Roman" w:hAnsi="Times New Roman" w:cs="Times New Roman"/>
          <w:i/>
          <w:sz w:val="24"/>
          <w:szCs w:val="24"/>
        </w:rPr>
        <w:t xml:space="preserve"> their jobs as much as we are</w:t>
      </w:r>
      <w:r w:rsidR="00143F81" w:rsidRPr="004A1C60">
        <w:rPr>
          <w:rFonts w:ascii="Times New Roman" w:hAnsi="Times New Roman" w:cs="Times New Roman"/>
          <w:i/>
          <w:sz w:val="24"/>
          <w:szCs w:val="24"/>
        </w:rPr>
        <w:t xml:space="preserve">”, </w:t>
      </w:r>
      <w:r w:rsidR="00143F81" w:rsidRPr="004A1C60">
        <w:rPr>
          <w:rFonts w:ascii="Times New Roman" w:hAnsi="Times New Roman" w:cs="Times New Roman"/>
          <w:sz w:val="24"/>
          <w:szCs w:val="24"/>
        </w:rPr>
        <w:t xml:space="preserve">noticing the instability and fragility of </w:t>
      </w:r>
      <w:r w:rsidR="00D53AE5" w:rsidRPr="004A1C60">
        <w:rPr>
          <w:rFonts w:ascii="Times New Roman" w:hAnsi="Times New Roman" w:cs="Times New Roman"/>
          <w:sz w:val="24"/>
          <w:szCs w:val="24"/>
        </w:rPr>
        <w:t>lived experience</w:t>
      </w:r>
      <w:r w:rsidR="00143F81" w:rsidRPr="004A1C60">
        <w:rPr>
          <w:rFonts w:ascii="Times New Roman" w:hAnsi="Times New Roman" w:cs="Times New Roman"/>
          <w:sz w:val="24"/>
          <w:szCs w:val="24"/>
        </w:rPr>
        <w:t xml:space="preserve"> within the context of world of work settings not only for herself but for more senior colleagues who otherwise appeared to exercise power or control.</w:t>
      </w:r>
      <w:r w:rsidR="00D53AE5" w:rsidRPr="004A1C60">
        <w:rPr>
          <w:rFonts w:ascii="Times New Roman" w:hAnsi="Times New Roman" w:cs="Times New Roman"/>
          <w:sz w:val="24"/>
          <w:szCs w:val="24"/>
        </w:rPr>
        <w:t xml:space="preserve"> These reflections often took student research</w:t>
      </w:r>
      <w:r w:rsidR="001574DD">
        <w:rPr>
          <w:rFonts w:ascii="Times New Roman" w:hAnsi="Times New Roman" w:cs="Times New Roman"/>
          <w:sz w:val="24"/>
          <w:szCs w:val="24"/>
        </w:rPr>
        <w:t>ers into conversations about Big</w:t>
      </w:r>
      <w:r w:rsidR="00D53AE5" w:rsidRPr="004A1C60">
        <w:rPr>
          <w:rFonts w:ascii="Times New Roman" w:hAnsi="Times New Roman" w:cs="Times New Roman"/>
          <w:sz w:val="24"/>
          <w:szCs w:val="24"/>
        </w:rPr>
        <w:t xml:space="preserve"> D discourses </w:t>
      </w:r>
      <w:r w:rsidR="00B32EF3" w:rsidRPr="004A1C60">
        <w:rPr>
          <w:rFonts w:ascii="Times New Roman" w:hAnsi="Times New Roman" w:cs="Times New Roman"/>
          <w:sz w:val="24"/>
          <w:szCs w:val="24"/>
        </w:rPr>
        <w:t xml:space="preserve">about how the meanings of human labour </w:t>
      </w:r>
      <w:r w:rsidR="00D53AE5" w:rsidRPr="004A1C60">
        <w:rPr>
          <w:rFonts w:ascii="Times New Roman" w:hAnsi="Times New Roman" w:cs="Times New Roman"/>
          <w:sz w:val="24"/>
          <w:szCs w:val="24"/>
        </w:rPr>
        <w:t>play</w:t>
      </w:r>
      <w:r w:rsidR="00B32EF3" w:rsidRPr="004A1C60">
        <w:rPr>
          <w:rFonts w:ascii="Times New Roman" w:hAnsi="Times New Roman" w:cs="Times New Roman"/>
          <w:sz w:val="24"/>
          <w:szCs w:val="24"/>
        </w:rPr>
        <w:t>ed out within different settings</w:t>
      </w:r>
      <w:r w:rsidR="00D53AE5" w:rsidRPr="004A1C60">
        <w:rPr>
          <w:rFonts w:ascii="Times New Roman" w:hAnsi="Times New Roman" w:cs="Times New Roman"/>
          <w:sz w:val="24"/>
          <w:szCs w:val="24"/>
        </w:rPr>
        <w:t xml:space="preserve"> prompting them to be thoughtful about the ways in which their relatio</w:t>
      </w:r>
      <w:r w:rsidR="00B32EF3" w:rsidRPr="004A1C60">
        <w:rPr>
          <w:rFonts w:ascii="Times New Roman" w:hAnsi="Times New Roman" w:cs="Times New Roman"/>
          <w:sz w:val="24"/>
          <w:szCs w:val="24"/>
        </w:rPr>
        <w:t>nships with risk (which were always informed by fin</w:t>
      </w:r>
      <w:bookmarkStart w:id="0" w:name="_GoBack"/>
      <w:bookmarkEnd w:id="0"/>
      <w:r w:rsidR="00B32EF3" w:rsidRPr="004A1C60">
        <w:rPr>
          <w:rFonts w:ascii="Times New Roman" w:hAnsi="Times New Roman" w:cs="Times New Roman"/>
          <w:sz w:val="24"/>
          <w:szCs w:val="24"/>
        </w:rPr>
        <w:t>ancial, social, cultural capitals) allowed</w:t>
      </w:r>
      <w:r w:rsidR="00D53AE5" w:rsidRPr="004A1C60">
        <w:rPr>
          <w:rFonts w:ascii="Times New Roman" w:hAnsi="Times New Roman" w:cs="Times New Roman"/>
          <w:sz w:val="24"/>
          <w:szCs w:val="24"/>
        </w:rPr>
        <w:t xml:space="preserve"> them </w:t>
      </w:r>
      <w:r w:rsidR="00B32EF3" w:rsidRPr="004A1C60">
        <w:rPr>
          <w:rFonts w:ascii="Times New Roman" w:hAnsi="Times New Roman" w:cs="Times New Roman"/>
          <w:sz w:val="24"/>
          <w:szCs w:val="24"/>
        </w:rPr>
        <w:t xml:space="preserve">to be </w:t>
      </w:r>
      <w:r w:rsidR="00D53AE5" w:rsidRPr="004A1C60">
        <w:rPr>
          <w:rFonts w:ascii="Times New Roman" w:hAnsi="Times New Roman" w:cs="Times New Roman"/>
          <w:sz w:val="24"/>
          <w:szCs w:val="24"/>
        </w:rPr>
        <w:t xml:space="preserve">more or less complicit or antagonistic in particular contexts. </w:t>
      </w:r>
    </w:p>
    <w:p w14:paraId="1385CBED" w14:textId="3AA7AB28" w:rsidR="008F54D7" w:rsidRPr="004A1C60" w:rsidRDefault="00F64328" w:rsidP="00832802">
      <w:pPr>
        <w:spacing w:line="360" w:lineRule="auto"/>
        <w:rPr>
          <w:rFonts w:ascii="Times New Roman" w:hAnsi="Times New Roman" w:cs="Times New Roman"/>
          <w:b/>
          <w:sz w:val="24"/>
          <w:szCs w:val="24"/>
        </w:rPr>
      </w:pPr>
      <w:r w:rsidRPr="004A1C60">
        <w:rPr>
          <w:rFonts w:ascii="Times New Roman" w:hAnsi="Times New Roman" w:cs="Times New Roman"/>
          <w:b/>
          <w:sz w:val="24"/>
          <w:szCs w:val="24"/>
        </w:rPr>
        <w:t>Towards Concluding</w:t>
      </w:r>
    </w:p>
    <w:p w14:paraId="3E73DBE2" w14:textId="7DC7400B" w:rsidR="00192B08" w:rsidRPr="004A1C60" w:rsidRDefault="00DA1C2B" w:rsidP="00832802">
      <w:pPr>
        <w:spacing w:line="360" w:lineRule="auto"/>
        <w:ind w:left="720"/>
        <w:rPr>
          <w:rFonts w:ascii="Times New Roman" w:hAnsi="Times New Roman" w:cs="Times New Roman"/>
          <w:i/>
          <w:sz w:val="24"/>
          <w:szCs w:val="24"/>
        </w:rPr>
      </w:pPr>
      <w:r w:rsidRPr="004A1C60">
        <w:rPr>
          <w:rFonts w:ascii="Times New Roman" w:hAnsi="Times New Roman" w:cs="Times New Roman"/>
          <w:i/>
          <w:sz w:val="24"/>
          <w:szCs w:val="24"/>
        </w:rPr>
        <w:t>…the ofsted l</w:t>
      </w:r>
      <w:r w:rsidR="00192B08" w:rsidRPr="004A1C60">
        <w:rPr>
          <w:rFonts w:ascii="Times New Roman" w:hAnsi="Times New Roman" w:cs="Times New Roman"/>
          <w:i/>
          <w:sz w:val="24"/>
          <w:szCs w:val="24"/>
        </w:rPr>
        <w:t xml:space="preserve">ogo…it’s like a badge to say… </w:t>
      </w:r>
      <w:r w:rsidRPr="004A1C60">
        <w:rPr>
          <w:rFonts w:ascii="Times New Roman" w:hAnsi="Times New Roman" w:cs="Times New Roman"/>
          <w:i/>
          <w:sz w:val="24"/>
          <w:szCs w:val="24"/>
        </w:rPr>
        <w:t>recog</w:t>
      </w:r>
      <w:r w:rsidR="00192B08" w:rsidRPr="004A1C60">
        <w:rPr>
          <w:rFonts w:ascii="Times New Roman" w:hAnsi="Times New Roman" w:cs="Times New Roman"/>
          <w:i/>
          <w:sz w:val="24"/>
          <w:szCs w:val="24"/>
        </w:rPr>
        <w:t>nise</w:t>
      </w:r>
      <w:r w:rsidRPr="004A1C60">
        <w:rPr>
          <w:rFonts w:ascii="Times New Roman" w:hAnsi="Times New Roman" w:cs="Times New Roman"/>
          <w:i/>
          <w:sz w:val="24"/>
          <w:szCs w:val="24"/>
        </w:rPr>
        <w:t xml:space="preserve"> how things c</w:t>
      </w:r>
      <w:r w:rsidR="00192B08" w:rsidRPr="004A1C60">
        <w:rPr>
          <w:rFonts w:ascii="Times New Roman" w:hAnsi="Times New Roman" w:cs="Times New Roman"/>
          <w:i/>
          <w:sz w:val="24"/>
          <w:szCs w:val="24"/>
        </w:rPr>
        <w:t>hange over time and how workplaces change for example</w:t>
      </w:r>
      <w:r w:rsidRPr="004A1C60">
        <w:rPr>
          <w:rFonts w:ascii="Times New Roman" w:hAnsi="Times New Roman" w:cs="Times New Roman"/>
          <w:i/>
          <w:sz w:val="24"/>
          <w:szCs w:val="24"/>
        </w:rPr>
        <w:t xml:space="preserve"> post ofsted when the branding of the outstanding logo is being related to ‘career progression’</w:t>
      </w:r>
    </w:p>
    <w:p w14:paraId="5FAD45F2" w14:textId="7D853E62" w:rsidR="00B2224D" w:rsidRPr="004A1C60" w:rsidRDefault="00192B08" w:rsidP="00832802">
      <w:pPr>
        <w:spacing w:line="360" w:lineRule="auto"/>
        <w:rPr>
          <w:rFonts w:ascii="Times New Roman" w:hAnsi="Times New Roman" w:cs="Times New Roman"/>
          <w:sz w:val="24"/>
          <w:szCs w:val="24"/>
        </w:rPr>
      </w:pPr>
      <w:r w:rsidRPr="004A1C60">
        <w:rPr>
          <w:rFonts w:ascii="Times New Roman" w:hAnsi="Times New Roman" w:cs="Times New Roman"/>
          <w:sz w:val="24"/>
          <w:szCs w:val="24"/>
        </w:rPr>
        <w:t xml:space="preserve">As the world-figuring </w:t>
      </w:r>
      <w:r w:rsidR="00CB7144" w:rsidRPr="004A1C60">
        <w:rPr>
          <w:rFonts w:ascii="Times New Roman" w:hAnsi="Times New Roman" w:cs="Times New Roman"/>
          <w:sz w:val="24"/>
          <w:szCs w:val="24"/>
        </w:rPr>
        <w:t xml:space="preserve">explored above </w:t>
      </w:r>
      <w:r w:rsidR="00A5562A" w:rsidRPr="004A1C60">
        <w:rPr>
          <w:rFonts w:ascii="Times New Roman" w:hAnsi="Times New Roman" w:cs="Times New Roman"/>
          <w:sz w:val="24"/>
          <w:szCs w:val="24"/>
        </w:rPr>
        <w:t>demonstrates,</w:t>
      </w:r>
      <w:r w:rsidR="00CB7144" w:rsidRPr="004A1C60">
        <w:rPr>
          <w:rFonts w:ascii="Times New Roman" w:hAnsi="Times New Roman" w:cs="Times New Roman"/>
          <w:sz w:val="24"/>
          <w:szCs w:val="24"/>
        </w:rPr>
        <w:t xml:space="preserve"> L4E</w:t>
      </w:r>
      <w:r w:rsidR="00807B1F" w:rsidRPr="004A1C60">
        <w:rPr>
          <w:rFonts w:ascii="Times New Roman" w:hAnsi="Times New Roman" w:cs="Times New Roman"/>
          <w:sz w:val="24"/>
          <w:szCs w:val="24"/>
        </w:rPr>
        <w:t xml:space="preserve"> re-imagines employability as a process of enquiry rather than acquisition</w:t>
      </w:r>
      <w:r w:rsidR="00B32EF3" w:rsidRPr="004A1C60">
        <w:rPr>
          <w:rFonts w:ascii="Times New Roman" w:hAnsi="Times New Roman" w:cs="Times New Roman"/>
          <w:sz w:val="24"/>
          <w:szCs w:val="24"/>
        </w:rPr>
        <w:t xml:space="preserve"> of skills</w:t>
      </w:r>
      <w:r w:rsidR="00807B1F" w:rsidRPr="004A1C60">
        <w:rPr>
          <w:rFonts w:ascii="Times New Roman" w:hAnsi="Times New Roman" w:cs="Times New Roman"/>
          <w:sz w:val="24"/>
          <w:szCs w:val="24"/>
        </w:rPr>
        <w:t xml:space="preserve">, an opportunity to explore, investigate, interpret and analyse workplace settings, and ones own entanglement with them. </w:t>
      </w:r>
      <w:r w:rsidR="00B9269A" w:rsidRPr="004A1C60">
        <w:rPr>
          <w:rFonts w:ascii="Times New Roman" w:hAnsi="Times New Roman" w:cs="Times New Roman"/>
          <w:sz w:val="24"/>
          <w:szCs w:val="24"/>
        </w:rPr>
        <w:t xml:space="preserve">Re-viewing the workplace through the embodied act of holding the lens to </w:t>
      </w:r>
      <w:r w:rsidR="00753CDF" w:rsidRPr="004A1C60">
        <w:rPr>
          <w:rFonts w:ascii="Times New Roman" w:hAnsi="Times New Roman" w:cs="Times New Roman"/>
          <w:sz w:val="24"/>
          <w:szCs w:val="24"/>
        </w:rPr>
        <w:t xml:space="preserve">capture </w:t>
      </w:r>
      <w:r w:rsidR="00AA2786" w:rsidRPr="004A1C60">
        <w:rPr>
          <w:rFonts w:ascii="Times New Roman" w:hAnsi="Times New Roman" w:cs="Times New Roman"/>
          <w:sz w:val="24"/>
          <w:szCs w:val="24"/>
        </w:rPr>
        <w:t>‘</w:t>
      </w:r>
      <w:r w:rsidR="00B9269A" w:rsidRPr="004A1C60">
        <w:rPr>
          <w:rFonts w:ascii="Times New Roman" w:hAnsi="Times New Roman" w:cs="Times New Roman"/>
          <w:sz w:val="24"/>
          <w:szCs w:val="24"/>
        </w:rPr>
        <w:t>a something</w:t>
      </w:r>
      <w:r w:rsidR="00AA2786" w:rsidRPr="004A1C60">
        <w:rPr>
          <w:rFonts w:ascii="Times New Roman" w:hAnsi="Times New Roman" w:cs="Times New Roman"/>
          <w:sz w:val="24"/>
          <w:szCs w:val="24"/>
        </w:rPr>
        <w:t>’</w:t>
      </w:r>
      <w:r w:rsidR="00B9269A" w:rsidRPr="004A1C60">
        <w:rPr>
          <w:rFonts w:ascii="Times New Roman" w:hAnsi="Times New Roman" w:cs="Times New Roman"/>
          <w:sz w:val="24"/>
          <w:szCs w:val="24"/>
        </w:rPr>
        <w:t xml:space="preserve"> –</w:t>
      </w:r>
      <w:r w:rsidR="00B62DBB" w:rsidRPr="004A1C60">
        <w:rPr>
          <w:rFonts w:ascii="Times New Roman" w:hAnsi="Times New Roman" w:cs="Times New Roman"/>
          <w:sz w:val="24"/>
          <w:szCs w:val="24"/>
        </w:rPr>
        <w:t xml:space="preserve"> moment, incident, artefact, interaction</w:t>
      </w:r>
      <w:r w:rsidR="00AA2786" w:rsidRPr="004A1C60">
        <w:rPr>
          <w:rFonts w:ascii="Times New Roman" w:hAnsi="Times New Roman" w:cs="Times New Roman"/>
          <w:sz w:val="24"/>
          <w:szCs w:val="24"/>
        </w:rPr>
        <w:t xml:space="preserve"> </w:t>
      </w:r>
      <w:r w:rsidR="00B62DBB" w:rsidRPr="004A1C60">
        <w:rPr>
          <w:rFonts w:ascii="Times New Roman" w:hAnsi="Times New Roman" w:cs="Times New Roman"/>
          <w:sz w:val="24"/>
          <w:szCs w:val="24"/>
        </w:rPr>
        <w:t xml:space="preserve"> - </w:t>
      </w:r>
      <w:r w:rsidR="00B9269A" w:rsidRPr="004A1C60">
        <w:rPr>
          <w:rFonts w:ascii="Times New Roman" w:hAnsi="Times New Roman" w:cs="Times New Roman"/>
          <w:sz w:val="24"/>
          <w:szCs w:val="24"/>
        </w:rPr>
        <w:t xml:space="preserve"> that in</w:t>
      </w:r>
      <w:r w:rsidR="00B62DBB" w:rsidRPr="004A1C60">
        <w:rPr>
          <w:rFonts w:ascii="Times New Roman" w:hAnsi="Times New Roman" w:cs="Times New Roman"/>
          <w:sz w:val="24"/>
          <w:szCs w:val="24"/>
        </w:rPr>
        <w:t>terests, engages or affects,</w:t>
      </w:r>
      <w:r w:rsidR="00753CDF" w:rsidRPr="004A1C60">
        <w:rPr>
          <w:rFonts w:ascii="Times New Roman" w:hAnsi="Times New Roman" w:cs="Times New Roman"/>
          <w:sz w:val="24"/>
          <w:szCs w:val="24"/>
        </w:rPr>
        <w:t xml:space="preserve"> the ‘</w:t>
      </w:r>
      <w:r w:rsidR="00B62DBB" w:rsidRPr="004A1C60">
        <w:rPr>
          <w:rFonts w:ascii="Times New Roman" w:hAnsi="Times New Roman" w:cs="Times New Roman"/>
          <w:sz w:val="24"/>
          <w:szCs w:val="24"/>
        </w:rPr>
        <w:t>hot-spot</w:t>
      </w:r>
      <w:r w:rsidR="00AA2786" w:rsidRPr="004A1C60">
        <w:rPr>
          <w:rFonts w:ascii="Times New Roman" w:hAnsi="Times New Roman" w:cs="Times New Roman"/>
          <w:sz w:val="24"/>
          <w:szCs w:val="24"/>
        </w:rPr>
        <w:t>’ mentioned above</w:t>
      </w:r>
      <w:r w:rsidR="00F82186" w:rsidRPr="004A1C60">
        <w:rPr>
          <w:rFonts w:ascii="Times New Roman" w:hAnsi="Times New Roman" w:cs="Times New Roman"/>
          <w:sz w:val="24"/>
          <w:szCs w:val="24"/>
        </w:rPr>
        <w:t>, mobilises a very different approach to concept-mak</w:t>
      </w:r>
      <w:r w:rsidR="004A3D12" w:rsidRPr="004A1C60">
        <w:rPr>
          <w:rFonts w:ascii="Times New Roman" w:hAnsi="Times New Roman" w:cs="Times New Roman"/>
          <w:sz w:val="24"/>
          <w:szCs w:val="24"/>
        </w:rPr>
        <w:t xml:space="preserve">ing about employability. </w:t>
      </w:r>
      <w:r w:rsidR="00E71558" w:rsidRPr="004A1C60">
        <w:rPr>
          <w:rFonts w:ascii="Times New Roman" w:hAnsi="Times New Roman" w:cs="Times New Roman"/>
          <w:sz w:val="24"/>
          <w:szCs w:val="24"/>
        </w:rPr>
        <w:t xml:space="preserve">Not </w:t>
      </w:r>
      <w:r w:rsidR="005A084A" w:rsidRPr="004A1C60">
        <w:rPr>
          <w:rFonts w:ascii="Times New Roman" w:hAnsi="Times New Roman" w:cs="Times New Roman"/>
          <w:sz w:val="24"/>
          <w:szCs w:val="24"/>
        </w:rPr>
        <w:t xml:space="preserve">simply </w:t>
      </w:r>
      <w:r w:rsidR="002B5938" w:rsidRPr="004A1C60">
        <w:rPr>
          <w:rFonts w:ascii="Times New Roman" w:hAnsi="Times New Roman" w:cs="Times New Roman"/>
          <w:sz w:val="24"/>
          <w:szCs w:val="24"/>
        </w:rPr>
        <w:t>‘</w:t>
      </w:r>
      <w:r w:rsidR="00E71558" w:rsidRPr="004A1C60">
        <w:rPr>
          <w:rFonts w:ascii="Times New Roman" w:hAnsi="Times New Roman" w:cs="Times New Roman"/>
          <w:sz w:val="24"/>
          <w:szCs w:val="24"/>
        </w:rPr>
        <w:t>how can</w:t>
      </w:r>
      <w:r w:rsidR="002B5938" w:rsidRPr="004A1C60">
        <w:rPr>
          <w:rFonts w:ascii="Times New Roman" w:hAnsi="Times New Roman" w:cs="Times New Roman"/>
          <w:sz w:val="24"/>
          <w:szCs w:val="24"/>
        </w:rPr>
        <w:t xml:space="preserve"> I fit in to</w:t>
      </w:r>
      <w:r w:rsidR="005A084A" w:rsidRPr="004A1C60">
        <w:rPr>
          <w:rFonts w:ascii="Times New Roman" w:hAnsi="Times New Roman" w:cs="Times New Roman"/>
          <w:sz w:val="24"/>
          <w:szCs w:val="24"/>
        </w:rPr>
        <w:t xml:space="preserve"> this workplace</w:t>
      </w:r>
      <w:r w:rsidR="002B5938" w:rsidRPr="004A1C60">
        <w:rPr>
          <w:rFonts w:ascii="Times New Roman" w:hAnsi="Times New Roman" w:cs="Times New Roman"/>
          <w:sz w:val="24"/>
          <w:szCs w:val="24"/>
        </w:rPr>
        <w:t>’</w:t>
      </w:r>
      <w:r w:rsidR="005A084A" w:rsidRPr="004A1C60">
        <w:rPr>
          <w:rFonts w:ascii="Times New Roman" w:hAnsi="Times New Roman" w:cs="Times New Roman"/>
          <w:sz w:val="24"/>
          <w:szCs w:val="24"/>
        </w:rPr>
        <w:t>,</w:t>
      </w:r>
      <w:r w:rsidR="00E71558" w:rsidRPr="004A1C60">
        <w:rPr>
          <w:rFonts w:ascii="Times New Roman" w:hAnsi="Times New Roman" w:cs="Times New Roman"/>
          <w:sz w:val="24"/>
          <w:szCs w:val="24"/>
        </w:rPr>
        <w:t xml:space="preserve"> </w:t>
      </w:r>
      <w:r w:rsidR="005A084A" w:rsidRPr="004A1C60">
        <w:rPr>
          <w:rFonts w:ascii="Times New Roman" w:hAnsi="Times New Roman" w:cs="Times New Roman"/>
          <w:sz w:val="24"/>
          <w:szCs w:val="24"/>
        </w:rPr>
        <w:t>but</w:t>
      </w:r>
      <w:r w:rsidR="0032000A" w:rsidRPr="004A1C60">
        <w:rPr>
          <w:rFonts w:ascii="Times New Roman" w:hAnsi="Times New Roman" w:cs="Times New Roman"/>
          <w:sz w:val="24"/>
          <w:szCs w:val="24"/>
        </w:rPr>
        <w:t xml:space="preserve"> a whole series of key questions about workplace dynamics;</w:t>
      </w:r>
    </w:p>
    <w:p w14:paraId="40A31A0C" w14:textId="77777777" w:rsidR="0032000A" w:rsidRPr="004A1C60" w:rsidRDefault="00E80D41" w:rsidP="00832802">
      <w:pPr>
        <w:spacing w:line="360" w:lineRule="auto"/>
        <w:rPr>
          <w:rFonts w:ascii="Times New Roman" w:hAnsi="Times New Roman" w:cs="Times New Roman"/>
          <w:sz w:val="24"/>
          <w:szCs w:val="24"/>
        </w:rPr>
      </w:pPr>
      <w:r w:rsidRPr="004A1C60">
        <w:rPr>
          <w:rFonts w:ascii="Times New Roman" w:hAnsi="Times New Roman" w:cs="Times New Roman"/>
          <w:sz w:val="24"/>
          <w:szCs w:val="24"/>
        </w:rPr>
        <w:lastRenderedPageBreak/>
        <w:t>How does it work?</w:t>
      </w:r>
    </w:p>
    <w:p w14:paraId="0A02C560" w14:textId="4C2B09A9" w:rsidR="00E80D41" w:rsidRPr="004A1C60" w:rsidRDefault="00E80D41" w:rsidP="00832802">
      <w:pPr>
        <w:spacing w:line="360" w:lineRule="auto"/>
        <w:rPr>
          <w:rFonts w:ascii="Times New Roman" w:hAnsi="Times New Roman" w:cs="Times New Roman"/>
          <w:sz w:val="24"/>
          <w:szCs w:val="24"/>
        </w:rPr>
      </w:pPr>
      <w:r w:rsidRPr="004A1C60">
        <w:rPr>
          <w:rFonts w:ascii="Times New Roman" w:hAnsi="Times New Roman" w:cs="Times New Roman"/>
          <w:sz w:val="24"/>
          <w:szCs w:val="24"/>
        </w:rPr>
        <w:t>W</w:t>
      </w:r>
      <w:r w:rsidR="00B2224D" w:rsidRPr="004A1C60">
        <w:rPr>
          <w:rFonts w:ascii="Times New Roman" w:hAnsi="Times New Roman" w:cs="Times New Roman"/>
          <w:sz w:val="24"/>
          <w:szCs w:val="24"/>
        </w:rPr>
        <w:t>ho does it work for</w:t>
      </w:r>
      <w:r w:rsidRPr="004A1C60">
        <w:rPr>
          <w:rFonts w:ascii="Times New Roman" w:hAnsi="Times New Roman" w:cs="Times New Roman"/>
          <w:sz w:val="24"/>
          <w:szCs w:val="24"/>
        </w:rPr>
        <w:t>?</w:t>
      </w:r>
    </w:p>
    <w:p w14:paraId="119E2A5C" w14:textId="4B229E45" w:rsidR="00E80D41" w:rsidRPr="004A1C60" w:rsidRDefault="00E80D41" w:rsidP="00832802">
      <w:pPr>
        <w:spacing w:line="360" w:lineRule="auto"/>
        <w:rPr>
          <w:rFonts w:ascii="Times New Roman" w:hAnsi="Times New Roman" w:cs="Times New Roman"/>
          <w:sz w:val="24"/>
          <w:szCs w:val="24"/>
        </w:rPr>
      </w:pPr>
      <w:r w:rsidRPr="004A1C60">
        <w:rPr>
          <w:rFonts w:ascii="Times New Roman" w:hAnsi="Times New Roman" w:cs="Times New Roman"/>
          <w:sz w:val="24"/>
          <w:szCs w:val="24"/>
        </w:rPr>
        <w:t>W</w:t>
      </w:r>
      <w:r w:rsidR="004A3D12" w:rsidRPr="004A1C60">
        <w:rPr>
          <w:rFonts w:ascii="Times New Roman" w:hAnsi="Times New Roman" w:cs="Times New Roman"/>
          <w:sz w:val="24"/>
          <w:szCs w:val="24"/>
        </w:rPr>
        <w:t>hat does it mean to play with and again</w:t>
      </w:r>
      <w:r w:rsidRPr="004A1C60">
        <w:rPr>
          <w:rFonts w:ascii="Times New Roman" w:hAnsi="Times New Roman" w:cs="Times New Roman"/>
          <w:sz w:val="24"/>
          <w:szCs w:val="24"/>
        </w:rPr>
        <w:t>st the rules?</w:t>
      </w:r>
      <w:r w:rsidR="004C3CA2" w:rsidRPr="004A1C60">
        <w:rPr>
          <w:rFonts w:ascii="Times New Roman" w:hAnsi="Times New Roman" w:cs="Times New Roman"/>
          <w:sz w:val="24"/>
          <w:szCs w:val="24"/>
        </w:rPr>
        <w:t xml:space="preserve"> </w:t>
      </w:r>
    </w:p>
    <w:p w14:paraId="2A1E874A" w14:textId="14CD1A56" w:rsidR="0032000A" w:rsidRPr="004A1C60" w:rsidRDefault="004C3CA2" w:rsidP="00832802">
      <w:pPr>
        <w:spacing w:line="360" w:lineRule="auto"/>
        <w:rPr>
          <w:rFonts w:ascii="Times New Roman" w:hAnsi="Times New Roman" w:cs="Times New Roman"/>
          <w:sz w:val="24"/>
          <w:szCs w:val="24"/>
        </w:rPr>
      </w:pPr>
      <w:r w:rsidRPr="004A1C60">
        <w:rPr>
          <w:rFonts w:ascii="Times New Roman" w:hAnsi="Times New Roman" w:cs="Times New Roman"/>
          <w:sz w:val="24"/>
          <w:szCs w:val="24"/>
        </w:rPr>
        <w:t xml:space="preserve">What does it mean to be successful in the context? What do I need to do to be successful? </w:t>
      </w:r>
      <w:r w:rsidR="0032000A" w:rsidRPr="004A1C60">
        <w:rPr>
          <w:rFonts w:ascii="Times New Roman" w:hAnsi="Times New Roman" w:cs="Times New Roman"/>
          <w:sz w:val="24"/>
          <w:szCs w:val="24"/>
        </w:rPr>
        <w:t xml:space="preserve">What are the costs and benefits of my actions for different groups of </w:t>
      </w:r>
      <w:r w:rsidR="00CA418A" w:rsidRPr="004A1C60">
        <w:rPr>
          <w:rFonts w:ascii="Times New Roman" w:hAnsi="Times New Roman" w:cs="Times New Roman"/>
          <w:sz w:val="24"/>
          <w:szCs w:val="24"/>
        </w:rPr>
        <w:t>stakeholders</w:t>
      </w:r>
      <w:r w:rsidR="0032000A" w:rsidRPr="004A1C60">
        <w:rPr>
          <w:rFonts w:ascii="Times New Roman" w:hAnsi="Times New Roman" w:cs="Times New Roman"/>
          <w:sz w:val="24"/>
          <w:szCs w:val="24"/>
        </w:rPr>
        <w:t>?</w:t>
      </w:r>
    </w:p>
    <w:p w14:paraId="0A1EAC43" w14:textId="439A4E64" w:rsidR="004C3CA2" w:rsidRPr="004A1C60" w:rsidRDefault="00CA418A" w:rsidP="00832802">
      <w:pPr>
        <w:spacing w:line="360" w:lineRule="auto"/>
        <w:rPr>
          <w:rFonts w:ascii="Times New Roman" w:hAnsi="Times New Roman" w:cs="Times New Roman"/>
          <w:sz w:val="24"/>
          <w:szCs w:val="24"/>
        </w:rPr>
      </w:pPr>
      <w:r w:rsidRPr="004A1C60">
        <w:rPr>
          <w:rFonts w:ascii="Times New Roman" w:hAnsi="Times New Roman" w:cs="Times New Roman"/>
          <w:sz w:val="24"/>
          <w:szCs w:val="24"/>
        </w:rPr>
        <w:t>What</w:t>
      </w:r>
      <w:r w:rsidR="0032000A" w:rsidRPr="004A1C60">
        <w:rPr>
          <w:rFonts w:ascii="Times New Roman" w:hAnsi="Times New Roman" w:cs="Times New Roman"/>
          <w:sz w:val="24"/>
          <w:szCs w:val="24"/>
        </w:rPr>
        <w:t xml:space="preserve"> do dominant values of ‘success’ look like in this context? </w:t>
      </w:r>
      <w:r w:rsidR="004C3CA2" w:rsidRPr="004A1C60">
        <w:rPr>
          <w:rFonts w:ascii="Times New Roman" w:hAnsi="Times New Roman" w:cs="Times New Roman"/>
          <w:sz w:val="24"/>
          <w:szCs w:val="24"/>
        </w:rPr>
        <w:t>How does this expression of success articulate with my own attitudes, values and beliefs?</w:t>
      </w:r>
    </w:p>
    <w:p w14:paraId="52FCC880" w14:textId="66DE57C5" w:rsidR="00E80D41" w:rsidRPr="004A1C60" w:rsidRDefault="00E80D41" w:rsidP="00832802">
      <w:pPr>
        <w:spacing w:line="360" w:lineRule="auto"/>
        <w:rPr>
          <w:rFonts w:ascii="Times New Roman" w:hAnsi="Times New Roman" w:cs="Times New Roman"/>
          <w:sz w:val="24"/>
          <w:szCs w:val="24"/>
        </w:rPr>
      </w:pPr>
      <w:r w:rsidRPr="004A1C60">
        <w:rPr>
          <w:rFonts w:ascii="Times New Roman" w:hAnsi="Times New Roman" w:cs="Times New Roman"/>
          <w:sz w:val="24"/>
          <w:szCs w:val="24"/>
        </w:rPr>
        <w:t>What does risk mean</w:t>
      </w:r>
      <w:r w:rsidR="0032000A" w:rsidRPr="004A1C60">
        <w:rPr>
          <w:rFonts w:ascii="Times New Roman" w:hAnsi="Times New Roman" w:cs="Times New Roman"/>
          <w:sz w:val="24"/>
          <w:szCs w:val="24"/>
        </w:rPr>
        <w:t xml:space="preserve"> for me</w:t>
      </w:r>
      <w:r w:rsidRPr="004A1C60">
        <w:rPr>
          <w:rFonts w:ascii="Times New Roman" w:hAnsi="Times New Roman" w:cs="Times New Roman"/>
          <w:sz w:val="24"/>
          <w:szCs w:val="24"/>
        </w:rPr>
        <w:t xml:space="preserve"> in this context?</w:t>
      </w:r>
    </w:p>
    <w:p w14:paraId="3BB07DB0" w14:textId="7D606796" w:rsidR="00B62DBB" w:rsidRPr="004A1C60" w:rsidRDefault="00E80D41" w:rsidP="00832802">
      <w:pPr>
        <w:spacing w:line="360" w:lineRule="auto"/>
        <w:rPr>
          <w:rFonts w:ascii="Times New Roman" w:hAnsi="Times New Roman" w:cs="Times New Roman"/>
          <w:sz w:val="24"/>
          <w:szCs w:val="24"/>
        </w:rPr>
      </w:pPr>
      <w:r w:rsidRPr="004A1C60">
        <w:rPr>
          <w:rFonts w:ascii="Times New Roman" w:hAnsi="Times New Roman" w:cs="Times New Roman"/>
          <w:sz w:val="24"/>
          <w:szCs w:val="24"/>
        </w:rPr>
        <w:t>W</w:t>
      </w:r>
      <w:r w:rsidR="00E71558" w:rsidRPr="004A1C60">
        <w:rPr>
          <w:rFonts w:ascii="Times New Roman" w:hAnsi="Times New Roman" w:cs="Times New Roman"/>
          <w:sz w:val="24"/>
          <w:szCs w:val="24"/>
        </w:rPr>
        <w:t>hat differences</w:t>
      </w:r>
      <w:r w:rsidRPr="004A1C60">
        <w:rPr>
          <w:rFonts w:ascii="Times New Roman" w:hAnsi="Times New Roman" w:cs="Times New Roman"/>
          <w:sz w:val="24"/>
          <w:szCs w:val="24"/>
        </w:rPr>
        <w:t>/contributions do I want to make?</w:t>
      </w:r>
    </w:p>
    <w:p w14:paraId="5340F0BD" w14:textId="40B612A8" w:rsidR="00E80D41" w:rsidRPr="004A1C60" w:rsidRDefault="00712EFC" w:rsidP="00832802">
      <w:pPr>
        <w:spacing w:line="360" w:lineRule="auto"/>
        <w:rPr>
          <w:rFonts w:ascii="Times New Roman" w:hAnsi="Times New Roman" w:cs="Times New Roman"/>
          <w:sz w:val="24"/>
          <w:szCs w:val="24"/>
        </w:rPr>
      </w:pPr>
      <w:r w:rsidRPr="004A1C60">
        <w:rPr>
          <w:rFonts w:ascii="Times New Roman" w:hAnsi="Times New Roman" w:cs="Times New Roman"/>
          <w:sz w:val="24"/>
          <w:szCs w:val="24"/>
        </w:rPr>
        <w:t>What roles and identities are made available? How do these play with or against alternative ways of doing and being?</w:t>
      </w:r>
    </w:p>
    <w:p w14:paraId="69F1CC1C" w14:textId="4CBA6031" w:rsidR="00836364" w:rsidRPr="004A1C60" w:rsidRDefault="00522296" w:rsidP="00832802">
      <w:pPr>
        <w:spacing w:line="360" w:lineRule="auto"/>
        <w:rPr>
          <w:rFonts w:ascii="Times New Roman" w:hAnsi="Times New Roman" w:cs="Times New Roman"/>
          <w:bCs/>
          <w:sz w:val="24"/>
          <w:szCs w:val="24"/>
        </w:rPr>
      </w:pPr>
      <w:r w:rsidRPr="004A1C60">
        <w:rPr>
          <w:rFonts w:ascii="Times New Roman" w:hAnsi="Times New Roman" w:cs="Times New Roman"/>
          <w:sz w:val="24"/>
          <w:szCs w:val="24"/>
        </w:rPr>
        <w:t>We conten</w:t>
      </w:r>
      <w:r w:rsidR="005B1536" w:rsidRPr="004A1C60">
        <w:rPr>
          <w:rFonts w:ascii="Times New Roman" w:hAnsi="Times New Roman" w:cs="Times New Roman"/>
          <w:sz w:val="24"/>
          <w:szCs w:val="24"/>
        </w:rPr>
        <w:t>d</w:t>
      </w:r>
      <w:r w:rsidRPr="004A1C60">
        <w:rPr>
          <w:rFonts w:ascii="Times New Roman" w:hAnsi="Times New Roman" w:cs="Times New Roman"/>
          <w:sz w:val="24"/>
          <w:szCs w:val="24"/>
        </w:rPr>
        <w:t xml:space="preserve"> that </w:t>
      </w:r>
      <w:r w:rsidR="005B1536" w:rsidRPr="004A1C60">
        <w:rPr>
          <w:rFonts w:ascii="Times New Roman" w:hAnsi="Times New Roman" w:cs="Times New Roman"/>
          <w:sz w:val="24"/>
          <w:szCs w:val="24"/>
        </w:rPr>
        <w:t xml:space="preserve">such a approach will </w:t>
      </w:r>
      <w:r w:rsidR="007C6183" w:rsidRPr="004A1C60">
        <w:rPr>
          <w:rFonts w:ascii="Times New Roman" w:hAnsi="Times New Roman" w:cs="Times New Roman"/>
          <w:sz w:val="24"/>
          <w:szCs w:val="24"/>
        </w:rPr>
        <w:t>properly re-position</w:t>
      </w:r>
      <w:r w:rsidR="005B1536" w:rsidRPr="004A1C60">
        <w:rPr>
          <w:rFonts w:ascii="Times New Roman" w:hAnsi="Times New Roman" w:cs="Times New Roman"/>
          <w:sz w:val="24"/>
          <w:szCs w:val="24"/>
        </w:rPr>
        <w:t xml:space="preserve"> student</w:t>
      </w:r>
      <w:r w:rsidR="00900DF9" w:rsidRPr="004A1C60">
        <w:rPr>
          <w:rFonts w:ascii="Times New Roman" w:hAnsi="Times New Roman" w:cs="Times New Roman"/>
          <w:sz w:val="24"/>
          <w:szCs w:val="24"/>
        </w:rPr>
        <w:t xml:space="preserve">s as </w:t>
      </w:r>
      <w:r w:rsidR="00900DF9" w:rsidRPr="004A1C60">
        <w:rPr>
          <w:rFonts w:ascii="Times New Roman" w:hAnsi="Times New Roman" w:cs="Times New Roman"/>
          <w:i/>
          <w:sz w:val="24"/>
          <w:szCs w:val="24"/>
        </w:rPr>
        <w:t>students</w:t>
      </w:r>
      <w:r w:rsidR="00900DF9" w:rsidRPr="004A1C60">
        <w:rPr>
          <w:rFonts w:ascii="Times New Roman" w:hAnsi="Times New Roman" w:cs="Times New Roman"/>
          <w:sz w:val="24"/>
          <w:szCs w:val="24"/>
        </w:rPr>
        <w:t xml:space="preserve"> of the workplace</w:t>
      </w:r>
      <w:r w:rsidR="007C6183" w:rsidRPr="004A1C60">
        <w:rPr>
          <w:rFonts w:ascii="Times New Roman" w:hAnsi="Times New Roman" w:cs="Times New Roman"/>
          <w:sz w:val="24"/>
          <w:szCs w:val="24"/>
        </w:rPr>
        <w:t xml:space="preserve"> </w:t>
      </w:r>
      <w:r w:rsidR="00CA418A" w:rsidRPr="004A1C60">
        <w:rPr>
          <w:rFonts w:ascii="Times New Roman" w:hAnsi="Times New Roman" w:cs="Times New Roman"/>
          <w:sz w:val="24"/>
          <w:szCs w:val="24"/>
        </w:rPr>
        <w:t>agentically</w:t>
      </w:r>
      <w:r w:rsidR="007C6183" w:rsidRPr="004A1C60">
        <w:rPr>
          <w:rFonts w:ascii="Times New Roman" w:hAnsi="Times New Roman" w:cs="Times New Roman"/>
          <w:sz w:val="24"/>
          <w:szCs w:val="24"/>
        </w:rPr>
        <w:t>, dialogically and critically engaged with workplaces as complex, contingent systems. Furthermore we argue that this</w:t>
      </w:r>
      <w:r w:rsidR="00807B1F" w:rsidRPr="004A1C60">
        <w:rPr>
          <w:rFonts w:ascii="Times New Roman" w:hAnsi="Times New Roman" w:cs="Times New Roman"/>
          <w:sz w:val="24"/>
          <w:szCs w:val="24"/>
        </w:rPr>
        <w:t xml:space="preserve"> approach will enable students, particularly those who are first generation higher education participants, to develop meta-understandings of the workplace and recognise the ways of being and doing (identities, allegiances, affiliations, attitudes, behaviours and structural relations) that pattern and frame workplace interactions, understand their own positionality within those relations and make decisions, based on thoughtful, self-conscious assessments of risk, about their own participation.  </w:t>
      </w:r>
      <w:r w:rsidR="00012B07" w:rsidRPr="004A1C60">
        <w:rPr>
          <w:rFonts w:ascii="Times New Roman" w:hAnsi="Times New Roman" w:cs="Times New Roman"/>
          <w:sz w:val="24"/>
          <w:szCs w:val="24"/>
        </w:rPr>
        <w:t xml:space="preserve">To this end we invoke </w:t>
      </w:r>
      <w:r w:rsidR="00316529" w:rsidRPr="004A1C60">
        <w:rPr>
          <w:rFonts w:ascii="Times New Roman" w:hAnsi="Times New Roman" w:cs="Times New Roman"/>
          <w:bCs/>
          <w:sz w:val="24"/>
          <w:szCs w:val="24"/>
        </w:rPr>
        <w:t>Gee’s ‘bill of rights’</w:t>
      </w:r>
      <w:r w:rsidR="00012B07" w:rsidRPr="004A1C60">
        <w:rPr>
          <w:rFonts w:ascii="Times New Roman" w:hAnsi="Times New Roman" w:cs="Times New Roman"/>
          <w:sz w:val="24"/>
          <w:szCs w:val="24"/>
        </w:rPr>
        <w:t xml:space="preserve"> </w:t>
      </w:r>
      <w:r w:rsidR="00316529" w:rsidRPr="004A1C60">
        <w:rPr>
          <w:rFonts w:ascii="Times New Roman" w:hAnsi="Times New Roman" w:cs="Times New Roman"/>
          <w:bCs/>
          <w:sz w:val="24"/>
          <w:szCs w:val="24"/>
        </w:rPr>
        <w:t>(2000: 67)</w:t>
      </w:r>
      <w:r w:rsidR="00E75202" w:rsidRPr="004A1C60">
        <w:rPr>
          <w:rFonts w:ascii="Times New Roman" w:hAnsi="Times New Roman" w:cs="Times New Roman"/>
          <w:bCs/>
          <w:sz w:val="24"/>
          <w:szCs w:val="24"/>
        </w:rPr>
        <w:t xml:space="preserve"> about literacy. All young people, Gee argues, but most especially minority and poor children have a right to: situ</w:t>
      </w:r>
      <w:r w:rsidR="00401D85" w:rsidRPr="004A1C60">
        <w:rPr>
          <w:rFonts w:ascii="Times New Roman" w:hAnsi="Times New Roman" w:cs="Times New Roman"/>
          <w:bCs/>
          <w:sz w:val="24"/>
          <w:szCs w:val="24"/>
        </w:rPr>
        <w:t xml:space="preserve">ated practice; overt instruction that supports reflexivity and meta-awareness; critical framing; and finally and perhaps crucially the right to transform and produce knowledge. </w:t>
      </w:r>
      <w:r w:rsidR="007E71B9" w:rsidRPr="004A1C60">
        <w:rPr>
          <w:rFonts w:ascii="Times New Roman" w:hAnsi="Times New Roman" w:cs="Times New Roman"/>
          <w:bCs/>
          <w:sz w:val="24"/>
          <w:szCs w:val="24"/>
        </w:rPr>
        <w:t>Th</w:t>
      </w:r>
      <w:r w:rsidR="007B0C0E" w:rsidRPr="004A1C60">
        <w:rPr>
          <w:rFonts w:ascii="Times New Roman" w:hAnsi="Times New Roman" w:cs="Times New Roman"/>
          <w:bCs/>
          <w:sz w:val="24"/>
          <w:szCs w:val="24"/>
        </w:rPr>
        <w:t>e L4E framework offers, we suggest</w:t>
      </w:r>
      <w:r w:rsidR="007E71B9" w:rsidRPr="004A1C60">
        <w:rPr>
          <w:rFonts w:ascii="Times New Roman" w:hAnsi="Times New Roman" w:cs="Times New Roman"/>
          <w:bCs/>
          <w:sz w:val="24"/>
          <w:szCs w:val="24"/>
        </w:rPr>
        <w:t xml:space="preserve">, a strategy for </w:t>
      </w:r>
      <w:r w:rsidR="001E3435" w:rsidRPr="004A1C60">
        <w:rPr>
          <w:rFonts w:ascii="Times New Roman" w:hAnsi="Times New Roman" w:cs="Times New Roman"/>
          <w:bCs/>
          <w:sz w:val="24"/>
          <w:szCs w:val="24"/>
        </w:rPr>
        <w:t xml:space="preserve">an employability curriculum design that is responsive to these priorities, </w:t>
      </w:r>
      <w:r w:rsidR="00C238A3" w:rsidRPr="004A1C60">
        <w:rPr>
          <w:rFonts w:ascii="Times New Roman" w:hAnsi="Times New Roman" w:cs="Times New Roman"/>
          <w:bCs/>
          <w:sz w:val="24"/>
          <w:szCs w:val="24"/>
        </w:rPr>
        <w:t>useful most especially to those students who do not experience work place identities</w:t>
      </w:r>
      <w:r w:rsidR="0032000A" w:rsidRPr="004A1C60">
        <w:rPr>
          <w:rFonts w:ascii="Times New Roman" w:hAnsi="Times New Roman" w:cs="Times New Roman"/>
          <w:bCs/>
          <w:sz w:val="24"/>
          <w:szCs w:val="24"/>
        </w:rPr>
        <w:t xml:space="preserve"> as ‘fish in’ </w:t>
      </w:r>
      <w:r w:rsidR="00F9014A" w:rsidRPr="004A1C60">
        <w:rPr>
          <w:rFonts w:ascii="Times New Roman" w:hAnsi="Times New Roman" w:cs="Times New Roman"/>
          <w:bCs/>
          <w:sz w:val="24"/>
          <w:szCs w:val="24"/>
        </w:rPr>
        <w:t>(Bourdieu 19</w:t>
      </w:r>
      <w:r w:rsidR="00132B70" w:rsidRPr="004A1C60">
        <w:rPr>
          <w:rFonts w:ascii="Times New Roman" w:hAnsi="Times New Roman" w:cs="Times New Roman"/>
          <w:bCs/>
          <w:sz w:val="24"/>
          <w:szCs w:val="24"/>
        </w:rPr>
        <w:t>92: 127)</w:t>
      </w:r>
      <w:r w:rsidR="00C238A3" w:rsidRPr="004A1C60">
        <w:rPr>
          <w:rFonts w:ascii="Times New Roman" w:hAnsi="Times New Roman" w:cs="Times New Roman"/>
          <w:bCs/>
          <w:sz w:val="24"/>
          <w:szCs w:val="24"/>
        </w:rPr>
        <w:t>. Furthermore we contend</w:t>
      </w:r>
      <w:r w:rsidR="00F5220F" w:rsidRPr="004A1C60">
        <w:rPr>
          <w:rFonts w:ascii="Times New Roman" w:hAnsi="Times New Roman" w:cs="Times New Roman"/>
          <w:bCs/>
          <w:sz w:val="24"/>
          <w:szCs w:val="24"/>
        </w:rPr>
        <w:t xml:space="preserve"> that the processes of L4E, the use of an app to frame and support ethnogr</w:t>
      </w:r>
      <w:r w:rsidR="00EC24C1" w:rsidRPr="004A1C60">
        <w:rPr>
          <w:rFonts w:ascii="Times New Roman" w:hAnsi="Times New Roman" w:cs="Times New Roman"/>
          <w:bCs/>
          <w:sz w:val="24"/>
          <w:szCs w:val="24"/>
        </w:rPr>
        <w:t>aphic approaches to practice offers</w:t>
      </w:r>
      <w:r w:rsidR="00F5220F" w:rsidRPr="004A1C60">
        <w:rPr>
          <w:rFonts w:ascii="Times New Roman" w:hAnsi="Times New Roman" w:cs="Times New Roman"/>
          <w:bCs/>
          <w:sz w:val="24"/>
          <w:szCs w:val="24"/>
        </w:rPr>
        <w:t xml:space="preserve"> a broader </w:t>
      </w:r>
      <w:r w:rsidR="00EC24C1" w:rsidRPr="004A1C60">
        <w:rPr>
          <w:rFonts w:ascii="Times New Roman" w:hAnsi="Times New Roman" w:cs="Times New Roman"/>
          <w:bCs/>
          <w:sz w:val="24"/>
          <w:szCs w:val="24"/>
        </w:rPr>
        <w:t>potential for curriculum building in professional</w:t>
      </w:r>
      <w:r w:rsidR="006B0328" w:rsidRPr="004A1C60">
        <w:rPr>
          <w:rFonts w:ascii="Times New Roman" w:hAnsi="Times New Roman" w:cs="Times New Roman"/>
          <w:bCs/>
          <w:sz w:val="24"/>
          <w:szCs w:val="24"/>
        </w:rPr>
        <w:t xml:space="preserve"> and vocational</w:t>
      </w:r>
      <w:r w:rsidR="00EC24C1" w:rsidRPr="004A1C60">
        <w:rPr>
          <w:rFonts w:ascii="Times New Roman" w:hAnsi="Times New Roman" w:cs="Times New Roman"/>
          <w:bCs/>
          <w:sz w:val="24"/>
          <w:szCs w:val="24"/>
        </w:rPr>
        <w:t xml:space="preserve"> education.</w:t>
      </w:r>
      <w:r w:rsidR="00F5220F" w:rsidRPr="004A1C60">
        <w:rPr>
          <w:rFonts w:ascii="Times New Roman" w:hAnsi="Times New Roman" w:cs="Times New Roman"/>
          <w:bCs/>
          <w:sz w:val="24"/>
          <w:szCs w:val="24"/>
        </w:rPr>
        <w:t xml:space="preserve"> </w:t>
      </w:r>
    </w:p>
    <w:p w14:paraId="0B8CB786" w14:textId="77777777" w:rsidR="009F57F6" w:rsidRPr="004A1C60" w:rsidRDefault="009F57F6" w:rsidP="009F57F6">
      <w:pPr>
        <w:spacing w:line="360" w:lineRule="auto"/>
        <w:rPr>
          <w:rFonts w:ascii="Times New Roman" w:hAnsi="Times New Roman" w:cs="Times New Roman"/>
          <w:b/>
          <w:sz w:val="24"/>
          <w:szCs w:val="24"/>
        </w:rPr>
      </w:pPr>
      <w:r w:rsidRPr="004A1C60">
        <w:rPr>
          <w:rFonts w:ascii="Times New Roman" w:hAnsi="Times New Roman" w:cs="Times New Roman"/>
          <w:b/>
          <w:sz w:val="24"/>
          <w:szCs w:val="24"/>
        </w:rPr>
        <w:t xml:space="preserve">References </w:t>
      </w:r>
    </w:p>
    <w:p w14:paraId="3069433B" w14:textId="77777777" w:rsidR="009F57F6" w:rsidRPr="004A1C60" w:rsidRDefault="009F57F6" w:rsidP="009F57F6">
      <w:pPr>
        <w:spacing w:line="360" w:lineRule="auto"/>
        <w:rPr>
          <w:rFonts w:ascii="Times New Roman" w:hAnsi="Times New Roman" w:cs="Times New Roman"/>
          <w:sz w:val="24"/>
          <w:szCs w:val="24"/>
        </w:rPr>
      </w:pPr>
      <w:r w:rsidRPr="004A1C60">
        <w:rPr>
          <w:rFonts w:ascii="Times New Roman" w:hAnsi="Times New Roman" w:cs="Times New Roman"/>
          <w:sz w:val="24"/>
          <w:szCs w:val="24"/>
        </w:rPr>
        <w:lastRenderedPageBreak/>
        <w:t>An Independent Review of Higher Education Funding and Student Finance. (2010) Securing a sustainable future for higher education (The Browne Report) [WWW] Available from: http://www.independent.gov.uk/browne-report [Accessed 13/10/10].</w:t>
      </w:r>
    </w:p>
    <w:p w14:paraId="51450713" w14:textId="77777777" w:rsidR="009F57F6" w:rsidRPr="004A1C60" w:rsidRDefault="009F57F6" w:rsidP="009F57F6">
      <w:pPr>
        <w:spacing w:line="360" w:lineRule="auto"/>
        <w:rPr>
          <w:rFonts w:ascii="Times New Roman" w:hAnsi="Times New Roman" w:cs="Times New Roman"/>
          <w:sz w:val="24"/>
          <w:szCs w:val="24"/>
        </w:rPr>
      </w:pPr>
      <w:r w:rsidRPr="004A1C60">
        <w:rPr>
          <w:rFonts w:ascii="Times New Roman" w:hAnsi="Times New Roman" w:cs="Times New Roman"/>
          <w:bCs/>
          <w:sz w:val="24"/>
          <w:szCs w:val="24"/>
        </w:rPr>
        <w:t xml:space="preserve">Ball, Stephen. (2008), </w:t>
      </w:r>
      <w:r w:rsidRPr="004A1C60">
        <w:rPr>
          <w:rFonts w:ascii="Times New Roman" w:hAnsi="Times New Roman" w:cs="Times New Roman"/>
          <w:bCs/>
          <w:i/>
          <w:sz w:val="24"/>
          <w:szCs w:val="24"/>
        </w:rPr>
        <w:t>The Education Debate</w:t>
      </w:r>
      <w:r w:rsidRPr="004A1C60">
        <w:rPr>
          <w:rFonts w:ascii="Times New Roman" w:hAnsi="Times New Roman" w:cs="Times New Roman"/>
          <w:bCs/>
          <w:sz w:val="24"/>
          <w:szCs w:val="24"/>
        </w:rPr>
        <w:t>. Bristol: The Polity Press</w:t>
      </w:r>
    </w:p>
    <w:p w14:paraId="602D392B" w14:textId="77777777" w:rsidR="009F57F6" w:rsidRPr="004A1C60" w:rsidRDefault="009F57F6" w:rsidP="009F57F6">
      <w:pPr>
        <w:spacing w:before="150" w:after="150" w:line="360" w:lineRule="auto"/>
        <w:ind w:right="150"/>
        <w:rPr>
          <w:rFonts w:ascii="Times New Roman" w:hAnsi="Times New Roman" w:cs="Times New Roman"/>
          <w:bCs/>
          <w:sz w:val="24"/>
          <w:szCs w:val="24"/>
        </w:rPr>
      </w:pPr>
      <w:r w:rsidRPr="004A1C60">
        <w:rPr>
          <w:rFonts w:ascii="Times New Roman" w:eastAsiaTheme="minorEastAsia" w:hAnsi="Times New Roman" w:cs="Times New Roman"/>
          <w:sz w:val="24"/>
          <w:szCs w:val="24"/>
          <w:lang w:val="en-US"/>
        </w:rPr>
        <w:t xml:space="preserve">Barnett, Ronald. (2000), “Supercomplexity and the Curriculum”, </w:t>
      </w:r>
      <w:hyperlink r:id="rId9" w:history="1">
        <w:r w:rsidRPr="004A1C60">
          <w:rPr>
            <w:rFonts w:ascii="Times New Roman" w:eastAsiaTheme="minorEastAsia" w:hAnsi="Times New Roman" w:cs="Times New Roman"/>
            <w:sz w:val="24"/>
            <w:szCs w:val="24"/>
            <w:lang w:val="en-US"/>
          </w:rPr>
          <w:t xml:space="preserve">Studies in Higher Education </w:t>
        </w:r>
      </w:hyperlink>
      <w:r w:rsidRPr="004A1C60">
        <w:rPr>
          <w:rFonts w:ascii="Times New Roman" w:eastAsiaTheme="minorEastAsia" w:hAnsi="Times New Roman" w:cs="Times New Roman"/>
          <w:sz w:val="24"/>
          <w:szCs w:val="24"/>
          <w:lang w:val="en-US"/>
        </w:rPr>
        <w:t>Vol. 25 No. 3</w:t>
      </w:r>
    </w:p>
    <w:p w14:paraId="41F71B96" w14:textId="77777777" w:rsidR="009F57F6" w:rsidRPr="004A1C60" w:rsidRDefault="009F57F6" w:rsidP="009F57F6">
      <w:pPr>
        <w:spacing w:before="150" w:after="150" w:line="360" w:lineRule="auto"/>
        <w:ind w:right="150"/>
        <w:rPr>
          <w:rFonts w:ascii="Times New Roman" w:eastAsia="Arial Unicode MS" w:hAnsi="Times New Roman" w:cs="Times New Roman"/>
          <w:sz w:val="24"/>
          <w:szCs w:val="24"/>
        </w:rPr>
      </w:pPr>
      <w:r w:rsidRPr="004A1C60">
        <w:rPr>
          <w:rFonts w:ascii="Times New Roman" w:hAnsi="Times New Roman" w:cs="Times New Roman"/>
          <w:bCs/>
          <w:sz w:val="24"/>
          <w:szCs w:val="24"/>
        </w:rPr>
        <w:t>Barton, D., Hamilton, M. (1998),</w:t>
      </w:r>
      <w:r w:rsidRPr="004A1C60">
        <w:rPr>
          <w:rFonts w:ascii="Times New Roman" w:eastAsia="Arial Unicode MS" w:hAnsi="Times New Roman" w:cs="Times New Roman"/>
          <w:sz w:val="24"/>
          <w:szCs w:val="24"/>
        </w:rPr>
        <w:t xml:space="preserve"> </w:t>
      </w:r>
      <w:r w:rsidRPr="004A1C60">
        <w:rPr>
          <w:rFonts w:ascii="Times New Roman" w:hAnsi="Times New Roman" w:cs="Times New Roman"/>
          <w:i/>
          <w:iCs/>
          <w:sz w:val="24"/>
          <w:szCs w:val="24"/>
        </w:rPr>
        <w:t>Local Literacies</w:t>
      </w:r>
      <w:r w:rsidRPr="004A1C60">
        <w:rPr>
          <w:rFonts w:ascii="Times New Roman" w:hAnsi="Times New Roman" w:cs="Times New Roman"/>
          <w:sz w:val="24"/>
          <w:szCs w:val="24"/>
        </w:rPr>
        <w:t>, London: Routledge.</w:t>
      </w:r>
      <w:r w:rsidRPr="004A1C60">
        <w:rPr>
          <w:rFonts w:ascii="Times New Roman" w:eastAsia="Arial Unicode MS" w:hAnsi="Times New Roman" w:cs="Times New Roman"/>
          <w:i/>
          <w:iCs/>
          <w:sz w:val="24"/>
          <w:szCs w:val="24"/>
        </w:rPr>
        <w:t xml:space="preserve"> </w:t>
      </w:r>
      <w:r w:rsidRPr="004A1C60">
        <w:rPr>
          <w:rFonts w:ascii="Times New Roman" w:eastAsia="Arial Unicode MS" w:hAnsi="Times New Roman" w:cs="Times New Roman"/>
          <w:sz w:val="24"/>
          <w:szCs w:val="24"/>
        </w:rPr>
        <w:t xml:space="preserve">  </w:t>
      </w:r>
    </w:p>
    <w:p w14:paraId="3FEA11B9" w14:textId="77777777" w:rsidR="009F57F6" w:rsidRPr="004A1C60" w:rsidRDefault="009F57F6" w:rsidP="009F57F6">
      <w:pPr>
        <w:pStyle w:val="NormalWeb"/>
        <w:spacing w:line="360" w:lineRule="auto"/>
        <w:rPr>
          <w:rFonts w:ascii="Times New Roman" w:hAnsi="Times New Roman"/>
          <w:sz w:val="24"/>
          <w:szCs w:val="24"/>
        </w:rPr>
      </w:pPr>
      <w:r w:rsidRPr="004A1C60">
        <w:rPr>
          <w:rFonts w:ascii="Times New Roman" w:hAnsi="Times New Roman"/>
          <w:sz w:val="24"/>
          <w:szCs w:val="24"/>
        </w:rPr>
        <w:t xml:space="preserve">Biggs, J.B. (2003), </w:t>
      </w:r>
      <w:r w:rsidRPr="004A1C60">
        <w:rPr>
          <w:rFonts w:ascii="Times New Roman" w:hAnsi="Times New Roman"/>
          <w:i/>
          <w:iCs/>
          <w:sz w:val="24"/>
          <w:szCs w:val="24"/>
        </w:rPr>
        <w:t>Teaching for quality learning at university</w:t>
      </w:r>
      <w:r w:rsidRPr="004A1C60">
        <w:rPr>
          <w:rFonts w:ascii="Times New Roman" w:hAnsi="Times New Roman"/>
          <w:sz w:val="24"/>
          <w:szCs w:val="24"/>
        </w:rPr>
        <w:t xml:space="preserve">. Buckingham: Open University Press/Society for Research into Higher Education. (Second edition) </w:t>
      </w:r>
    </w:p>
    <w:p w14:paraId="11B6C3F2" w14:textId="77777777" w:rsidR="009F57F6" w:rsidRPr="004A1C60" w:rsidRDefault="009F57F6" w:rsidP="009F57F6">
      <w:pPr>
        <w:spacing w:line="360" w:lineRule="auto"/>
        <w:rPr>
          <w:rFonts w:ascii="Times New Roman" w:hAnsi="Times New Roman" w:cs="Times New Roman"/>
          <w:sz w:val="24"/>
          <w:szCs w:val="24"/>
        </w:rPr>
      </w:pPr>
      <w:r w:rsidRPr="004A1C60">
        <w:rPr>
          <w:rFonts w:ascii="Times New Roman" w:hAnsi="Times New Roman" w:cs="Times New Roman"/>
          <w:sz w:val="24"/>
          <w:szCs w:val="24"/>
        </w:rPr>
        <w:t xml:space="preserve">Boden, R. &amp; Nedeva, M. (2010) 'Employing discourse: Universities and graduate’ employability'', </w:t>
      </w:r>
      <w:r w:rsidRPr="004A1C60">
        <w:rPr>
          <w:rFonts w:ascii="Times New Roman" w:hAnsi="Times New Roman" w:cs="Times New Roman"/>
          <w:i/>
          <w:sz w:val="24"/>
          <w:szCs w:val="24"/>
        </w:rPr>
        <w:t>Journal of Education Policy</w:t>
      </w:r>
      <w:r w:rsidRPr="004A1C60">
        <w:rPr>
          <w:rFonts w:ascii="Times New Roman" w:hAnsi="Times New Roman" w:cs="Times New Roman"/>
          <w:sz w:val="24"/>
          <w:szCs w:val="24"/>
        </w:rPr>
        <w:t>, Vol. 25 No. 37 pp48-54.</w:t>
      </w:r>
    </w:p>
    <w:p w14:paraId="089A0018" w14:textId="79818693" w:rsidR="0065267F" w:rsidRPr="004A1C60" w:rsidRDefault="0065267F" w:rsidP="009F57F6">
      <w:pPr>
        <w:spacing w:line="360" w:lineRule="auto"/>
        <w:rPr>
          <w:rFonts w:ascii="Times New Roman" w:hAnsi="Times New Roman" w:cs="Times New Roman"/>
          <w:sz w:val="24"/>
          <w:szCs w:val="24"/>
        </w:rPr>
      </w:pPr>
      <w:r w:rsidRPr="004A1C60">
        <w:rPr>
          <w:rFonts w:ascii="Times New Roman" w:hAnsi="Times New Roman" w:cs="Times New Roman"/>
          <w:sz w:val="24"/>
          <w:szCs w:val="24"/>
        </w:rPr>
        <w:t xml:space="preserve">Bourdieu, P. &amp; Wacquant, L. (1992). </w:t>
      </w:r>
      <w:r w:rsidRPr="004A1C60">
        <w:rPr>
          <w:rFonts w:ascii="Times New Roman" w:hAnsi="Times New Roman" w:cs="Times New Roman"/>
          <w:i/>
          <w:iCs/>
          <w:sz w:val="24"/>
          <w:szCs w:val="24"/>
        </w:rPr>
        <w:t xml:space="preserve">An Invitation to Reflexive Sociology. </w:t>
      </w:r>
      <w:r w:rsidRPr="004A1C60">
        <w:rPr>
          <w:rFonts w:ascii="Times New Roman" w:hAnsi="Times New Roman" w:cs="Times New Roman"/>
          <w:sz w:val="24"/>
          <w:szCs w:val="24"/>
        </w:rPr>
        <w:t>Chicago: The University of Chicago Press.</w:t>
      </w:r>
    </w:p>
    <w:p w14:paraId="2B87D74F" w14:textId="77777777" w:rsidR="009F57F6" w:rsidRPr="004A1C60" w:rsidRDefault="009F57F6" w:rsidP="009F57F6">
      <w:pPr>
        <w:spacing w:line="360" w:lineRule="auto"/>
        <w:rPr>
          <w:rFonts w:ascii="Times New Roman" w:hAnsi="Times New Roman" w:cs="Times New Roman"/>
          <w:sz w:val="24"/>
          <w:szCs w:val="24"/>
        </w:rPr>
      </w:pPr>
      <w:r w:rsidRPr="004A1C60">
        <w:rPr>
          <w:rFonts w:ascii="Times New Roman" w:hAnsi="Times New Roman" w:cs="Times New Roman"/>
          <w:sz w:val="24"/>
          <w:szCs w:val="24"/>
        </w:rPr>
        <w:t>Callaghan, J. (1976) Ruskin College Oxford. [WWW] Available from: http://www.educationengland.org.uk/documents/speeches/1976ruskin.html [Accessed 24/1/11].</w:t>
      </w:r>
    </w:p>
    <w:p w14:paraId="155BB49D" w14:textId="77777777" w:rsidR="009F57F6" w:rsidRPr="004A1C60" w:rsidRDefault="009F57F6" w:rsidP="009F57F6">
      <w:pPr>
        <w:spacing w:line="360" w:lineRule="auto"/>
        <w:rPr>
          <w:rFonts w:ascii="Times New Roman" w:hAnsi="Times New Roman" w:cs="Times New Roman"/>
          <w:sz w:val="24"/>
          <w:szCs w:val="24"/>
        </w:rPr>
      </w:pPr>
      <w:r w:rsidRPr="004A1C60">
        <w:rPr>
          <w:rFonts w:ascii="Times New Roman" w:hAnsi="Times New Roman" w:cs="Times New Roman"/>
          <w:sz w:val="24"/>
          <w:szCs w:val="24"/>
        </w:rPr>
        <w:t>Campaign for the Public University (CfPU) (2011) Putting vision back into higher education: a response to the government white paper. [WWW] Available from: http://publicuniversity.org.uk/wp-content/uploads/2011/07/Response_to_White_ Paper_Final.pdf [Accessed 8/8/11].</w:t>
      </w:r>
    </w:p>
    <w:p w14:paraId="7A2CA660" w14:textId="77777777" w:rsidR="009F57F6" w:rsidRPr="004A1C60" w:rsidRDefault="009F57F6" w:rsidP="009F57F6">
      <w:pPr>
        <w:spacing w:line="360" w:lineRule="auto"/>
        <w:rPr>
          <w:rFonts w:ascii="Times New Roman" w:hAnsi="Times New Roman" w:cs="Times New Roman"/>
          <w:sz w:val="24"/>
          <w:szCs w:val="24"/>
        </w:rPr>
      </w:pPr>
      <w:r w:rsidRPr="004A1C60">
        <w:rPr>
          <w:rFonts w:ascii="Times New Roman" w:hAnsi="Times New Roman" w:cs="Times New Roman"/>
          <w:bCs/>
          <w:sz w:val="24"/>
          <w:szCs w:val="24"/>
        </w:rPr>
        <w:t xml:space="preserve">Cope, B., Kalantzis, </w:t>
      </w:r>
      <w:proofErr w:type="gramStart"/>
      <w:r w:rsidRPr="004A1C60">
        <w:rPr>
          <w:rFonts w:ascii="Times New Roman" w:hAnsi="Times New Roman" w:cs="Times New Roman"/>
          <w:bCs/>
          <w:sz w:val="24"/>
          <w:szCs w:val="24"/>
        </w:rPr>
        <w:t>M</w:t>
      </w:r>
      <w:proofErr w:type="gramEnd"/>
      <w:r w:rsidRPr="004A1C60">
        <w:rPr>
          <w:rFonts w:ascii="Times New Roman" w:hAnsi="Times New Roman" w:cs="Times New Roman"/>
          <w:bCs/>
          <w:sz w:val="24"/>
          <w:szCs w:val="24"/>
        </w:rPr>
        <w:t>. ed. 2002.</w:t>
      </w:r>
      <w:r w:rsidRPr="004A1C60">
        <w:rPr>
          <w:rFonts w:ascii="Times New Roman" w:eastAsia="Arial Unicode MS" w:hAnsi="Times New Roman" w:cs="Times New Roman"/>
          <w:sz w:val="24"/>
          <w:szCs w:val="24"/>
        </w:rPr>
        <w:t xml:space="preserve"> </w:t>
      </w:r>
      <w:r w:rsidRPr="004A1C60">
        <w:rPr>
          <w:rFonts w:ascii="Times New Roman" w:hAnsi="Times New Roman" w:cs="Times New Roman"/>
          <w:i/>
          <w:iCs/>
          <w:sz w:val="24"/>
          <w:szCs w:val="24"/>
        </w:rPr>
        <w:t xml:space="preserve">Multiliteracies. </w:t>
      </w:r>
      <w:r w:rsidRPr="004A1C60">
        <w:rPr>
          <w:rFonts w:ascii="Times New Roman" w:hAnsi="Times New Roman" w:cs="Times New Roman"/>
          <w:sz w:val="24"/>
          <w:szCs w:val="24"/>
        </w:rPr>
        <w:t>London: Routledge</w:t>
      </w:r>
    </w:p>
    <w:p w14:paraId="1DF7ABAF" w14:textId="77777777" w:rsidR="009F57F6" w:rsidRPr="004A1C60" w:rsidRDefault="009F57F6" w:rsidP="009F57F6">
      <w:pPr>
        <w:spacing w:line="360" w:lineRule="auto"/>
        <w:rPr>
          <w:rFonts w:ascii="Times New Roman" w:hAnsi="Times New Roman" w:cs="Times New Roman"/>
          <w:sz w:val="24"/>
          <w:szCs w:val="24"/>
        </w:rPr>
      </w:pPr>
      <w:r w:rsidRPr="004A1C60">
        <w:rPr>
          <w:rFonts w:ascii="Times New Roman" w:hAnsi="Times New Roman" w:cs="Times New Roman"/>
          <w:sz w:val="24"/>
          <w:szCs w:val="24"/>
        </w:rPr>
        <w:t>Committee on Higher Education (1963) Higher education: report (The Robbins Report) London: HMSO, Cmnd 2154.</w:t>
      </w:r>
    </w:p>
    <w:p w14:paraId="41822753" w14:textId="77777777" w:rsidR="009F57F6" w:rsidRPr="004A1C60" w:rsidRDefault="009F57F6" w:rsidP="009F57F6">
      <w:pPr>
        <w:spacing w:line="360" w:lineRule="auto"/>
        <w:rPr>
          <w:rFonts w:ascii="Times New Roman" w:hAnsi="Times New Roman" w:cs="Times New Roman"/>
          <w:sz w:val="24"/>
          <w:szCs w:val="24"/>
        </w:rPr>
      </w:pPr>
      <w:r w:rsidRPr="004A1C60">
        <w:rPr>
          <w:rFonts w:ascii="Times New Roman" w:hAnsi="Times New Roman" w:cs="Times New Roman"/>
          <w:sz w:val="24"/>
          <w:szCs w:val="24"/>
        </w:rPr>
        <w:t xml:space="preserve">DfE (2016) </w:t>
      </w:r>
      <w:r w:rsidRPr="004A1C60">
        <w:rPr>
          <w:rFonts w:ascii="Times New Roman" w:hAnsi="Times New Roman" w:cs="Times New Roman"/>
          <w:i/>
          <w:sz w:val="24"/>
          <w:szCs w:val="24"/>
        </w:rPr>
        <w:t xml:space="preserve">Participation Rates In Higher Education </w:t>
      </w:r>
      <w:hyperlink r:id="rId10" w:history="1">
        <w:r w:rsidRPr="004A1C60">
          <w:rPr>
            <w:rStyle w:val="Hyperlink"/>
            <w:rFonts w:ascii="Times New Roman" w:hAnsi="Times New Roman" w:cs="Times New Roman"/>
            <w:color w:val="auto"/>
            <w:sz w:val="24"/>
            <w:szCs w:val="24"/>
          </w:rPr>
          <w:t>https://www.gov.uk/government/uploads/system/uploads/attachment_data/file/552886/HEIPR_PUBLICATION_2014-15.pdf</w:t>
        </w:r>
      </w:hyperlink>
      <w:r w:rsidRPr="004A1C60">
        <w:rPr>
          <w:rFonts w:ascii="Times New Roman" w:hAnsi="Times New Roman" w:cs="Times New Roman"/>
          <w:sz w:val="24"/>
          <w:szCs w:val="24"/>
        </w:rPr>
        <w:t xml:space="preserve"> downloaded May 9th at 10.56</w:t>
      </w:r>
    </w:p>
    <w:p w14:paraId="392B7152" w14:textId="77777777" w:rsidR="009F57F6" w:rsidRPr="004A1C60" w:rsidRDefault="009F57F6" w:rsidP="009F57F6">
      <w:pPr>
        <w:spacing w:line="360" w:lineRule="auto"/>
        <w:rPr>
          <w:rFonts w:ascii="Times New Roman" w:hAnsi="Times New Roman" w:cs="Times New Roman"/>
          <w:sz w:val="24"/>
          <w:szCs w:val="24"/>
        </w:rPr>
      </w:pPr>
      <w:r w:rsidRPr="004A1C60">
        <w:rPr>
          <w:rFonts w:ascii="Times New Roman" w:hAnsi="Times New Roman" w:cs="Times New Roman"/>
          <w:sz w:val="24"/>
          <w:szCs w:val="24"/>
        </w:rPr>
        <w:lastRenderedPageBreak/>
        <w:t xml:space="preserve">Department for Business, Innovation and Skills (BIS) (2011) </w:t>
      </w:r>
      <w:r w:rsidRPr="004A1C60">
        <w:rPr>
          <w:rFonts w:ascii="Times New Roman" w:hAnsi="Times New Roman" w:cs="Times New Roman"/>
          <w:i/>
          <w:sz w:val="24"/>
          <w:szCs w:val="24"/>
        </w:rPr>
        <w:t>Higher education: students at the heart of the system</w:t>
      </w:r>
      <w:r w:rsidRPr="004A1C60">
        <w:rPr>
          <w:rFonts w:ascii="Times New Roman" w:hAnsi="Times New Roman" w:cs="Times New Roman"/>
          <w:sz w:val="24"/>
          <w:szCs w:val="24"/>
        </w:rPr>
        <w:t>. London: TSO, June 2011 Cm 8122.</w:t>
      </w:r>
    </w:p>
    <w:p w14:paraId="52A72C48" w14:textId="77777777" w:rsidR="009F57F6" w:rsidRPr="004A1C60" w:rsidRDefault="009F57F6" w:rsidP="009F57F6">
      <w:pPr>
        <w:spacing w:line="360" w:lineRule="auto"/>
        <w:rPr>
          <w:rFonts w:ascii="Times New Roman" w:hAnsi="Times New Roman" w:cs="Times New Roman"/>
          <w:sz w:val="24"/>
          <w:szCs w:val="24"/>
        </w:rPr>
      </w:pPr>
      <w:r w:rsidRPr="004A1C60">
        <w:rPr>
          <w:rFonts w:ascii="Times New Roman" w:hAnsi="Times New Roman" w:cs="Times New Roman"/>
          <w:sz w:val="24"/>
          <w:szCs w:val="24"/>
        </w:rPr>
        <w:t xml:space="preserve">Department for Education and Employment (DfEE) (1998) </w:t>
      </w:r>
      <w:r w:rsidRPr="004A1C60">
        <w:rPr>
          <w:rFonts w:ascii="Times New Roman" w:hAnsi="Times New Roman" w:cs="Times New Roman"/>
          <w:i/>
          <w:sz w:val="24"/>
          <w:szCs w:val="24"/>
        </w:rPr>
        <w:t>Higher education for the 21st century: response to the Dearing report</w:t>
      </w:r>
      <w:r w:rsidRPr="004A1C60">
        <w:rPr>
          <w:rFonts w:ascii="Times New Roman" w:hAnsi="Times New Roman" w:cs="Times New Roman"/>
          <w:sz w:val="24"/>
          <w:szCs w:val="24"/>
        </w:rPr>
        <w:t>. London: DfEE.</w:t>
      </w:r>
    </w:p>
    <w:p w14:paraId="725AA9A9" w14:textId="77777777" w:rsidR="009F57F6" w:rsidRPr="004A1C60" w:rsidRDefault="009F57F6" w:rsidP="009F57F6">
      <w:pPr>
        <w:spacing w:line="360" w:lineRule="auto"/>
        <w:rPr>
          <w:rFonts w:ascii="Times New Roman" w:hAnsi="Times New Roman" w:cs="Times New Roman"/>
          <w:sz w:val="24"/>
          <w:szCs w:val="24"/>
        </w:rPr>
      </w:pPr>
      <w:r w:rsidRPr="004A1C60">
        <w:rPr>
          <w:rFonts w:ascii="Times New Roman" w:hAnsi="Times New Roman" w:cs="Times New Roman"/>
          <w:sz w:val="24"/>
          <w:szCs w:val="24"/>
        </w:rPr>
        <w:t xml:space="preserve">Department for Education and Skills (DfES) (2003) </w:t>
      </w:r>
      <w:proofErr w:type="gramStart"/>
      <w:r w:rsidRPr="004A1C60">
        <w:rPr>
          <w:rFonts w:ascii="Times New Roman" w:hAnsi="Times New Roman" w:cs="Times New Roman"/>
          <w:i/>
          <w:sz w:val="24"/>
          <w:szCs w:val="24"/>
        </w:rPr>
        <w:t>The</w:t>
      </w:r>
      <w:proofErr w:type="gramEnd"/>
      <w:r w:rsidRPr="004A1C60">
        <w:rPr>
          <w:rFonts w:ascii="Times New Roman" w:hAnsi="Times New Roman" w:cs="Times New Roman"/>
          <w:i/>
          <w:sz w:val="24"/>
          <w:szCs w:val="24"/>
        </w:rPr>
        <w:t xml:space="preserve"> future of higher education</w:t>
      </w:r>
      <w:r w:rsidRPr="004A1C60">
        <w:rPr>
          <w:rFonts w:ascii="Times New Roman" w:hAnsi="Times New Roman" w:cs="Times New Roman"/>
          <w:sz w:val="24"/>
          <w:szCs w:val="24"/>
        </w:rPr>
        <w:t>. London: TSO, January 2003 Cm 5735.</w:t>
      </w:r>
    </w:p>
    <w:p w14:paraId="1B2B9AA1" w14:textId="77777777" w:rsidR="009F57F6" w:rsidRPr="004A1C60" w:rsidRDefault="009F57F6" w:rsidP="009F57F6">
      <w:pPr>
        <w:spacing w:line="360" w:lineRule="auto"/>
        <w:rPr>
          <w:rFonts w:ascii="Times New Roman" w:hAnsi="Times New Roman" w:cs="Times New Roman"/>
          <w:sz w:val="24"/>
          <w:szCs w:val="24"/>
        </w:rPr>
      </w:pPr>
      <w:r w:rsidRPr="004A1C60">
        <w:rPr>
          <w:rFonts w:ascii="Times New Roman" w:hAnsi="Times New Roman" w:cs="Times New Roman"/>
          <w:sz w:val="24"/>
          <w:szCs w:val="24"/>
        </w:rPr>
        <w:t xml:space="preserve">Department of Education and Science (DES) (1987) </w:t>
      </w:r>
      <w:r w:rsidRPr="004A1C60">
        <w:rPr>
          <w:rFonts w:ascii="Times New Roman" w:hAnsi="Times New Roman" w:cs="Times New Roman"/>
          <w:i/>
          <w:sz w:val="24"/>
          <w:szCs w:val="24"/>
        </w:rPr>
        <w:t>Higher education: meeting the challenge</w:t>
      </w:r>
      <w:r w:rsidRPr="004A1C60">
        <w:rPr>
          <w:rFonts w:ascii="Times New Roman" w:hAnsi="Times New Roman" w:cs="Times New Roman"/>
          <w:sz w:val="24"/>
          <w:szCs w:val="24"/>
        </w:rPr>
        <w:t>. London: HMSO, Cm 114.</w:t>
      </w:r>
    </w:p>
    <w:p w14:paraId="72D7CB0E" w14:textId="77777777" w:rsidR="009F57F6" w:rsidRPr="004A1C60" w:rsidRDefault="009F57F6" w:rsidP="009F57F6">
      <w:pPr>
        <w:spacing w:line="360" w:lineRule="auto"/>
        <w:rPr>
          <w:rFonts w:ascii="Times New Roman" w:hAnsi="Times New Roman" w:cs="Times New Roman"/>
          <w:sz w:val="24"/>
          <w:szCs w:val="24"/>
        </w:rPr>
      </w:pPr>
      <w:r w:rsidRPr="004A1C60">
        <w:rPr>
          <w:rFonts w:ascii="Times New Roman" w:hAnsi="Times New Roman" w:cs="Times New Roman"/>
          <w:sz w:val="24"/>
          <w:szCs w:val="24"/>
        </w:rPr>
        <w:t xml:space="preserve">Department of Education and Science (DES) (1991) </w:t>
      </w:r>
      <w:r w:rsidRPr="004A1C60">
        <w:rPr>
          <w:rFonts w:ascii="Times New Roman" w:hAnsi="Times New Roman" w:cs="Times New Roman"/>
          <w:i/>
          <w:sz w:val="24"/>
          <w:szCs w:val="24"/>
        </w:rPr>
        <w:t>Higher education: a new framework</w:t>
      </w:r>
      <w:r w:rsidRPr="004A1C60">
        <w:rPr>
          <w:rFonts w:ascii="Times New Roman" w:hAnsi="Times New Roman" w:cs="Times New Roman"/>
          <w:sz w:val="24"/>
          <w:szCs w:val="24"/>
        </w:rPr>
        <w:t>. London: HMSO, Cm1541.</w:t>
      </w:r>
    </w:p>
    <w:p w14:paraId="5B95DD9B" w14:textId="77777777" w:rsidR="009F57F6" w:rsidRPr="004A1C60" w:rsidRDefault="009F57F6" w:rsidP="009F57F6">
      <w:pPr>
        <w:spacing w:line="360" w:lineRule="auto"/>
        <w:rPr>
          <w:rFonts w:ascii="Times New Roman" w:hAnsi="Times New Roman" w:cs="Times New Roman"/>
          <w:sz w:val="24"/>
          <w:szCs w:val="24"/>
        </w:rPr>
      </w:pPr>
      <w:r w:rsidRPr="004A1C60">
        <w:rPr>
          <w:rFonts w:ascii="Times New Roman" w:hAnsi="Times New Roman" w:cs="Times New Roman"/>
          <w:sz w:val="24"/>
          <w:szCs w:val="24"/>
        </w:rPr>
        <w:t>Department for Business, Innovation and Skills (BIS) (2011) Higher education: students at the heart of the system. London: TSO, June 2011 Cm 8122.</w:t>
      </w:r>
    </w:p>
    <w:p w14:paraId="1F637786" w14:textId="77777777" w:rsidR="009F57F6" w:rsidRPr="004A1C60" w:rsidRDefault="009F57F6" w:rsidP="009F57F6">
      <w:pPr>
        <w:spacing w:line="360" w:lineRule="auto"/>
        <w:rPr>
          <w:rFonts w:ascii="Times New Roman" w:hAnsi="Times New Roman" w:cs="Times New Roman"/>
          <w:i/>
          <w:sz w:val="24"/>
          <w:szCs w:val="24"/>
        </w:rPr>
      </w:pPr>
      <w:r w:rsidRPr="004A1C60">
        <w:rPr>
          <w:rFonts w:ascii="Times New Roman" w:hAnsi="Times New Roman" w:cs="Times New Roman"/>
          <w:sz w:val="24"/>
          <w:szCs w:val="24"/>
          <w:lang w:val="en-US"/>
        </w:rPr>
        <w:t xml:space="preserve">Dreyfus, Hubert L., Rabinow, P. (1983), “The Subject and Power” [1982] </w:t>
      </w:r>
      <w:r w:rsidRPr="004A1C60">
        <w:rPr>
          <w:rFonts w:ascii="Times New Roman" w:hAnsi="Times New Roman" w:cs="Times New Roman"/>
          <w:i/>
          <w:iCs/>
          <w:sz w:val="24"/>
          <w:szCs w:val="24"/>
          <w:lang w:val="en-US"/>
        </w:rPr>
        <w:t>Michel Foucault: Beyond Structuralism and Hermeneutics</w:t>
      </w:r>
      <w:r w:rsidRPr="004A1C60">
        <w:rPr>
          <w:rFonts w:ascii="Times New Roman" w:hAnsi="Times New Roman" w:cs="Times New Roman"/>
          <w:sz w:val="24"/>
          <w:szCs w:val="24"/>
          <w:lang w:val="en-US"/>
        </w:rPr>
        <w:t>, 2nd ed. Chicago: University of Chicago Press.</w:t>
      </w:r>
    </w:p>
    <w:p w14:paraId="45ED1EF4" w14:textId="77777777" w:rsidR="009F57F6" w:rsidRPr="004A1C60" w:rsidRDefault="009F57F6" w:rsidP="009F57F6">
      <w:pPr>
        <w:spacing w:line="360" w:lineRule="auto"/>
        <w:rPr>
          <w:rFonts w:ascii="Times New Roman" w:hAnsi="Times New Roman" w:cs="Times New Roman"/>
          <w:sz w:val="24"/>
          <w:szCs w:val="24"/>
        </w:rPr>
      </w:pPr>
      <w:r w:rsidRPr="004A1C60">
        <w:rPr>
          <w:rFonts w:ascii="Times New Roman" w:hAnsi="Times New Roman" w:cs="Times New Roman"/>
          <w:sz w:val="24"/>
          <w:szCs w:val="24"/>
        </w:rPr>
        <w:t xml:space="preserve">Freedman, D. &amp; Fenton, N. (2011) </w:t>
      </w:r>
      <w:r w:rsidRPr="004A1C60">
        <w:rPr>
          <w:rFonts w:ascii="Times New Roman" w:hAnsi="Times New Roman" w:cs="Times New Roman"/>
          <w:i/>
          <w:sz w:val="24"/>
          <w:szCs w:val="24"/>
        </w:rPr>
        <w:t xml:space="preserve">Business first, students second: the future of English higher education? </w:t>
      </w:r>
      <w:r w:rsidRPr="004A1C60">
        <w:rPr>
          <w:rFonts w:ascii="Times New Roman" w:hAnsi="Times New Roman" w:cs="Times New Roman"/>
          <w:sz w:val="24"/>
          <w:szCs w:val="24"/>
        </w:rPr>
        <w:t>[WWW] Available from: http://www.opendemocracy.net/ourkingdom/des-freedman-and-natalie-fenton/ business-first-students-second-future-of-english-higher-e [Accessed 4/7/11].</w:t>
      </w:r>
    </w:p>
    <w:p w14:paraId="34C95739" w14:textId="77777777" w:rsidR="009F57F6" w:rsidRPr="004A1C60" w:rsidRDefault="009F57F6" w:rsidP="009F57F6">
      <w:pPr>
        <w:spacing w:line="360" w:lineRule="auto"/>
        <w:rPr>
          <w:rFonts w:ascii="Times New Roman" w:hAnsi="Times New Roman" w:cs="Times New Roman"/>
          <w:sz w:val="24"/>
          <w:szCs w:val="24"/>
        </w:rPr>
      </w:pPr>
      <w:proofErr w:type="gramStart"/>
      <w:r w:rsidRPr="004A1C60">
        <w:rPr>
          <w:rFonts w:ascii="Times New Roman" w:hAnsi="Times New Roman" w:cs="Times New Roman"/>
          <w:sz w:val="24"/>
          <w:szCs w:val="24"/>
        </w:rPr>
        <w:t>French, M., O’Leary, M. (2017).</w:t>
      </w:r>
      <w:proofErr w:type="gramEnd"/>
      <w:r w:rsidRPr="004A1C60">
        <w:rPr>
          <w:rFonts w:ascii="Times New Roman" w:hAnsi="Times New Roman" w:cs="Times New Roman"/>
          <w:sz w:val="24"/>
          <w:szCs w:val="24"/>
        </w:rPr>
        <w:t xml:space="preserve"> </w:t>
      </w:r>
      <w:r w:rsidRPr="004A1C60">
        <w:rPr>
          <w:rFonts w:ascii="Times New Roman" w:hAnsi="Times New Roman" w:cs="Times New Roman"/>
          <w:i/>
          <w:sz w:val="24"/>
          <w:szCs w:val="24"/>
        </w:rPr>
        <w:t>Teaching Excellence in Higher Education: Challenges, Changes and the Teaching Excellence Framework</w:t>
      </w:r>
      <w:r w:rsidRPr="004A1C60">
        <w:rPr>
          <w:rFonts w:ascii="Times New Roman" w:hAnsi="Times New Roman" w:cs="Times New Roman"/>
          <w:sz w:val="24"/>
          <w:szCs w:val="24"/>
        </w:rPr>
        <w:t>. London: Emerald</w:t>
      </w:r>
    </w:p>
    <w:p w14:paraId="1FD5C69C" w14:textId="54232F95" w:rsidR="009F57F6" w:rsidRPr="004A1C60" w:rsidRDefault="009F57F6" w:rsidP="00B5796B">
      <w:pPr>
        <w:pStyle w:val="NormalWeb"/>
        <w:spacing w:line="360" w:lineRule="auto"/>
        <w:rPr>
          <w:rFonts w:ascii="Times New Roman" w:hAnsi="Times New Roman"/>
          <w:sz w:val="24"/>
          <w:szCs w:val="24"/>
        </w:rPr>
      </w:pPr>
      <w:r w:rsidRPr="004A1C60">
        <w:rPr>
          <w:rFonts w:ascii="Times New Roman" w:hAnsi="Times New Roman"/>
          <w:sz w:val="24"/>
          <w:szCs w:val="24"/>
        </w:rPr>
        <w:t xml:space="preserve">Ganobcsik-Williams, L. (2010) “Academic writing in higher education: a brief overview.” </w:t>
      </w:r>
      <w:proofErr w:type="gramStart"/>
      <w:r w:rsidRPr="004A1C60">
        <w:rPr>
          <w:rFonts w:ascii="Times New Roman" w:hAnsi="Times New Roman"/>
          <w:i/>
          <w:sz w:val="24"/>
          <w:szCs w:val="24"/>
        </w:rPr>
        <w:t>Research Intelligence</w:t>
      </w:r>
      <w:r w:rsidRPr="004A1C60">
        <w:rPr>
          <w:rFonts w:ascii="Times New Roman" w:hAnsi="Times New Roman"/>
          <w:sz w:val="24"/>
          <w:szCs w:val="24"/>
        </w:rPr>
        <w:t>, Vol 113 pp 10-11.</w:t>
      </w:r>
      <w:proofErr w:type="gramEnd"/>
      <w:r w:rsidRPr="004A1C60">
        <w:rPr>
          <w:rFonts w:ascii="Times New Roman" w:hAnsi="Times New Roman"/>
          <w:sz w:val="24"/>
          <w:szCs w:val="24"/>
        </w:rPr>
        <w:br/>
        <w:t xml:space="preserve">http://www.bera.ac.uk/publications/ri/ </w:t>
      </w:r>
    </w:p>
    <w:p w14:paraId="67311840" w14:textId="77777777" w:rsidR="009F57F6" w:rsidRPr="004A1C60" w:rsidRDefault="009F57F6" w:rsidP="009F57F6">
      <w:pPr>
        <w:spacing w:before="150" w:after="150" w:line="360" w:lineRule="auto"/>
        <w:ind w:right="150"/>
        <w:rPr>
          <w:rFonts w:ascii="Times New Roman" w:eastAsia="Times New Roman" w:hAnsi="Times New Roman" w:cs="Times New Roman"/>
          <w:sz w:val="24"/>
          <w:szCs w:val="24"/>
          <w:lang w:eastAsia="en-GB"/>
        </w:rPr>
      </w:pPr>
      <w:r w:rsidRPr="004A1C60">
        <w:rPr>
          <w:rFonts w:ascii="Times New Roman" w:eastAsia="Times New Roman" w:hAnsi="Times New Roman" w:cs="Times New Roman"/>
          <w:sz w:val="24"/>
          <w:szCs w:val="24"/>
          <w:lang w:eastAsia="en-GB"/>
        </w:rPr>
        <w:t xml:space="preserve">Gee, J. P. (1990), </w:t>
      </w:r>
      <w:r w:rsidRPr="004A1C60">
        <w:rPr>
          <w:rFonts w:ascii="Times New Roman" w:eastAsia="Times New Roman" w:hAnsi="Times New Roman" w:cs="Times New Roman"/>
          <w:i/>
          <w:sz w:val="24"/>
          <w:szCs w:val="24"/>
          <w:lang w:eastAsia="en-GB"/>
        </w:rPr>
        <w:t xml:space="preserve">Social linguistics and literacies: Ideology in discourses. </w:t>
      </w:r>
      <w:proofErr w:type="gramStart"/>
      <w:r w:rsidRPr="004A1C60">
        <w:rPr>
          <w:rFonts w:ascii="Times New Roman" w:eastAsia="Times New Roman" w:hAnsi="Times New Roman" w:cs="Times New Roman"/>
          <w:sz w:val="24"/>
          <w:szCs w:val="24"/>
          <w:lang w:eastAsia="en-GB"/>
        </w:rPr>
        <w:t>Critical perspectives on literacy and education.</w:t>
      </w:r>
      <w:proofErr w:type="gramEnd"/>
      <w:r w:rsidRPr="004A1C60">
        <w:rPr>
          <w:rFonts w:ascii="Times New Roman" w:eastAsia="Times New Roman" w:hAnsi="Times New Roman" w:cs="Times New Roman"/>
          <w:sz w:val="24"/>
          <w:szCs w:val="24"/>
          <w:lang w:eastAsia="en-GB"/>
        </w:rPr>
        <w:t xml:space="preserve"> London: Falmer Press.</w:t>
      </w:r>
    </w:p>
    <w:p w14:paraId="617C3753" w14:textId="77777777" w:rsidR="009F57F6" w:rsidRPr="004A1C60" w:rsidRDefault="009F57F6" w:rsidP="009F57F6">
      <w:pPr>
        <w:spacing w:line="360" w:lineRule="auto"/>
        <w:rPr>
          <w:rFonts w:ascii="Times New Roman" w:hAnsi="Times New Roman" w:cs="Times New Roman"/>
          <w:sz w:val="24"/>
          <w:szCs w:val="24"/>
        </w:rPr>
      </w:pPr>
      <w:r w:rsidRPr="004A1C60">
        <w:rPr>
          <w:rFonts w:ascii="Times New Roman" w:hAnsi="Times New Roman" w:cs="Times New Roman"/>
          <w:bCs/>
          <w:sz w:val="24"/>
          <w:szCs w:val="24"/>
        </w:rPr>
        <w:t>Gee, J.P</w:t>
      </w:r>
      <w:r w:rsidRPr="004A1C60">
        <w:rPr>
          <w:rFonts w:ascii="Times New Roman" w:hAnsi="Times New Roman" w:cs="Times New Roman"/>
          <w:sz w:val="24"/>
          <w:szCs w:val="24"/>
        </w:rPr>
        <w:t>. (2000),</w:t>
      </w:r>
      <w:r w:rsidRPr="004A1C60">
        <w:rPr>
          <w:rFonts w:ascii="Times New Roman" w:eastAsia="Arial Unicode MS" w:hAnsi="Times New Roman" w:cs="Times New Roman"/>
          <w:sz w:val="24"/>
          <w:szCs w:val="24"/>
        </w:rPr>
        <w:t xml:space="preserve"> “</w:t>
      </w:r>
      <w:r w:rsidRPr="004A1C60">
        <w:rPr>
          <w:rFonts w:ascii="Times New Roman" w:hAnsi="Times New Roman" w:cs="Times New Roman"/>
          <w:sz w:val="24"/>
          <w:szCs w:val="24"/>
        </w:rPr>
        <w:t>New people in new worlds: networks, the new capitalism and schools” in Cope, Bill</w:t>
      </w:r>
      <w:proofErr w:type="gramStart"/>
      <w:r w:rsidRPr="004A1C60">
        <w:rPr>
          <w:rFonts w:ascii="Times New Roman" w:hAnsi="Times New Roman" w:cs="Times New Roman"/>
          <w:sz w:val="24"/>
          <w:szCs w:val="24"/>
        </w:rPr>
        <w:t>.,</w:t>
      </w:r>
      <w:proofErr w:type="gramEnd"/>
      <w:r w:rsidRPr="004A1C60">
        <w:rPr>
          <w:rFonts w:ascii="Times New Roman" w:hAnsi="Times New Roman" w:cs="Times New Roman"/>
          <w:sz w:val="24"/>
          <w:szCs w:val="24"/>
        </w:rPr>
        <w:t xml:space="preserve"> Kalantzis, M. edn </w:t>
      </w:r>
      <w:r w:rsidRPr="004A1C60">
        <w:rPr>
          <w:rFonts w:ascii="Times New Roman" w:hAnsi="Times New Roman" w:cs="Times New Roman"/>
          <w:i/>
          <w:sz w:val="24"/>
          <w:szCs w:val="24"/>
        </w:rPr>
        <w:t>Multiliteracies</w:t>
      </w:r>
      <w:r w:rsidRPr="004A1C60">
        <w:rPr>
          <w:rFonts w:ascii="Times New Roman" w:hAnsi="Times New Roman" w:cs="Times New Roman"/>
          <w:sz w:val="24"/>
          <w:szCs w:val="24"/>
        </w:rPr>
        <w:t xml:space="preserve"> London: Routledge</w:t>
      </w:r>
    </w:p>
    <w:p w14:paraId="75635074" w14:textId="77777777" w:rsidR="009F57F6" w:rsidRPr="004A1C60" w:rsidRDefault="009F57F6" w:rsidP="009F57F6">
      <w:pPr>
        <w:spacing w:before="150" w:after="150" w:line="360" w:lineRule="auto"/>
        <w:ind w:right="150"/>
        <w:rPr>
          <w:rFonts w:ascii="Times New Roman" w:hAnsi="Times New Roman" w:cs="Times New Roman"/>
          <w:sz w:val="24"/>
          <w:szCs w:val="24"/>
          <w:lang w:val="en"/>
        </w:rPr>
      </w:pPr>
      <w:r w:rsidRPr="004A1C60">
        <w:rPr>
          <w:rFonts w:ascii="Times New Roman" w:hAnsi="Times New Roman" w:cs="Times New Roman"/>
          <w:sz w:val="24"/>
          <w:szCs w:val="24"/>
          <w:lang w:val="en"/>
        </w:rPr>
        <w:lastRenderedPageBreak/>
        <w:t xml:space="preserve">Gee, J.P. (2011). </w:t>
      </w:r>
      <w:r w:rsidRPr="004A1C60">
        <w:rPr>
          <w:rFonts w:ascii="Times New Roman" w:hAnsi="Times New Roman" w:cs="Times New Roman"/>
          <w:i/>
          <w:sz w:val="24"/>
          <w:szCs w:val="24"/>
          <w:lang w:val="en"/>
        </w:rPr>
        <w:t>How to do discourse analysis</w:t>
      </w:r>
      <w:r w:rsidRPr="004A1C60">
        <w:rPr>
          <w:rFonts w:ascii="Times New Roman" w:hAnsi="Times New Roman" w:cs="Times New Roman"/>
          <w:sz w:val="24"/>
          <w:szCs w:val="24"/>
          <w:lang w:val="en"/>
        </w:rPr>
        <w:t>. London: Routledge</w:t>
      </w:r>
    </w:p>
    <w:p w14:paraId="7E126228" w14:textId="77777777" w:rsidR="009F57F6" w:rsidRPr="004A1C60" w:rsidRDefault="009F57F6" w:rsidP="009F57F6">
      <w:pPr>
        <w:spacing w:line="360" w:lineRule="auto"/>
        <w:rPr>
          <w:rFonts w:ascii="Times New Roman" w:hAnsi="Times New Roman" w:cs="Times New Roman"/>
          <w:sz w:val="24"/>
          <w:szCs w:val="24"/>
        </w:rPr>
      </w:pPr>
      <w:r w:rsidRPr="004A1C60">
        <w:rPr>
          <w:rFonts w:ascii="Times New Roman" w:hAnsi="Times New Roman" w:cs="Times New Roman"/>
          <w:sz w:val="24"/>
          <w:szCs w:val="24"/>
        </w:rPr>
        <w:t xml:space="preserve">Jones, R. &amp; Thomas, L. (2005), “The 2003 UK government higher education white paper: a critical assessment of its implications for the access and widening participation agenda”, </w:t>
      </w:r>
      <w:r w:rsidRPr="004A1C60">
        <w:rPr>
          <w:rFonts w:ascii="Times New Roman" w:hAnsi="Times New Roman" w:cs="Times New Roman"/>
          <w:i/>
          <w:sz w:val="24"/>
          <w:szCs w:val="24"/>
        </w:rPr>
        <w:t>Journal of Education Policy</w:t>
      </w:r>
      <w:r w:rsidRPr="004A1C60">
        <w:rPr>
          <w:rFonts w:ascii="Times New Roman" w:hAnsi="Times New Roman" w:cs="Times New Roman"/>
          <w:sz w:val="24"/>
          <w:szCs w:val="24"/>
        </w:rPr>
        <w:t>, Vol. 20 No. 5 pp.615-630.</w:t>
      </w:r>
    </w:p>
    <w:p w14:paraId="224C87A7" w14:textId="77777777" w:rsidR="009F57F6" w:rsidRPr="004A1C60" w:rsidRDefault="009F57F6" w:rsidP="009F57F6">
      <w:pPr>
        <w:widowControl w:val="0"/>
        <w:autoSpaceDE w:val="0"/>
        <w:autoSpaceDN w:val="0"/>
        <w:adjustRightInd w:val="0"/>
        <w:spacing w:after="0" w:line="360" w:lineRule="auto"/>
        <w:rPr>
          <w:rFonts w:ascii="Times New Roman" w:eastAsiaTheme="minorEastAsia" w:hAnsi="Times New Roman" w:cs="Times New Roman"/>
          <w:sz w:val="24"/>
          <w:szCs w:val="24"/>
          <w:lang w:val="en-US"/>
        </w:rPr>
      </w:pPr>
      <w:r w:rsidRPr="004A1C60">
        <w:rPr>
          <w:rFonts w:ascii="Times New Roman" w:hAnsi="Times New Roman" w:cs="Times New Roman"/>
          <w:sz w:val="24"/>
          <w:szCs w:val="24"/>
        </w:rPr>
        <w:t>Kascak, O., Pupala, B., Petrova, Z. (2011), “</w:t>
      </w:r>
      <w:r w:rsidRPr="004A1C60">
        <w:rPr>
          <w:rFonts w:ascii="Times New Roman" w:eastAsiaTheme="minorEastAsia" w:hAnsi="Times New Roman" w:cs="Times New Roman"/>
          <w:sz w:val="24"/>
          <w:szCs w:val="24"/>
          <w:lang w:val="en-US"/>
        </w:rPr>
        <w:t xml:space="preserve">Humanism and autonomy in the neoliberal reform of teacher training” </w:t>
      </w:r>
      <w:r w:rsidRPr="004A1C60">
        <w:rPr>
          <w:rFonts w:ascii="Times New Roman" w:eastAsiaTheme="minorEastAsia" w:hAnsi="Times New Roman" w:cs="Times New Roman"/>
          <w:i/>
          <w:sz w:val="24"/>
          <w:szCs w:val="24"/>
          <w:lang w:val="en-US"/>
        </w:rPr>
        <w:t>Education, Knowledge &amp; Economy</w:t>
      </w:r>
    </w:p>
    <w:p w14:paraId="6CFCD387" w14:textId="77777777" w:rsidR="009F57F6" w:rsidRPr="004A1C60" w:rsidRDefault="009F57F6" w:rsidP="009F57F6">
      <w:pPr>
        <w:spacing w:line="360" w:lineRule="auto"/>
        <w:rPr>
          <w:rFonts w:ascii="Times New Roman" w:eastAsiaTheme="minorEastAsia" w:hAnsi="Times New Roman" w:cs="Times New Roman"/>
          <w:sz w:val="24"/>
          <w:szCs w:val="24"/>
          <w:lang w:val="en-US"/>
        </w:rPr>
      </w:pPr>
      <w:r w:rsidRPr="004A1C60">
        <w:rPr>
          <w:rFonts w:ascii="Times New Roman" w:eastAsiaTheme="minorEastAsia" w:hAnsi="Times New Roman" w:cs="Times New Roman"/>
          <w:sz w:val="24"/>
          <w:szCs w:val="24"/>
          <w:lang w:val="en-US"/>
        </w:rPr>
        <w:t>Vol. 5 Nos. 1–2 pp 71–88</w:t>
      </w:r>
    </w:p>
    <w:p w14:paraId="3A4BD549" w14:textId="77777777" w:rsidR="009F57F6" w:rsidRPr="004A1C60" w:rsidRDefault="009F57F6" w:rsidP="009F57F6">
      <w:pPr>
        <w:pStyle w:val="NormalWeb"/>
        <w:spacing w:line="360" w:lineRule="auto"/>
        <w:rPr>
          <w:rFonts w:ascii="Times New Roman" w:hAnsi="Times New Roman"/>
          <w:sz w:val="24"/>
          <w:szCs w:val="24"/>
        </w:rPr>
      </w:pPr>
      <w:r w:rsidRPr="004A1C60">
        <w:rPr>
          <w:rFonts w:ascii="Times New Roman" w:hAnsi="Times New Roman"/>
          <w:sz w:val="24"/>
          <w:szCs w:val="24"/>
        </w:rPr>
        <w:t xml:space="preserve">Kirshner, D. Whitson, J. A. (1997), </w:t>
      </w:r>
      <w:r w:rsidRPr="004A1C60">
        <w:rPr>
          <w:rFonts w:ascii="Times New Roman" w:hAnsi="Times New Roman"/>
          <w:i/>
          <w:sz w:val="24"/>
          <w:szCs w:val="24"/>
        </w:rPr>
        <w:t>Situated Cognition: Social, Semiotic, and Psychological Perspectives,</w:t>
      </w:r>
      <w:r w:rsidRPr="004A1C60">
        <w:rPr>
          <w:rFonts w:ascii="Times New Roman" w:hAnsi="Times New Roman"/>
          <w:sz w:val="24"/>
          <w:szCs w:val="24"/>
        </w:rPr>
        <w:t xml:space="preserve"> Mahwah, N.J.: L. Erlbaum</w:t>
      </w:r>
    </w:p>
    <w:p w14:paraId="0A421316" w14:textId="77777777" w:rsidR="009F57F6" w:rsidRPr="004A1C60" w:rsidRDefault="009F57F6" w:rsidP="009F57F6">
      <w:pPr>
        <w:spacing w:before="150" w:after="150" w:line="360" w:lineRule="auto"/>
        <w:ind w:right="150"/>
        <w:rPr>
          <w:rFonts w:ascii="Times New Roman" w:hAnsi="Times New Roman" w:cs="Times New Roman"/>
          <w:sz w:val="24"/>
          <w:szCs w:val="24"/>
        </w:rPr>
      </w:pPr>
      <w:r w:rsidRPr="004A1C60">
        <w:rPr>
          <w:rFonts w:ascii="Times New Roman" w:hAnsi="Times New Roman" w:cs="Times New Roman"/>
          <w:sz w:val="24"/>
          <w:szCs w:val="24"/>
        </w:rPr>
        <w:t xml:space="preserve">Lankshear, C., Knobel, Michele. 2006. </w:t>
      </w:r>
      <w:r w:rsidRPr="004A1C60">
        <w:rPr>
          <w:rFonts w:ascii="Times New Roman" w:hAnsi="Times New Roman" w:cs="Times New Roman"/>
          <w:i/>
          <w:sz w:val="24"/>
          <w:szCs w:val="24"/>
        </w:rPr>
        <w:t>New Literacies: Everyday Practices and Classroom Learning</w:t>
      </w:r>
      <w:r w:rsidRPr="004A1C60">
        <w:rPr>
          <w:rFonts w:ascii="Times New Roman" w:hAnsi="Times New Roman" w:cs="Times New Roman"/>
          <w:sz w:val="24"/>
          <w:szCs w:val="24"/>
        </w:rPr>
        <w:t>. Buckingham: OUP.</w:t>
      </w:r>
    </w:p>
    <w:p w14:paraId="23E2E3FF" w14:textId="77777777" w:rsidR="009F57F6" w:rsidRPr="004A1C60" w:rsidRDefault="009F57F6" w:rsidP="009F57F6">
      <w:pPr>
        <w:pStyle w:val="NormalWeb"/>
        <w:spacing w:line="360" w:lineRule="auto"/>
        <w:rPr>
          <w:rFonts w:ascii="Times New Roman" w:hAnsi="Times New Roman"/>
          <w:sz w:val="24"/>
          <w:szCs w:val="24"/>
        </w:rPr>
      </w:pPr>
      <w:r w:rsidRPr="004A1C60">
        <w:rPr>
          <w:rFonts w:ascii="Times New Roman" w:hAnsi="Times New Roman"/>
          <w:sz w:val="24"/>
          <w:szCs w:val="24"/>
        </w:rPr>
        <w:t xml:space="preserve">Lea, M &amp; Stierer, B (eds) (2000) </w:t>
      </w:r>
      <w:r w:rsidRPr="004A1C60">
        <w:rPr>
          <w:rFonts w:ascii="Times New Roman" w:hAnsi="Times New Roman"/>
          <w:i/>
          <w:iCs/>
          <w:sz w:val="24"/>
          <w:szCs w:val="24"/>
        </w:rPr>
        <w:t>Student Writing in Higher Education: New Contexts</w:t>
      </w:r>
      <w:r w:rsidRPr="004A1C60">
        <w:rPr>
          <w:rFonts w:ascii="Times New Roman" w:hAnsi="Times New Roman"/>
          <w:sz w:val="24"/>
          <w:szCs w:val="24"/>
        </w:rPr>
        <w:t xml:space="preserve">, </w:t>
      </w:r>
      <w:proofErr w:type="gramStart"/>
      <w:r w:rsidRPr="004A1C60">
        <w:rPr>
          <w:rFonts w:ascii="Times New Roman" w:hAnsi="Times New Roman"/>
          <w:sz w:val="24"/>
          <w:szCs w:val="24"/>
        </w:rPr>
        <w:t>Buckingham</w:t>
      </w:r>
      <w:proofErr w:type="gramEnd"/>
      <w:r w:rsidRPr="004A1C60">
        <w:rPr>
          <w:rFonts w:ascii="Times New Roman" w:hAnsi="Times New Roman"/>
          <w:sz w:val="24"/>
          <w:szCs w:val="24"/>
        </w:rPr>
        <w:t xml:space="preserve">: Open University Press/SRHE </w:t>
      </w:r>
    </w:p>
    <w:p w14:paraId="52517F88" w14:textId="77777777" w:rsidR="009F57F6" w:rsidRPr="004A1C60" w:rsidRDefault="009F57F6" w:rsidP="009F57F6">
      <w:pPr>
        <w:pStyle w:val="NormalWeb"/>
        <w:spacing w:line="360" w:lineRule="auto"/>
        <w:rPr>
          <w:rFonts w:ascii="Times New Roman" w:hAnsi="Times New Roman"/>
          <w:sz w:val="24"/>
          <w:szCs w:val="24"/>
        </w:rPr>
      </w:pPr>
      <w:proofErr w:type="gramStart"/>
      <w:r w:rsidRPr="004A1C60">
        <w:rPr>
          <w:rFonts w:ascii="Times New Roman" w:hAnsi="Times New Roman"/>
          <w:sz w:val="24"/>
          <w:szCs w:val="24"/>
        </w:rPr>
        <w:t>Lea, M., Street.</w:t>
      </w:r>
      <w:proofErr w:type="gramEnd"/>
      <w:r w:rsidRPr="004A1C60">
        <w:rPr>
          <w:rFonts w:ascii="Times New Roman" w:hAnsi="Times New Roman"/>
          <w:sz w:val="24"/>
          <w:szCs w:val="24"/>
        </w:rPr>
        <w:t xml:space="preserve"> B., (1998) Student Writing in Higher Education an Academic Literacies Approach in Studies in Higher Education, Vol. 23 No.2 pp157-61</w:t>
      </w:r>
    </w:p>
    <w:p w14:paraId="59CEEF3F" w14:textId="77777777" w:rsidR="0052434F" w:rsidRPr="004A1C60" w:rsidRDefault="0052434F" w:rsidP="0052434F">
      <w:pPr>
        <w:widowControl w:val="0"/>
        <w:autoSpaceDE w:val="0"/>
        <w:autoSpaceDN w:val="0"/>
        <w:adjustRightInd w:val="0"/>
        <w:spacing w:after="0" w:line="240" w:lineRule="auto"/>
        <w:rPr>
          <w:rFonts w:ascii="Times New Roman" w:hAnsi="Times New Roman" w:cs="Times New Roman"/>
          <w:sz w:val="24"/>
          <w:szCs w:val="24"/>
          <w:lang w:val="en-US"/>
        </w:rPr>
      </w:pPr>
      <w:r w:rsidRPr="004A1C60">
        <w:rPr>
          <w:rFonts w:ascii="Times New Roman" w:hAnsi="Times New Roman" w:cs="Times New Roman"/>
          <w:sz w:val="24"/>
          <w:szCs w:val="24"/>
          <w:lang w:val="en-US"/>
        </w:rPr>
        <w:t>MacLure, M. 2013. “Classification or Wonder? Coding as an Analytic Practice in Qualitative</w:t>
      </w:r>
    </w:p>
    <w:p w14:paraId="75FA521E" w14:textId="2462B91F" w:rsidR="0052434F" w:rsidRPr="004A1C60" w:rsidRDefault="0052434F" w:rsidP="0052434F">
      <w:pPr>
        <w:widowControl w:val="0"/>
        <w:autoSpaceDE w:val="0"/>
        <w:autoSpaceDN w:val="0"/>
        <w:adjustRightInd w:val="0"/>
        <w:spacing w:after="0" w:line="240" w:lineRule="auto"/>
        <w:rPr>
          <w:rFonts w:ascii="Times New Roman" w:hAnsi="Times New Roman" w:cs="Times New Roman"/>
          <w:sz w:val="24"/>
          <w:szCs w:val="24"/>
          <w:lang w:val="en-US"/>
        </w:rPr>
      </w:pPr>
      <w:r w:rsidRPr="004A1C60">
        <w:rPr>
          <w:rFonts w:ascii="Times New Roman" w:hAnsi="Times New Roman" w:cs="Times New Roman"/>
          <w:sz w:val="24"/>
          <w:szCs w:val="24"/>
          <w:lang w:val="en-US"/>
        </w:rPr>
        <w:t>Research.” In Deleuze and Research Methodologies, edited by R. Coleman and J. Ringrose, 164–183. Edinburgh University Press: Edinburgh.</w:t>
      </w:r>
    </w:p>
    <w:p w14:paraId="7A648F15" w14:textId="77777777" w:rsidR="0052434F" w:rsidRPr="004A1C60" w:rsidRDefault="0052434F" w:rsidP="0052434F">
      <w:pPr>
        <w:widowControl w:val="0"/>
        <w:autoSpaceDE w:val="0"/>
        <w:autoSpaceDN w:val="0"/>
        <w:adjustRightInd w:val="0"/>
        <w:spacing w:after="0" w:line="240" w:lineRule="auto"/>
        <w:rPr>
          <w:rFonts w:ascii="Times New Roman" w:hAnsi="Times New Roman" w:cs="Times New Roman"/>
          <w:sz w:val="19"/>
          <w:szCs w:val="19"/>
          <w:lang w:val="en-US"/>
        </w:rPr>
      </w:pPr>
    </w:p>
    <w:p w14:paraId="1B9672B4" w14:textId="77777777" w:rsidR="009F57F6" w:rsidRPr="004A1C60" w:rsidRDefault="009F57F6" w:rsidP="009F57F6">
      <w:pPr>
        <w:widowControl w:val="0"/>
        <w:autoSpaceDE w:val="0"/>
        <w:autoSpaceDN w:val="0"/>
        <w:adjustRightInd w:val="0"/>
        <w:spacing w:after="0" w:line="360" w:lineRule="auto"/>
        <w:rPr>
          <w:rFonts w:ascii="Times New Roman" w:eastAsiaTheme="minorEastAsia" w:hAnsi="Times New Roman" w:cs="Times New Roman"/>
          <w:sz w:val="24"/>
          <w:szCs w:val="24"/>
          <w:lang w:val="en-US"/>
        </w:rPr>
      </w:pPr>
      <w:r w:rsidRPr="004A1C60">
        <w:rPr>
          <w:rFonts w:ascii="Times New Roman" w:eastAsiaTheme="minorEastAsia" w:hAnsi="Times New Roman" w:cs="Times New Roman"/>
          <w:sz w:val="24"/>
          <w:szCs w:val="24"/>
          <w:lang w:val="en-US"/>
        </w:rPr>
        <w:t>Olssen, Mark and Peters, Michael A.(2005) “Neoliberalism, higher education and the knowledge</w:t>
      </w:r>
    </w:p>
    <w:p w14:paraId="75BB2540" w14:textId="77777777" w:rsidR="009F57F6" w:rsidRPr="004A1C60" w:rsidRDefault="009F57F6" w:rsidP="009F57F6">
      <w:pPr>
        <w:spacing w:line="360" w:lineRule="auto"/>
        <w:rPr>
          <w:rFonts w:ascii="Times New Roman" w:hAnsi="Times New Roman" w:cs="Times New Roman"/>
          <w:sz w:val="24"/>
          <w:szCs w:val="24"/>
        </w:rPr>
      </w:pPr>
      <w:r w:rsidRPr="004A1C60">
        <w:rPr>
          <w:rFonts w:ascii="Times New Roman" w:eastAsiaTheme="minorEastAsia" w:hAnsi="Times New Roman" w:cs="Times New Roman"/>
          <w:sz w:val="24"/>
          <w:szCs w:val="24"/>
          <w:lang w:val="en-US"/>
        </w:rPr>
        <w:t xml:space="preserve">economy: from the free market to knowledge capitalism”, </w:t>
      </w:r>
      <w:r w:rsidRPr="004A1C60">
        <w:rPr>
          <w:rFonts w:ascii="Times New Roman" w:eastAsiaTheme="minorEastAsia" w:hAnsi="Times New Roman" w:cs="Times New Roman"/>
          <w:i/>
          <w:sz w:val="24"/>
          <w:szCs w:val="24"/>
          <w:lang w:val="en-US"/>
        </w:rPr>
        <w:t>Journal of Education</w:t>
      </w:r>
      <w:r w:rsidRPr="004A1C60">
        <w:rPr>
          <w:rFonts w:ascii="Times New Roman" w:eastAsiaTheme="minorEastAsia" w:hAnsi="Times New Roman" w:cs="Times New Roman"/>
          <w:sz w:val="24"/>
          <w:szCs w:val="24"/>
          <w:lang w:val="en-US"/>
        </w:rPr>
        <w:t xml:space="preserve"> </w:t>
      </w:r>
      <w:r w:rsidRPr="004A1C60">
        <w:rPr>
          <w:rFonts w:ascii="Times New Roman" w:eastAsiaTheme="minorEastAsia" w:hAnsi="Times New Roman" w:cs="Times New Roman"/>
          <w:i/>
          <w:sz w:val="24"/>
          <w:szCs w:val="24"/>
          <w:lang w:val="en-US"/>
        </w:rPr>
        <w:t>Policy,</w:t>
      </w:r>
      <w:r w:rsidRPr="004A1C60">
        <w:rPr>
          <w:rFonts w:ascii="Times New Roman" w:eastAsiaTheme="minorEastAsia" w:hAnsi="Times New Roman" w:cs="Times New Roman"/>
          <w:sz w:val="24"/>
          <w:szCs w:val="24"/>
          <w:lang w:val="en-US"/>
        </w:rPr>
        <w:t xml:space="preserve"> Vol. 20 No.3 pp313 — 345</w:t>
      </w:r>
    </w:p>
    <w:p w14:paraId="2790FB7E" w14:textId="77777777" w:rsidR="009F57F6" w:rsidRPr="004A1C60" w:rsidRDefault="009F57F6" w:rsidP="009F57F6">
      <w:pPr>
        <w:spacing w:line="360" w:lineRule="auto"/>
        <w:rPr>
          <w:rFonts w:ascii="Times New Roman" w:hAnsi="Times New Roman" w:cs="Times New Roman"/>
          <w:sz w:val="24"/>
          <w:szCs w:val="24"/>
        </w:rPr>
      </w:pPr>
      <w:r w:rsidRPr="004A1C60">
        <w:rPr>
          <w:rFonts w:ascii="Times New Roman" w:hAnsi="Times New Roman" w:cs="Times New Roman"/>
          <w:sz w:val="24"/>
          <w:szCs w:val="24"/>
        </w:rPr>
        <w:t xml:space="preserve">Pardoe, S. and Ivanic, R. (2007) </w:t>
      </w:r>
      <w:r w:rsidRPr="004A1C60">
        <w:rPr>
          <w:rFonts w:ascii="Times New Roman" w:hAnsi="Times New Roman" w:cs="Times New Roman"/>
          <w:i/>
          <w:iCs/>
          <w:sz w:val="24"/>
          <w:szCs w:val="24"/>
        </w:rPr>
        <w:t>Literacies for learning in further education</w:t>
      </w:r>
      <w:r w:rsidRPr="004A1C60">
        <w:rPr>
          <w:rFonts w:ascii="Times New Roman" w:hAnsi="Times New Roman" w:cs="Times New Roman"/>
          <w:sz w:val="24"/>
          <w:szCs w:val="24"/>
        </w:rPr>
        <w:t>. [DVD and booklet]. Ulverston, Public Space Limited and Lancaster, University of Lancaster.</w:t>
      </w:r>
    </w:p>
    <w:p w14:paraId="000CD257" w14:textId="77777777" w:rsidR="009F57F6" w:rsidRPr="004A1C60" w:rsidRDefault="009F57F6" w:rsidP="009F57F6">
      <w:pPr>
        <w:autoSpaceDE w:val="0"/>
        <w:autoSpaceDN w:val="0"/>
        <w:adjustRightInd w:val="0"/>
        <w:spacing w:after="0" w:line="360" w:lineRule="auto"/>
        <w:rPr>
          <w:rFonts w:ascii="Times New Roman" w:hAnsi="Times New Roman" w:cs="Times New Roman"/>
          <w:sz w:val="24"/>
          <w:szCs w:val="24"/>
        </w:rPr>
      </w:pPr>
      <w:r w:rsidRPr="004A1C60">
        <w:rPr>
          <w:rFonts w:ascii="Times New Roman" w:hAnsi="Times New Roman" w:cs="Times New Roman"/>
          <w:sz w:val="24"/>
          <w:szCs w:val="24"/>
        </w:rPr>
        <w:t xml:space="preserve">Pegg, A. &amp; Carr, J. (2010) 'Articulating learning and supporting student employability: Using the concept of 'illusion' to make sense of the issues raised by distance learners', </w:t>
      </w:r>
      <w:r w:rsidRPr="004A1C60">
        <w:rPr>
          <w:rFonts w:ascii="Times New Roman" w:hAnsi="Times New Roman" w:cs="Times New Roman"/>
          <w:i/>
          <w:iCs/>
          <w:sz w:val="24"/>
          <w:szCs w:val="24"/>
        </w:rPr>
        <w:t xml:space="preserve">Widening Participation and Lifelong Learning, </w:t>
      </w:r>
      <w:r w:rsidRPr="004A1C60">
        <w:rPr>
          <w:rFonts w:ascii="Times New Roman" w:hAnsi="Times New Roman" w:cs="Times New Roman"/>
          <w:iCs/>
          <w:sz w:val="24"/>
          <w:szCs w:val="24"/>
        </w:rPr>
        <w:t xml:space="preserve">Vol. </w:t>
      </w:r>
      <w:r w:rsidRPr="004A1C60">
        <w:rPr>
          <w:rFonts w:ascii="Times New Roman" w:hAnsi="Times New Roman" w:cs="Times New Roman"/>
          <w:sz w:val="24"/>
          <w:szCs w:val="24"/>
        </w:rPr>
        <w:t>12 pp78-90.</w:t>
      </w:r>
    </w:p>
    <w:p w14:paraId="64E54DDB" w14:textId="77777777" w:rsidR="00B5796B" w:rsidRPr="004A1C60" w:rsidRDefault="00B5796B" w:rsidP="009F57F6">
      <w:pPr>
        <w:autoSpaceDE w:val="0"/>
        <w:autoSpaceDN w:val="0"/>
        <w:adjustRightInd w:val="0"/>
        <w:spacing w:after="0" w:line="360" w:lineRule="auto"/>
        <w:rPr>
          <w:rFonts w:ascii="Times New Roman" w:hAnsi="Times New Roman" w:cs="Times New Roman"/>
          <w:sz w:val="24"/>
          <w:szCs w:val="24"/>
        </w:rPr>
      </w:pPr>
    </w:p>
    <w:p w14:paraId="4BE8A585" w14:textId="54604849" w:rsidR="00B5796B" w:rsidRPr="004A1C60" w:rsidRDefault="00B5796B" w:rsidP="009F57F6">
      <w:pPr>
        <w:autoSpaceDE w:val="0"/>
        <w:autoSpaceDN w:val="0"/>
        <w:adjustRightInd w:val="0"/>
        <w:spacing w:after="0" w:line="360" w:lineRule="auto"/>
        <w:rPr>
          <w:rFonts w:ascii="Times New Roman" w:hAnsi="Times New Roman" w:cs="Times New Roman"/>
          <w:sz w:val="24"/>
          <w:szCs w:val="24"/>
        </w:rPr>
      </w:pPr>
      <w:r w:rsidRPr="004A1C60">
        <w:rPr>
          <w:rFonts w:ascii="Times New Roman" w:hAnsi="Times New Roman" w:cs="Times New Roman"/>
          <w:sz w:val="24"/>
          <w:szCs w:val="24"/>
        </w:rPr>
        <w:lastRenderedPageBreak/>
        <w:t xml:space="preserve">Pegg, A., Waldock, J., Hendy-Isaac, S., Lawton, R. (2012) </w:t>
      </w:r>
      <w:r w:rsidR="00AB64F6" w:rsidRPr="004A1C60">
        <w:rPr>
          <w:rFonts w:ascii="Times New Roman" w:hAnsi="Times New Roman" w:cs="Times New Roman"/>
          <w:sz w:val="24"/>
          <w:szCs w:val="24"/>
        </w:rPr>
        <w:t>Pedagogy for Employability. York: HEA</w:t>
      </w:r>
    </w:p>
    <w:p w14:paraId="06EE049D" w14:textId="77777777" w:rsidR="009F57F6" w:rsidRPr="004A1C60" w:rsidRDefault="009F57F6" w:rsidP="009F57F6">
      <w:pPr>
        <w:autoSpaceDE w:val="0"/>
        <w:autoSpaceDN w:val="0"/>
        <w:adjustRightInd w:val="0"/>
        <w:spacing w:after="0" w:line="360" w:lineRule="auto"/>
        <w:rPr>
          <w:rFonts w:ascii="Times New Roman" w:hAnsi="Times New Roman" w:cs="Times New Roman"/>
          <w:sz w:val="24"/>
          <w:szCs w:val="24"/>
        </w:rPr>
      </w:pPr>
    </w:p>
    <w:p w14:paraId="7433A691" w14:textId="77777777" w:rsidR="009F57F6" w:rsidRPr="004A1C60" w:rsidRDefault="009F57F6" w:rsidP="009F57F6">
      <w:pPr>
        <w:spacing w:line="360" w:lineRule="auto"/>
        <w:rPr>
          <w:rFonts w:ascii="Times New Roman" w:hAnsi="Times New Roman" w:cs="Times New Roman"/>
          <w:sz w:val="24"/>
          <w:szCs w:val="24"/>
        </w:rPr>
      </w:pPr>
      <w:r w:rsidRPr="004A1C60">
        <w:rPr>
          <w:rFonts w:ascii="Times New Roman" w:hAnsi="Times New Roman" w:cs="Times New Roman"/>
          <w:bCs/>
          <w:sz w:val="24"/>
          <w:szCs w:val="24"/>
        </w:rPr>
        <w:t>Sanguinetti, G. (2000)</w:t>
      </w:r>
      <w:r w:rsidRPr="004A1C60">
        <w:rPr>
          <w:rFonts w:ascii="Times New Roman" w:eastAsia="Arial Unicode MS" w:hAnsi="Times New Roman" w:cs="Times New Roman"/>
          <w:sz w:val="24"/>
          <w:szCs w:val="24"/>
        </w:rPr>
        <w:t xml:space="preserve"> </w:t>
      </w:r>
      <w:r w:rsidRPr="004A1C60">
        <w:rPr>
          <w:rFonts w:ascii="Times New Roman" w:hAnsi="Times New Roman" w:cs="Times New Roman"/>
          <w:sz w:val="24"/>
          <w:szCs w:val="24"/>
        </w:rPr>
        <w:t xml:space="preserve">An adventure in 'postmodern' action research in Garrick, J., Rhodes, C. (eds) </w:t>
      </w:r>
      <w:r w:rsidRPr="004A1C60">
        <w:rPr>
          <w:rFonts w:ascii="Times New Roman" w:hAnsi="Times New Roman" w:cs="Times New Roman"/>
          <w:i/>
          <w:iCs/>
          <w:sz w:val="24"/>
          <w:szCs w:val="24"/>
        </w:rPr>
        <w:t>Research, Knowledge and Work</w:t>
      </w:r>
      <w:r w:rsidRPr="004A1C60">
        <w:rPr>
          <w:rFonts w:ascii="Times New Roman" w:hAnsi="Times New Roman" w:cs="Times New Roman"/>
          <w:sz w:val="24"/>
          <w:szCs w:val="24"/>
        </w:rPr>
        <w:t>. London: Routledge</w:t>
      </w:r>
    </w:p>
    <w:p w14:paraId="7C8A049F" w14:textId="77777777" w:rsidR="009F57F6" w:rsidRPr="004A1C60" w:rsidRDefault="009F57F6" w:rsidP="009F57F6">
      <w:pPr>
        <w:pStyle w:val="NormalWeb"/>
        <w:spacing w:line="360" w:lineRule="auto"/>
        <w:rPr>
          <w:rFonts w:ascii="Times New Roman" w:hAnsi="Times New Roman"/>
          <w:sz w:val="24"/>
          <w:szCs w:val="24"/>
        </w:rPr>
      </w:pPr>
      <w:r w:rsidRPr="004A1C60">
        <w:rPr>
          <w:rFonts w:ascii="Times New Roman" w:hAnsi="Times New Roman"/>
          <w:bCs/>
          <w:sz w:val="24"/>
          <w:szCs w:val="24"/>
        </w:rPr>
        <w:t xml:space="preserve">SeelyBrown, A., Collins, A., Duguid, P. (1998) “Situated Cognition and the Culture of Learning” </w:t>
      </w:r>
      <w:r w:rsidRPr="004A1C60">
        <w:rPr>
          <w:rFonts w:ascii="Times New Roman" w:hAnsi="Times New Roman"/>
          <w:i/>
          <w:iCs/>
          <w:sz w:val="24"/>
          <w:szCs w:val="24"/>
        </w:rPr>
        <w:t>Educational Researcher</w:t>
      </w:r>
      <w:r w:rsidRPr="004A1C60">
        <w:rPr>
          <w:rFonts w:ascii="Times New Roman" w:hAnsi="Times New Roman"/>
          <w:sz w:val="24"/>
          <w:szCs w:val="24"/>
        </w:rPr>
        <w:t>, Vol. 18 No. 1. pp. 32-42</w:t>
      </w:r>
    </w:p>
    <w:p w14:paraId="55E050CE" w14:textId="77777777" w:rsidR="009F57F6" w:rsidRPr="004A1C60" w:rsidRDefault="009F57F6" w:rsidP="009F57F6">
      <w:pPr>
        <w:pStyle w:val="NormalWeb"/>
        <w:spacing w:line="360" w:lineRule="auto"/>
        <w:rPr>
          <w:rFonts w:ascii="Times New Roman" w:eastAsiaTheme="minorEastAsia" w:hAnsi="Times New Roman"/>
          <w:sz w:val="24"/>
          <w:szCs w:val="24"/>
        </w:rPr>
      </w:pPr>
      <w:r w:rsidRPr="004A1C60">
        <w:rPr>
          <w:rFonts w:ascii="Times New Roman" w:hAnsi="Times New Roman"/>
          <w:bCs/>
          <w:sz w:val="24"/>
          <w:szCs w:val="24"/>
        </w:rPr>
        <w:t>Street, B. (2001)</w:t>
      </w:r>
      <w:r w:rsidRPr="004A1C60">
        <w:rPr>
          <w:rFonts w:ascii="Times New Roman" w:eastAsia="Arial Unicode MS" w:hAnsi="Times New Roman"/>
          <w:sz w:val="24"/>
          <w:szCs w:val="24"/>
        </w:rPr>
        <w:t xml:space="preserve"> </w:t>
      </w:r>
      <w:r w:rsidRPr="004A1C60">
        <w:rPr>
          <w:rFonts w:ascii="Times New Roman" w:hAnsi="Times New Roman"/>
          <w:sz w:val="24"/>
          <w:szCs w:val="24"/>
        </w:rPr>
        <w:t xml:space="preserve">Contexts for literacy work: the ‘new orders’ and the ‘New Literacy Studies’ in Crowther, J., Hamilton, M., Tett, Lyn. (ed) </w:t>
      </w:r>
      <w:r w:rsidRPr="004A1C60">
        <w:rPr>
          <w:rFonts w:ascii="Times New Roman" w:hAnsi="Times New Roman"/>
          <w:i/>
          <w:iCs/>
          <w:sz w:val="24"/>
          <w:szCs w:val="24"/>
        </w:rPr>
        <w:t>Powerful Literacies</w:t>
      </w:r>
      <w:r w:rsidRPr="004A1C60">
        <w:rPr>
          <w:rFonts w:ascii="Times New Roman" w:hAnsi="Times New Roman"/>
          <w:sz w:val="24"/>
          <w:szCs w:val="24"/>
        </w:rPr>
        <w:t>, Leicester: NIACE</w:t>
      </w:r>
    </w:p>
    <w:p w14:paraId="1988D138" w14:textId="77777777" w:rsidR="009F57F6" w:rsidRPr="004A1C60" w:rsidRDefault="009F57F6" w:rsidP="009F57F6">
      <w:pPr>
        <w:spacing w:line="360" w:lineRule="auto"/>
        <w:rPr>
          <w:rFonts w:ascii="Times New Roman" w:eastAsia="Arial Unicode MS" w:hAnsi="Times New Roman" w:cs="Times New Roman"/>
          <w:sz w:val="24"/>
          <w:szCs w:val="24"/>
        </w:rPr>
      </w:pPr>
      <w:r w:rsidRPr="004A1C60">
        <w:rPr>
          <w:rFonts w:ascii="Times New Roman" w:hAnsi="Times New Roman" w:cs="Times New Roman"/>
          <w:bCs/>
          <w:sz w:val="24"/>
          <w:szCs w:val="24"/>
        </w:rPr>
        <w:t>Street, B. (1999)</w:t>
      </w:r>
      <w:r w:rsidRPr="004A1C60">
        <w:rPr>
          <w:rFonts w:ascii="Times New Roman" w:eastAsia="Arial Unicode MS" w:hAnsi="Times New Roman" w:cs="Times New Roman"/>
          <w:sz w:val="24"/>
          <w:szCs w:val="24"/>
        </w:rPr>
        <w:t xml:space="preserve"> “</w:t>
      </w:r>
      <w:r w:rsidRPr="004A1C60">
        <w:rPr>
          <w:rFonts w:ascii="Times New Roman" w:hAnsi="Times New Roman" w:cs="Times New Roman"/>
          <w:sz w:val="24"/>
          <w:szCs w:val="24"/>
        </w:rPr>
        <w:t xml:space="preserve">The implications of the ‘New Literacy Studies’ for Literacy Education” </w:t>
      </w:r>
      <w:r w:rsidRPr="004A1C60">
        <w:rPr>
          <w:rFonts w:ascii="Times New Roman" w:hAnsi="Times New Roman" w:cs="Times New Roman"/>
          <w:i/>
          <w:iCs/>
          <w:sz w:val="24"/>
          <w:szCs w:val="24"/>
        </w:rPr>
        <w:t>English in Education,</w:t>
      </w:r>
      <w:r w:rsidRPr="004A1C60">
        <w:rPr>
          <w:rFonts w:ascii="Times New Roman" w:hAnsi="Times New Roman" w:cs="Times New Roman"/>
          <w:sz w:val="24"/>
          <w:szCs w:val="24"/>
        </w:rPr>
        <w:t xml:space="preserve"> Vol. 31 No. 3.</w:t>
      </w:r>
    </w:p>
    <w:p w14:paraId="0F1A9E65" w14:textId="77777777" w:rsidR="00CA418A" w:rsidRPr="004A1C60" w:rsidRDefault="00CA418A" w:rsidP="009F57F6">
      <w:pPr>
        <w:pStyle w:val="NormalWeb"/>
        <w:spacing w:line="360" w:lineRule="auto"/>
        <w:rPr>
          <w:rFonts w:ascii="Times New Roman" w:hAnsi="Times New Roman"/>
          <w:sz w:val="24"/>
          <w:szCs w:val="24"/>
        </w:rPr>
      </w:pPr>
    </w:p>
    <w:p w14:paraId="0B3B42FD" w14:textId="7F311226" w:rsidR="00CA418A" w:rsidRPr="004A1C60" w:rsidRDefault="00CA418A" w:rsidP="00CA418A">
      <w:pPr>
        <w:widowControl w:val="0"/>
        <w:autoSpaceDE w:val="0"/>
        <w:autoSpaceDN w:val="0"/>
        <w:adjustRightInd w:val="0"/>
        <w:spacing w:after="0" w:line="360" w:lineRule="auto"/>
        <w:rPr>
          <w:rFonts w:ascii="Times New Roman" w:hAnsi="Times New Roman" w:cs="Times New Roman"/>
          <w:sz w:val="24"/>
          <w:szCs w:val="24"/>
          <w:lang w:val="en-US"/>
        </w:rPr>
      </w:pPr>
      <w:r w:rsidRPr="004A1C60">
        <w:rPr>
          <w:rFonts w:ascii="Times New Roman" w:hAnsi="Times New Roman" w:cs="Times New Roman"/>
          <w:sz w:val="24"/>
          <w:szCs w:val="24"/>
          <w:lang w:val="en-US"/>
        </w:rPr>
        <w:t xml:space="preserve">Stronach, I., B. Corbin, O. McNamara, S. Stark, and T. Warne. (2002) “Towards an Uncertain Politics of Professionalism: Teacher and Nurse Identities in Flux.” </w:t>
      </w:r>
      <w:r w:rsidRPr="004A1C60">
        <w:rPr>
          <w:rFonts w:ascii="Times New Roman" w:hAnsi="Times New Roman" w:cs="Times New Roman"/>
          <w:i/>
          <w:sz w:val="24"/>
          <w:szCs w:val="24"/>
          <w:lang w:val="en-US"/>
        </w:rPr>
        <w:t>Journal of Education Policy</w:t>
      </w:r>
      <w:r w:rsidRPr="004A1C60">
        <w:rPr>
          <w:rFonts w:ascii="Times New Roman" w:hAnsi="Times New Roman" w:cs="Times New Roman"/>
          <w:sz w:val="24"/>
          <w:szCs w:val="24"/>
          <w:lang w:val="en-US"/>
        </w:rPr>
        <w:t xml:space="preserve"> Vol. 17 No. 1 pp 109–138.</w:t>
      </w:r>
    </w:p>
    <w:p w14:paraId="30CF17C7" w14:textId="77777777" w:rsidR="009F57F6" w:rsidRPr="004A1C60" w:rsidRDefault="009F57F6" w:rsidP="00CA418A">
      <w:pPr>
        <w:pStyle w:val="NormalWeb"/>
        <w:spacing w:line="360" w:lineRule="auto"/>
        <w:rPr>
          <w:rFonts w:ascii="Times New Roman" w:hAnsi="Times New Roman"/>
          <w:sz w:val="24"/>
          <w:szCs w:val="24"/>
        </w:rPr>
      </w:pPr>
      <w:r w:rsidRPr="004A1C60">
        <w:rPr>
          <w:rFonts w:ascii="Times New Roman" w:hAnsi="Times New Roman"/>
          <w:sz w:val="24"/>
          <w:szCs w:val="24"/>
        </w:rPr>
        <w:t xml:space="preserve">Tarrant, J. (2001) The Ethics of Post-compulsory Education and Training in a Democracy, </w:t>
      </w:r>
      <w:r w:rsidRPr="004A1C60">
        <w:rPr>
          <w:rFonts w:ascii="Times New Roman" w:hAnsi="Times New Roman"/>
          <w:i/>
          <w:iCs/>
          <w:sz w:val="24"/>
          <w:szCs w:val="24"/>
        </w:rPr>
        <w:t>Journal of Further and Higher Education</w:t>
      </w:r>
      <w:r w:rsidRPr="004A1C60">
        <w:rPr>
          <w:rFonts w:ascii="Times New Roman" w:hAnsi="Times New Roman"/>
          <w:sz w:val="24"/>
          <w:szCs w:val="24"/>
        </w:rPr>
        <w:t xml:space="preserve"> Vol. 25 pp.369-378. </w:t>
      </w:r>
    </w:p>
    <w:p w14:paraId="13CFFD3F" w14:textId="77777777" w:rsidR="009F57F6" w:rsidRPr="004A1C60" w:rsidRDefault="009F57F6" w:rsidP="009F57F6">
      <w:pPr>
        <w:spacing w:line="360" w:lineRule="auto"/>
        <w:rPr>
          <w:rFonts w:ascii="Times New Roman" w:hAnsi="Times New Roman" w:cs="Times New Roman"/>
          <w:sz w:val="24"/>
          <w:szCs w:val="24"/>
        </w:rPr>
      </w:pPr>
      <w:r w:rsidRPr="004A1C60">
        <w:rPr>
          <w:rFonts w:ascii="Times New Roman" w:hAnsi="Times New Roman" w:cs="Times New Roman"/>
          <w:sz w:val="24"/>
          <w:szCs w:val="24"/>
        </w:rPr>
        <w:t xml:space="preserve">Tasker, M., &amp; Packham, D. (1994) “Changing cultures? Government intervention in higher education 1987-93.” </w:t>
      </w:r>
      <w:r w:rsidRPr="004A1C60">
        <w:rPr>
          <w:rFonts w:ascii="Times New Roman" w:hAnsi="Times New Roman" w:cs="Times New Roman"/>
          <w:i/>
          <w:sz w:val="24"/>
          <w:szCs w:val="24"/>
        </w:rPr>
        <w:t>British Journal of Educational Studies</w:t>
      </w:r>
      <w:r w:rsidRPr="004A1C60">
        <w:rPr>
          <w:rFonts w:ascii="Times New Roman" w:hAnsi="Times New Roman" w:cs="Times New Roman"/>
          <w:sz w:val="24"/>
          <w:szCs w:val="24"/>
        </w:rPr>
        <w:t xml:space="preserve"> Vol. 42 No.  pp. 150-161</w:t>
      </w:r>
    </w:p>
    <w:p w14:paraId="2D330619" w14:textId="77777777" w:rsidR="009F57F6" w:rsidRPr="00CA418A" w:rsidRDefault="009F57F6" w:rsidP="009F57F6">
      <w:pPr>
        <w:spacing w:line="360" w:lineRule="auto"/>
        <w:rPr>
          <w:rFonts w:ascii="Times New Roman" w:hAnsi="Times New Roman" w:cs="Times New Roman"/>
          <w:sz w:val="24"/>
          <w:szCs w:val="24"/>
        </w:rPr>
      </w:pPr>
      <w:r w:rsidRPr="004A1C60">
        <w:rPr>
          <w:rFonts w:ascii="Times New Roman" w:hAnsi="Times New Roman" w:cs="Times New Roman"/>
          <w:sz w:val="24"/>
          <w:szCs w:val="24"/>
        </w:rPr>
        <w:t xml:space="preserve">Thorpe, C. (2008) “Capitalism, audit and the demise of the humanistic academy. Workplace” </w:t>
      </w:r>
      <w:r w:rsidRPr="004A1C60">
        <w:rPr>
          <w:rFonts w:ascii="Times New Roman" w:hAnsi="Times New Roman" w:cs="Times New Roman"/>
          <w:i/>
          <w:sz w:val="24"/>
          <w:szCs w:val="24"/>
        </w:rPr>
        <w:t>A journal for academic labour</w:t>
      </w:r>
      <w:r w:rsidRPr="004A1C60">
        <w:rPr>
          <w:rFonts w:ascii="Times New Roman" w:hAnsi="Times New Roman" w:cs="Times New Roman"/>
          <w:sz w:val="24"/>
          <w:szCs w:val="24"/>
        </w:rPr>
        <w:t xml:space="preserve"> Vol. 15 pp. 103-125.</w:t>
      </w:r>
    </w:p>
    <w:p w14:paraId="197DA701" w14:textId="77777777" w:rsidR="009F57F6" w:rsidRPr="00CA418A" w:rsidRDefault="009F57F6" w:rsidP="009F57F6">
      <w:pPr>
        <w:spacing w:line="360" w:lineRule="auto"/>
        <w:rPr>
          <w:rFonts w:ascii="Times New Roman" w:hAnsi="Times New Roman" w:cs="Times New Roman"/>
          <w:sz w:val="24"/>
          <w:szCs w:val="24"/>
        </w:rPr>
      </w:pPr>
    </w:p>
    <w:p w14:paraId="047C9481" w14:textId="77777777" w:rsidR="009F57F6" w:rsidRPr="00CA418A" w:rsidRDefault="009F57F6" w:rsidP="009F57F6">
      <w:pPr>
        <w:spacing w:line="360" w:lineRule="auto"/>
        <w:rPr>
          <w:rFonts w:ascii="Times New Roman" w:hAnsi="Times New Roman" w:cs="Times New Roman"/>
          <w:sz w:val="24"/>
          <w:szCs w:val="24"/>
        </w:rPr>
      </w:pPr>
    </w:p>
    <w:p w14:paraId="3A59C2C0" w14:textId="77777777" w:rsidR="009F57F6" w:rsidRPr="00CA418A" w:rsidRDefault="009F57F6" w:rsidP="009F57F6">
      <w:pPr>
        <w:spacing w:line="360" w:lineRule="auto"/>
        <w:rPr>
          <w:rFonts w:ascii="Times New Roman" w:hAnsi="Times New Roman" w:cs="Times New Roman"/>
          <w:sz w:val="24"/>
          <w:szCs w:val="24"/>
        </w:rPr>
      </w:pPr>
    </w:p>
    <w:p w14:paraId="209107D5" w14:textId="77777777" w:rsidR="009F57F6" w:rsidRPr="00CA418A" w:rsidRDefault="009F57F6" w:rsidP="009F57F6">
      <w:pPr>
        <w:spacing w:line="360" w:lineRule="auto"/>
        <w:rPr>
          <w:rFonts w:ascii="Times New Roman" w:hAnsi="Times New Roman" w:cs="Times New Roman"/>
          <w:sz w:val="24"/>
          <w:szCs w:val="24"/>
        </w:rPr>
      </w:pPr>
    </w:p>
    <w:p w14:paraId="76E6462D" w14:textId="77777777" w:rsidR="009F57F6" w:rsidRPr="00CA418A" w:rsidRDefault="009F57F6" w:rsidP="009F57F6">
      <w:pPr>
        <w:spacing w:line="360" w:lineRule="auto"/>
        <w:rPr>
          <w:rFonts w:ascii="Times New Roman" w:hAnsi="Times New Roman" w:cs="Times New Roman"/>
          <w:sz w:val="24"/>
          <w:szCs w:val="24"/>
        </w:rPr>
      </w:pPr>
    </w:p>
    <w:p w14:paraId="45056F71" w14:textId="6BC0F7F6" w:rsidR="00E00232" w:rsidRPr="00CA418A" w:rsidRDefault="00E00232" w:rsidP="00832802">
      <w:pPr>
        <w:spacing w:line="360" w:lineRule="auto"/>
        <w:rPr>
          <w:rFonts w:ascii="Times New Roman" w:hAnsi="Times New Roman" w:cs="Times New Roman"/>
          <w:b/>
          <w:sz w:val="24"/>
          <w:szCs w:val="24"/>
        </w:rPr>
      </w:pPr>
    </w:p>
    <w:p w14:paraId="4960784E" w14:textId="77777777" w:rsidR="002A2F69" w:rsidRPr="00CA418A" w:rsidRDefault="002A2F69" w:rsidP="00832802">
      <w:pPr>
        <w:spacing w:line="360" w:lineRule="auto"/>
        <w:rPr>
          <w:rFonts w:ascii="Times New Roman" w:hAnsi="Times New Roman" w:cs="Times New Roman"/>
          <w:b/>
          <w:sz w:val="24"/>
          <w:szCs w:val="24"/>
        </w:rPr>
      </w:pPr>
    </w:p>
    <w:p w14:paraId="489ADF4D" w14:textId="77777777" w:rsidR="00251367" w:rsidRPr="00CA418A" w:rsidRDefault="00251367" w:rsidP="00832802">
      <w:pPr>
        <w:spacing w:line="360" w:lineRule="auto"/>
        <w:rPr>
          <w:rFonts w:ascii="Times New Roman" w:hAnsi="Times New Roman" w:cs="Times New Roman"/>
          <w:b/>
          <w:sz w:val="24"/>
          <w:szCs w:val="24"/>
        </w:rPr>
      </w:pPr>
    </w:p>
    <w:p w14:paraId="59EDDDE1" w14:textId="77777777" w:rsidR="00FE54DA" w:rsidRPr="00CA418A" w:rsidRDefault="00FE54DA" w:rsidP="00832802">
      <w:pPr>
        <w:pStyle w:val="BodyText"/>
        <w:rPr>
          <w:rFonts w:ascii="Times New Roman" w:hAnsi="Times New Roman"/>
          <w:i w:val="0"/>
          <w:szCs w:val="24"/>
        </w:rPr>
      </w:pPr>
    </w:p>
    <w:sectPr w:rsidR="00FE54DA" w:rsidRPr="00CA418A">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156F6A" w14:textId="77777777" w:rsidR="009E7B00" w:rsidRDefault="009E7B00" w:rsidP="00FF7814">
      <w:pPr>
        <w:spacing w:after="0" w:line="240" w:lineRule="auto"/>
      </w:pPr>
      <w:r>
        <w:separator/>
      </w:r>
    </w:p>
  </w:endnote>
  <w:endnote w:type="continuationSeparator" w:id="0">
    <w:p w14:paraId="3FCCB6F0" w14:textId="77777777" w:rsidR="009E7B00" w:rsidRDefault="009E7B00" w:rsidP="00FF78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E00002FF" w:usb1="6AC7FDFB" w:usb2="00000012" w:usb3="00000000" w:csb0="0002009F" w:csb1="00000000"/>
  </w:font>
  <w:font w:name="Arial Unicode MS">
    <w:panose1 w:val="020B0604020202020204"/>
    <w:charset w:val="00"/>
    <w:family w:val="auto"/>
    <w:pitch w:val="variable"/>
    <w:sig w:usb0="F7FFAFFF" w:usb1="E9DFFFFF" w:usb2="0000003F" w:usb3="00000000" w:csb0="003F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6465272"/>
      <w:docPartObj>
        <w:docPartGallery w:val="Page Numbers (Bottom of Page)"/>
        <w:docPartUnique/>
      </w:docPartObj>
    </w:sdtPr>
    <w:sdtEndPr>
      <w:rPr>
        <w:noProof/>
      </w:rPr>
    </w:sdtEndPr>
    <w:sdtContent>
      <w:p w14:paraId="23412472" w14:textId="77777777" w:rsidR="009E7B00" w:rsidRDefault="009E7B00">
        <w:pPr>
          <w:pStyle w:val="Footer"/>
          <w:jc w:val="center"/>
        </w:pPr>
        <w:r>
          <w:fldChar w:fldCharType="begin"/>
        </w:r>
        <w:r>
          <w:instrText xml:space="preserve"> PAGE   \* MERGEFORMAT </w:instrText>
        </w:r>
        <w:r>
          <w:fldChar w:fldCharType="separate"/>
        </w:r>
        <w:r w:rsidR="001574DD">
          <w:rPr>
            <w:noProof/>
          </w:rPr>
          <w:t>22</w:t>
        </w:r>
        <w:r>
          <w:rPr>
            <w:noProof/>
          </w:rPr>
          <w:fldChar w:fldCharType="end"/>
        </w:r>
      </w:p>
    </w:sdtContent>
  </w:sdt>
  <w:p w14:paraId="151FF804" w14:textId="77777777" w:rsidR="009E7B00" w:rsidRDefault="009E7B0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65F4F4" w14:textId="77777777" w:rsidR="009E7B00" w:rsidRDefault="009E7B00" w:rsidP="00FF7814">
      <w:pPr>
        <w:spacing w:after="0" w:line="240" w:lineRule="auto"/>
      </w:pPr>
      <w:r>
        <w:separator/>
      </w:r>
    </w:p>
  </w:footnote>
  <w:footnote w:type="continuationSeparator" w:id="0">
    <w:p w14:paraId="6E6A0896" w14:textId="77777777" w:rsidR="009E7B00" w:rsidRDefault="009E7B00" w:rsidP="00FF7814">
      <w:pPr>
        <w:spacing w:after="0" w:line="240" w:lineRule="auto"/>
      </w:pPr>
      <w:r>
        <w:continuationSeparator/>
      </w:r>
    </w:p>
  </w:footnote>
  <w:footnote w:id="1">
    <w:p w14:paraId="395C30DC" w14:textId="5D294013" w:rsidR="009E7B00" w:rsidRPr="003B14E0" w:rsidRDefault="009E7B00">
      <w:pPr>
        <w:pStyle w:val="FootnoteText"/>
        <w:rPr>
          <w:lang w:val="en-US"/>
        </w:rPr>
      </w:pPr>
      <w:r w:rsidRPr="004A1C60">
        <w:rPr>
          <w:rStyle w:val="FootnoteReference"/>
        </w:rPr>
        <w:footnoteRef/>
      </w:r>
      <w:r w:rsidRPr="004A1C60">
        <w:t xml:space="preserve"> </w:t>
      </w:r>
      <w:r w:rsidRPr="004A1C60">
        <w:rPr>
          <w:bCs/>
          <w:sz w:val="24"/>
          <w:szCs w:val="24"/>
          <w:lang w:val="en-US"/>
        </w:rPr>
        <w:t>White papers</w:t>
      </w:r>
      <w:r w:rsidRPr="004A1C60">
        <w:rPr>
          <w:sz w:val="24"/>
          <w:szCs w:val="24"/>
          <w:lang w:val="en-US"/>
        </w:rPr>
        <w:t xml:space="preserve"> are policy</w:t>
      </w:r>
      <w:r w:rsidRPr="004A1C60">
        <w:rPr>
          <w:color w:val="1A1A1A"/>
          <w:sz w:val="24"/>
          <w:szCs w:val="24"/>
          <w:lang w:val="en-US"/>
        </w:rPr>
        <w:t xml:space="preserve"> documents produced by the UK Government that set out their proposals for future legislation</w:t>
      </w:r>
      <w:r w:rsidRPr="004A1C60">
        <w:rPr>
          <w:rFonts w:ascii="Arial" w:hAnsi="Arial" w:cs="Arial"/>
          <w:color w:val="1A1A1A"/>
          <w:sz w:val="32"/>
          <w:szCs w:val="32"/>
          <w:lang w:val="en-US"/>
        </w:rPr>
        <w:t>.</w:t>
      </w:r>
    </w:p>
  </w:footnote>
  <w:footnote w:id="2">
    <w:p w14:paraId="120A6BDE" w14:textId="07B44C3A" w:rsidR="009E7B00" w:rsidRPr="003A668B" w:rsidRDefault="009E7B00" w:rsidP="00EE6174">
      <w:pPr>
        <w:widowControl w:val="0"/>
        <w:autoSpaceDE w:val="0"/>
        <w:autoSpaceDN w:val="0"/>
        <w:adjustRightInd w:val="0"/>
        <w:spacing w:after="240" w:line="240" w:lineRule="auto"/>
        <w:rPr>
          <w:rFonts w:ascii="Times New Roman" w:hAnsi="Times New Roman" w:cs="Times New Roman"/>
          <w:color w:val="232323"/>
          <w:sz w:val="24"/>
          <w:szCs w:val="24"/>
          <w:lang w:val="en-US"/>
        </w:rPr>
      </w:pPr>
      <w:r w:rsidRPr="003A668B">
        <w:rPr>
          <w:rStyle w:val="FootnoteReference"/>
          <w:rFonts w:ascii="Times New Roman" w:hAnsi="Times New Roman" w:cs="Times New Roman"/>
          <w:sz w:val="24"/>
          <w:szCs w:val="24"/>
        </w:rPr>
        <w:footnoteRef/>
      </w:r>
      <w:r w:rsidRPr="003A668B">
        <w:rPr>
          <w:rFonts w:ascii="Times New Roman" w:hAnsi="Times New Roman" w:cs="Times New Roman"/>
          <w:sz w:val="24"/>
          <w:szCs w:val="24"/>
        </w:rPr>
        <w:t xml:space="preserve"> </w:t>
      </w:r>
      <w:r w:rsidRPr="003A668B">
        <w:rPr>
          <w:rFonts w:ascii="Times New Roman" w:hAnsi="Times New Roman" w:cs="Times New Roman"/>
          <w:sz w:val="24"/>
          <w:szCs w:val="24"/>
          <w:lang w:val="en-US"/>
        </w:rPr>
        <w:t xml:space="preserve">The Citizens Advice Bureau (CAB is a national UK charity that provides independent, confidential and impartial advice to everyone on their rights and responsibilities. The CAB </w:t>
      </w:r>
      <w:r w:rsidRPr="003A668B">
        <w:rPr>
          <w:rFonts w:ascii="Times New Roman" w:hAnsi="Times New Roman" w:cs="Times New Roman"/>
          <w:color w:val="232323"/>
          <w:sz w:val="24"/>
          <w:szCs w:val="24"/>
          <w:lang w:val="en-US"/>
        </w:rPr>
        <w:t xml:space="preserve">aims to </w:t>
      </w:r>
      <w:r w:rsidRPr="003A668B">
        <w:rPr>
          <w:rFonts w:ascii="Times New Roman" w:hAnsi="Times New Roman" w:cs="Times New Roman"/>
          <w:bCs/>
          <w:color w:val="232323"/>
          <w:sz w:val="24"/>
          <w:szCs w:val="24"/>
          <w:lang w:val="en-US"/>
        </w:rPr>
        <w:t>provide the advice</w:t>
      </w:r>
      <w:r w:rsidRPr="003A668B">
        <w:rPr>
          <w:rFonts w:ascii="Times New Roman" w:hAnsi="Times New Roman" w:cs="Times New Roman"/>
          <w:color w:val="232323"/>
          <w:sz w:val="24"/>
          <w:szCs w:val="24"/>
          <w:lang w:val="en-US"/>
        </w:rPr>
        <w:t xml:space="preserve"> people need for the problems they face, for example legal and financial advice, and </w:t>
      </w:r>
      <w:r w:rsidRPr="003A668B">
        <w:rPr>
          <w:rFonts w:ascii="Times New Roman" w:hAnsi="Times New Roman" w:cs="Times New Roman"/>
          <w:bCs/>
          <w:color w:val="232323"/>
          <w:sz w:val="24"/>
          <w:szCs w:val="24"/>
          <w:lang w:val="en-US"/>
        </w:rPr>
        <w:t>improve the policies and practices</w:t>
      </w:r>
      <w:r w:rsidRPr="003A668B">
        <w:rPr>
          <w:rFonts w:ascii="Times New Roman" w:hAnsi="Times New Roman" w:cs="Times New Roman"/>
          <w:color w:val="232323"/>
          <w:sz w:val="24"/>
          <w:szCs w:val="24"/>
          <w:lang w:val="en-US"/>
        </w:rPr>
        <w:t xml:space="preserve"> that affect people's lives.</w:t>
      </w:r>
    </w:p>
    <w:p w14:paraId="34D8D015" w14:textId="77777777" w:rsidR="009E7B00" w:rsidRPr="00A84F2C" w:rsidRDefault="009E7B00" w:rsidP="00EE6174">
      <w:pPr>
        <w:pStyle w:val="FootnoteText"/>
        <w:rPr>
          <w:lang w:val="en-US"/>
        </w:rPr>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F1D64"/>
    <w:multiLevelType w:val="hybridMultilevel"/>
    <w:tmpl w:val="67B4010A"/>
    <w:lvl w:ilvl="0" w:tplc="ABC05EFC">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957C1D"/>
    <w:multiLevelType w:val="hybridMultilevel"/>
    <w:tmpl w:val="92568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59D2CF9"/>
    <w:multiLevelType w:val="hybridMultilevel"/>
    <w:tmpl w:val="0E1E0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EDE3B53"/>
    <w:multiLevelType w:val="hybridMultilevel"/>
    <w:tmpl w:val="1B587600"/>
    <w:lvl w:ilvl="0" w:tplc="A0042266">
      <w:start w:val="1"/>
      <w:numFmt w:val="bullet"/>
      <w:lvlText w:val="-"/>
      <w:lvlJc w:val="left"/>
      <w:pPr>
        <w:ind w:left="720" w:hanging="360"/>
      </w:pPr>
      <w:rPr>
        <w:rFonts w:ascii="Calibri" w:eastAsiaTheme="minorHAnsi" w:hAnsi="Calibri"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2227415"/>
    <w:multiLevelType w:val="hybridMultilevel"/>
    <w:tmpl w:val="F78A2380"/>
    <w:lvl w:ilvl="0" w:tplc="CCF69D1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C781979"/>
    <w:multiLevelType w:val="hybridMultilevel"/>
    <w:tmpl w:val="FD2A0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FE42386"/>
    <w:multiLevelType w:val="hybridMultilevel"/>
    <w:tmpl w:val="163C43C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2"/>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48D"/>
    <w:rsid w:val="00000032"/>
    <w:rsid w:val="00001AAA"/>
    <w:rsid w:val="00005EC8"/>
    <w:rsid w:val="00011D43"/>
    <w:rsid w:val="00012328"/>
    <w:rsid w:val="00012B07"/>
    <w:rsid w:val="0001317C"/>
    <w:rsid w:val="00014260"/>
    <w:rsid w:val="00015D90"/>
    <w:rsid w:val="00020E78"/>
    <w:rsid w:val="00023E47"/>
    <w:rsid w:val="0002548D"/>
    <w:rsid w:val="000362D7"/>
    <w:rsid w:val="00036E94"/>
    <w:rsid w:val="00037B97"/>
    <w:rsid w:val="000427A6"/>
    <w:rsid w:val="00050B01"/>
    <w:rsid w:val="00055F62"/>
    <w:rsid w:val="00056466"/>
    <w:rsid w:val="00056DF5"/>
    <w:rsid w:val="00062697"/>
    <w:rsid w:val="00072905"/>
    <w:rsid w:val="00077DB5"/>
    <w:rsid w:val="000816DE"/>
    <w:rsid w:val="00085D86"/>
    <w:rsid w:val="00085F01"/>
    <w:rsid w:val="000864CF"/>
    <w:rsid w:val="000877E5"/>
    <w:rsid w:val="000916D9"/>
    <w:rsid w:val="00094456"/>
    <w:rsid w:val="00094AF8"/>
    <w:rsid w:val="000963BB"/>
    <w:rsid w:val="000A3685"/>
    <w:rsid w:val="000A3E33"/>
    <w:rsid w:val="000A5923"/>
    <w:rsid w:val="000B0ABD"/>
    <w:rsid w:val="000B6300"/>
    <w:rsid w:val="000B6DB2"/>
    <w:rsid w:val="000C0882"/>
    <w:rsid w:val="000C4243"/>
    <w:rsid w:val="000C690A"/>
    <w:rsid w:val="000D24E2"/>
    <w:rsid w:val="000D70E5"/>
    <w:rsid w:val="000F0E39"/>
    <w:rsid w:val="000F13AC"/>
    <w:rsid w:val="000F4335"/>
    <w:rsid w:val="001017C2"/>
    <w:rsid w:val="00102B61"/>
    <w:rsid w:val="00102E18"/>
    <w:rsid w:val="00112FAB"/>
    <w:rsid w:val="001132FF"/>
    <w:rsid w:val="001231F3"/>
    <w:rsid w:val="00123C35"/>
    <w:rsid w:val="00124D30"/>
    <w:rsid w:val="00132B70"/>
    <w:rsid w:val="00133E8E"/>
    <w:rsid w:val="0013407A"/>
    <w:rsid w:val="001351C5"/>
    <w:rsid w:val="00142F19"/>
    <w:rsid w:val="00143F81"/>
    <w:rsid w:val="00144A9D"/>
    <w:rsid w:val="00146E0D"/>
    <w:rsid w:val="0014747B"/>
    <w:rsid w:val="00150340"/>
    <w:rsid w:val="001559F3"/>
    <w:rsid w:val="001574DD"/>
    <w:rsid w:val="001600A1"/>
    <w:rsid w:val="00164994"/>
    <w:rsid w:val="00165139"/>
    <w:rsid w:val="00165657"/>
    <w:rsid w:val="00177A9A"/>
    <w:rsid w:val="001901DF"/>
    <w:rsid w:val="001923A3"/>
    <w:rsid w:val="00192B08"/>
    <w:rsid w:val="00192EA0"/>
    <w:rsid w:val="00193595"/>
    <w:rsid w:val="00195143"/>
    <w:rsid w:val="001955FF"/>
    <w:rsid w:val="001976DC"/>
    <w:rsid w:val="001A568D"/>
    <w:rsid w:val="001B2EFD"/>
    <w:rsid w:val="001B58A0"/>
    <w:rsid w:val="001B7200"/>
    <w:rsid w:val="001C4FDE"/>
    <w:rsid w:val="001C5D79"/>
    <w:rsid w:val="001C5DF6"/>
    <w:rsid w:val="001D1DDA"/>
    <w:rsid w:val="001D3E89"/>
    <w:rsid w:val="001D539D"/>
    <w:rsid w:val="001D5B7E"/>
    <w:rsid w:val="001D6353"/>
    <w:rsid w:val="001D7D22"/>
    <w:rsid w:val="001E1909"/>
    <w:rsid w:val="001E3435"/>
    <w:rsid w:val="001E36A6"/>
    <w:rsid w:val="001E72AA"/>
    <w:rsid w:val="001F0251"/>
    <w:rsid w:val="001F3BF1"/>
    <w:rsid w:val="001F3D31"/>
    <w:rsid w:val="001F780F"/>
    <w:rsid w:val="0020039F"/>
    <w:rsid w:val="00201AF2"/>
    <w:rsid w:val="002020A8"/>
    <w:rsid w:val="002026F8"/>
    <w:rsid w:val="00202A0D"/>
    <w:rsid w:val="00205D74"/>
    <w:rsid w:val="00213156"/>
    <w:rsid w:val="0021565A"/>
    <w:rsid w:val="0021707E"/>
    <w:rsid w:val="00217378"/>
    <w:rsid w:val="00221685"/>
    <w:rsid w:val="00224E85"/>
    <w:rsid w:val="002253ED"/>
    <w:rsid w:val="00231E4E"/>
    <w:rsid w:val="00237C65"/>
    <w:rsid w:val="00245818"/>
    <w:rsid w:val="002464B2"/>
    <w:rsid w:val="00251367"/>
    <w:rsid w:val="00252C8B"/>
    <w:rsid w:val="0025443F"/>
    <w:rsid w:val="002546B4"/>
    <w:rsid w:val="00255356"/>
    <w:rsid w:val="002555D2"/>
    <w:rsid w:val="002620BA"/>
    <w:rsid w:val="00263623"/>
    <w:rsid w:val="00265AF4"/>
    <w:rsid w:val="00266604"/>
    <w:rsid w:val="002738D5"/>
    <w:rsid w:val="00274EC7"/>
    <w:rsid w:val="002770E9"/>
    <w:rsid w:val="002805D9"/>
    <w:rsid w:val="00281A30"/>
    <w:rsid w:val="0028212B"/>
    <w:rsid w:val="002863CA"/>
    <w:rsid w:val="00287E2A"/>
    <w:rsid w:val="00297C37"/>
    <w:rsid w:val="002A0DEC"/>
    <w:rsid w:val="002A15EC"/>
    <w:rsid w:val="002A2F69"/>
    <w:rsid w:val="002A413B"/>
    <w:rsid w:val="002A62A8"/>
    <w:rsid w:val="002A79D4"/>
    <w:rsid w:val="002B2334"/>
    <w:rsid w:val="002B5938"/>
    <w:rsid w:val="002C50F7"/>
    <w:rsid w:val="002C6A3D"/>
    <w:rsid w:val="002C6C39"/>
    <w:rsid w:val="002C7C52"/>
    <w:rsid w:val="002D0FAE"/>
    <w:rsid w:val="002D21E6"/>
    <w:rsid w:val="002D267C"/>
    <w:rsid w:val="002D6ABE"/>
    <w:rsid w:val="002D76DD"/>
    <w:rsid w:val="002E4867"/>
    <w:rsid w:val="002E4F98"/>
    <w:rsid w:val="002E52DE"/>
    <w:rsid w:val="002F1562"/>
    <w:rsid w:val="002F3ADF"/>
    <w:rsid w:val="00304BBE"/>
    <w:rsid w:val="003064EE"/>
    <w:rsid w:val="00307A6B"/>
    <w:rsid w:val="00312265"/>
    <w:rsid w:val="00312481"/>
    <w:rsid w:val="00312D03"/>
    <w:rsid w:val="00315A88"/>
    <w:rsid w:val="00316529"/>
    <w:rsid w:val="003167F8"/>
    <w:rsid w:val="003174B9"/>
    <w:rsid w:val="00317B99"/>
    <w:rsid w:val="0032000A"/>
    <w:rsid w:val="003207B3"/>
    <w:rsid w:val="0033008C"/>
    <w:rsid w:val="0033099D"/>
    <w:rsid w:val="003320B6"/>
    <w:rsid w:val="0033378A"/>
    <w:rsid w:val="00335A0C"/>
    <w:rsid w:val="00336A39"/>
    <w:rsid w:val="003371C3"/>
    <w:rsid w:val="00346158"/>
    <w:rsid w:val="00346C9C"/>
    <w:rsid w:val="00350789"/>
    <w:rsid w:val="00352685"/>
    <w:rsid w:val="00356BF2"/>
    <w:rsid w:val="003574BF"/>
    <w:rsid w:val="0036308B"/>
    <w:rsid w:val="00363218"/>
    <w:rsid w:val="00364371"/>
    <w:rsid w:val="003648C0"/>
    <w:rsid w:val="003704AF"/>
    <w:rsid w:val="00371103"/>
    <w:rsid w:val="00380190"/>
    <w:rsid w:val="00381324"/>
    <w:rsid w:val="003825EC"/>
    <w:rsid w:val="00383BAA"/>
    <w:rsid w:val="00387C86"/>
    <w:rsid w:val="003A197A"/>
    <w:rsid w:val="003A5198"/>
    <w:rsid w:val="003A58A2"/>
    <w:rsid w:val="003A612F"/>
    <w:rsid w:val="003A668B"/>
    <w:rsid w:val="003B14E0"/>
    <w:rsid w:val="003B1518"/>
    <w:rsid w:val="003B26C5"/>
    <w:rsid w:val="003B2E58"/>
    <w:rsid w:val="003B3A0B"/>
    <w:rsid w:val="003B3A11"/>
    <w:rsid w:val="003B41EB"/>
    <w:rsid w:val="003B5E4D"/>
    <w:rsid w:val="003B6BF8"/>
    <w:rsid w:val="003C6278"/>
    <w:rsid w:val="003C64C2"/>
    <w:rsid w:val="003C735B"/>
    <w:rsid w:val="003D5D09"/>
    <w:rsid w:val="003D6F8F"/>
    <w:rsid w:val="003D796F"/>
    <w:rsid w:val="003D7F2D"/>
    <w:rsid w:val="003E0C95"/>
    <w:rsid w:val="003E159A"/>
    <w:rsid w:val="003E29AA"/>
    <w:rsid w:val="003E31AF"/>
    <w:rsid w:val="003E3D2F"/>
    <w:rsid w:val="003E5E20"/>
    <w:rsid w:val="003E675F"/>
    <w:rsid w:val="003F22F7"/>
    <w:rsid w:val="003F2C1D"/>
    <w:rsid w:val="003F3153"/>
    <w:rsid w:val="003F50A1"/>
    <w:rsid w:val="00401D85"/>
    <w:rsid w:val="00412F70"/>
    <w:rsid w:val="00412F81"/>
    <w:rsid w:val="00414FF7"/>
    <w:rsid w:val="004262F2"/>
    <w:rsid w:val="004271ED"/>
    <w:rsid w:val="004313C0"/>
    <w:rsid w:val="00431F5D"/>
    <w:rsid w:val="004324D9"/>
    <w:rsid w:val="004344BC"/>
    <w:rsid w:val="00435928"/>
    <w:rsid w:val="00437C36"/>
    <w:rsid w:val="00440EC2"/>
    <w:rsid w:val="00443A3B"/>
    <w:rsid w:val="0044414A"/>
    <w:rsid w:val="00447BD3"/>
    <w:rsid w:val="00450B7F"/>
    <w:rsid w:val="00451372"/>
    <w:rsid w:val="00452DDE"/>
    <w:rsid w:val="004547E7"/>
    <w:rsid w:val="004555C0"/>
    <w:rsid w:val="0045571D"/>
    <w:rsid w:val="00455D0B"/>
    <w:rsid w:val="00455D18"/>
    <w:rsid w:val="0046075A"/>
    <w:rsid w:val="00461BFC"/>
    <w:rsid w:val="00463666"/>
    <w:rsid w:val="00464690"/>
    <w:rsid w:val="00465157"/>
    <w:rsid w:val="0046578C"/>
    <w:rsid w:val="00465EE2"/>
    <w:rsid w:val="004736D3"/>
    <w:rsid w:val="0048088B"/>
    <w:rsid w:val="0048175B"/>
    <w:rsid w:val="00483780"/>
    <w:rsid w:val="004844D1"/>
    <w:rsid w:val="00486F36"/>
    <w:rsid w:val="00494171"/>
    <w:rsid w:val="00495163"/>
    <w:rsid w:val="0049762E"/>
    <w:rsid w:val="004A1C60"/>
    <w:rsid w:val="004A2F30"/>
    <w:rsid w:val="004A32A8"/>
    <w:rsid w:val="004A3D12"/>
    <w:rsid w:val="004A4042"/>
    <w:rsid w:val="004B2EAB"/>
    <w:rsid w:val="004C0087"/>
    <w:rsid w:val="004C151D"/>
    <w:rsid w:val="004C1D25"/>
    <w:rsid w:val="004C33A8"/>
    <w:rsid w:val="004C3544"/>
    <w:rsid w:val="004C3B6B"/>
    <w:rsid w:val="004C3CA2"/>
    <w:rsid w:val="004C78D6"/>
    <w:rsid w:val="004C7F9D"/>
    <w:rsid w:val="004C7FD9"/>
    <w:rsid w:val="004D6FE7"/>
    <w:rsid w:val="004E1EFD"/>
    <w:rsid w:val="004E2EBC"/>
    <w:rsid w:val="004F43CA"/>
    <w:rsid w:val="00503535"/>
    <w:rsid w:val="005039CC"/>
    <w:rsid w:val="005050BC"/>
    <w:rsid w:val="00516900"/>
    <w:rsid w:val="00516F35"/>
    <w:rsid w:val="00522296"/>
    <w:rsid w:val="00523D8B"/>
    <w:rsid w:val="0052434F"/>
    <w:rsid w:val="0052737D"/>
    <w:rsid w:val="00527AD6"/>
    <w:rsid w:val="005309F8"/>
    <w:rsid w:val="00532D61"/>
    <w:rsid w:val="00537294"/>
    <w:rsid w:val="00544072"/>
    <w:rsid w:val="00544FB9"/>
    <w:rsid w:val="00551C6C"/>
    <w:rsid w:val="00552413"/>
    <w:rsid w:val="00552585"/>
    <w:rsid w:val="00554884"/>
    <w:rsid w:val="00556125"/>
    <w:rsid w:val="00557D24"/>
    <w:rsid w:val="005615A3"/>
    <w:rsid w:val="00561A87"/>
    <w:rsid w:val="00564279"/>
    <w:rsid w:val="005649DB"/>
    <w:rsid w:val="005655D1"/>
    <w:rsid w:val="00566C51"/>
    <w:rsid w:val="0057278A"/>
    <w:rsid w:val="00572D37"/>
    <w:rsid w:val="0057585F"/>
    <w:rsid w:val="0057590A"/>
    <w:rsid w:val="00575C82"/>
    <w:rsid w:val="00575E08"/>
    <w:rsid w:val="00577BAF"/>
    <w:rsid w:val="005833C6"/>
    <w:rsid w:val="00586941"/>
    <w:rsid w:val="00590752"/>
    <w:rsid w:val="00590B42"/>
    <w:rsid w:val="00592636"/>
    <w:rsid w:val="00592AD6"/>
    <w:rsid w:val="00596A86"/>
    <w:rsid w:val="00596EF0"/>
    <w:rsid w:val="00597B8B"/>
    <w:rsid w:val="005A084A"/>
    <w:rsid w:val="005A1403"/>
    <w:rsid w:val="005A5EAD"/>
    <w:rsid w:val="005B1536"/>
    <w:rsid w:val="005B302C"/>
    <w:rsid w:val="005B30BA"/>
    <w:rsid w:val="005B5149"/>
    <w:rsid w:val="005B5906"/>
    <w:rsid w:val="005B7330"/>
    <w:rsid w:val="005D052E"/>
    <w:rsid w:val="005D281B"/>
    <w:rsid w:val="005E022D"/>
    <w:rsid w:val="005E4880"/>
    <w:rsid w:val="005F0BA3"/>
    <w:rsid w:val="005F5947"/>
    <w:rsid w:val="005F5979"/>
    <w:rsid w:val="005F6B60"/>
    <w:rsid w:val="00602574"/>
    <w:rsid w:val="0060463D"/>
    <w:rsid w:val="00605A15"/>
    <w:rsid w:val="00606791"/>
    <w:rsid w:val="006253DC"/>
    <w:rsid w:val="00625726"/>
    <w:rsid w:val="00626796"/>
    <w:rsid w:val="00627B1A"/>
    <w:rsid w:val="0063478F"/>
    <w:rsid w:val="00635A16"/>
    <w:rsid w:val="00636026"/>
    <w:rsid w:val="00640C31"/>
    <w:rsid w:val="00640DDF"/>
    <w:rsid w:val="00644917"/>
    <w:rsid w:val="00647560"/>
    <w:rsid w:val="0065267F"/>
    <w:rsid w:val="0065442D"/>
    <w:rsid w:val="00655EE5"/>
    <w:rsid w:val="00656ABB"/>
    <w:rsid w:val="00657697"/>
    <w:rsid w:val="006621C2"/>
    <w:rsid w:val="00662577"/>
    <w:rsid w:val="00666E78"/>
    <w:rsid w:val="00670CC2"/>
    <w:rsid w:val="00672042"/>
    <w:rsid w:val="006731C6"/>
    <w:rsid w:val="006735CA"/>
    <w:rsid w:val="0067694B"/>
    <w:rsid w:val="006865E7"/>
    <w:rsid w:val="006900D9"/>
    <w:rsid w:val="006910B6"/>
    <w:rsid w:val="00693435"/>
    <w:rsid w:val="0069408E"/>
    <w:rsid w:val="0069751A"/>
    <w:rsid w:val="006A0FB6"/>
    <w:rsid w:val="006A7AFA"/>
    <w:rsid w:val="006B0328"/>
    <w:rsid w:val="006B45F6"/>
    <w:rsid w:val="006B66F1"/>
    <w:rsid w:val="006B68D2"/>
    <w:rsid w:val="006C2242"/>
    <w:rsid w:val="006C279B"/>
    <w:rsid w:val="006D08CD"/>
    <w:rsid w:val="006D0E5F"/>
    <w:rsid w:val="006E6F95"/>
    <w:rsid w:val="006F1DA3"/>
    <w:rsid w:val="006F2562"/>
    <w:rsid w:val="006F3028"/>
    <w:rsid w:val="006F4F28"/>
    <w:rsid w:val="007100B8"/>
    <w:rsid w:val="00712EFC"/>
    <w:rsid w:val="007231A8"/>
    <w:rsid w:val="00727C14"/>
    <w:rsid w:val="00730F1D"/>
    <w:rsid w:val="0073531E"/>
    <w:rsid w:val="007359C3"/>
    <w:rsid w:val="00740845"/>
    <w:rsid w:val="00742701"/>
    <w:rsid w:val="00742FAB"/>
    <w:rsid w:val="00743A52"/>
    <w:rsid w:val="00743C2D"/>
    <w:rsid w:val="00744036"/>
    <w:rsid w:val="007466F4"/>
    <w:rsid w:val="007472B9"/>
    <w:rsid w:val="00751645"/>
    <w:rsid w:val="0075215D"/>
    <w:rsid w:val="0075239D"/>
    <w:rsid w:val="007532FD"/>
    <w:rsid w:val="0075340F"/>
    <w:rsid w:val="00753CDF"/>
    <w:rsid w:val="007571B2"/>
    <w:rsid w:val="0076009B"/>
    <w:rsid w:val="00761A20"/>
    <w:rsid w:val="007639AC"/>
    <w:rsid w:val="00763ED7"/>
    <w:rsid w:val="00767A75"/>
    <w:rsid w:val="00772DB3"/>
    <w:rsid w:val="00772FB8"/>
    <w:rsid w:val="0077622F"/>
    <w:rsid w:val="007824A7"/>
    <w:rsid w:val="00782648"/>
    <w:rsid w:val="007830C3"/>
    <w:rsid w:val="00783D52"/>
    <w:rsid w:val="0079063F"/>
    <w:rsid w:val="00790C84"/>
    <w:rsid w:val="00791BDF"/>
    <w:rsid w:val="0079354A"/>
    <w:rsid w:val="00793709"/>
    <w:rsid w:val="00793CC9"/>
    <w:rsid w:val="007A024A"/>
    <w:rsid w:val="007A105E"/>
    <w:rsid w:val="007A1E50"/>
    <w:rsid w:val="007A2678"/>
    <w:rsid w:val="007A553A"/>
    <w:rsid w:val="007B0C0E"/>
    <w:rsid w:val="007B1C95"/>
    <w:rsid w:val="007B2A25"/>
    <w:rsid w:val="007B39E6"/>
    <w:rsid w:val="007B3FAB"/>
    <w:rsid w:val="007B446A"/>
    <w:rsid w:val="007B4822"/>
    <w:rsid w:val="007B4EE9"/>
    <w:rsid w:val="007B523B"/>
    <w:rsid w:val="007B7F15"/>
    <w:rsid w:val="007B7F8F"/>
    <w:rsid w:val="007C0033"/>
    <w:rsid w:val="007C0DC9"/>
    <w:rsid w:val="007C6183"/>
    <w:rsid w:val="007C678B"/>
    <w:rsid w:val="007C6F3E"/>
    <w:rsid w:val="007D02F2"/>
    <w:rsid w:val="007D13C5"/>
    <w:rsid w:val="007D25AC"/>
    <w:rsid w:val="007D3B00"/>
    <w:rsid w:val="007D4A4E"/>
    <w:rsid w:val="007D7322"/>
    <w:rsid w:val="007D73A3"/>
    <w:rsid w:val="007E12A9"/>
    <w:rsid w:val="007E343C"/>
    <w:rsid w:val="007E44B9"/>
    <w:rsid w:val="007E71B9"/>
    <w:rsid w:val="007F45EF"/>
    <w:rsid w:val="007F462F"/>
    <w:rsid w:val="007F4BDD"/>
    <w:rsid w:val="0080273D"/>
    <w:rsid w:val="00804CB7"/>
    <w:rsid w:val="00807B1F"/>
    <w:rsid w:val="00807D29"/>
    <w:rsid w:val="00816A34"/>
    <w:rsid w:val="008179A4"/>
    <w:rsid w:val="008228D2"/>
    <w:rsid w:val="00822E09"/>
    <w:rsid w:val="00823374"/>
    <w:rsid w:val="00823DFF"/>
    <w:rsid w:val="00830077"/>
    <w:rsid w:val="00830487"/>
    <w:rsid w:val="00830AD7"/>
    <w:rsid w:val="00830D70"/>
    <w:rsid w:val="00830EE7"/>
    <w:rsid w:val="00832802"/>
    <w:rsid w:val="00836364"/>
    <w:rsid w:val="00840A38"/>
    <w:rsid w:val="0084363B"/>
    <w:rsid w:val="008436F5"/>
    <w:rsid w:val="00845E3F"/>
    <w:rsid w:val="0084728C"/>
    <w:rsid w:val="00851878"/>
    <w:rsid w:val="008523C5"/>
    <w:rsid w:val="0086527E"/>
    <w:rsid w:val="00870C3B"/>
    <w:rsid w:val="008764BC"/>
    <w:rsid w:val="00877E4D"/>
    <w:rsid w:val="00883974"/>
    <w:rsid w:val="00885D43"/>
    <w:rsid w:val="0089613C"/>
    <w:rsid w:val="00896E8B"/>
    <w:rsid w:val="008977F5"/>
    <w:rsid w:val="008A28B5"/>
    <w:rsid w:val="008A3D91"/>
    <w:rsid w:val="008A493E"/>
    <w:rsid w:val="008A7372"/>
    <w:rsid w:val="008B1BE7"/>
    <w:rsid w:val="008B29CF"/>
    <w:rsid w:val="008C7A3B"/>
    <w:rsid w:val="008D1BB8"/>
    <w:rsid w:val="008E167B"/>
    <w:rsid w:val="008E32CF"/>
    <w:rsid w:val="008E36D6"/>
    <w:rsid w:val="008E3FB5"/>
    <w:rsid w:val="008F0ABE"/>
    <w:rsid w:val="008F1936"/>
    <w:rsid w:val="008F1AA6"/>
    <w:rsid w:val="008F38D1"/>
    <w:rsid w:val="008F4C33"/>
    <w:rsid w:val="008F54D7"/>
    <w:rsid w:val="008F692F"/>
    <w:rsid w:val="008F7E41"/>
    <w:rsid w:val="00900DF9"/>
    <w:rsid w:val="00901A30"/>
    <w:rsid w:val="00905833"/>
    <w:rsid w:val="00905EC7"/>
    <w:rsid w:val="009076F5"/>
    <w:rsid w:val="0090794B"/>
    <w:rsid w:val="00914E9D"/>
    <w:rsid w:val="00915699"/>
    <w:rsid w:val="009159FA"/>
    <w:rsid w:val="00920B61"/>
    <w:rsid w:val="0092101F"/>
    <w:rsid w:val="00921790"/>
    <w:rsid w:val="00922377"/>
    <w:rsid w:val="0092247C"/>
    <w:rsid w:val="009225F7"/>
    <w:rsid w:val="00922F4D"/>
    <w:rsid w:val="009245D2"/>
    <w:rsid w:val="009368B0"/>
    <w:rsid w:val="00936C8C"/>
    <w:rsid w:val="009407B6"/>
    <w:rsid w:val="009426A4"/>
    <w:rsid w:val="00943AEB"/>
    <w:rsid w:val="00944598"/>
    <w:rsid w:val="0094496D"/>
    <w:rsid w:val="00947B44"/>
    <w:rsid w:val="009507F7"/>
    <w:rsid w:val="009540AF"/>
    <w:rsid w:val="00954463"/>
    <w:rsid w:val="00954A12"/>
    <w:rsid w:val="00955A1C"/>
    <w:rsid w:val="009579FA"/>
    <w:rsid w:val="00965EB8"/>
    <w:rsid w:val="00970316"/>
    <w:rsid w:val="00971817"/>
    <w:rsid w:val="00972C2A"/>
    <w:rsid w:val="00973027"/>
    <w:rsid w:val="009755FD"/>
    <w:rsid w:val="00976243"/>
    <w:rsid w:val="00976CAB"/>
    <w:rsid w:val="00981D52"/>
    <w:rsid w:val="00982866"/>
    <w:rsid w:val="009935C0"/>
    <w:rsid w:val="0099393C"/>
    <w:rsid w:val="009A0D0D"/>
    <w:rsid w:val="009A205C"/>
    <w:rsid w:val="009A2F9F"/>
    <w:rsid w:val="009A5D98"/>
    <w:rsid w:val="009A672E"/>
    <w:rsid w:val="009B12B2"/>
    <w:rsid w:val="009B4C9F"/>
    <w:rsid w:val="009B4F54"/>
    <w:rsid w:val="009C093C"/>
    <w:rsid w:val="009C37B8"/>
    <w:rsid w:val="009C538E"/>
    <w:rsid w:val="009D3D63"/>
    <w:rsid w:val="009D65E0"/>
    <w:rsid w:val="009D6833"/>
    <w:rsid w:val="009E2EBA"/>
    <w:rsid w:val="009E452B"/>
    <w:rsid w:val="009E7B00"/>
    <w:rsid w:val="009F30C6"/>
    <w:rsid w:val="009F57F6"/>
    <w:rsid w:val="009F62B8"/>
    <w:rsid w:val="009F6AAB"/>
    <w:rsid w:val="00A00129"/>
    <w:rsid w:val="00A00F8E"/>
    <w:rsid w:val="00A01EBD"/>
    <w:rsid w:val="00A207B9"/>
    <w:rsid w:val="00A207F1"/>
    <w:rsid w:val="00A26CF8"/>
    <w:rsid w:val="00A27B86"/>
    <w:rsid w:val="00A27CFC"/>
    <w:rsid w:val="00A30F9D"/>
    <w:rsid w:val="00A31C76"/>
    <w:rsid w:val="00A32484"/>
    <w:rsid w:val="00A40133"/>
    <w:rsid w:val="00A45437"/>
    <w:rsid w:val="00A45DAB"/>
    <w:rsid w:val="00A51176"/>
    <w:rsid w:val="00A5562A"/>
    <w:rsid w:val="00A55F5E"/>
    <w:rsid w:val="00A5666E"/>
    <w:rsid w:val="00A57F8F"/>
    <w:rsid w:val="00A613B3"/>
    <w:rsid w:val="00A618AB"/>
    <w:rsid w:val="00A63F0A"/>
    <w:rsid w:val="00A67A6E"/>
    <w:rsid w:val="00A74A72"/>
    <w:rsid w:val="00A84F2C"/>
    <w:rsid w:val="00A858D8"/>
    <w:rsid w:val="00A87394"/>
    <w:rsid w:val="00A87B08"/>
    <w:rsid w:val="00A905B4"/>
    <w:rsid w:val="00A9273A"/>
    <w:rsid w:val="00A92A77"/>
    <w:rsid w:val="00A934EB"/>
    <w:rsid w:val="00A97B69"/>
    <w:rsid w:val="00AA0D23"/>
    <w:rsid w:val="00AA2786"/>
    <w:rsid w:val="00AA2DC0"/>
    <w:rsid w:val="00AB1E3F"/>
    <w:rsid w:val="00AB3DFB"/>
    <w:rsid w:val="00AB64F6"/>
    <w:rsid w:val="00AB77FC"/>
    <w:rsid w:val="00AC3065"/>
    <w:rsid w:val="00AC42ED"/>
    <w:rsid w:val="00AC687D"/>
    <w:rsid w:val="00AE1B72"/>
    <w:rsid w:val="00AE253B"/>
    <w:rsid w:val="00AE2F20"/>
    <w:rsid w:val="00AE47B8"/>
    <w:rsid w:val="00AE4CE7"/>
    <w:rsid w:val="00AF2323"/>
    <w:rsid w:val="00AF28B1"/>
    <w:rsid w:val="00AF319D"/>
    <w:rsid w:val="00AF40E9"/>
    <w:rsid w:val="00AF6519"/>
    <w:rsid w:val="00B0032D"/>
    <w:rsid w:val="00B0036C"/>
    <w:rsid w:val="00B02763"/>
    <w:rsid w:val="00B03682"/>
    <w:rsid w:val="00B04CF8"/>
    <w:rsid w:val="00B0673B"/>
    <w:rsid w:val="00B10237"/>
    <w:rsid w:val="00B11C4E"/>
    <w:rsid w:val="00B1438B"/>
    <w:rsid w:val="00B15176"/>
    <w:rsid w:val="00B2221F"/>
    <w:rsid w:val="00B2224D"/>
    <w:rsid w:val="00B238BE"/>
    <w:rsid w:val="00B24A62"/>
    <w:rsid w:val="00B25048"/>
    <w:rsid w:val="00B273B0"/>
    <w:rsid w:val="00B27513"/>
    <w:rsid w:val="00B27A58"/>
    <w:rsid w:val="00B30106"/>
    <w:rsid w:val="00B32EF3"/>
    <w:rsid w:val="00B34803"/>
    <w:rsid w:val="00B36A28"/>
    <w:rsid w:val="00B36ECC"/>
    <w:rsid w:val="00B4057A"/>
    <w:rsid w:val="00B4058F"/>
    <w:rsid w:val="00B4219E"/>
    <w:rsid w:val="00B45919"/>
    <w:rsid w:val="00B47BE1"/>
    <w:rsid w:val="00B521F3"/>
    <w:rsid w:val="00B526A3"/>
    <w:rsid w:val="00B53E20"/>
    <w:rsid w:val="00B54149"/>
    <w:rsid w:val="00B5796B"/>
    <w:rsid w:val="00B606A8"/>
    <w:rsid w:val="00B60A13"/>
    <w:rsid w:val="00B61774"/>
    <w:rsid w:val="00B62DBB"/>
    <w:rsid w:val="00B644B7"/>
    <w:rsid w:val="00B7335C"/>
    <w:rsid w:val="00B74057"/>
    <w:rsid w:val="00B76798"/>
    <w:rsid w:val="00B903FB"/>
    <w:rsid w:val="00B9126C"/>
    <w:rsid w:val="00B912B2"/>
    <w:rsid w:val="00B91741"/>
    <w:rsid w:val="00B9269A"/>
    <w:rsid w:val="00B94B73"/>
    <w:rsid w:val="00B95B48"/>
    <w:rsid w:val="00B9711B"/>
    <w:rsid w:val="00B97D9B"/>
    <w:rsid w:val="00BA25DC"/>
    <w:rsid w:val="00BB2CAB"/>
    <w:rsid w:val="00BB79A5"/>
    <w:rsid w:val="00BC3D51"/>
    <w:rsid w:val="00BC489A"/>
    <w:rsid w:val="00BD03F6"/>
    <w:rsid w:val="00BD3965"/>
    <w:rsid w:val="00BD4F97"/>
    <w:rsid w:val="00BD6450"/>
    <w:rsid w:val="00BE0C45"/>
    <w:rsid w:val="00BE29F6"/>
    <w:rsid w:val="00BE41DF"/>
    <w:rsid w:val="00BF2E4A"/>
    <w:rsid w:val="00BF3E6E"/>
    <w:rsid w:val="00BF41DD"/>
    <w:rsid w:val="00BF4CF2"/>
    <w:rsid w:val="00C05D27"/>
    <w:rsid w:val="00C10E19"/>
    <w:rsid w:val="00C12EDD"/>
    <w:rsid w:val="00C1576A"/>
    <w:rsid w:val="00C21378"/>
    <w:rsid w:val="00C238A3"/>
    <w:rsid w:val="00C24DB7"/>
    <w:rsid w:val="00C31759"/>
    <w:rsid w:val="00C32437"/>
    <w:rsid w:val="00C32BEB"/>
    <w:rsid w:val="00C33E0F"/>
    <w:rsid w:val="00C340A9"/>
    <w:rsid w:val="00C42978"/>
    <w:rsid w:val="00C63390"/>
    <w:rsid w:val="00C649CE"/>
    <w:rsid w:val="00C650B0"/>
    <w:rsid w:val="00C7034D"/>
    <w:rsid w:val="00C7164F"/>
    <w:rsid w:val="00C73A63"/>
    <w:rsid w:val="00C75101"/>
    <w:rsid w:val="00C76C29"/>
    <w:rsid w:val="00C76E9D"/>
    <w:rsid w:val="00C81979"/>
    <w:rsid w:val="00C82932"/>
    <w:rsid w:val="00C84CFD"/>
    <w:rsid w:val="00C84DC1"/>
    <w:rsid w:val="00C870AA"/>
    <w:rsid w:val="00C873B4"/>
    <w:rsid w:val="00C87DC1"/>
    <w:rsid w:val="00C92E82"/>
    <w:rsid w:val="00C9474C"/>
    <w:rsid w:val="00C949C6"/>
    <w:rsid w:val="00C97794"/>
    <w:rsid w:val="00CA0F88"/>
    <w:rsid w:val="00CA418A"/>
    <w:rsid w:val="00CB4451"/>
    <w:rsid w:val="00CB7144"/>
    <w:rsid w:val="00CC010A"/>
    <w:rsid w:val="00CC03BC"/>
    <w:rsid w:val="00CC0ED6"/>
    <w:rsid w:val="00CC153D"/>
    <w:rsid w:val="00CC5986"/>
    <w:rsid w:val="00CD17AF"/>
    <w:rsid w:val="00CD2507"/>
    <w:rsid w:val="00CD3E14"/>
    <w:rsid w:val="00CD460C"/>
    <w:rsid w:val="00CD7D88"/>
    <w:rsid w:val="00CE070D"/>
    <w:rsid w:val="00CE13DC"/>
    <w:rsid w:val="00CE2C39"/>
    <w:rsid w:val="00CE4D96"/>
    <w:rsid w:val="00CE4E3C"/>
    <w:rsid w:val="00CE72DB"/>
    <w:rsid w:val="00CE782E"/>
    <w:rsid w:val="00CF225B"/>
    <w:rsid w:val="00D03EC5"/>
    <w:rsid w:val="00D0694D"/>
    <w:rsid w:val="00D13800"/>
    <w:rsid w:val="00D149F2"/>
    <w:rsid w:val="00D153F4"/>
    <w:rsid w:val="00D1616D"/>
    <w:rsid w:val="00D208CA"/>
    <w:rsid w:val="00D20B46"/>
    <w:rsid w:val="00D244E3"/>
    <w:rsid w:val="00D2523D"/>
    <w:rsid w:val="00D277B9"/>
    <w:rsid w:val="00D27FB2"/>
    <w:rsid w:val="00D30DCB"/>
    <w:rsid w:val="00D33993"/>
    <w:rsid w:val="00D34256"/>
    <w:rsid w:val="00D355CF"/>
    <w:rsid w:val="00D359DB"/>
    <w:rsid w:val="00D4581B"/>
    <w:rsid w:val="00D50D6D"/>
    <w:rsid w:val="00D51EA7"/>
    <w:rsid w:val="00D53AE5"/>
    <w:rsid w:val="00D54284"/>
    <w:rsid w:val="00D54307"/>
    <w:rsid w:val="00D54B3E"/>
    <w:rsid w:val="00D6056F"/>
    <w:rsid w:val="00D62A04"/>
    <w:rsid w:val="00D62E53"/>
    <w:rsid w:val="00D6499D"/>
    <w:rsid w:val="00D679F6"/>
    <w:rsid w:val="00D7218F"/>
    <w:rsid w:val="00D7431F"/>
    <w:rsid w:val="00D74CC5"/>
    <w:rsid w:val="00D75AAC"/>
    <w:rsid w:val="00D77E92"/>
    <w:rsid w:val="00D81416"/>
    <w:rsid w:val="00D81627"/>
    <w:rsid w:val="00D8427A"/>
    <w:rsid w:val="00D85316"/>
    <w:rsid w:val="00D86CD8"/>
    <w:rsid w:val="00D914F5"/>
    <w:rsid w:val="00D92E24"/>
    <w:rsid w:val="00D97EE1"/>
    <w:rsid w:val="00DA1C2B"/>
    <w:rsid w:val="00DA308E"/>
    <w:rsid w:val="00DC472B"/>
    <w:rsid w:val="00DC4E0E"/>
    <w:rsid w:val="00DC542E"/>
    <w:rsid w:val="00DC6A43"/>
    <w:rsid w:val="00DC7DDF"/>
    <w:rsid w:val="00DD1E5E"/>
    <w:rsid w:val="00DD36AF"/>
    <w:rsid w:val="00DD6B4A"/>
    <w:rsid w:val="00DE338A"/>
    <w:rsid w:val="00DE6E50"/>
    <w:rsid w:val="00DF0728"/>
    <w:rsid w:val="00DF2B87"/>
    <w:rsid w:val="00DF3C21"/>
    <w:rsid w:val="00DF580A"/>
    <w:rsid w:val="00E00232"/>
    <w:rsid w:val="00E02AE0"/>
    <w:rsid w:val="00E03B0C"/>
    <w:rsid w:val="00E057C9"/>
    <w:rsid w:val="00E05A2A"/>
    <w:rsid w:val="00E06002"/>
    <w:rsid w:val="00E07643"/>
    <w:rsid w:val="00E076F4"/>
    <w:rsid w:val="00E07A08"/>
    <w:rsid w:val="00E10014"/>
    <w:rsid w:val="00E11F32"/>
    <w:rsid w:val="00E211D3"/>
    <w:rsid w:val="00E31A99"/>
    <w:rsid w:val="00E36B77"/>
    <w:rsid w:val="00E36EE0"/>
    <w:rsid w:val="00E40F72"/>
    <w:rsid w:val="00E4252C"/>
    <w:rsid w:val="00E4269B"/>
    <w:rsid w:val="00E42D42"/>
    <w:rsid w:val="00E44CC5"/>
    <w:rsid w:val="00E45DCC"/>
    <w:rsid w:val="00E50918"/>
    <w:rsid w:val="00E50E9E"/>
    <w:rsid w:val="00E52CCB"/>
    <w:rsid w:val="00E6588C"/>
    <w:rsid w:val="00E70965"/>
    <w:rsid w:val="00E71558"/>
    <w:rsid w:val="00E71FC1"/>
    <w:rsid w:val="00E72AF5"/>
    <w:rsid w:val="00E75202"/>
    <w:rsid w:val="00E8032E"/>
    <w:rsid w:val="00E80D41"/>
    <w:rsid w:val="00E86915"/>
    <w:rsid w:val="00E87618"/>
    <w:rsid w:val="00E922EB"/>
    <w:rsid w:val="00E92777"/>
    <w:rsid w:val="00E936A1"/>
    <w:rsid w:val="00E94E48"/>
    <w:rsid w:val="00EA1ABA"/>
    <w:rsid w:val="00EA240C"/>
    <w:rsid w:val="00EA2B18"/>
    <w:rsid w:val="00EA3AB5"/>
    <w:rsid w:val="00EA4172"/>
    <w:rsid w:val="00EA44AB"/>
    <w:rsid w:val="00EA7492"/>
    <w:rsid w:val="00EB0D5B"/>
    <w:rsid w:val="00EB2E43"/>
    <w:rsid w:val="00EB34AB"/>
    <w:rsid w:val="00EB5FBF"/>
    <w:rsid w:val="00EB70E4"/>
    <w:rsid w:val="00EB76B3"/>
    <w:rsid w:val="00EB76B9"/>
    <w:rsid w:val="00EB7B5E"/>
    <w:rsid w:val="00EB7EC3"/>
    <w:rsid w:val="00EC24C1"/>
    <w:rsid w:val="00EC3414"/>
    <w:rsid w:val="00EC3CC4"/>
    <w:rsid w:val="00ED1DD8"/>
    <w:rsid w:val="00ED49AC"/>
    <w:rsid w:val="00ED5FD4"/>
    <w:rsid w:val="00ED77B8"/>
    <w:rsid w:val="00EE21E1"/>
    <w:rsid w:val="00EE3DD1"/>
    <w:rsid w:val="00EE6011"/>
    <w:rsid w:val="00EE6174"/>
    <w:rsid w:val="00EF18E4"/>
    <w:rsid w:val="00EF1E46"/>
    <w:rsid w:val="00EF1F2E"/>
    <w:rsid w:val="00EF2267"/>
    <w:rsid w:val="00EF3668"/>
    <w:rsid w:val="00EF3A1B"/>
    <w:rsid w:val="00EF42B2"/>
    <w:rsid w:val="00EF7075"/>
    <w:rsid w:val="00EF798B"/>
    <w:rsid w:val="00F00A13"/>
    <w:rsid w:val="00F070B0"/>
    <w:rsid w:val="00F1164A"/>
    <w:rsid w:val="00F1701A"/>
    <w:rsid w:val="00F20F26"/>
    <w:rsid w:val="00F24A6C"/>
    <w:rsid w:val="00F320AA"/>
    <w:rsid w:val="00F36E81"/>
    <w:rsid w:val="00F42167"/>
    <w:rsid w:val="00F46DE6"/>
    <w:rsid w:val="00F47B11"/>
    <w:rsid w:val="00F5220F"/>
    <w:rsid w:val="00F54A75"/>
    <w:rsid w:val="00F575AB"/>
    <w:rsid w:val="00F62290"/>
    <w:rsid w:val="00F6333A"/>
    <w:rsid w:val="00F63F10"/>
    <w:rsid w:val="00F64328"/>
    <w:rsid w:val="00F679D6"/>
    <w:rsid w:val="00F70157"/>
    <w:rsid w:val="00F772C2"/>
    <w:rsid w:val="00F81DA6"/>
    <w:rsid w:val="00F82186"/>
    <w:rsid w:val="00F82FCA"/>
    <w:rsid w:val="00F9014A"/>
    <w:rsid w:val="00F90627"/>
    <w:rsid w:val="00F90FC7"/>
    <w:rsid w:val="00F91D70"/>
    <w:rsid w:val="00F92A00"/>
    <w:rsid w:val="00F931F3"/>
    <w:rsid w:val="00F93554"/>
    <w:rsid w:val="00F9685A"/>
    <w:rsid w:val="00F97F40"/>
    <w:rsid w:val="00FA0520"/>
    <w:rsid w:val="00FA3D3C"/>
    <w:rsid w:val="00FA42E9"/>
    <w:rsid w:val="00FA4E8A"/>
    <w:rsid w:val="00FA6D81"/>
    <w:rsid w:val="00FA7970"/>
    <w:rsid w:val="00FA7EB5"/>
    <w:rsid w:val="00FB23DB"/>
    <w:rsid w:val="00FB3534"/>
    <w:rsid w:val="00FB625A"/>
    <w:rsid w:val="00FC094F"/>
    <w:rsid w:val="00FC09E4"/>
    <w:rsid w:val="00FC1EF8"/>
    <w:rsid w:val="00FC3CBE"/>
    <w:rsid w:val="00FC4A49"/>
    <w:rsid w:val="00FC7D75"/>
    <w:rsid w:val="00FD2B01"/>
    <w:rsid w:val="00FD635E"/>
    <w:rsid w:val="00FE0086"/>
    <w:rsid w:val="00FE0D71"/>
    <w:rsid w:val="00FE1E2C"/>
    <w:rsid w:val="00FE4EB8"/>
    <w:rsid w:val="00FE54DA"/>
    <w:rsid w:val="00FE659B"/>
    <w:rsid w:val="00FE77D5"/>
    <w:rsid w:val="00FF0B92"/>
    <w:rsid w:val="00FF3A57"/>
    <w:rsid w:val="00FF781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B6F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1D3E89"/>
    <w:pPr>
      <w:keepNext/>
      <w:spacing w:after="0" w:line="360" w:lineRule="auto"/>
      <w:outlineLvl w:val="0"/>
    </w:pPr>
    <w:rPr>
      <w:rFonts w:ascii="Arial" w:eastAsia="Times" w:hAnsi="Arial" w:cs="Times New Roman"/>
      <w:b/>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F7814"/>
    <w:pPr>
      <w:spacing w:after="0" w:line="360" w:lineRule="auto"/>
    </w:pPr>
    <w:rPr>
      <w:rFonts w:ascii="Arial" w:eastAsia="Times" w:hAnsi="Arial" w:cs="Times New Roman"/>
      <w:i/>
      <w:sz w:val="24"/>
      <w:szCs w:val="20"/>
    </w:rPr>
  </w:style>
  <w:style w:type="character" w:customStyle="1" w:styleId="BodyTextChar">
    <w:name w:val="Body Text Char"/>
    <w:basedOn w:val="DefaultParagraphFont"/>
    <w:link w:val="BodyText"/>
    <w:rsid w:val="00FF7814"/>
    <w:rPr>
      <w:rFonts w:ascii="Arial" w:eastAsia="Times" w:hAnsi="Arial" w:cs="Times New Roman"/>
      <w:i/>
      <w:sz w:val="24"/>
      <w:szCs w:val="20"/>
    </w:rPr>
  </w:style>
  <w:style w:type="paragraph" w:styleId="FootnoteText">
    <w:name w:val="footnote text"/>
    <w:basedOn w:val="Normal"/>
    <w:link w:val="FootnoteTextChar"/>
    <w:semiHidden/>
    <w:rsid w:val="00FF7814"/>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FF7814"/>
    <w:rPr>
      <w:rFonts w:ascii="Times New Roman" w:eastAsia="Times New Roman" w:hAnsi="Times New Roman" w:cs="Times New Roman"/>
      <w:sz w:val="20"/>
      <w:szCs w:val="20"/>
    </w:rPr>
  </w:style>
  <w:style w:type="character" w:styleId="FootnoteReference">
    <w:name w:val="footnote reference"/>
    <w:basedOn w:val="DefaultParagraphFont"/>
    <w:semiHidden/>
    <w:rsid w:val="00FF7814"/>
    <w:rPr>
      <w:vertAlign w:val="superscript"/>
    </w:rPr>
  </w:style>
  <w:style w:type="paragraph" w:styleId="ListParagraph">
    <w:name w:val="List Paragraph"/>
    <w:basedOn w:val="Normal"/>
    <w:uiPriority w:val="34"/>
    <w:qFormat/>
    <w:rsid w:val="001D3E89"/>
    <w:pPr>
      <w:ind w:left="720"/>
      <w:contextualSpacing/>
    </w:pPr>
  </w:style>
  <w:style w:type="character" w:customStyle="1" w:styleId="Heading1Char">
    <w:name w:val="Heading 1 Char"/>
    <w:basedOn w:val="DefaultParagraphFont"/>
    <w:link w:val="Heading1"/>
    <w:rsid w:val="001D3E89"/>
    <w:rPr>
      <w:rFonts w:ascii="Arial" w:eastAsia="Times" w:hAnsi="Arial" w:cs="Times New Roman"/>
      <w:b/>
      <w:i/>
      <w:sz w:val="24"/>
      <w:szCs w:val="20"/>
    </w:rPr>
  </w:style>
  <w:style w:type="paragraph" w:styleId="Header">
    <w:name w:val="header"/>
    <w:basedOn w:val="Normal"/>
    <w:link w:val="HeaderChar"/>
    <w:rsid w:val="001D3E89"/>
    <w:pPr>
      <w:tabs>
        <w:tab w:val="center" w:pos="4320"/>
        <w:tab w:val="right" w:pos="8640"/>
      </w:tabs>
      <w:spacing w:after="0" w:line="240" w:lineRule="auto"/>
    </w:pPr>
    <w:rPr>
      <w:rFonts w:ascii="Arial" w:eastAsia="Times" w:hAnsi="Arial" w:cs="Times New Roman"/>
      <w:sz w:val="24"/>
      <w:szCs w:val="20"/>
    </w:rPr>
  </w:style>
  <w:style w:type="character" w:customStyle="1" w:styleId="HeaderChar">
    <w:name w:val="Header Char"/>
    <w:basedOn w:val="DefaultParagraphFont"/>
    <w:link w:val="Header"/>
    <w:rsid w:val="001D3E89"/>
    <w:rPr>
      <w:rFonts w:ascii="Arial" w:eastAsia="Times" w:hAnsi="Arial" w:cs="Times New Roman"/>
      <w:sz w:val="24"/>
      <w:szCs w:val="20"/>
    </w:rPr>
  </w:style>
  <w:style w:type="table" w:styleId="TableGrid">
    <w:name w:val="Table Grid"/>
    <w:basedOn w:val="TableNormal"/>
    <w:rsid w:val="00056DF5"/>
    <w:pPr>
      <w:spacing w:after="0" w:line="240" w:lineRule="auto"/>
    </w:pPr>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iPriority w:val="99"/>
    <w:semiHidden/>
    <w:unhideWhenUsed/>
    <w:rsid w:val="009D3D63"/>
    <w:pPr>
      <w:spacing w:after="120" w:line="480" w:lineRule="auto"/>
    </w:pPr>
  </w:style>
  <w:style w:type="character" w:customStyle="1" w:styleId="BodyText2Char">
    <w:name w:val="Body Text 2 Char"/>
    <w:basedOn w:val="DefaultParagraphFont"/>
    <w:link w:val="BodyText2"/>
    <w:uiPriority w:val="99"/>
    <w:semiHidden/>
    <w:rsid w:val="009D3D63"/>
  </w:style>
  <w:style w:type="paragraph" w:styleId="Footer">
    <w:name w:val="footer"/>
    <w:basedOn w:val="Normal"/>
    <w:link w:val="FooterChar"/>
    <w:uiPriority w:val="99"/>
    <w:unhideWhenUsed/>
    <w:rsid w:val="002513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1367"/>
  </w:style>
  <w:style w:type="character" w:styleId="CommentReference">
    <w:name w:val="annotation reference"/>
    <w:basedOn w:val="DefaultParagraphFont"/>
    <w:uiPriority w:val="99"/>
    <w:semiHidden/>
    <w:unhideWhenUsed/>
    <w:rsid w:val="0099393C"/>
    <w:rPr>
      <w:sz w:val="18"/>
      <w:szCs w:val="18"/>
    </w:rPr>
  </w:style>
  <w:style w:type="paragraph" w:styleId="CommentText">
    <w:name w:val="annotation text"/>
    <w:basedOn w:val="Normal"/>
    <w:link w:val="CommentTextChar"/>
    <w:uiPriority w:val="99"/>
    <w:semiHidden/>
    <w:unhideWhenUsed/>
    <w:rsid w:val="0099393C"/>
    <w:pPr>
      <w:spacing w:line="240" w:lineRule="auto"/>
    </w:pPr>
    <w:rPr>
      <w:sz w:val="24"/>
      <w:szCs w:val="24"/>
    </w:rPr>
  </w:style>
  <w:style w:type="character" w:customStyle="1" w:styleId="CommentTextChar">
    <w:name w:val="Comment Text Char"/>
    <w:basedOn w:val="DefaultParagraphFont"/>
    <w:link w:val="CommentText"/>
    <w:uiPriority w:val="99"/>
    <w:semiHidden/>
    <w:rsid w:val="0099393C"/>
    <w:rPr>
      <w:sz w:val="24"/>
      <w:szCs w:val="24"/>
    </w:rPr>
  </w:style>
  <w:style w:type="paragraph" w:styleId="CommentSubject">
    <w:name w:val="annotation subject"/>
    <w:basedOn w:val="CommentText"/>
    <w:next w:val="CommentText"/>
    <w:link w:val="CommentSubjectChar"/>
    <w:uiPriority w:val="99"/>
    <w:semiHidden/>
    <w:unhideWhenUsed/>
    <w:rsid w:val="0099393C"/>
    <w:rPr>
      <w:b/>
      <w:bCs/>
      <w:sz w:val="20"/>
      <w:szCs w:val="20"/>
    </w:rPr>
  </w:style>
  <w:style w:type="character" w:customStyle="1" w:styleId="CommentSubjectChar">
    <w:name w:val="Comment Subject Char"/>
    <w:basedOn w:val="CommentTextChar"/>
    <w:link w:val="CommentSubject"/>
    <w:uiPriority w:val="99"/>
    <w:semiHidden/>
    <w:rsid w:val="0099393C"/>
    <w:rPr>
      <w:b/>
      <w:bCs/>
      <w:sz w:val="20"/>
      <w:szCs w:val="20"/>
    </w:rPr>
  </w:style>
  <w:style w:type="paragraph" w:styleId="BalloonText">
    <w:name w:val="Balloon Text"/>
    <w:basedOn w:val="Normal"/>
    <w:link w:val="BalloonTextChar"/>
    <w:uiPriority w:val="99"/>
    <w:semiHidden/>
    <w:unhideWhenUsed/>
    <w:rsid w:val="0099393C"/>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9393C"/>
    <w:rPr>
      <w:rFonts w:ascii="Lucida Grande" w:hAnsi="Lucida Grande" w:cs="Lucida Grande"/>
      <w:sz w:val="18"/>
      <w:szCs w:val="18"/>
    </w:rPr>
  </w:style>
  <w:style w:type="paragraph" w:styleId="BodyTextIndent2">
    <w:name w:val="Body Text Indent 2"/>
    <w:basedOn w:val="Normal"/>
    <w:link w:val="BodyTextIndent2Char"/>
    <w:uiPriority w:val="99"/>
    <w:semiHidden/>
    <w:unhideWhenUsed/>
    <w:rsid w:val="002B2334"/>
    <w:pPr>
      <w:spacing w:after="120" w:line="480" w:lineRule="auto"/>
      <w:ind w:left="283"/>
    </w:pPr>
  </w:style>
  <w:style w:type="character" w:customStyle="1" w:styleId="BodyTextIndent2Char">
    <w:name w:val="Body Text Indent 2 Char"/>
    <w:basedOn w:val="DefaultParagraphFont"/>
    <w:link w:val="BodyTextIndent2"/>
    <w:uiPriority w:val="99"/>
    <w:semiHidden/>
    <w:rsid w:val="002B2334"/>
  </w:style>
  <w:style w:type="character" w:styleId="Hyperlink">
    <w:name w:val="Hyperlink"/>
    <w:basedOn w:val="DefaultParagraphFont"/>
    <w:uiPriority w:val="99"/>
    <w:unhideWhenUsed/>
    <w:rsid w:val="008C7A3B"/>
    <w:rPr>
      <w:color w:val="0000FF" w:themeColor="hyperlink"/>
      <w:u w:val="single"/>
    </w:rPr>
  </w:style>
  <w:style w:type="paragraph" w:styleId="NormalWeb">
    <w:name w:val="Normal (Web)"/>
    <w:basedOn w:val="Normal"/>
    <w:uiPriority w:val="99"/>
    <w:unhideWhenUsed/>
    <w:rsid w:val="00316529"/>
    <w:pPr>
      <w:spacing w:before="100" w:beforeAutospacing="1" w:after="100" w:afterAutospacing="1" w:line="240" w:lineRule="auto"/>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1D3E89"/>
    <w:pPr>
      <w:keepNext/>
      <w:spacing w:after="0" w:line="360" w:lineRule="auto"/>
      <w:outlineLvl w:val="0"/>
    </w:pPr>
    <w:rPr>
      <w:rFonts w:ascii="Arial" w:eastAsia="Times" w:hAnsi="Arial" w:cs="Times New Roman"/>
      <w:b/>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F7814"/>
    <w:pPr>
      <w:spacing w:after="0" w:line="360" w:lineRule="auto"/>
    </w:pPr>
    <w:rPr>
      <w:rFonts w:ascii="Arial" w:eastAsia="Times" w:hAnsi="Arial" w:cs="Times New Roman"/>
      <w:i/>
      <w:sz w:val="24"/>
      <w:szCs w:val="20"/>
    </w:rPr>
  </w:style>
  <w:style w:type="character" w:customStyle="1" w:styleId="BodyTextChar">
    <w:name w:val="Body Text Char"/>
    <w:basedOn w:val="DefaultParagraphFont"/>
    <w:link w:val="BodyText"/>
    <w:rsid w:val="00FF7814"/>
    <w:rPr>
      <w:rFonts w:ascii="Arial" w:eastAsia="Times" w:hAnsi="Arial" w:cs="Times New Roman"/>
      <w:i/>
      <w:sz w:val="24"/>
      <w:szCs w:val="20"/>
    </w:rPr>
  </w:style>
  <w:style w:type="paragraph" w:styleId="FootnoteText">
    <w:name w:val="footnote text"/>
    <w:basedOn w:val="Normal"/>
    <w:link w:val="FootnoteTextChar"/>
    <w:semiHidden/>
    <w:rsid w:val="00FF7814"/>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FF7814"/>
    <w:rPr>
      <w:rFonts w:ascii="Times New Roman" w:eastAsia="Times New Roman" w:hAnsi="Times New Roman" w:cs="Times New Roman"/>
      <w:sz w:val="20"/>
      <w:szCs w:val="20"/>
    </w:rPr>
  </w:style>
  <w:style w:type="character" w:styleId="FootnoteReference">
    <w:name w:val="footnote reference"/>
    <w:basedOn w:val="DefaultParagraphFont"/>
    <w:semiHidden/>
    <w:rsid w:val="00FF7814"/>
    <w:rPr>
      <w:vertAlign w:val="superscript"/>
    </w:rPr>
  </w:style>
  <w:style w:type="paragraph" w:styleId="ListParagraph">
    <w:name w:val="List Paragraph"/>
    <w:basedOn w:val="Normal"/>
    <w:uiPriority w:val="34"/>
    <w:qFormat/>
    <w:rsid w:val="001D3E89"/>
    <w:pPr>
      <w:ind w:left="720"/>
      <w:contextualSpacing/>
    </w:pPr>
  </w:style>
  <w:style w:type="character" w:customStyle="1" w:styleId="Heading1Char">
    <w:name w:val="Heading 1 Char"/>
    <w:basedOn w:val="DefaultParagraphFont"/>
    <w:link w:val="Heading1"/>
    <w:rsid w:val="001D3E89"/>
    <w:rPr>
      <w:rFonts w:ascii="Arial" w:eastAsia="Times" w:hAnsi="Arial" w:cs="Times New Roman"/>
      <w:b/>
      <w:i/>
      <w:sz w:val="24"/>
      <w:szCs w:val="20"/>
    </w:rPr>
  </w:style>
  <w:style w:type="paragraph" w:styleId="Header">
    <w:name w:val="header"/>
    <w:basedOn w:val="Normal"/>
    <w:link w:val="HeaderChar"/>
    <w:rsid w:val="001D3E89"/>
    <w:pPr>
      <w:tabs>
        <w:tab w:val="center" w:pos="4320"/>
        <w:tab w:val="right" w:pos="8640"/>
      </w:tabs>
      <w:spacing w:after="0" w:line="240" w:lineRule="auto"/>
    </w:pPr>
    <w:rPr>
      <w:rFonts w:ascii="Arial" w:eastAsia="Times" w:hAnsi="Arial" w:cs="Times New Roman"/>
      <w:sz w:val="24"/>
      <w:szCs w:val="20"/>
    </w:rPr>
  </w:style>
  <w:style w:type="character" w:customStyle="1" w:styleId="HeaderChar">
    <w:name w:val="Header Char"/>
    <w:basedOn w:val="DefaultParagraphFont"/>
    <w:link w:val="Header"/>
    <w:rsid w:val="001D3E89"/>
    <w:rPr>
      <w:rFonts w:ascii="Arial" w:eastAsia="Times" w:hAnsi="Arial" w:cs="Times New Roman"/>
      <w:sz w:val="24"/>
      <w:szCs w:val="20"/>
    </w:rPr>
  </w:style>
  <w:style w:type="table" w:styleId="TableGrid">
    <w:name w:val="Table Grid"/>
    <w:basedOn w:val="TableNormal"/>
    <w:rsid w:val="00056DF5"/>
    <w:pPr>
      <w:spacing w:after="0" w:line="240" w:lineRule="auto"/>
    </w:pPr>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iPriority w:val="99"/>
    <w:semiHidden/>
    <w:unhideWhenUsed/>
    <w:rsid w:val="009D3D63"/>
    <w:pPr>
      <w:spacing w:after="120" w:line="480" w:lineRule="auto"/>
    </w:pPr>
  </w:style>
  <w:style w:type="character" w:customStyle="1" w:styleId="BodyText2Char">
    <w:name w:val="Body Text 2 Char"/>
    <w:basedOn w:val="DefaultParagraphFont"/>
    <w:link w:val="BodyText2"/>
    <w:uiPriority w:val="99"/>
    <w:semiHidden/>
    <w:rsid w:val="009D3D63"/>
  </w:style>
  <w:style w:type="paragraph" w:styleId="Footer">
    <w:name w:val="footer"/>
    <w:basedOn w:val="Normal"/>
    <w:link w:val="FooterChar"/>
    <w:uiPriority w:val="99"/>
    <w:unhideWhenUsed/>
    <w:rsid w:val="002513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1367"/>
  </w:style>
  <w:style w:type="character" w:styleId="CommentReference">
    <w:name w:val="annotation reference"/>
    <w:basedOn w:val="DefaultParagraphFont"/>
    <w:uiPriority w:val="99"/>
    <w:semiHidden/>
    <w:unhideWhenUsed/>
    <w:rsid w:val="0099393C"/>
    <w:rPr>
      <w:sz w:val="18"/>
      <w:szCs w:val="18"/>
    </w:rPr>
  </w:style>
  <w:style w:type="paragraph" w:styleId="CommentText">
    <w:name w:val="annotation text"/>
    <w:basedOn w:val="Normal"/>
    <w:link w:val="CommentTextChar"/>
    <w:uiPriority w:val="99"/>
    <w:semiHidden/>
    <w:unhideWhenUsed/>
    <w:rsid w:val="0099393C"/>
    <w:pPr>
      <w:spacing w:line="240" w:lineRule="auto"/>
    </w:pPr>
    <w:rPr>
      <w:sz w:val="24"/>
      <w:szCs w:val="24"/>
    </w:rPr>
  </w:style>
  <w:style w:type="character" w:customStyle="1" w:styleId="CommentTextChar">
    <w:name w:val="Comment Text Char"/>
    <w:basedOn w:val="DefaultParagraphFont"/>
    <w:link w:val="CommentText"/>
    <w:uiPriority w:val="99"/>
    <w:semiHidden/>
    <w:rsid w:val="0099393C"/>
    <w:rPr>
      <w:sz w:val="24"/>
      <w:szCs w:val="24"/>
    </w:rPr>
  </w:style>
  <w:style w:type="paragraph" w:styleId="CommentSubject">
    <w:name w:val="annotation subject"/>
    <w:basedOn w:val="CommentText"/>
    <w:next w:val="CommentText"/>
    <w:link w:val="CommentSubjectChar"/>
    <w:uiPriority w:val="99"/>
    <w:semiHidden/>
    <w:unhideWhenUsed/>
    <w:rsid w:val="0099393C"/>
    <w:rPr>
      <w:b/>
      <w:bCs/>
      <w:sz w:val="20"/>
      <w:szCs w:val="20"/>
    </w:rPr>
  </w:style>
  <w:style w:type="character" w:customStyle="1" w:styleId="CommentSubjectChar">
    <w:name w:val="Comment Subject Char"/>
    <w:basedOn w:val="CommentTextChar"/>
    <w:link w:val="CommentSubject"/>
    <w:uiPriority w:val="99"/>
    <w:semiHidden/>
    <w:rsid w:val="0099393C"/>
    <w:rPr>
      <w:b/>
      <w:bCs/>
      <w:sz w:val="20"/>
      <w:szCs w:val="20"/>
    </w:rPr>
  </w:style>
  <w:style w:type="paragraph" w:styleId="BalloonText">
    <w:name w:val="Balloon Text"/>
    <w:basedOn w:val="Normal"/>
    <w:link w:val="BalloonTextChar"/>
    <w:uiPriority w:val="99"/>
    <w:semiHidden/>
    <w:unhideWhenUsed/>
    <w:rsid w:val="0099393C"/>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9393C"/>
    <w:rPr>
      <w:rFonts w:ascii="Lucida Grande" w:hAnsi="Lucida Grande" w:cs="Lucida Grande"/>
      <w:sz w:val="18"/>
      <w:szCs w:val="18"/>
    </w:rPr>
  </w:style>
  <w:style w:type="paragraph" w:styleId="BodyTextIndent2">
    <w:name w:val="Body Text Indent 2"/>
    <w:basedOn w:val="Normal"/>
    <w:link w:val="BodyTextIndent2Char"/>
    <w:uiPriority w:val="99"/>
    <w:semiHidden/>
    <w:unhideWhenUsed/>
    <w:rsid w:val="002B2334"/>
    <w:pPr>
      <w:spacing w:after="120" w:line="480" w:lineRule="auto"/>
      <w:ind w:left="283"/>
    </w:pPr>
  </w:style>
  <w:style w:type="character" w:customStyle="1" w:styleId="BodyTextIndent2Char">
    <w:name w:val="Body Text Indent 2 Char"/>
    <w:basedOn w:val="DefaultParagraphFont"/>
    <w:link w:val="BodyTextIndent2"/>
    <w:uiPriority w:val="99"/>
    <w:semiHidden/>
    <w:rsid w:val="002B2334"/>
  </w:style>
  <w:style w:type="character" w:styleId="Hyperlink">
    <w:name w:val="Hyperlink"/>
    <w:basedOn w:val="DefaultParagraphFont"/>
    <w:uiPriority w:val="99"/>
    <w:unhideWhenUsed/>
    <w:rsid w:val="008C7A3B"/>
    <w:rPr>
      <w:color w:val="0000FF" w:themeColor="hyperlink"/>
      <w:u w:val="single"/>
    </w:rPr>
  </w:style>
  <w:style w:type="paragraph" w:styleId="NormalWeb">
    <w:name w:val="Normal (Web)"/>
    <w:basedOn w:val="Normal"/>
    <w:uiPriority w:val="99"/>
    <w:unhideWhenUsed/>
    <w:rsid w:val="00316529"/>
    <w:pPr>
      <w:spacing w:before="100" w:beforeAutospacing="1" w:after="100" w:afterAutospacing="1" w:line="240" w:lineRule="auto"/>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996040">
      <w:bodyDiv w:val="1"/>
      <w:marLeft w:val="0"/>
      <w:marRight w:val="0"/>
      <w:marTop w:val="0"/>
      <w:marBottom w:val="0"/>
      <w:divBdr>
        <w:top w:val="none" w:sz="0" w:space="0" w:color="auto"/>
        <w:left w:val="none" w:sz="0" w:space="0" w:color="auto"/>
        <w:bottom w:val="none" w:sz="0" w:space="0" w:color="auto"/>
        <w:right w:val="none" w:sz="0" w:space="0" w:color="auto"/>
      </w:divBdr>
    </w:div>
    <w:div w:id="63899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tandfonline.com/toc/cshe20/25/3" TargetMode="External"/><Relationship Id="rId10" Type="http://schemas.openxmlformats.org/officeDocument/2006/relationships/hyperlink" Target="https://www.gov.uk/government/uploads/system/uploads/attachment_data/file/552886/HEIPR_PUBLICATION_2014-1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BC5780-4E9B-FD41-9410-93A3606A6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28</Pages>
  <Words>8048</Words>
  <Characters>48374</Characters>
  <Application>Microsoft Macintosh Word</Application>
  <DocSecurity>0</DocSecurity>
  <Lines>895</Lines>
  <Paragraphs>144</Paragraphs>
  <ScaleCrop>false</ScaleCrop>
  <HeadingPairs>
    <vt:vector size="2" baseType="variant">
      <vt:variant>
        <vt:lpstr>Title</vt:lpstr>
      </vt:variant>
      <vt:variant>
        <vt:i4>1</vt:i4>
      </vt:variant>
    </vt:vector>
  </HeadingPairs>
  <TitlesOfParts>
    <vt:vector size="1" baseType="lpstr">
      <vt:lpstr/>
    </vt:vector>
  </TitlesOfParts>
  <Manager/>
  <Company>Birmingham City University</Company>
  <LinksUpToDate>false</LinksUpToDate>
  <CharactersWithSpaces>56278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id113523</dc:creator>
  <cp:keywords/>
  <dc:description/>
  <cp:lastModifiedBy>Alex Kendall</cp:lastModifiedBy>
  <cp:revision>4</cp:revision>
  <dcterms:created xsi:type="dcterms:W3CDTF">2018-01-12T12:00:00Z</dcterms:created>
  <dcterms:modified xsi:type="dcterms:W3CDTF">2018-01-12T12:02:00Z</dcterms:modified>
  <cp:category/>
</cp:coreProperties>
</file>