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DFF3B" w14:textId="77777777" w:rsidR="007477C2" w:rsidRPr="007477C2" w:rsidRDefault="007477C2" w:rsidP="007477C2">
      <w:pPr>
        <w:numPr>
          <w:ilvl w:val="0"/>
          <w:numId w:val="1"/>
        </w:numPr>
        <w:spacing w:before="100" w:beforeAutospacing="1" w:after="100" w:afterAutospacing="1"/>
        <w:rPr>
          <w:rFonts w:ascii="Times" w:eastAsia="Times New Roman" w:hAnsi="Times" w:cs="Times New Roman"/>
          <w:sz w:val="20"/>
          <w:szCs w:val="20"/>
        </w:rPr>
      </w:pPr>
    </w:p>
    <w:p w14:paraId="28F5364E"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Every year since we began our work in 2003 IBC has published a report summarising the main features and trends of the civilian death toll in Iraq over the previous 12 months, drawing on our systematic accumulation and analysis of civilian casualties as reported by Iraqi and international news media, NGOs and official sources. </w:t>
      </w:r>
    </w:p>
    <w:p w14:paraId="623106D5"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The numbers reproduced below are derived directly from our database and may change as new data is obtained, analysed and included. </w:t>
      </w:r>
    </w:p>
    <w:p w14:paraId="0DDFF193" w14:textId="77777777" w:rsidR="007477C2" w:rsidRPr="007477C2" w:rsidRDefault="007477C2" w:rsidP="007477C2">
      <w:pPr>
        <w:spacing w:before="288" w:after="100" w:afterAutospacing="1"/>
        <w:outlineLvl w:val="0"/>
        <w:rPr>
          <w:rFonts w:ascii="Times" w:eastAsia="Times New Roman" w:hAnsi="Times" w:cs="Times New Roman"/>
          <w:b/>
          <w:bCs/>
          <w:kern w:val="36"/>
          <w:sz w:val="48"/>
          <w:szCs w:val="48"/>
        </w:rPr>
      </w:pPr>
      <w:r w:rsidRPr="007477C2">
        <w:rPr>
          <w:rFonts w:ascii="Times" w:eastAsia="Times New Roman" w:hAnsi="Times" w:cs="Times New Roman"/>
          <w:b/>
          <w:bCs/>
          <w:kern w:val="36"/>
          <w:sz w:val="48"/>
          <w:szCs w:val="48"/>
        </w:rPr>
        <w:t xml:space="preserve">Another year of relentless violence in Iraq </w:t>
      </w:r>
    </w:p>
    <w:p w14:paraId="63433FDC" w14:textId="77777777" w:rsidR="007477C2" w:rsidRPr="007477C2" w:rsidRDefault="007477C2" w:rsidP="007477C2">
      <w:pPr>
        <w:spacing w:before="100" w:beforeAutospacing="1" w:after="100" w:afterAutospacing="1"/>
        <w:outlineLvl w:val="0"/>
        <w:rPr>
          <w:rFonts w:ascii="Times" w:eastAsia="Times New Roman" w:hAnsi="Times" w:cs="Times New Roman"/>
          <w:b/>
          <w:bCs/>
          <w:kern w:val="36"/>
          <w:sz w:val="48"/>
          <w:szCs w:val="48"/>
        </w:rPr>
      </w:pPr>
      <w:r w:rsidRPr="007477C2">
        <w:rPr>
          <w:rFonts w:ascii="Times" w:eastAsia="Times New Roman" w:hAnsi="Times" w:cs="Times New Roman"/>
          <w:b/>
          <w:bCs/>
          <w:kern w:val="36"/>
          <w:sz w:val="48"/>
          <w:szCs w:val="48"/>
        </w:rPr>
        <w:t>IBC’s 2016 analysis of civilian deaths</w:t>
      </w:r>
    </w:p>
    <w:p w14:paraId="25F5C240" w14:textId="77777777" w:rsidR="007477C2" w:rsidRPr="007477C2" w:rsidRDefault="007477C2" w:rsidP="007477C2">
      <w:pPr>
        <w:spacing w:before="100" w:beforeAutospacing="1" w:after="100" w:afterAutospacing="1"/>
        <w:outlineLvl w:val="1"/>
        <w:rPr>
          <w:rFonts w:ascii="Times" w:eastAsia="Times New Roman" w:hAnsi="Times" w:cs="Times New Roman"/>
          <w:b/>
          <w:bCs/>
          <w:sz w:val="36"/>
          <w:szCs w:val="36"/>
        </w:rPr>
      </w:pPr>
      <w:r w:rsidRPr="007477C2">
        <w:rPr>
          <w:rFonts w:ascii="Times" w:eastAsia="Times New Roman" w:hAnsi="Times" w:cs="Times New Roman"/>
          <w:b/>
          <w:bCs/>
          <w:sz w:val="36"/>
          <w:szCs w:val="36"/>
        </w:rPr>
        <w:t>1. 2016 Summary and comparison to preceding years</w:t>
      </w:r>
    </w:p>
    <w:p w14:paraId="6029D73B"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2016 has seen deadly violence continue to impact Iraqi civilians on a daily basis. This has been most significant this year in the northern city of Mosul and surrounding areas in Ninewa province under the control of Islamic State (IS), where it has carried out thousands of killings and executions. At the same time, the region has been under almost constant bombardment by US-Coalition and Iraqi government forces seeking to oust IS. Baghdad and its surroundings, even while not an area of direct conflict between IS and government forces, has witnessed daily attacks by roadside bombs, shootings and executions, as well as occasional mass casualty bombings. Civilians in Iraq, whether in contested war zones or not, have continued to lose their lives at levels similar to those that have characterised Iraq since mid-2013. </w:t>
      </w:r>
    </w:p>
    <w:p w14:paraId="4032E54D"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The annual total for civilian deaths in Iraq in 2016 was 16,393, which is within a broad range encompassing 2015 (17,578) and 2014 (20,218). These past three years are very much higher than the years 2010-2012, the least violent period since the invasion, when the annual numbers ranged from 4,167 to 4,622, and are also substantially higher than 2013 (9,852) which saw the beginning of the change from the pre-2013 levels to current levels. 1 </w:t>
      </w:r>
    </w:p>
    <w:p w14:paraId="7B937FE7"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1These figures are taken from the higher number in IBC’s range. Both this and the lower figure tend to be exceeded over time. </w:t>
      </w:r>
    </w:p>
    <w:p w14:paraId="649EC550" w14:textId="77777777" w:rsid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2"Reductions" in this context an abstract concept, as deaths are cumulative and their number can only increase. Reported reductions are to the </w:t>
      </w:r>
      <w:r w:rsidRPr="007477C2">
        <w:rPr>
          <w:rFonts w:ascii="Times" w:hAnsi="Times" w:cs="Times New Roman"/>
          <w:i/>
          <w:iCs/>
          <w:sz w:val="20"/>
          <w:szCs w:val="20"/>
        </w:rPr>
        <w:t>rate</w:t>
      </w:r>
      <w:r w:rsidRPr="007477C2">
        <w:rPr>
          <w:rFonts w:ascii="Times" w:hAnsi="Times" w:cs="Times New Roman"/>
          <w:sz w:val="20"/>
          <w:szCs w:val="20"/>
        </w:rPr>
        <w:t xml:space="preserve"> at which deaths accumulated in a given place and period. Every life lost represents an </w:t>
      </w:r>
      <w:r w:rsidRPr="007477C2">
        <w:rPr>
          <w:rFonts w:ascii="Times" w:hAnsi="Times" w:cs="Times New Roman"/>
          <w:i/>
          <w:iCs/>
          <w:sz w:val="20"/>
          <w:szCs w:val="20"/>
        </w:rPr>
        <w:t>increase</w:t>
      </w:r>
      <w:r w:rsidRPr="007477C2">
        <w:rPr>
          <w:rFonts w:ascii="Times" w:hAnsi="Times" w:cs="Times New Roman"/>
          <w:sz w:val="20"/>
          <w:szCs w:val="20"/>
        </w:rPr>
        <w:t xml:space="preserve"> in their absolute number. </w:t>
      </w:r>
    </w:p>
    <w:p w14:paraId="37892AD4" w14:textId="77777777" w:rsidR="00CD140C" w:rsidRDefault="00CD140C" w:rsidP="007477C2">
      <w:pPr>
        <w:spacing w:before="100" w:beforeAutospacing="1" w:after="100" w:afterAutospacing="1"/>
        <w:rPr>
          <w:rFonts w:ascii="Times" w:hAnsi="Times"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510"/>
        <w:gridCol w:w="610"/>
        <w:gridCol w:w="510"/>
        <w:gridCol w:w="510"/>
        <w:gridCol w:w="525"/>
      </w:tblGrid>
      <w:tr w:rsidR="00CD140C" w:rsidRPr="00CD140C" w14:paraId="72D38CAA" w14:textId="77777777" w:rsidTr="00CD140C">
        <w:trPr>
          <w:gridAfter w:val="1"/>
          <w:tblCellSpacing w:w="15" w:type="dxa"/>
        </w:trPr>
        <w:tc>
          <w:tcPr>
            <w:tcW w:w="0" w:type="auto"/>
            <w:vAlign w:val="center"/>
            <w:hideMark/>
          </w:tcPr>
          <w:p w14:paraId="6799F93D"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t>2012</w:t>
            </w:r>
          </w:p>
        </w:tc>
        <w:tc>
          <w:tcPr>
            <w:tcW w:w="0" w:type="auto"/>
            <w:vAlign w:val="center"/>
            <w:hideMark/>
          </w:tcPr>
          <w:p w14:paraId="18FB910C"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t>2013</w:t>
            </w:r>
          </w:p>
        </w:tc>
        <w:tc>
          <w:tcPr>
            <w:tcW w:w="0" w:type="auto"/>
            <w:vAlign w:val="center"/>
            <w:hideMark/>
          </w:tcPr>
          <w:p w14:paraId="05F844D1"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t>2014</w:t>
            </w:r>
          </w:p>
        </w:tc>
        <w:tc>
          <w:tcPr>
            <w:tcW w:w="0" w:type="auto"/>
            <w:vAlign w:val="center"/>
            <w:hideMark/>
          </w:tcPr>
          <w:p w14:paraId="2074B608"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t>2015</w:t>
            </w:r>
          </w:p>
        </w:tc>
        <w:tc>
          <w:tcPr>
            <w:tcW w:w="0" w:type="auto"/>
            <w:vAlign w:val="center"/>
            <w:hideMark/>
          </w:tcPr>
          <w:p w14:paraId="38781BE9"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t>2016</w:t>
            </w:r>
          </w:p>
        </w:tc>
      </w:tr>
      <w:tr w:rsidR="00CD140C" w:rsidRPr="00CD140C" w14:paraId="4A3AF5E3" w14:textId="77777777" w:rsidTr="00CD140C">
        <w:trPr>
          <w:tblCellSpacing w:w="15" w:type="dxa"/>
        </w:trPr>
        <w:tc>
          <w:tcPr>
            <w:tcW w:w="0" w:type="auto"/>
            <w:vAlign w:val="center"/>
            <w:hideMark/>
          </w:tcPr>
          <w:p w14:paraId="38C8397D"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t>January</w:t>
            </w:r>
          </w:p>
        </w:tc>
        <w:tc>
          <w:tcPr>
            <w:tcW w:w="0" w:type="auto"/>
            <w:vAlign w:val="center"/>
            <w:hideMark/>
          </w:tcPr>
          <w:p w14:paraId="74524141"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531</w:t>
            </w:r>
          </w:p>
        </w:tc>
        <w:tc>
          <w:tcPr>
            <w:tcW w:w="0" w:type="auto"/>
            <w:vAlign w:val="center"/>
            <w:hideMark/>
          </w:tcPr>
          <w:p w14:paraId="129E5A72"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357</w:t>
            </w:r>
          </w:p>
        </w:tc>
        <w:tc>
          <w:tcPr>
            <w:tcW w:w="0" w:type="auto"/>
            <w:vAlign w:val="center"/>
            <w:hideMark/>
          </w:tcPr>
          <w:p w14:paraId="60007664"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1,097</w:t>
            </w:r>
          </w:p>
        </w:tc>
        <w:tc>
          <w:tcPr>
            <w:tcW w:w="0" w:type="auto"/>
            <w:vAlign w:val="center"/>
            <w:hideMark/>
          </w:tcPr>
          <w:p w14:paraId="0CCAD643"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1,490</w:t>
            </w:r>
          </w:p>
        </w:tc>
        <w:tc>
          <w:tcPr>
            <w:tcW w:w="0" w:type="auto"/>
            <w:vAlign w:val="center"/>
            <w:hideMark/>
          </w:tcPr>
          <w:p w14:paraId="5C8A8C73"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1,374</w:t>
            </w:r>
          </w:p>
        </w:tc>
      </w:tr>
      <w:tr w:rsidR="00CD140C" w:rsidRPr="00CD140C" w14:paraId="74D341FB" w14:textId="77777777" w:rsidTr="00CD140C">
        <w:trPr>
          <w:tblCellSpacing w:w="15" w:type="dxa"/>
        </w:trPr>
        <w:tc>
          <w:tcPr>
            <w:tcW w:w="0" w:type="auto"/>
            <w:vAlign w:val="center"/>
            <w:hideMark/>
          </w:tcPr>
          <w:p w14:paraId="52F7E4B3"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t>February</w:t>
            </w:r>
          </w:p>
        </w:tc>
        <w:tc>
          <w:tcPr>
            <w:tcW w:w="0" w:type="auto"/>
            <w:vAlign w:val="center"/>
            <w:hideMark/>
          </w:tcPr>
          <w:p w14:paraId="0B0D7BB3"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356</w:t>
            </w:r>
          </w:p>
        </w:tc>
        <w:tc>
          <w:tcPr>
            <w:tcW w:w="0" w:type="auto"/>
            <w:vAlign w:val="center"/>
            <w:hideMark/>
          </w:tcPr>
          <w:p w14:paraId="1F4F3F3F"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360</w:t>
            </w:r>
          </w:p>
        </w:tc>
        <w:tc>
          <w:tcPr>
            <w:tcW w:w="0" w:type="auto"/>
            <w:vAlign w:val="center"/>
            <w:hideMark/>
          </w:tcPr>
          <w:p w14:paraId="3E3A16B9"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972</w:t>
            </w:r>
          </w:p>
        </w:tc>
        <w:tc>
          <w:tcPr>
            <w:tcW w:w="0" w:type="auto"/>
            <w:vAlign w:val="center"/>
            <w:hideMark/>
          </w:tcPr>
          <w:p w14:paraId="558691F2"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1,625</w:t>
            </w:r>
          </w:p>
        </w:tc>
        <w:tc>
          <w:tcPr>
            <w:tcW w:w="0" w:type="auto"/>
            <w:vAlign w:val="center"/>
            <w:hideMark/>
          </w:tcPr>
          <w:p w14:paraId="2699C97B"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1,258</w:t>
            </w:r>
          </w:p>
        </w:tc>
      </w:tr>
      <w:tr w:rsidR="00CD140C" w:rsidRPr="00CD140C" w14:paraId="35C3DD3E" w14:textId="77777777" w:rsidTr="00CD140C">
        <w:trPr>
          <w:tblCellSpacing w:w="15" w:type="dxa"/>
        </w:trPr>
        <w:tc>
          <w:tcPr>
            <w:tcW w:w="0" w:type="auto"/>
            <w:vAlign w:val="center"/>
            <w:hideMark/>
          </w:tcPr>
          <w:p w14:paraId="67973344"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t>March</w:t>
            </w:r>
          </w:p>
        </w:tc>
        <w:tc>
          <w:tcPr>
            <w:tcW w:w="0" w:type="auto"/>
            <w:vAlign w:val="center"/>
            <w:hideMark/>
          </w:tcPr>
          <w:p w14:paraId="2E96A5ED"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377</w:t>
            </w:r>
          </w:p>
        </w:tc>
        <w:tc>
          <w:tcPr>
            <w:tcW w:w="0" w:type="auto"/>
            <w:vAlign w:val="center"/>
            <w:hideMark/>
          </w:tcPr>
          <w:p w14:paraId="64682FFD"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403</w:t>
            </w:r>
          </w:p>
        </w:tc>
        <w:tc>
          <w:tcPr>
            <w:tcW w:w="0" w:type="auto"/>
            <w:vAlign w:val="center"/>
            <w:hideMark/>
          </w:tcPr>
          <w:p w14:paraId="0C05F446"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1,029</w:t>
            </w:r>
          </w:p>
        </w:tc>
        <w:tc>
          <w:tcPr>
            <w:tcW w:w="0" w:type="auto"/>
            <w:vAlign w:val="center"/>
            <w:hideMark/>
          </w:tcPr>
          <w:p w14:paraId="5B78E277"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1,105</w:t>
            </w:r>
          </w:p>
        </w:tc>
        <w:tc>
          <w:tcPr>
            <w:tcW w:w="0" w:type="auto"/>
            <w:vAlign w:val="center"/>
            <w:hideMark/>
          </w:tcPr>
          <w:p w14:paraId="4794E28C"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1,459</w:t>
            </w:r>
          </w:p>
        </w:tc>
      </w:tr>
      <w:tr w:rsidR="00CD140C" w:rsidRPr="00CD140C" w14:paraId="7033EC35" w14:textId="77777777" w:rsidTr="00CD140C">
        <w:trPr>
          <w:tblCellSpacing w:w="15" w:type="dxa"/>
        </w:trPr>
        <w:tc>
          <w:tcPr>
            <w:tcW w:w="0" w:type="auto"/>
            <w:vAlign w:val="center"/>
            <w:hideMark/>
          </w:tcPr>
          <w:p w14:paraId="360B58D5"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t>April</w:t>
            </w:r>
          </w:p>
        </w:tc>
        <w:tc>
          <w:tcPr>
            <w:tcW w:w="0" w:type="auto"/>
            <w:vAlign w:val="center"/>
            <w:hideMark/>
          </w:tcPr>
          <w:p w14:paraId="6C5BBDE4"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392</w:t>
            </w:r>
          </w:p>
        </w:tc>
        <w:tc>
          <w:tcPr>
            <w:tcW w:w="0" w:type="auto"/>
            <w:vAlign w:val="center"/>
            <w:hideMark/>
          </w:tcPr>
          <w:p w14:paraId="1690BDDB"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545</w:t>
            </w:r>
          </w:p>
        </w:tc>
        <w:tc>
          <w:tcPr>
            <w:tcW w:w="0" w:type="auto"/>
            <w:vAlign w:val="center"/>
            <w:hideMark/>
          </w:tcPr>
          <w:p w14:paraId="49D02EEF"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1,037</w:t>
            </w:r>
          </w:p>
        </w:tc>
        <w:tc>
          <w:tcPr>
            <w:tcW w:w="0" w:type="auto"/>
            <w:vAlign w:val="center"/>
            <w:hideMark/>
          </w:tcPr>
          <w:p w14:paraId="52A55F63"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2,013</w:t>
            </w:r>
          </w:p>
        </w:tc>
        <w:tc>
          <w:tcPr>
            <w:tcW w:w="0" w:type="auto"/>
            <w:vAlign w:val="center"/>
            <w:hideMark/>
          </w:tcPr>
          <w:p w14:paraId="2D494DA1"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1,192</w:t>
            </w:r>
          </w:p>
        </w:tc>
      </w:tr>
      <w:tr w:rsidR="00CD140C" w:rsidRPr="00CD140C" w14:paraId="21DF2683" w14:textId="77777777" w:rsidTr="00CD140C">
        <w:trPr>
          <w:tblCellSpacing w:w="15" w:type="dxa"/>
        </w:trPr>
        <w:tc>
          <w:tcPr>
            <w:tcW w:w="0" w:type="auto"/>
            <w:vAlign w:val="center"/>
            <w:hideMark/>
          </w:tcPr>
          <w:p w14:paraId="12F99B7A"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t>May</w:t>
            </w:r>
          </w:p>
        </w:tc>
        <w:tc>
          <w:tcPr>
            <w:tcW w:w="0" w:type="auto"/>
            <w:vAlign w:val="center"/>
            <w:hideMark/>
          </w:tcPr>
          <w:p w14:paraId="0CCE524B"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304</w:t>
            </w:r>
          </w:p>
        </w:tc>
        <w:tc>
          <w:tcPr>
            <w:tcW w:w="0" w:type="auto"/>
            <w:vAlign w:val="center"/>
            <w:hideMark/>
          </w:tcPr>
          <w:p w14:paraId="6237B8D9"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888</w:t>
            </w:r>
          </w:p>
        </w:tc>
        <w:tc>
          <w:tcPr>
            <w:tcW w:w="0" w:type="auto"/>
            <w:vAlign w:val="center"/>
            <w:hideMark/>
          </w:tcPr>
          <w:p w14:paraId="0EBB401E"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1,100</w:t>
            </w:r>
          </w:p>
        </w:tc>
        <w:tc>
          <w:tcPr>
            <w:tcW w:w="0" w:type="auto"/>
            <w:vAlign w:val="center"/>
            <w:hideMark/>
          </w:tcPr>
          <w:p w14:paraId="409765DD"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1,295</w:t>
            </w:r>
          </w:p>
        </w:tc>
        <w:tc>
          <w:tcPr>
            <w:tcW w:w="0" w:type="auto"/>
            <w:vAlign w:val="center"/>
            <w:hideMark/>
          </w:tcPr>
          <w:p w14:paraId="0B2B9426"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1,276</w:t>
            </w:r>
          </w:p>
        </w:tc>
      </w:tr>
      <w:tr w:rsidR="00CD140C" w:rsidRPr="00CD140C" w14:paraId="55041A6F" w14:textId="77777777" w:rsidTr="00CD140C">
        <w:trPr>
          <w:tblCellSpacing w:w="15" w:type="dxa"/>
        </w:trPr>
        <w:tc>
          <w:tcPr>
            <w:tcW w:w="0" w:type="auto"/>
            <w:vAlign w:val="center"/>
            <w:hideMark/>
          </w:tcPr>
          <w:p w14:paraId="08D5259E"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t>June</w:t>
            </w:r>
          </w:p>
        </w:tc>
        <w:tc>
          <w:tcPr>
            <w:tcW w:w="0" w:type="auto"/>
            <w:vAlign w:val="center"/>
            <w:hideMark/>
          </w:tcPr>
          <w:p w14:paraId="7410D073"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529</w:t>
            </w:r>
          </w:p>
        </w:tc>
        <w:tc>
          <w:tcPr>
            <w:tcW w:w="0" w:type="auto"/>
            <w:vAlign w:val="center"/>
            <w:hideMark/>
          </w:tcPr>
          <w:p w14:paraId="4419B281"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659</w:t>
            </w:r>
          </w:p>
        </w:tc>
        <w:tc>
          <w:tcPr>
            <w:tcW w:w="0" w:type="auto"/>
            <w:vAlign w:val="center"/>
            <w:hideMark/>
          </w:tcPr>
          <w:p w14:paraId="28E1D9E7"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4,088</w:t>
            </w:r>
          </w:p>
        </w:tc>
        <w:tc>
          <w:tcPr>
            <w:tcW w:w="0" w:type="auto"/>
            <w:vAlign w:val="center"/>
            <w:hideMark/>
          </w:tcPr>
          <w:p w14:paraId="7B7140FD"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1,355</w:t>
            </w:r>
          </w:p>
        </w:tc>
        <w:tc>
          <w:tcPr>
            <w:tcW w:w="0" w:type="auto"/>
            <w:vAlign w:val="center"/>
            <w:hideMark/>
          </w:tcPr>
          <w:p w14:paraId="42D73474"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1,405</w:t>
            </w:r>
          </w:p>
        </w:tc>
      </w:tr>
      <w:tr w:rsidR="00CD140C" w:rsidRPr="00CD140C" w14:paraId="171D45B0" w14:textId="77777777" w:rsidTr="00CD140C">
        <w:trPr>
          <w:tblCellSpacing w:w="15" w:type="dxa"/>
        </w:trPr>
        <w:tc>
          <w:tcPr>
            <w:tcW w:w="0" w:type="auto"/>
            <w:vAlign w:val="center"/>
            <w:hideMark/>
          </w:tcPr>
          <w:p w14:paraId="1976FB6E"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t>July</w:t>
            </w:r>
          </w:p>
        </w:tc>
        <w:tc>
          <w:tcPr>
            <w:tcW w:w="0" w:type="auto"/>
            <w:vAlign w:val="center"/>
            <w:hideMark/>
          </w:tcPr>
          <w:p w14:paraId="04985C0B"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469</w:t>
            </w:r>
          </w:p>
        </w:tc>
        <w:tc>
          <w:tcPr>
            <w:tcW w:w="0" w:type="auto"/>
            <w:vAlign w:val="center"/>
            <w:hideMark/>
          </w:tcPr>
          <w:p w14:paraId="640FC47F"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1,145</w:t>
            </w:r>
          </w:p>
        </w:tc>
        <w:tc>
          <w:tcPr>
            <w:tcW w:w="0" w:type="auto"/>
            <w:vAlign w:val="center"/>
            <w:hideMark/>
          </w:tcPr>
          <w:p w14:paraId="4BF2264F"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1,580</w:t>
            </w:r>
          </w:p>
        </w:tc>
        <w:tc>
          <w:tcPr>
            <w:tcW w:w="0" w:type="auto"/>
            <w:vAlign w:val="center"/>
            <w:hideMark/>
          </w:tcPr>
          <w:p w14:paraId="23B48D4D"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1,845</w:t>
            </w:r>
          </w:p>
        </w:tc>
        <w:tc>
          <w:tcPr>
            <w:tcW w:w="0" w:type="auto"/>
            <w:vAlign w:val="center"/>
            <w:hideMark/>
          </w:tcPr>
          <w:p w14:paraId="609D8C53"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1,280</w:t>
            </w:r>
          </w:p>
        </w:tc>
      </w:tr>
      <w:tr w:rsidR="00CD140C" w:rsidRPr="00CD140C" w14:paraId="71F467B6" w14:textId="77777777" w:rsidTr="00CD140C">
        <w:trPr>
          <w:tblCellSpacing w:w="15" w:type="dxa"/>
        </w:trPr>
        <w:tc>
          <w:tcPr>
            <w:tcW w:w="0" w:type="auto"/>
            <w:vAlign w:val="center"/>
            <w:hideMark/>
          </w:tcPr>
          <w:p w14:paraId="59073C3D"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lastRenderedPageBreak/>
              <w:t>August</w:t>
            </w:r>
          </w:p>
        </w:tc>
        <w:tc>
          <w:tcPr>
            <w:tcW w:w="0" w:type="auto"/>
            <w:vAlign w:val="center"/>
            <w:hideMark/>
          </w:tcPr>
          <w:p w14:paraId="059EDF0F"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422</w:t>
            </w:r>
          </w:p>
        </w:tc>
        <w:tc>
          <w:tcPr>
            <w:tcW w:w="0" w:type="auto"/>
            <w:vAlign w:val="center"/>
            <w:hideMark/>
          </w:tcPr>
          <w:p w14:paraId="3ADFEF55"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1,013</w:t>
            </w:r>
          </w:p>
        </w:tc>
        <w:tc>
          <w:tcPr>
            <w:tcW w:w="0" w:type="auto"/>
            <w:vAlign w:val="center"/>
            <w:hideMark/>
          </w:tcPr>
          <w:p w14:paraId="3BED6227"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3,340</w:t>
            </w:r>
          </w:p>
        </w:tc>
        <w:tc>
          <w:tcPr>
            <w:tcW w:w="0" w:type="auto"/>
            <w:vAlign w:val="center"/>
            <w:hideMark/>
          </w:tcPr>
          <w:p w14:paraId="1CDB3694"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1,991</w:t>
            </w:r>
          </w:p>
        </w:tc>
        <w:tc>
          <w:tcPr>
            <w:tcW w:w="0" w:type="auto"/>
            <w:vAlign w:val="center"/>
            <w:hideMark/>
          </w:tcPr>
          <w:p w14:paraId="20C99F63"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1,375</w:t>
            </w:r>
          </w:p>
        </w:tc>
      </w:tr>
      <w:tr w:rsidR="00CD140C" w:rsidRPr="00CD140C" w14:paraId="3327B780" w14:textId="77777777" w:rsidTr="00CD140C">
        <w:trPr>
          <w:tblCellSpacing w:w="15" w:type="dxa"/>
        </w:trPr>
        <w:tc>
          <w:tcPr>
            <w:tcW w:w="0" w:type="auto"/>
            <w:vAlign w:val="center"/>
            <w:hideMark/>
          </w:tcPr>
          <w:p w14:paraId="483BADA6"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t>September</w:t>
            </w:r>
          </w:p>
        </w:tc>
        <w:tc>
          <w:tcPr>
            <w:tcW w:w="0" w:type="auto"/>
            <w:vAlign w:val="center"/>
            <w:hideMark/>
          </w:tcPr>
          <w:p w14:paraId="34818EF3"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400</w:t>
            </w:r>
          </w:p>
        </w:tc>
        <w:tc>
          <w:tcPr>
            <w:tcW w:w="0" w:type="auto"/>
            <w:vAlign w:val="center"/>
            <w:hideMark/>
          </w:tcPr>
          <w:p w14:paraId="6955CB5A"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1,306</w:t>
            </w:r>
          </w:p>
        </w:tc>
        <w:tc>
          <w:tcPr>
            <w:tcW w:w="0" w:type="auto"/>
            <w:vAlign w:val="center"/>
            <w:hideMark/>
          </w:tcPr>
          <w:p w14:paraId="1B673C0D"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1,474</w:t>
            </w:r>
          </w:p>
        </w:tc>
        <w:tc>
          <w:tcPr>
            <w:tcW w:w="0" w:type="auto"/>
            <w:vAlign w:val="center"/>
            <w:hideMark/>
          </w:tcPr>
          <w:p w14:paraId="627777F7"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1,445</w:t>
            </w:r>
          </w:p>
        </w:tc>
        <w:tc>
          <w:tcPr>
            <w:tcW w:w="0" w:type="auto"/>
            <w:vAlign w:val="center"/>
            <w:hideMark/>
          </w:tcPr>
          <w:p w14:paraId="1C42363E"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935</w:t>
            </w:r>
          </w:p>
        </w:tc>
      </w:tr>
      <w:tr w:rsidR="00CD140C" w:rsidRPr="00CD140C" w14:paraId="60CCE02F" w14:textId="77777777" w:rsidTr="00CD140C">
        <w:trPr>
          <w:tblCellSpacing w:w="15" w:type="dxa"/>
        </w:trPr>
        <w:tc>
          <w:tcPr>
            <w:tcW w:w="0" w:type="auto"/>
            <w:vAlign w:val="center"/>
            <w:hideMark/>
          </w:tcPr>
          <w:p w14:paraId="15B76E36"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t>October</w:t>
            </w:r>
          </w:p>
        </w:tc>
        <w:tc>
          <w:tcPr>
            <w:tcW w:w="0" w:type="auto"/>
            <w:vAlign w:val="center"/>
            <w:hideMark/>
          </w:tcPr>
          <w:p w14:paraId="390BD6BF"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290</w:t>
            </w:r>
          </w:p>
        </w:tc>
        <w:tc>
          <w:tcPr>
            <w:tcW w:w="0" w:type="auto"/>
            <w:vAlign w:val="center"/>
            <w:hideMark/>
          </w:tcPr>
          <w:p w14:paraId="163A4205"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1,180</w:t>
            </w:r>
          </w:p>
        </w:tc>
        <w:tc>
          <w:tcPr>
            <w:tcW w:w="0" w:type="auto"/>
            <w:vAlign w:val="center"/>
            <w:hideMark/>
          </w:tcPr>
          <w:p w14:paraId="54036B1E"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1,738</w:t>
            </w:r>
          </w:p>
        </w:tc>
        <w:tc>
          <w:tcPr>
            <w:tcW w:w="0" w:type="auto"/>
            <w:vAlign w:val="center"/>
            <w:hideMark/>
          </w:tcPr>
          <w:p w14:paraId="22314BAC"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1,297</w:t>
            </w:r>
          </w:p>
        </w:tc>
        <w:tc>
          <w:tcPr>
            <w:tcW w:w="0" w:type="auto"/>
            <w:vAlign w:val="center"/>
            <w:hideMark/>
          </w:tcPr>
          <w:p w14:paraId="5830BCEE"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1,970</w:t>
            </w:r>
          </w:p>
        </w:tc>
      </w:tr>
      <w:tr w:rsidR="00CD140C" w:rsidRPr="00CD140C" w14:paraId="2385FA3D" w14:textId="77777777" w:rsidTr="00CD140C">
        <w:trPr>
          <w:tblCellSpacing w:w="15" w:type="dxa"/>
        </w:trPr>
        <w:tc>
          <w:tcPr>
            <w:tcW w:w="0" w:type="auto"/>
            <w:vAlign w:val="center"/>
            <w:hideMark/>
          </w:tcPr>
          <w:p w14:paraId="2EC1503B"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t>November</w:t>
            </w:r>
          </w:p>
        </w:tc>
        <w:tc>
          <w:tcPr>
            <w:tcW w:w="0" w:type="auto"/>
            <w:vAlign w:val="center"/>
            <w:hideMark/>
          </w:tcPr>
          <w:p w14:paraId="492FA327"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253</w:t>
            </w:r>
          </w:p>
        </w:tc>
        <w:tc>
          <w:tcPr>
            <w:tcW w:w="0" w:type="auto"/>
            <w:vAlign w:val="center"/>
            <w:hideMark/>
          </w:tcPr>
          <w:p w14:paraId="4392E017"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870</w:t>
            </w:r>
          </w:p>
        </w:tc>
        <w:tc>
          <w:tcPr>
            <w:tcW w:w="0" w:type="auto"/>
            <w:vAlign w:val="center"/>
            <w:hideMark/>
          </w:tcPr>
          <w:p w14:paraId="74ABB2C9"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1,436</w:t>
            </w:r>
          </w:p>
        </w:tc>
        <w:tc>
          <w:tcPr>
            <w:tcW w:w="0" w:type="auto"/>
            <w:vAlign w:val="center"/>
            <w:hideMark/>
          </w:tcPr>
          <w:p w14:paraId="79F6C074"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1,021</w:t>
            </w:r>
          </w:p>
        </w:tc>
        <w:tc>
          <w:tcPr>
            <w:tcW w:w="0" w:type="auto"/>
            <w:vAlign w:val="center"/>
            <w:hideMark/>
          </w:tcPr>
          <w:p w14:paraId="0A4210AA"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1,738</w:t>
            </w:r>
          </w:p>
        </w:tc>
      </w:tr>
      <w:tr w:rsidR="00CD140C" w:rsidRPr="00CD140C" w14:paraId="1CA07268" w14:textId="77777777" w:rsidTr="00CD140C">
        <w:trPr>
          <w:tblCellSpacing w:w="15" w:type="dxa"/>
        </w:trPr>
        <w:tc>
          <w:tcPr>
            <w:tcW w:w="0" w:type="auto"/>
            <w:vAlign w:val="center"/>
            <w:hideMark/>
          </w:tcPr>
          <w:p w14:paraId="65DDBDA4"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t>December</w:t>
            </w:r>
          </w:p>
        </w:tc>
        <w:tc>
          <w:tcPr>
            <w:tcW w:w="0" w:type="auto"/>
            <w:vAlign w:val="center"/>
            <w:hideMark/>
          </w:tcPr>
          <w:p w14:paraId="06C1215C"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299</w:t>
            </w:r>
          </w:p>
        </w:tc>
        <w:tc>
          <w:tcPr>
            <w:tcW w:w="0" w:type="auto"/>
            <w:vAlign w:val="center"/>
            <w:hideMark/>
          </w:tcPr>
          <w:p w14:paraId="3A2985A9"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1,126</w:t>
            </w:r>
          </w:p>
        </w:tc>
        <w:tc>
          <w:tcPr>
            <w:tcW w:w="0" w:type="auto"/>
            <w:vAlign w:val="center"/>
            <w:hideMark/>
          </w:tcPr>
          <w:p w14:paraId="65F989EC"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1,327</w:t>
            </w:r>
          </w:p>
        </w:tc>
        <w:tc>
          <w:tcPr>
            <w:tcW w:w="0" w:type="auto"/>
            <w:vAlign w:val="center"/>
            <w:hideMark/>
          </w:tcPr>
          <w:p w14:paraId="312D014C"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1,096</w:t>
            </w:r>
          </w:p>
        </w:tc>
        <w:tc>
          <w:tcPr>
            <w:tcW w:w="0" w:type="auto"/>
            <w:vAlign w:val="center"/>
            <w:hideMark/>
          </w:tcPr>
          <w:p w14:paraId="26977CEE"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sz w:val="20"/>
                <w:szCs w:val="20"/>
              </w:rPr>
              <w:t>1,131</w:t>
            </w:r>
          </w:p>
        </w:tc>
      </w:tr>
      <w:tr w:rsidR="00CD140C" w:rsidRPr="00CD140C" w14:paraId="3DB54268" w14:textId="77777777" w:rsidTr="00CD140C">
        <w:trPr>
          <w:tblCellSpacing w:w="15" w:type="dxa"/>
        </w:trPr>
        <w:tc>
          <w:tcPr>
            <w:tcW w:w="0" w:type="auto"/>
            <w:vAlign w:val="center"/>
            <w:hideMark/>
          </w:tcPr>
          <w:p w14:paraId="5251BF3F" w14:textId="77777777" w:rsidR="00CD140C" w:rsidRPr="00CD140C" w:rsidRDefault="00CD140C" w:rsidP="00CD140C">
            <w:pPr>
              <w:jc w:val="center"/>
              <w:rPr>
                <w:rFonts w:ascii="Times" w:eastAsia="Times New Roman" w:hAnsi="Times" w:cs="Times New Roman"/>
                <w:b/>
                <w:bCs/>
                <w:sz w:val="20"/>
                <w:szCs w:val="20"/>
              </w:rPr>
            </w:pPr>
            <w:r w:rsidRPr="00CD140C">
              <w:rPr>
                <w:rFonts w:ascii="Times" w:eastAsia="Times New Roman" w:hAnsi="Times" w:cs="Times New Roman"/>
                <w:b/>
                <w:bCs/>
                <w:sz w:val="20"/>
                <w:szCs w:val="20"/>
              </w:rPr>
              <w:t>Totals</w:t>
            </w:r>
          </w:p>
        </w:tc>
        <w:tc>
          <w:tcPr>
            <w:tcW w:w="0" w:type="auto"/>
            <w:vAlign w:val="center"/>
            <w:hideMark/>
          </w:tcPr>
          <w:p w14:paraId="2522A7F5"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b/>
                <w:bCs/>
                <w:sz w:val="20"/>
                <w:szCs w:val="20"/>
              </w:rPr>
              <w:t>9,852</w:t>
            </w:r>
          </w:p>
        </w:tc>
        <w:tc>
          <w:tcPr>
            <w:tcW w:w="0" w:type="auto"/>
            <w:vAlign w:val="center"/>
            <w:hideMark/>
          </w:tcPr>
          <w:p w14:paraId="3D923433" w14:textId="77777777" w:rsidR="00CD140C" w:rsidRPr="00CD140C" w:rsidRDefault="00CD140C" w:rsidP="00CD140C">
            <w:pPr>
              <w:rPr>
                <w:rFonts w:ascii="Times" w:eastAsia="Times New Roman" w:hAnsi="Times" w:cs="Times New Roman"/>
                <w:sz w:val="20"/>
                <w:szCs w:val="20"/>
              </w:rPr>
            </w:pPr>
            <w:r w:rsidRPr="00CD140C">
              <w:rPr>
                <w:rFonts w:ascii="Times" w:eastAsia="Times New Roman" w:hAnsi="Times" w:cs="Times New Roman"/>
                <w:b/>
                <w:bCs/>
                <w:sz w:val="20"/>
                <w:szCs w:val="20"/>
              </w:rPr>
              <w:t>17,578</w:t>
            </w:r>
          </w:p>
        </w:tc>
        <w:tc>
          <w:tcPr>
            <w:tcW w:w="0" w:type="auto"/>
            <w:vAlign w:val="center"/>
            <w:hideMark/>
          </w:tcPr>
          <w:p w14:paraId="2CE96C55" w14:textId="77777777" w:rsidR="00CD140C" w:rsidRPr="00CD140C" w:rsidRDefault="00CD140C" w:rsidP="00CD140C">
            <w:pPr>
              <w:rPr>
                <w:rFonts w:ascii="Times New Roman" w:eastAsia="Times New Roman" w:hAnsi="Times New Roman" w:cs="Times New Roman"/>
                <w:sz w:val="20"/>
                <w:szCs w:val="20"/>
              </w:rPr>
            </w:pPr>
          </w:p>
        </w:tc>
        <w:tc>
          <w:tcPr>
            <w:tcW w:w="0" w:type="auto"/>
            <w:vAlign w:val="center"/>
            <w:hideMark/>
          </w:tcPr>
          <w:p w14:paraId="11EDD0A0" w14:textId="77777777" w:rsidR="00CD140C" w:rsidRPr="00CD140C" w:rsidRDefault="00CD140C" w:rsidP="00CD140C">
            <w:pPr>
              <w:rPr>
                <w:rFonts w:ascii="Times New Roman" w:eastAsia="Times New Roman" w:hAnsi="Times New Roman" w:cs="Times New Roman"/>
                <w:sz w:val="20"/>
                <w:szCs w:val="20"/>
              </w:rPr>
            </w:pPr>
          </w:p>
        </w:tc>
        <w:tc>
          <w:tcPr>
            <w:tcW w:w="0" w:type="auto"/>
            <w:vAlign w:val="center"/>
            <w:hideMark/>
          </w:tcPr>
          <w:p w14:paraId="6B693222" w14:textId="77777777" w:rsidR="00CD140C" w:rsidRPr="00CD140C" w:rsidRDefault="00CD140C" w:rsidP="00CD140C">
            <w:pPr>
              <w:rPr>
                <w:rFonts w:ascii="Times New Roman" w:eastAsia="Times New Roman" w:hAnsi="Times New Roman" w:cs="Times New Roman"/>
                <w:sz w:val="20"/>
                <w:szCs w:val="20"/>
              </w:rPr>
            </w:pPr>
          </w:p>
        </w:tc>
      </w:tr>
    </w:tbl>
    <w:p w14:paraId="243CEB92" w14:textId="77777777" w:rsidR="00CD140C" w:rsidRPr="007477C2" w:rsidRDefault="00CD140C" w:rsidP="007477C2">
      <w:pPr>
        <w:spacing w:before="100" w:beforeAutospacing="1" w:after="100" w:afterAutospacing="1"/>
        <w:rPr>
          <w:rFonts w:ascii="Times" w:hAnsi="Times"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510"/>
        <w:gridCol w:w="610"/>
        <w:gridCol w:w="6514"/>
        <w:gridCol w:w="66"/>
        <w:gridCol w:w="81"/>
      </w:tblGrid>
      <w:tr w:rsidR="007477C2" w:rsidRPr="007477C2" w14:paraId="2432F987" w14:textId="77777777">
        <w:trPr>
          <w:tblCellSpacing w:w="15" w:type="dxa"/>
        </w:trPr>
        <w:tc>
          <w:tcPr>
            <w:tcW w:w="0" w:type="auto"/>
            <w:vAlign w:val="center"/>
            <w:hideMark/>
          </w:tcPr>
          <w:p w14:paraId="2DEDE212"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Totals</w:t>
            </w:r>
          </w:p>
        </w:tc>
        <w:tc>
          <w:tcPr>
            <w:tcW w:w="0" w:type="auto"/>
            <w:vAlign w:val="center"/>
            <w:hideMark/>
          </w:tcPr>
          <w:p w14:paraId="1A06A27C"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b/>
                <w:bCs/>
                <w:sz w:val="20"/>
                <w:szCs w:val="20"/>
              </w:rPr>
              <w:t>9,852</w:t>
            </w:r>
          </w:p>
        </w:tc>
        <w:tc>
          <w:tcPr>
            <w:tcW w:w="0" w:type="auto"/>
            <w:vAlign w:val="center"/>
            <w:hideMark/>
          </w:tcPr>
          <w:p w14:paraId="0B942FA3"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b/>
                <w:bCs/>
                <w:sz w:val="20"/>
                <w:szCs w:val="20"/>
              </w:rPr>
              <w:t>17,578</w:t>
            </w:r>
          </w:p>
        </w:tc>
        <w:tc>
          <w:tcPr>
            <w:tcW w:w="0" w:type="auto"/>
            <w:vAlign w:val="center"/>
            <w:hideMark/>
          </w:tcPr>
          <w:p w14:paraId="4EF449B8" w14:textId="77777777" w:rsidR="007477C2" w:rsidRPr="007477C2" w:rsidRDefault="007477C2" w:rsidP="007477C2">
            <w:pPr>
              <w:rPr>
                <w:rFonts w:ascii="Times" w:eastAsia="Times New Roman" w:hAnsi="Times" w:cs="Times New Roman"/>
                <w:sz w:val="20"/>
                <w:szCs w:val="20"/>
              </w:rPr>
            </w:pPr>
            <w:hyperlink r:id="rId6" w:history="1">
              <w:r w:rsidRPr="007477C2">
                <w:rPr>
                  <w:rFonts w:ascii="Times" w:eastAsia="Times New Roman" w:hAnsi="Times" w:cs="Times New Roman"/>
                  <w:color w:val="515180"/>
                  <w:sz w:val="20"/>
                  <w:szCs w:val="20"/>
                  <w:u w:val="single"/>
                </w:rPr>
                <w:t>Database page</w:t>
              </w:r>
            </w:hyperlink>
            <w:r w:rsidRPr="007477C2">
              <w:rPr>
                <w:rFonts w:ascii="Times" w:eastAsia="Times New Roman" w:hAnsi="Times" w:cs="Times New Roman"/>
                <w:sz w:val="20"/>
                <w:szCs w:val="20"/>
              </w:rPr>
              <w:t xml:space="preserve">. </w:t>
            </w:r>
          </w:p>
          <w:p w14:paraId="0CBCF8F4" w14:textId="77777777" w:rsidR="007477C2" w:rsidRPr="007477C2" w:rsidRDefault="007477C2" w:rsidP="007477C2">
            <w:pPr>
              <w:rPr>
                <w:rFonts w:ascii="Verdana" w:eastAsia="Times New Roman" w:hAnsi="Verdana" w:cs="Times New Roman"/>
                <w:sz w:val="16"/>
                <w:szCs w:val="16"/>
              </w:rPr>
            </w:pPr>
          </w:p>
          <w:p w14:paraId="48A76BB4" w14:textId="77777777" w:rsidR="007477C2" w:rsidRPr="007477C2" w:rsidRDefault="007477C2" w:rsidP="007477C2">
            <w:pPr>
              <w:spacing w:before="100" w:beforeAutospacing="1" w:after="100" w:afterAutospacing="1"/>
              <w:outlineLvl w:val="1"/>
              <w:rPr>
                <w:rFonts w:ascii="Times" w:eastAsia="Times New Roman" w:hAnsi="Times" w:cs="Times New Roman"/>
                <w:b/>
                <w:bCs/>
                <w:sz w:val="36"/>
                <w:szCs w:val="36"/>
              </w:rPr>
            </w:pPr>
            <w:r w:rsidRPr="007477C2">
              <w:rPr>
                <w:rFonts w:ascii="Times" w:eastAsia="Times New Roman" w:hAnsi="Times" w:cs="Times New Roman"/>
                <w:b/>
                <w:bCs/>
                <w:sz w:val="36"/>
                <w:szCs w:val="36"/>
              </w:rPr>
              <w:t>2. The civilians killed</w:t>
            </w:r>
          </w:p>
          <w:p w14:paraId="59DBA1AB"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As in other post-2003 years, information that was present for virtually all civilians reported killed in 2016 is the location in which they were killed or their bodies were found. This also holds true for the means by which they were killed, under five broad cause of death categories: executions; air attacks and shelling; suicide attacks; other improvised explosive devices (IEDs); 3 and gunfire not involving execution. Perpetrators, by contrast, were unknown for about one in every four civilians killed in 2016. Along with information on the time, location, cause of death and perpetrators, IBC collects demographic information on the victims themselves, including such identifying information as is available. 4 </w:t>
            </w:r>
          </w:p>
          <w:p w14:paraId="59D60FAF"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3 Non-suicide IEDs are ground-based bomb attacks such as e.g. roadside and remotely-triggerd or magnetic car bombs (etc.) </w:t>
            </w:r>
          </w:p>
          <w:p w14:paraId="0424A25E"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4 IBC's </w:t>
            </w:r>
            <w:hyperlink r:id="rId7" w:history="1">
              <w:r w:rsidRPr="007477C2">
                <w:rPr>
                  <w:rFonts w:ascii="Times" w:hAnsi="Times" w:cs="Times New Roman"/>
                  <w:color w:val="0000FF"/>
                  <w:sz w:val="20"/>
                  <w:szCs w:val="20"/>
                  <w:u w:val="single"/>
                </w:rPr>
                <w:t>Methods pages</w:t>
              </w:r>
            </w:hyperlink>
            <w:r w:rsidRPr="007477C2">
              <w:rPr>
                <w:rFonts w:ascii="Times" w:hAnsi="Times" w:cs="Times New Roman"/>
                <w:sz w:val="20"/>
                <w:szCs w:val="20"/>
              </w:rPr>
              <w:t xml:space="preserve"> lists other data variables collected. </w:t>
            </w:r>
          </w:p>
          <w:p w14:paraId="0C7591F2"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5</w:t>
            </w:r>
            <w:hyperlink r:id="rId8" w:history="1">
              <w:r w:rsidRPr="007477C2">
                <w:rPr>
                  <w:rFonts w:ascii="Times" w:hAnsi="Times" w:cs="Times New Roman"/>
                  <w:color w:val="0000FF"/>
                  <w:sz w:val="20"/>
                  <w:szCs w:val="20"/>
                  <w:u w:val="single"/>
                </w:rPr>
                <w:t>Lest we forget</w:t>
              </w:r>
            </w:hyperlink>
            <w:r w:rsidRPr="007477C2">
              <w:rPr>
                <w:rFonts w:ascii="Times" w:hAnsi="Times" w:cs="Times New Roman"/>
                <w:sz w:val="20"/>
                <w:szCs w:val="20"/>
              </w:rPr>
              <w:t xml:space="preserve"> (30 Dec 2016) and Iraq Digital Memorial (</w:t>
            </w:r>
            <w:hyperlink r:id="rId9" w:history="1">
              <w:r w:rsidRPr="007477C2">
                <w:rPr>
                  <w:rFonts w:ascii="Times" w:hAnsi="Times" w:cs="Times New Roman"/>
                  <w:color w:val="0000FF"/>
                  <w:sz w:val="20"/>
                  <w:szCs w:val="20"/>
                  <w:u w:val="single"/>
                </w:rPr>
                <w:t>Announcement</w:t>
              </w:r>
            </w:hyperlink>
            <w:r w:rsidRPr="007477C2">
              <w:rPr>
                <w:rFonts w:ascii="Times" w:hAnsi="Times" w:cs="Times New Roman"/>
                <w:sz w:val="20"/>
                <w:szCs w:val="20"/>
              </w:rPr>
              <w:t xml:space="preserve"> and </w:t>
            </w:r>
            <w:hyperlink r:id="rId10" w:history="1">
              <w:r w:rsidRPr="007477C2">
                <w:rPr>
                  <w:rFonts w:ascii="Times" w:hAnsi="Times" w:cs="Times New Roman"/>
                  <w:color w:val="0000FF"/>
                  <w:sz w:val="20"/>
                  <w:szCs w:val="20"/>
                  <w:u w:val="single"/>
                </w:rPr>
                <w:t>Facebook page</w:t>
              </w:r>
            </w:hyperlink>
            <w:r w:rsidRPr="007477C2">
              <w:rPr>
                <w:rFonts w:ascii="Times" w:hAnsi="Times" w:cs="Times New Roman"/>
                <w:sz w:val="20"/>
                <w:szCs w:val="20"/>
              </w:rPr>
              <w:t xml:space="preserve">). </w:t>
            </w:r>
          </w:p>
          <w:p w14:paraId="156CA152"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Any serious public documentation of civilians killed will aim to record them as named individuals, as part of a record that establishes </w:t>
            </w:r>
            <w:r w:rsidRPr="007477C2">
              <w:rPr>
                <w:rFonts w:ascii="Times" w:hAnsi="Times" w:cs="Times New Roman"/>
                <w:i/>
                <w:iCs/>
                <w:sz w:val="20"/>
                <w:szCs w:val="20"/>
              </w:rPr>
              <w:t>who</w:t>
            </w:r>
            <w:r w:rsidRPr="007477C2">
              <w:rPr>
                <w:rFonts w:ascii="Times" w:hAnsi="Times" w:cs="Times New Roman"/>
                <w:sz w:val="20"/>
                <w:szCs w:val="20"/>
              </w:rPr>
              <w:t xml:space="preserve"> was killed, not just how many. A recently-published companion piece to this report lists by name a sample of the individual victims in 2016 for whom further personal information has been made public, including in some cases photographs. This reflects our long-term goal to more fully humanise the victims of the war, through the forthcoming Iraq Digital Memorial project. IBC's </w:t>
            </w:r>
            <w:hyperlink r:id="rId11" w:history="1">
              <w:r w:rsidRPr="007477C2">
                <w:rPr>
                  <w:rFonts w:ascii="Times" w:hAnsi="Times" w:cs="Times New Roman"/>
                  <w:color w:val="0000FF"/>
                  <w:sz w:val="20"/>
                  <w:szCs w:val="20"/>
                  <w:u w:val="single"/>
                </w:rPr>
                <w:t>identified victims list</w:t>
              </w:r>
            </w:hyperlink>
            <w:r w:rsidRPr="007477C2">
              <w:rPr>
                <w:rFonts w:ascii="Times" w:hAnsi="Times" w:cs="Times New Roman"/>
                <w:sz w:val="20"/>
                <w:szCs w:val="20"/>
              </w:rPr>
              <w:t xml:space="preserve"> now spans more than 500 pages listing 25 individuals each, fewer than 10% of the deaths IBC has recorded.5 </w:t>
            </w:r>
          </w:p>
          <w:p w14:paraId="0375874E"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It compounds Iraq's tragic situation that detailed demographic (and particularly individualising) information is only available for so few of the victims whose deaths are reported. Information on the age and gender of victims, and how and by whom they were killed, can be of particular value in identifying the specific patterns of harm targeting these demographics. This makes it all the more important that what information is available is collected and analysed to the extent possible, even if some analyses are necessarily limited to a subset of victims. </w:t>
            </w:r>
          </w:p>
          <w:p w14:paraId="4ED47DDF" w14:textId="77777777" w:rsidR="007477C2" w:rsidRPr="007477C2" w:rsidRDefault="007477C2" w:rsidP="007477C2">
            <w:pPr>
              <w:spacing w:before="100" w:beforeAutospacing="1" w:after="100" w:afterAutospacing="1"/>
              <w:outlineLvl w:val="2"/>
              <w:rPr>
                <w:rFonts w:ascii="Times" w:eastAsia="Times New Roman" w:hAnsi="Times" w:cs="Times New Roman"/>
                <w:b/>
                <w:bCs/>
                <w:sz w:val="27"/>
                <w:szCs w:val="27"/>
              </w:rPr>
            </w:pPr>
            <w:r w:rsidRPr="007477C2">
              <w:rPr>
                <w:rFonts w:ascii="Times" w:eastAsia="Times New Roman" w:hAnsi="Times" w:cs="Times New Roman"/>
                <w:b/>
                <w:bCs/>
                <w:sz w:val="27"/>
                <w:szCs w:val="27"/>
              </w:rPr>
              <w:t>2.1 Victim demographics</w:t>
            </w:r>
          </w:p>
          <w:p w14:paraId="48EDB93D"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16,393 deaths were recorded for 2016, and among these victims 6,539 could be </w:t>
            </w:r>
            <w:r w:rsidRPr="007477C2">
              <w:rPr>
                <w:rFonts w:ascii="Times" w:hAnsi="Times" w:cs="Times New Roman"/>
                <w:sz w:val="20"/>
                <w:szCs w:val="20"/>
              </w:rPr>
              <w:lastRenderedPageBreak/>
              <w:t xml:space="preserve">identified as men, women, or children (defined as aged 17 and below). Of this number, </w:t>
            </w:r>
          </w:p>
          <w:p w14:paraId="62E84235" w14:textId="77777777" w:rsidR="007477C2" w:rsidRPr="007477C2" w:rsidRDefault="007477C2" w:rsidP="007477C2">
            <w:pPr>
              <w:numPr>
                <w:ilvl w:val="0"/>
                <w:numId w:val="2"/>
              </w:numPr>
              <w:spacing w:before="100" w:beforeAutospacing="1" w:after="100" w:afterAutospacing="1"/>
              <w:rPr>
                <w:rFonts w:ascii="Times" w:eastAsia="Times New Roman" w:hAnsi="Times" w:cs="Times New Roman"/>
                <w:sz w:val="20"/>
                <w:szCs w:val="20"/>
              </w:rPr>
            </w:pPr>
            <w:r w:rsidRPr="007477C2">
              <w:rPr>
                <w:rFonts w:ascii="Times" w:eastAsia="Times New Roman" w:hAnsi="Times" w:cs="Times New Roman"/>
                <w:sz w:val="20"/>
                <w:szCs w:val="20"/>
              </w:rPr>
              <w:t xml:space="preserve">5,008 (77%) were men; </w:t>
            </w:r>
          </w:p>
          <w:p w14:paraId="0340DE6C" w14:textId="77777777" w:rsidR="007477C2" w:rsidRPr="007477C2" w:rsidRDefault="007477C2" w:rsidP="007477C2">
            <w:pPr>
              <w:numPr>
                <w:ilvl w:val="0"/>
                <w:numId w:val="2"/>
              </w:numPr>
              <w:spacing w:before="100" w:beforeAutospacing="1" w:after="100" w:afterAutospacing="1"/>
              <w:rPr>
                <w:rFonts w:ascii="Times" w:eastAsia="Times New Roman" w:hAnsi="Times" w:cs="Times New Roman"/>
                <w:sz w:val="20"/>
                <w:szCs w:val="20"/>
              </w:rPr>
            </w:pPr>
            <w:r w:rsidRPr="007477C2">
              <w:rPr>
                <w:rFonts w:ascii="Times" w:eastAsia="Times New Roman" w:hAnsi="Times" w:cs="Times New Roman"/>
                <w:sz w:val="20"/>
                <w:szCs w:val="20"/>
              </w:rPr>
              <w:t xml:space="preserve">729 (11%) were women; </w:t>
            </w:r>
          </w:p>
          <w:p w14:paraId="6AA18FAD" w14:textId="77777777" w:rsidR="007477C2" w:rsidRPr="007477C2" w:rsidRDefault="007477C2" w:rsidP="007477C2">
            <w:pPr>
              <w:numPr>
                <w:ilvl w:val="0"/>
                <w:numId w:val="2"/>
              </w:numPr>
              <w:spacing w:before="100" w:beforeAutospacing="1" w:after="100" w:afterAutospacing="1"/>
              <w:rPr>
                <w:rFonts w:ascii="Times" w:eastAsia="Times New Roman" w:hAnsi="Times" w:cs="Times New Roman"/>
                <w:sz w:val="20"/>
                <w:szCs w:val="20"/>
              </w:rPr>
            </w:pPr>
            <w:r w:rsidRPr="007477C2">
              <w:rPr>
                <w:rFonts w:ascii="Times" w:eastAsia="Times New Roman" w:hAnsi="Times" w:cs="Times New Roman"/>
                <w:sz w:val="20"/>
                <w:szCs w:val="20"/>
              </w:rPr>
              <w:t xml:space="preserve">and 802 (12%) were children. </w:t>
            </w:r>
          </w:p>
          <w:p w14:paraId="5311D3C3"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The demographic presence among civilian deaths of roughly 80% men, and 10% each of women and children, for deaths from all causes and perpetrators, has been fairly typical of the conflict since 2003. (Comparable figures for 2014 and 2015 are presented in Table 2.) These proportions do not hold across different weapons and perpetrators, however, as we show in sections 2.2.1 and 2.3.1 below. </w:t>
            </w:r>
          </w:p>
          <w:tbl>
            <w:tblPr>
              <w:tblW w:w="3500" w:type="pct"/>
              <w:tblCellSpacing w:w="15" w:type="dxa"/>
              <w:tblCellMar>
                <w:top w:w="15" w:type="dxa"/>
                <w:left w:w="15" w:type="dxa"/>
                <w:bottom w:w="15" w:type="dxa"/>
                <w:right w:w="15" w:type="dxa"/>
              </w:tblCellMar>
              <w:tblLook w:val="04A0" w:firstRow="1" w:lastRow="0" w:firstColumn="1" w:lastColumn="0" w:noHBand="0" w:noVBand="1"/>
            </w:tblPr>
            <w:tblGrid>
              <w:gridCol w:w="493"/>
              <w:gridCol w:w="874"/>
              <w:gridCol w:w="874"/>
              <w:gridCol w:w="745"/>
              <w:gridCol w:w="745"/>
              <w:gridCol w:w="787"/>
            </w:tblGrid>
            <w:tr w:rsidR="007477C2" w:rsidRPr="007477C2" w14:paraId="0A50B250" w14:textId="77777777" w:rsidTr="007477C2">
              <w:trPr>
                <w:tblCellSpacing w:w="15" w:type="dxa"/>
              </w:trPr>
              <w:tc>
                <w:tcPr>
                  <w:tcW w:w="0" w:type="auto"/>
                  <w:gridSpan w:val="6"/>
                  <w:tcBorders>
                    <w:top w:val="nil"/>
                    <w:left w:val="nil"/>
                    <w:bottom w:val="nil"/>
                    <w:right w:val="nil"/>
                  </w:tcBorders>
                  <w:vAlign w:val="center"/>
                  <w:hideMark/>
                </w:tcPr>
                <w:p w14:paraId="6DF5D09B" w14:textId="77777777" w:rsidR="007477C2" w:rsidRPr="007477C2" w:rsidRDefault="007477C2" w:rsidP="007477C2">
                  <w:pPr>
                    <w:jc w:val="center"/>
                    <w:rPr>
                      <w:rFonts w:ascii="Times" w:eastAsia="Times New Roman" w:hAnsi="Times" w:cs="Times New Roman"/>
                      <w:sz w:val="20"/>
                      <w:szCs w:val="20"/>
                    </w:rPr>
                  </w:pPr>
                  <w:r w:rsidRPr="007477C2">
                    <w:rPr>
                      <w:rFonts w:ascii="Times" w:eastAsia="Times New Roman" w:hAnsi="Times" w:cs="Times New Roman"/>
                      <w:sz w:val="20"/>
                      <w:szCs w:val="20"/>
                    </w:rPr>
                    <w:t xml:space="preserve">Table 2. Annual victims identified as men, women or children, from all causes of death and perpetrators, 2014–2016. </w:t>
                  </w:r>
                </w:p>
              </w:tc>
            </w:tr>
            <w:tr w:rsidR="007477C2" w:rsidRPr="007477C2" w14:paraId="28C808FE" w14:textId="77777777" w:rsidTr="007477C2">
              <w:trPr>
                <w:tblCellSpacing w:w="15" w:type="dxa"/>
              </w:trPr>
              <w:tc>
                <w:tcPr>
                  <w:tcW w:w="450" w:type="pct"/>
                  <w:vAlign w:val="center"/>
                  <w:hideMark/>
                </w:tcPr>
                <w:p w14:paraId="54D55F08" w14:textId="77777777" w:rsidR="007477C2" w:rsidRPr="007477C2" w:rsidRDefault="007477C2" w:rsidP="007477C2">
                  <w:pPr>
                    <w:jc w:val="center"/>
                    <w:rPr>
                      <w:rFonts w:ascii="Times" w:eastAsia="Times New Roman" w:hAnsi="Times" w:cs="Times New Roman"/>
                      <w:b/>
                      <w:bCs/>
                      <w:sz w:val="20"/>
                      <w:szCs w:val="20"/>
                    </w:rPr>
                  </w:pPr>
                </w:p>
              </w:tc>
              <w:tc>
                <w:tcPr>
                  <w:tcW w:w="1000" w:type="pct"/>
                  <w:vAlign w:val="center"/>
                  <w:hideMark/>
                </w:tcPr>
                <w:p w14:paraId="18ABAA0C"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Victim records</w:t>
                  </w:r>
                </w:p>
              </w:tc>
              <w:tc>
                <w:tcPr>
                  <w:tcW w:w="1000" w:type="pct"/>
                  <w:vAlign w:val="center"/>
                  <w:hideMark/>
                </w:tcPr>
                <w:p w14:paraId="0CA756AB"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identified as men, women, children</w:t>
                  </w:r>
                </w:p>
              </w:tc>
              <w:tc>
                <w:tcPr>
                  <w:tcW w:w="850" w:type="pct"/>
                  <w:vAlign w:val="center"/>
                  <w:hideMark/>
                </w:tcPr>
                <w:p w14:paraId="0AB49C77"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 xml:space="preserve">of whom </w:t>
                  </w:r>
                  <w:r w:rsidRPr="007477C2">
                    <w:rPr>
                      <w:rFonts w:ascii="Times" w:eastAsia="Times New Roman" w:hAnsi="Times" w:cs="Times New Roman"/>
                      <w:b/>
                      <w:bCs/>
                      <w:sz w:val="20"/>
                      <w:szCs w:val="20"/>
                    </w:rPr>
                    <w:br/>
                    <w:t>men</w:t>
                  </w:r>
                </w:p>
              </w:tc>
              <w:tc>
                <w:tcPr>
                  <w:tcW w:w="850" w:type="pct"/>
                  <w:vAlign w:val="center"/>
                  <w:hideMark/>
                </w:tcPr>
                <w:p w14:paraId="4DE33980"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of whom women</w:t>
                  </w:r>
                </w:p>
              </w:tc>
              <w:tc>
                <w:tcPr>
                  <w:tcW w:w="850" w:type="pct"/>
                  <w:vAlign w:val="center"/>
                  <w:hideMark/>
                </w:tcPr>
                <w:p w14:paraId="2121CD27"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of whom children</w:t>
                  </w:r>
                </w:p>
              </w:tc>
            </w:tr>
            <w:tr w:rsidR="007477C2" w:rsidRPr="007477C2" w14:paraId="2CD4A78F" w14:textId="77777777" w:rsidTr="007477C2">
              <w:trPr>
                <w:tblCellSpacing w:w="15" w:type="dxa"/>
              </w:trPr>
              <w:tc>
                <w:tcPr>
                  <w:tcW w:w="0" w:type="auto"/>
                  <w:tcMar>
                    <w:top w:w="24" w:type="dxa"/>
                    <w:left w:w="24" w:type="dxa"/>
                    <w:bottom w:w="24" w:type="dxa"/>
                    <w:right w:w="24" w:type="dxa"/>
                  </w:tcMar>
                  <w:vAlign w:val="center"/>
                  <w:hideMark/>
                </w:tcPr>
                <w:p w14:paraId="1D0DB81D"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2014</w:t>
                  </w:r>
                </w:p>
              </w:tc>
              <w:tc>
                <w:tcPr>
                  <w:tcW w:w="0" w:type="auto"/>
                  <w:tcMar>
                    <w:top w:w="24" w:type="dxa"/>
                    <w:left w:w="24" w:type="dxa"/>
                    <w:bottom w:w="24" w:type="dxa"/>
                    <w:right w:w="24" w:type="dxa"/>
                  </w:tcMar>
                  <w:vAlign w:val="center"/>
                  <w:hideMark/>
                </w:tcPr>
                <w:p w14:paraId="325D0116" w14:textId="77777777" w:rsidR="007477C2" w:rsidRPr="007477C2" w:rsidRDefault="007477C2" w:rsidP="007477C2">
                  <w:pPr>
                    <w:jc w:val="right"/>
                    <w:rPr>
                      <w:rFonts w:ascii="Times" w:eastAsia="Times New Roman" w:hAnsi="Times" w:cs="Times New Roman"/>
                      <w:sz w:val="20"/>
                      <w:szCs w:val="20"/>
                    </w:rPr>
                  </w:pPr>
                  <w:r w:rsidRPr="007477C2">
                    <w:rPr>
                      <w:rFonts w:ascii="Times" w:eastAsia="Times New Roman" w:hAnsi="Times" w:cs="Times New Roman"/>
                      <w:sz w:val="20"/>
                      <w:szCs w:val="20"/>
                    </w:rPr>
                    <w:t>20,218</w:t>
                  </w:r>
                </w:p>
              </w:tc>
              <w:tc>
                <w:tcPr>
                  <w:tcW w:w="0" w:type="auto"/>
                  <w:tcMar>
                    <w:top w:w="24" w:type="dxa"/>
                    <w:left w:w="24" w:type="dxa"/>
                    <w:bottom w:w="24" w:type="dxa"/>
                    <w:right w:w="24" w:type="dxa"/>
                  </w:tcMar>
                  <w:vAlign w:val="center"/>
                  <w:hideMark/>
                </w:tcPr>
                <w:p w14:paraId="34FF6696" w14:textId="77777777" w:rsidR="007477C2" w:rsidRPr="007477C2" w:rsidRDefault="007477C2" w:rsidP="007477C2">
                  <w:pPr>
                    <w:jc w:val="right"/>
                    <w:rPr>
                      <w:rFonts w:ascii="Times" w:eastAsia="Times New Roman" w:hAnsi="Times" w:cs="Times New Roman"/>
                      <w:sz w:val="20"/>
                      <w:szCs w:val="20"/>
                    </w:rPr>
                  </w:pPr>
                  <w:r w:rsidRPr="007477C2">
                    <w:rPr>
                      <w:rFonts w:ascii="Times" w:eastAsia="Times New Roman" w:hAnsi="Times" w:cs="Times New Roman"/>
                      <w:sz w:val="20"/>
                      <w:szCs w:val="20"/>
                    </w:rPr>
                    <w:t xml:space="preserve">9,797 (48% ) </w:t>
                  </w:r>
                </w:p>
              </w:tc>
              <w:tc>
                <w:tcPr>
                  <w:tcW w:w="0" w:type="auto"/>
                  <w:tcMar>
                    <w:top w:w="24" w:type="dxa"/>
                    <w:left w:w="24" w:type="dxa"/>
                    <w:bottom w:w="24" w:type="dxa"/>
                    <w:right w:w="24" w:type="dxa"/>
                  </w:tcMar>
                  <w:vAlign w:val="center"/>
                  <w:hideMark/>
                </w:tcPr>
                <w:p w14:paraId="450F47CE" w14:textId="77777777" w:rsidR="007477C2" w:rsidRPr="007477C2" w:rsidRDefault="007477C2" w:rsidP="007477C2">
                  <w:pPr>
                    <w:jc w:val="right"/>
                    <w:rPr>
                      <w:rFonts w:ascii="Times" w:eastAsia="Times New Roman" w:hAnsi="Times" w:cs="Times New Roman"/>
                      <w:sz w:val="20"/>
                      <w:szCs w:val="20"/>
                    </w:rPr>
                  </w:pPr>
                  <w:r w:rsidRPr="007477C2">
                    <w:rPr>
                      <w:rFonts w:ascii="Times" w:eastAsia="Times New Roman" w:hAnsi="Times" w:cs="Times New Roman"/>
                      <w:sz w:val="20"/>
                      <w:szCs w:val="20"/>
                    </w:rPr>
                    <w:t xml:space="preserve">7,977 (81%) </w:t>
                  </w:r>
                </w:p>
              </w:tc>
              <w:tc>
                <w:tcPr>
                  <w:tcW w:w="0" w:type="auto"/>
                  <w:tcMar>
                    <w:top w:w="24" w:type="dxa"/>
                    <w:left w:w="24" w:type="dxa"/>
                    <w:bottom w:w="24" w:type="dxa"/>
                    <w:right w:w="24" w:type="dxa"/>
                  </w:tcMar>
                  <w:vAlign w:val="center"/>
                  <w:hideMark/>
                </w:tcPr>
                <w:p w14:paraId="76429654" w14:textId="77777777" w:rsidR="007477C2" w:rsidRPr="007477C2" w:rsidRDefault="007477C2" w:rsidP="007477C2">
                  <w:pPr>
                    <w:jc w:val="right"/>
                    <w:rPr>
                      <w:rFonts w:ascii="Times" w:eastAsia="Times New Roman" w:hAnsi="Times" w:cs="Times New Roman"/>
                      <w:sz w:val="20"/>
                      <w:szCs w:val="20"/>
                    </w:rPr>
                  </w:pPr>
                  <w:r w:rsidRPr="007477C2">
                    <w:rPr>
                      <w:rFonts w:ascii="Times" w:eastAsia="Times New Roman" w:hAnsi="Times" w:cs="Times New Roman"/>
                      <w:sz w:val="20"/>
                      <w:szCs w:val="20"/>
                    </w:rPr>
                    <w:t xml:space="preserve">1,003 (10%) </w:t>
                  </w:r>
                </w:p>
              </w:tc>
              <w:tc>
                <w:tcPr>
                  <w:tcW w:w="0" w:type="auto"/>
                  <w:tcMar>
                    <w:top w:w="24" w:type="dxa"/>
                    <w:left w:w="24" w:type="dxa"/>
                    <w:bottom w:w="24" w:type="dxa"/>
                    <w:right w:w="24" w:type="dxa"/>
                  </w:tcMar>
                  <w:vAlign w:val="center"/>
                  <w:hideMark/>
                </w:tcPr>
                <w:p w14:paraId="738E1551" w14:textId="77777777" w:rsidR="007477C2" w:rsidRPr="007477C2" w:rsidRDefault="007477C2" w:rsidP="007477C2">
                  <w:pPr>
                    <w:jc w:val="right"/>
                    <w:rPr>
                      <w:rFonts w:ascii="Times" w:eastAsia="Times New Roman" w:hAnsi="Times" w:cs="Times New Roman"/>
                      <w:sz w:val="20"/>
                      <w:szCs w:val="20"/>
                    </w:rPr>
                  </w:pPr>
                  <w:r w:rsidRPr="007477C2">
                    <w:rPr>
                      <w:rFonts w:ascii="Times" w:eastAsia="Times New Roman" w:hAnsi="Times" w:cs="Times New Roman"/>
                      <w:sz w:val="20"/>
                      <w:szCs w:val="20"/>
                    </w:rPr>
                    <w:t xml:space="preserve">817 ( 8%) </w:t>
                  </w:r>
                </w:p>
              </w:tc>
            </w:tr>
            <w:tr w:rsidR="007477C2" w:rsidRPr="007477C2" w14:paraId="6AB32A1F" w14:textId="77777777" w:rsidTr="007477C2">
              <w:trPr>
                <w:tblCellSpacing w:w="15" w:type="dxa"/>
              </w:trPr>
              <w:tc>
                <w:tcPr>
                  <w:tcW w:w="0" w:type="auto"/>
                  <w:tcMar>
                    <w:top w:w="24" w:type="dxa"/>
                    <w:left w:w="24" w:type="dxa"/>
                    <w:bottom w:w="24" w:type="dxa"/>
                    <w:right w:w="24" w:type="dxa"/>
                  </w:tcMar>
                  <w:vAlign w:val="center"/>
                  <w:hideMark/>
                </w:tcPr>
                <w:p w14:paraId="752CD869"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2015</w:t>
                  </w:r>
                </w:p>
              </w:tc>
              <w:tc>
                <w:tcPr>
                  <w:tcW w:w="0" w:type="auto"/>
                  <w:tcMar>
                    <w:top w:w="24" w:type="dxa"/>
                    <w:left w:w="24" w:type="dxa"/>
                    <w:bottom w:w="24" w:type="dxa"/>
                    <w:right w:w="24" w:type="dxa"/>
                  </w:tcMar>
                  <w:vAlign w:val="center"/>
                  <w:hideMark/>
                </w:tcPr>
                <w:p w14:paraId="54772E94" w14:textId="77777777" w:rsidR="007477C2" w:rsidRPr="007477C2" w:rsidRDefault="007477C2" w:rsidP="007477C2">
                  <w:pPr>
                    <w:jc w:val="right"/>
                    <w:rPr>
                      <w:rFonts w:ascii="Times" w:eastAsia="Times New Roman" w:hAnsi="Times" w:cs="Times New Roman"/>
                      <w:sz w:val="20"/>
                      <w:szCs w:val="20"/>
                    </w:rPr>
                  </w:pPr>
                  <w:r w:rsidRPr="007477C2">
                    <w:rPr>
                      <w:rFonts w:ascii="Times" w:eastAsia="Times New Roman" w:hAnsi="Times" w:cs="Times New Roman"/>
                      <w:sz w:val="20"/>
                      <w:szCs w:val="20"/>
                    </w:rPr>
                    <w:t>17,578</w:t>
                  </w:r>
                </w:p>
              </w:tc>
              <w:tc>
                <w:tcPr>
                  <w:tcW w:w="0" w:type="auto"/>
                  <w:tcMar>
                    <w:top w:w="24" w:type="dxa"/>
                    <w:left w:w="24" w:type="dxa"/>
                    <w:bottom w:w="24" w:type="dxa"/>
                    <w:right w:w="24" w:type="dxa"/>
                  </w:tcMar>
                  <w:vAlign w:val="center"/>
                  <w:hideMark/>
                </w:tcPr>
                <w:p w14:paraId="7B42B61C" w14:textId="77777777" w:rsidR="007477C2" w:rsidRPr="007477C2" w:rsidRDefault="007477C2" w:rsidP="007477C2">
                  <w:pPr>
                    <w:jc w:val="right"/>
                    <w:rPr>
                      <w:rFonts w:ascii="Times" w:eastAsia="Times New Roman" w:hAnsi="Times" w:cs="Times New Roman"/>
                      <w:sz w:val="20"/>
                      <w:szCs w:val="20"/>
                    </w:rPr>
                  </w:pPr>
                  <w:r w:rsidRPr="007477C2">
                    <w:rPr>
                      <w:rFonts w:ascii="Times" w:eastAsia="Times New Roman" w:hAnsi="Times" w:cs="Times New Roman"/>
                      <w:sz w:val="20"/>
                      <w:szCs w:val="20"/>
                    </w:rPr>
                    <w:t xml:space="preserve">7,740 (44% ) </w:t>
                  </w:r>
                </w:p>
              </w:tc>
              <w:tc>
                <w:tcPr>
                  <w:tcW w:w="0" w:type="auto"/>
                  <w:tcMar>
                    <w:top w:w="24" w:type="dxa"/>
                    <w:left w:w="24" w:type="dxa"/>
                    <w:bottom w:w="24" w:type="dxa"/>
                    <w:right w:w="24" w:type="dxa"/>
                  </w:tcMar>
                  <w:vAlign w:val="center"/>
                  <w:hideMark/>
                </w:tcPr>
                <w:p w14:paraId="495141EA" w14:textId="77777777" w:rsidR="007477C2" w:rsidRPr="007477C2" w:rsidRDefault="007477C2" w:rsidP="007477C2">
                  <w:pPr>
                    <w:jc w:val="right"/>
                    <w:rPr>
                      <w:rFonts w:ascii="Times" w:eastAsia="Times New Roman" w:hAnsi="Times" w:cs="Times New Roman"/>
                      <w:sz w:val="20"/>
                      <w:szCs w:val="20"/>
                    </w:rPr>
                  </w:pPr>
                  <w:r w:rsidRPr="007477C2">
                    <w:rPr>
                      <w:rFonts w:ascii="Times" w:eastAsia="Times New Roman" w:hAnsi="Times" w:cs="Times New Roman"/>
                      <w:sz w:val="20"/>
                      <w:szCs w:val="20"/>
                    </w:rPr>
                    <w:t xml:space="preserve">6,062 (78%) </w:t>
                  </w:r>
                </w:p>
              </w:tc>
              <w:tc>
                <w:tcPr>
                  <w:tcW w:w="0" w:type="auto"/>
                  <w:tcMar>
                    <w:top w:w="24" w:type="dxa"/>
                    <w:left w:w="24" w:type="dxa"/>
                    <w:bottom w:w="24" w:type="dxa"/>
                    <w:right w:w="24" w:type="dxa"/>
                  </w:tcMar>
                  <w:vAlign w:val="center"/>
                  <w:hideMark/>
                </w:tcPr>
                <w:p w14:paraId="4D5A7DA8" w14:textId="77777777" w:rsidR="007477C2" w:rsidRPr="007477C2" w:rsidRDefault="007477C2" w:rsidP="007477C2">
                  <w:pPr>
                    <w:jc w:val="right"/>
                    <w:rPr>
                      <w:rFonts w:ascii="Times" w:eastAsia="Times New Roman" w:hAnsi="Times" w:cs="Times New Roman"/>
                      <w:sz w:val="20"/>
                      <w:szCs w:val="20"/>
                    </w:rPr>
                  </w:pPr>
                  <w:r w:rsidRPr="007477C2">
                    <w:rPr>
                      <w:rFonts w:ascii="Times" w:eastAsia="Times New Roman" w:hAnsi="Times" w:cs="Times New Roman"/>
                      <w:sz w:val="20"/>
                      <w:szCs w:val="20"/>
                    </w:rPr>
                    <w:t xml:space="preserve">934 (12%) </w:t>
                  </w:r>
                </w:p>
              </w:tc>
              <w:tc>
                <w:tcPr>
                  <w:tcW w:w="0" w:type="auto"/>
                  <w:tcMar>
                    <w:top w:w="24" w:type="dxa"/>
                    <w:left w:w="24" w:type="dxa"/>
                    <w:bottom w:w="24" w:type="dxa"/>
                    <w:right w:w="24" w:type="dxa"/>
                  </w:tcMar>
                  <w:vAlign w:val="center"/>
                  <w:hideMark/>
                </w:tcPr>
                <w:p w14:paraId="23937318" w14:textId="77777777" w:rsidR="007477C2" w:rsidRPr="007477C2" w:rsidRDefault="007477C2" w:rsidP="007477C2">
                  <w:pPr>
                    <w:jc w:val="right"/>
                    <w:rPr>
                      <w:rFonts w:ascii="Times" w:eastAsia="Times New Roman" w:hAnsi="Times" w:cs="Times New Roman"/>
                      <w:sz w:val="20"/>
                      <w:szCs w:val="20"/>
                    </w:rPr>
                  </w:pPr>
                  <w:r w:rsidRPr="007477C2">
                    <w:rPr>
                      <w:rFonts w:ascii="Times" w:eastAsia="Times New Roman" w:hAnsi="Times" w:cs="Times New Roman"/>
                      <w:sz w:val="20"/>
                      <w:szCs w:val="20"/>
                    </w:rPr>
                    <w:t xml:space="preserve">744 (10%) </w:t>
                  </w:r>
                </w:p>
              </w:tc>
            </w:tr>
            <w:tr w:rsidR="007477C2" w:rsidRPr="007477C2" w14:paraId="297D7271" w14:textId="77777777" w:rsidTr="007477C2">
              <w:trPr>
                <w:tblCellSpacing w:w="15" w:type="dxa"/>
              </w:trPr>
              <w:tc>
                <w:tcPr>
                  <w:tcW w:w="0" w:type="auto"/>
                  <w:tcMar>
                    <w:top w:w="24" w:type="dxa"/>
                    <w:left w:w="24" w:type="dxa"/>
                    <w:bottom w:w="24" w:type="dxa"/>
                    <w:right w:w="24" w:type="dxa"/>
                  </w:tcMar>
                  <w:vAlign w:val="center"/>
                  <w:hideMark/>
                </w:tcPr>
                <w:p w14:paraId="7663CF42"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2016</w:t>
                  </w:r>
                </w:p>
              </w:tc>
              <w:tc>
                <w:tcPr>
                  <w:tcW w:w="0" w:type="auto"/>
                  <w:tcMar>
                    <w:top w:w="24" w:type="dxa"/>
                    <w:left w:w="24" w:type="dxa"/>
                    <w:bottom w:w="24" w:type="dxa"/>
                    <w:right w:w="24" w:type="dxa"/>
                  </w:tcMar>
                  <w:vAlign w:val="center"/>
                  <w:hideMark/>
                </w:tcPr>
                <w:p w14:paraId="6E131BAC" w14:textId="77777777" w:rsidR="007477C2" w:rsidRPr="007477C2" w:rsidRDefault="007477C2" w:rsidP="007477C2">
                  <w:pPr>
                    <w:jc w:val="right"/>
                    <w:rPr>
                      <w:rFonts w:ascii="Times" w:eastAsia="Times New Roman" w:hAnsi="Times" w:cs="Times New Roman"/>
                      <w:sz w:val="20"/>
                      <w:szCs w:val="20"/>
                    </w:rPr>
                  </w:pPr>
                  <w:r w:rsidRPr="007477C2">
                    <w:rPr>
                      <w:rFonts w:ascii="Times" w:eastAsia="Times New Roman" w:hAnsi="Times" w:cs="Times New Roman"/>
                      <w:sz w:val="20"/>
                      <w:szCs w:val="20"/>
                    </w:rPr>
                    <w:t>16,393</w:t>
                  </w:r>
                </w:p>
              </w:tc>
              <w:tc>
                <w:tcPr>
                  <w:tcW w:w="0" w:type="auto"/>
                  <w:tcMar>
                    <w:top w:w="24" w:type="dxa"/>
                    <w:left w:w="24" w:type="dxa"/>
                    <w:bottom w:w="24" w:type="dxa"/>
                    <w:right w:w="24" w:type="dxa"/>
                  </w:tcMar>
                  <w:vAlign w:val="center"/>
                  <w:hideMark/>
                </w:tcPr>
                <w:p w14:paraId="6E1989B2" w14:textId="77777777" w:rsidR="007477C2" w:rsidRPr="007477C2" w:rsidRDefault="007477C2" w:rsidP="007477C2">
                  <w:pPr>
                    <w:jc w:val="right"/>
                    <w:rPr>
                      <w:rFonts w:ascii="Times" w:eastAsia="Times New Roman" w:hAnsi="Times" w:cs="Times New Roman"/>
                      <w:sz w:val="20"/>
                      <w:szCs w:val="20"/>
                    </w:rPr>
                  </w:pPr>
                  <w:r w:rsidRPr="007477C2">
                    <w:rPr>
                      <w:rFonts w:ascii="Times" w:eastAsia="Times New Roman" w:hAnsi="Times" w:cs="Times New Roman"/>
                      <w:sz w:val="20"/>
                      <w:szCs w:val="20"/>
                    </w:rPr>
                    <w:t xml:space="preserve">6,539 (40%) </w:t>
                  </w:r>
                </w:p>
              </w:tc>
              <w:tc>
                <w:tcPr>
                  <w:tcW w:w="0" w:type="auto"/>
                  <w:tcMar>
                    <w:top w:w="24" w:type="dxa"/>
                    <w:left w:w="24" w:type="dxa"/>
                    <w:bottom w:w="24" w:type="dxa"/>
                    <w:right w:w="24" w:type="dxa"/>
                  </w:tcMar>
                  <w:vAlign w:val="center"/>
                  <w:hideMark/>
                </w:tcPr>
                <w:p w14:paraId="64C46760" w14:textId="77777777" w:rsidR="007477C2" w:rsidRPr="007477C2" w:rsidRDefault="007477C2" w:rsidP="007477C2">
                  <w:pPr>
                    <w:jc w:val="right"/>
                    <w:rPr>
                      <w:rFonts w:ascii="Times" w:eastAsia="Times New Roman" w:hAnsi="Times" w:cs="Times New Roman"/>
                      <w:sz w:val="20"/>
                      <w:szCs w:val="20"/>
                    </w:rPr>
                  </w:pPr>
                  <w:r w:rsidRPr="007477C2">
                    <w:rPr>
                      <w:rFonts w:ascii="Times" w:eastAsia="Times New Roman" w:hAnsi="Times" w:cs="Times New Roman"/>
                      <w:sz w:val="20"/>
                      <w:szCs w:val="20"/>
                    </w:rPr>
                    <w:t xml:space="preserve">5,008 (77%) </w:t>
                  </w:r>
                </w:p>
              </w:tc>
              <w:tc>
                <w:tcPr>
                  <w:tcW w:w="0" w:type="auto"/>
                  <w:tcMar>
                    <w:top w:w="24" w:type="dxa"/>
                    <w:left w:w="24" w:type="dxa"/>
                    <w:bottom w:w="24" w:type="dxa"/>
                    <w:right w:w="24" w:type="dxa"/>
                  </w:tcMar>
                  <w:vAlign w:val="center"/>
                  <w:hideMark/>
                </w:tcPr>
                <w:p w14:paraId="5DBEB580" w14:textId="77777777" w:rsidR="007477C2" w:rsidRPr="007477C2" w:rsidRDefault="007477C2" w:rsidP="007477C2">
                  <w:pPr>
                    <w:jc w:val="right"/>
                    <w:rPr>
                      <w:rFonts w:ascii="Times" w:eastAsia="Times New Roman" w:hAnsi="Times" w:cs="Times New Roman"/>
                      <w:sz w:val="20"/>
                      <w:szCs w:val="20"/>
                    </w:rPr>
                  </w:pPr>
                  <w:r w:rsidRPr="007477C2">
                    <w:rPr>
                      <w:rFonts w:ascii="Times" w:eastAsia="Times New Roman" w:hAnsi="Times" w:cs="Times New Roman"/>
                      <w:sz w:val="20"/>
                      <w:szCs w:val="20"/>
                    </w:rPr>
                    <w:t xml:space="preserve">729 (11%) </w:t>
                  </w:r>
                </w:p>
              </w:tc>
              <w:tc>
                <w:tcPr>
                  <w:tcW w:w="0" w:type="auto"/>
                  <w:tcMar>
                    <w:top w:w="24" w:type="dxa"/>
                    <w:left w:w="24" w:type="dxa"/>
                    <w:bottom w:w="24" w:type="dxa"/>
                    <w:right w:w="24" w:type="dxa"/>
                  </w:tcMar>
                  <w:vAlign w:val="center"/>
                  <w:hideMark/>
                </w:tcPr>
                <w:p w14:paraId="7845D15A" w14:textId="77777777" w:rsidR="007477C2" w:rsidRPr="007477C2" w:rsidRDefault="007477C2" w:rsidP="007477C2">
                  <w:pPr>
                    <w:jc w:val="right"/>
                    <w:rPr>
                      <w:rFonts w:ascii="Times" w:eastAsia="Times New Roman" w:hAnsi="Times" w:cs="Times New Roman"/>
                      <w:sz w:val="20"/>
                      <w:szCs w:val="20"/>
                    </w:rPr>
                  </w:pPr>
                  <w:r w:rsidRPr="007477C2">
                    <w:rPr>
                      <w:rFonts w:ascii="Times" w:eastAsia="Times New Roman" w:hAnsi="Times" w:cs="Times New Roman"/>
                      <w:sz w:val="20"/>
                      <w:szCs w:val="20"/>
                    </w:rPr>
                    <w:t xml:space="preserve">802 (12%) </w:t>
                  </w:r>
                </w:p>
              </w:tc>
            </w:tr>
          </w:tbl>
          <w:p w14:paraId="4C9C1F8F" w14:textId="77777777" w:rsidR="007477C2" w:rsidRPr="007477C2" w:rsidRDefault="007477C2" w:rsidP="007477C2">
            <w:pPr>
              <w:spacing w:before="100" w:beforeAutospacing="1" w:after="100" w:afterAutospacing="1"/>
              <w:outlineLvl w:val="2"/>
              <w:rPr>
                <w:rFonts w:ascii="Times" w:eastAsia="Times New Roman" w:hAnsi="Times" w:cs="Times New Roman"/>
                <w:b/>
                <w:bCs/>
                <w:sz w:val="27"/>
                <w:szCs w:val="27"/>
              </w:rPr>
            </w:pPr>
            <w:r w:rsidRPr="007477C2">
              <w:rPr>
                <w:rFonts w:ascii="Times" w:eastAsia="Times New Roman" w:hAnsi="Times" w:cs="Times New Roman"/>
                <w:b/>
                <w:bCs/>
                <w:sz w:val="27"/>
                <w:szCs w:val="27"/>
              </w:rPr>
              <w:t>2.2 How civilians were killed in 2016</w:t>
            </w:r>
          </w:p>
          <w:p w14:paraId="1C7387DE"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6Air attacks and shelling (and other explosives that impact from the air, including artillery and mortar fire) are included in a single category because it is often difficult for witnesses on the ground to distinguish between them. </w:t>
            </w:r>
          </w:p>
          <w:p w14:paraId="17301E1A"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7IBC uses the term “involved” or "involving" because weapons from the different categories are sometimes used together. Thus the victim totals for these weapons categories should not be summed as this would almost never overlap. </w:t>
            </w:r>
          </w:p>
          <w:p w14:paraId="2BFF85BE"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Death by execution continues to account for by far the largest number of civilians killed in 2016 (7,238 killed, including victims of all ages) as it did in both 2014 and 2015. </w:t>
            </w:r>
          </w:p>
          <w:p w14:paraId="04BA89A4"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Deaths from air attacks and shelling also remained at a high level through 2016, as in the preceding 2 years, accounting for 2,732 deaths, and also killing children as well as men and women.6 </w:t>
            </w:r>
          </w:p>
          <w:p w14:paraId="033F143A" w14:textId="77777777" w:rsidR="007477C2" w:rsidRPr="007477C2" w:rsidRDefault="007477C2" w:rsidP="007477C2">
            <w:pPr>
              <w:spacing w:before="100" w:beforeAutospacing="1" w:after="100" w:afterAutospacing="1"/>
              <w:outlineLvl w:val="2"/>
              <w:rPr>
                <w:rFonts w:ascii="Times" w:eastAsia="Times New Roman" w:hAnsi="Times" w:cs="Times New Roman"/>
                <w:b/>
                <w:bCs/>
                <w:sz w:val="27"/>
                <w:szCs w:val="27"/>
              </w:rPr>
            </w:pPr>
            <w:r w:rsidRPr="007477C2">
              <w:rPr>
                <w:rFonts w:ascii="Times" w:eastAsia="Times New Roman" w:hAnsi="Times" w:cs="Times New Roman"/>
                <w:b/>
                <w:bCs/>
                <w:sz w:val="27"/>
                <w:szCs w:val="27"/>
              </w:rPr>
              <w:t>2.2.1 Victim demographics and cause of death</w:t>
            </w:r>
          </w:p>
          <w:p w14:paraId="25F798AA"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Of the 16,393 victims recorded killed in 2016, information on the weapons involved in their death (cause of death) was available for more than 99%.7 Victims who could also be demographically identified as men, women or children numbered 6,539 (40%) (see Table 2). Of these 6,539 </w:t>
            </w:r>
          </w:p>
          <w:p w14:paraId="26A86FF4" w14:textId="77777777" w:rsidR="007477C2" w:rsidRPr="007477C2" w:rsidRDefault="007477C2" w:rsidP="007477C2">
            <w:pPr>
              <w:numPr>
                <w:ilvl w:val="0"/>
                <w:numId w:val="3"/>
              </w:numPr>
              <w:spacing w:before="100" w:beforeAutospacing="1" w:after="100" w:afterAutospacing="1"/>
              <w:rPr>
                <w:rFonts w:ascii="Times" w:eastAsia="Times New Roman" w:hAnsi="Times" w:cs="Times New Roman"/>
                <w:sz w:val="20"/>
                <w:szCs w:val="20"/>
              </w:rPr>
            </w:pPr>
            <w:r w:rsidRPr="007477C2">
              <w:rPr>
                <w:rFonts w:ascii="Times" w:eastAsia="Times New Roman" w:hAnsi="Times" w:cs="Times New Roman"/>
                <w:sz w:val="20"/>
                <w:szCs w:val="20"/>
              </w:rPr>
              <w:t xml:space="preserve">Executions accounted for by far the greatest number of male adults killed (3,311, 66%), with non-execution gunfire the next most frequent </w:t>
            </w:r>
            <w:r w:rsidRPr="007477C2">
              <w:rPr>
                <w:rFonts w:ascii="Times" w:eastAsia="Times New Roman" w:hAnsi="Times" w:cs="Times New Roman"/>
                <w:sz w:val="20"/>
                <w:szCs w:val="20"/>
              </w:rPr>
              <w:lastRenderedPageBreak/>
              <w:t xml:space="preserve">cause of death (790, or 16%). </w:t>
            </w:r>
          </w:p>
          <w:p w14:paraId="26DBA4FB" w14:textId="77777777" w:rsidR="007477C2" w:rsidRPr="007477C2" w:rsidRDefault="007477C2" w:rsidP="007477C2">
            <w:pPr>
              <w:numPr>
                <w:ilvl w:val="0"/>
                <w:numId w:val="3"/>
              </w:numPr>
              <w:spacing w:before="100" w:beforeAutospacing="1" w:after="100" w:afterAutospacing="1"/>
              <w:rPr>
                <w:rFonts w:ascii="Times" w:eastAsia="Times New Roman" w:hAnsi="Times" w:cs="Times New Roman"/>
                <w:sz w:val="20"/>
                <w:szCs w:val="20"/>
              </w:rPr>
            </w:pPr>
            <w:r w:rsidRPr="007477C2">
              <w:rPr>
                <w:rFonts w:ascii="Times" w:eastAsia="Times New Roman" w:hAnsi="Times" w:cs="Times New Roman"/>
                <w:sz w:val="20"/>
                <w:szCs w:val="20"/>
              </w:rPr>
              <w:t xml:space="preserve">Female adults were, like male adults, killed most often by execution (221 , 30%) but also in more significant proportions by other weapons including air attacks/shelling, which accounted for 206 (28%) of women reported killed. </w:t>
            </w:r>
          </w:p>
          <w:p w14:paraId="5354F3A5" w14:textId="77777777" w:rsidR="007477C2" w:rsidRPr="007477C2" w:rsidRDefault="007477C2" w:rsidP="007477C2">
            <w:pPr>
              <w:numPr>
                <w:ilvl w:val="0"/>
                <w:numId w:val="3"/>
              </w:numPr>
              <w:spacing w:before="100" w:beforeAutospacing="1" w:after="100" w:afterAutospacing="1"/>
              <w:rPr>
                <w:rFonts w:ascii="Times" w:eastAsia="Times New Roman" w:hAnsi="Times" w:cs="Times New Roman"/>
                <w:sz w:val="20"/>
                <w:szCs w:val="20"/>
              </w:rPr>
            </w:pPr>
            <w:r w:rsidRPr="007477C2">
              <w:rPr>
                <w:rFonts w:ascii="Times" w:eastAsia="Times New Roman" w:hAnsi="Times" w:cs="Times New Roman"/>
                <w:sz w:val="20"/>
                <w:szCs w:val="20"/>
              </w:rPr>
              <w:t xml:space="preserve">Air attacks and shelling accounted for the highest number of deaths among children, killing 342 (43%) of the 802 children recorded killed. The second highest cause of death among children was executions, by which means 210 ( 26%) were put to death. </w:t>
            </w:r>
          </w:p>
          <w:p w14:paraId="7D13DF33"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Execution was by far the largest cause of death among civilians of known age and gender, as it was for all recorded civilian killings in 2016 (and the favoured means of killing by Islamic State, the year's major perpetrator, see sections 2.3 and 2.3.1 below.) Men were the principal targets of execution, women and children less often so. However it is shocking that children, in particular, should be subject to killing by execution at all.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2"/>
              <w:gridCol w:w="651"/>
              <w:gridCol w:w="1081"/>
              <w:gridCol w:w="979"/>
              <w:gridCol w:w="953"/>
              <w:gridCol w:w="1013"/>
              <w:gridCol w:w="935"/>
            </w:tblGrid>
            <w:tr w:rsidR="007477C2" w:rsidRPr="007477C2" w14:paraId="40636388" w14:textId="77777777" w:rsidTr="007477C2">
              <w:trPr>
                <w:tblCellSpacing w:w="15" w:type="dxa"/>
              </w:trPr>
              <w:tc>
                <w:tcPr>
                  <w:tcW w:w="0" w:type="auto"/>
                  <w:gridSpan w:val="7"/>
                  <w:tcBorders>
                    <w:top w:val="nil"/>
                    <w:left w:val="nil"/>
                    <w:bottom w:val="nil"/>
                    <w:right w:val="nil"/>
                  </w:tcBorders>
                  <w:vAlign w:val="center"/>
                  <w:hideMark/>
                </w:tcPr>
                <w:p w14:paraId="7E6694B2" w14:textId="77777777" w:rsidR="007477C2" w:rsidRPr="007477C2" w:rsidRDefault="007477C2" w:rsidP="007477C2">
                  <w:pPr>
                    <w:jc w:val="center"/>
                    <w:rPr>
                      <w:rFonts w:ascii="Times" w:eastAsia="Times New Roman" w:hAnsi="Times" w:cs="Times New Roman"/>
                      <w:sz w:val="20"/>
                      <w:szCs w:val="20"/>
                    </w:rPr>
                  </w:pPr>
                  <w:r w:rsidRPr="007477C2">
                    <w:rPr>
                      <w:rFonts w:ascii="Times" w:eastAsia="Times New Roman" w:hAnsi="Times" w:cs="Times New Roman"/>
                      <w:sz w:val="20"/>
                      <w:szCs w:val="20"/>
                    </w:rPr>
                    <w:t xml:space="preserve">Table 5. Weapons (cause of death) involved for civilians identified as male adults, female adults, or children, 1 Jan–31 Dec 2016 </w:t>
                  </w:r>
                </w:p>
              </w:tc>
            </w:tr>
            <w:tr w:rsidR="00A32B0E" w:rsidRPr="007477C2" w14:paraId="3BBC5ED8" w14:textId="77777777" w:rsidTr="007477C2">
              <w:trPr>
                <w:tblCellSpacing w:w="15" w:type="dxa"/>
              </w:trPr>
              <w:tc>
                <w:tcPr>
                  <w:tcW w:w="0" w:type="auto"/>
                  <w:vAlign w:val="center"/>
                  <w:hideMark/>
                </w:tcPr>
                <w:p w14:paraId="3FEE1D6A" w14:textId="77777777" w:rsidR="007477C2" w:rsidRPr="007477C2" w:rsidRDefault="007477C2" w:rsidP="007477C2">
                  <w:pPr>
                    <w:jc w:val="center"/>
                    <w:rPr>
                      <w:rFonts w:ascii="Times" w:eastAsia="Times New Roman" w:hAnsi="Times" w:cs="Times New Roman"/>
                      <w:b/>
                      <w:bCs/>
                      <w:sz w:val="20"/>
                      <w:szCs w:val="20"/>
                    </w:rPr>
                  </w:pPr>
                </w:p>
              </w:tc>
              <w:tc>
                <w:tcPr>
                  <w:tcW w:w="1580" w:type="dxa"/>
                  <w:vAlign w:val="center"/>
                  <w:hideMark/>
                </w:tcPr>
                <w:p w14:paraId="2CEB5083"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All causes of death</w:t>
                  </w:r>
                </w:p>
              </w:tc>
              <w:tc>
                <w:tcPr>
                  <w:tcW w:w="1480" w:type="dxa"/>
                  <w:vAlign w:val="center"/>
                  <w:hideMark/>
                </w:tcPr>
                <w:p w14:paraId="5A7C85BC"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Execution</w:t>
                  </w:r>
                </w:p>
              </w:tc>
              <w:tc>
                <w:tcPr>
                  <w:tcW w:w="1800" w:type="dxa"/>
                  <w:vAlign w:val="center"/>
                  <w:hideMark/>
                </w:tcPr>
                <w:p w14:paraId="76235675"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Gunfire (non-execution)</w:t>
                  </w:r>
                </w:p>
              </w:tc>
              <w:tc>
                <w:tcPr>
                  <w:tcW w:w="1800" w:type="dxa"/>
                  <w:vAlign w:val="center"/>
                  <w:hideMark/>
                </w:tcPr>
                <w:p w14:paraId="44B8CC8D"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Air attacks and shelling</w:t>
                  </w:r>
                </w:p>
              </w:tc>
              <w:tc>
                <w:tcPr>
                  <w:tcW w:w="3120" w:type="dxa"/>
                  <w:vAlign w:val="center"/>
                  <w:hideMark/>
                </w:tcPr>
                <w:p w14:paraId="008C156B"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IEDs (non-suicide)</w:t>
                  </w:r>
                </w:p>
              </w:tc>
              <w:tc>
                <w:tcPr>
                  <w:tcW w:w="3080" w:type="dxa"/>
                  <w:vAlign w:val="center"/>
                  <w:hideMark/>
                </w:tcPr>
                <w:p w14:paraId="191E5555"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Suicide bombing</w:t>
                  </w:r>
                </w:p>
              </w:tc>
            </w:tr>
            <w:tr w:rsidR="00A32B0E" w:rsidRPr="007477C2" w14:paraId="576F19E2" w14:textId="77777777" w:rsidTr="007477C2">
              <w:trPr>
                <w:tblCellSpacing w:w="15" w:type="dxa"/>
              </w:trPr>
              <w:tc>
                <w:tcPr>
                  <w:tcW w:w="0" w:type="auto"/>
                  <w:vAlign w:val="center"/>
                  <w:hideMark/>
                </w:tcPr>
                <w:p w14:paraId="448F55F4" w14:textId="77777777" w:rsidR="007477C2" w:rsidRPr="007477C2" w:rsidRDefault="007477C2" w:rsidP="007477C2">
                  <w:pPr>
                    <w:spacing w:before="100" w:beforeAutospacing="1" w:after="100" w:afterAutospacing="1"/>
                    <w:jc w:val="center"/>
                    <w:rPr>
                      <w:rFonts w:ascii="Times" w:hAnsi="Times" w:cs="Times New Roman"/>
                      <w:b/>
                      <w:bCs/>
                      <w:sz w:val="20"/>
                      <w:szCs w:val="20"/>
                    </w:rPr>
                  </w:pPr>
                  <w:r w:rsidRPr="007477C2">
                    <w:rPr>
                      <w:rFonts w:ascii="Times" w:hAnsi="Times" w:cs="Times New Roman"/>
                      <w:b/>
                      <w:bCs/>
                      <w:sz w:val="20"/>
                      <w:szCs w:val="20"/>
                    </w:rPr>
                    <w:t>Men</w:t>
                  </w:r>
                </w:p>
              </w:tc>
              <w:tc>
                <w:tcPr>
                  <w:tcW w:w="0" w:type="auto"/>
                  <w:vAlign w:val="center"/>
                  <w:hideMark/>
                </w:tcPr>
                <w:p w14:paraId="49E14CC1"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3,919</w:t>
                  </w:r>
                </w:p>
              </w:tc>
              <w:tc>
                <w:tcPr>
                  <w:tcW w:w="0" w:type="auto"/>
                  <w:vAlign w:val="center"/>
                  <w:hideMark/>
                </w:tcPr>
                <w:p w14:paraId="634A5D28"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3,311 (66%) </w:t>
                  </w:r>
                </w:p>
              </w:tc>
              <w:tc>
                <w:tcPr>
                  <w:tcW w:w="0" w:type="auto"/>
                  <w:vAlign w:val="center"/>
                  <w:hideMark/>
                </w:tcPr>
                <w:p w14:paraId="36E4A797"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790 (16%) </w:t>
                  </w:r>
                </w:p>
              </w:tc>
              <w:tc>
                <w:tcPr>
                  <w:tcW w:w="0" w:type="auto"/>
                  <w:vAlign w:val="center"/>
                  <w:hideMark/>
                </w:tcPr>
                <w:p w14:paraId="7CFE2072"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209 ( 4%) </w:t>
                  </w:r>
                </w:p>
              </w:tc>
              <w:tc>
                <w:tcPr>
                  <w:tcW w:w="0" w:type="auto"/>
                  <w:vAlign w:val="center"/>
                  <w:hideMark/>
                </w:tcPr>
                <w:p w14:paraId="3C2FB864"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443 ( 9%) </w:t>
                  </w:r>
                </w:p>
              </w:tc>
              <w:tc>
                <w:tcPr>
                  <w:tcW w:w="0" w:type="auto"/>
                  <w:vAlign w:val="center"/>
                  <w:hideMark/>
                </w:tcPr>
                <w:p w14:paraId="0DC19B4A"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299 ( 6%) </w:t>
                  </w:r>
                </w:p>
              </w:tc>
            </w:tr>
            <w:tr w:rsidR="00A32B0E" w:rsidRPr="007477C2" w14:paraId="47D59FDE" w14:textId="77777777" w:rsidTr="007477C2">
              <w:trPr>
                <w:tblCellSpacing w:w="15" w:type="dxa"/>
              </w:trPr>
              <w:tc>
                <w:tcPr>
                  <w:tcW w:w="0" w:type="auto"/>
                  <w:vAlign w:val="center"/>
                  <w:hideMark/>
                </w:tcPr>
                <w:p w14:paraId="5C40CF30"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Women</w:t>
                  </w:r>
                </w:p>
              </w:tc>
              <w:tc>
                <w:tcPr>
                  <w:tcW w:w="0" w:type="auto"/>
                  <w:vAlign w:val="center"/>
                  <w:hideMark/>
                </w:tcPr>
                <w:p w14:paraId="3D594758"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509</w:t>
                  </w:r>
                </w:p>
              </w:tc>
              <w:tc>
                <w:tcPr>
                  <w:tcW w:w="0" w:type="auto"/>
                  <w:vAlign w:val="center"/>
                  <w:hideMark/>
                </w:tcPr>
                <w:p w14:paraId="2512CBD1"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221 (30% ) </w:t>
                  </w:r>
                </w:p>
              </w:tc>
              <w:tc>
                <w:tcPr>
                  <w:tcW w:w="0" w:type="auto"/>
                  <w:vAlign w:val="center"/>
                  <w:hideMark/>
                </w:tcPr>
                <w:p w14:paraId="5D21EA64"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136 (19%) </w:t>
                  </w:r>
                </w:p>
              </w:tc>
              <w:tc>
                <w:tcPr>
                  <w:tcW w:w="0" w:type="auto"/>
                  <w:vAlign w:val="center"/>
                  <w:hideMark/>
                </w:tcPr>
                <w:p w14:paraId="7929D385"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206 (28%) </w:t>
                  </w:r>
                </w:p>
              </w:tc>
              <w:tc>
                <w:tcPr>
                  <w:tcW w:w="0" w:type="auto"/>
                  <w:vAlign w:val="center"/>
                  <w:hideMark/>
                </w:tcPr>
                <w:p w14:paraId="54A4834F"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98 (13% ) </w:t>
                  </w:r>
                </w:p>
              </w:tc>
              <w:tc>
                <w:tcPr>
                  <w:tcW w:w="0" w:type="auto"/>
                  <w:vAlign w:val="center"/>
                  <w:hideMark/>
                </w:tcPr>
                <w:p w14:paraId="464E606A"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51 ( 7%) </w:t>
                  </w:r>
                </w:p>
              </w:tc>
            </w:tr>
            <w:tr w:rsidR="00A32B0E" w:rsidRPr="007477C2" w14:paraId="6092CAC9" w14:textId="77777777" w:rsidTr="007477C2">
              <w:trPr>
                <w:tblCellSpacing w:w="15" w:type="dxa"/>
              </w:trPr>
              <w:tc>
                <w:tcPr>
                  <w:tcW w:w="0" w:type="auto"/>
                  <w:vAlign w:val="center"/>
                  <w:hideMark/>
                </w:tcPr>
                <w:p w14:paraId="6962EDEC"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Children</w:t>
                  </w:r>
                </w:p>
              </w:tc>
              <w:tc>
                <w:tcPr>
                  <w:tcW w:w="0" w:type="auto"/>
                  <w:vAlign w:val="center"/>
                  <w:hideMark/>
                </w:tcPr>
                <w:p w14:paraId="134E749E"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709</w:t>
                  </w:r>
                </w:p>
              </w:tc>
              <w:tc>
                <w:tcPr>
                  <w:tcW w:w="0" w:type="auto"/>
                  <w:vAlign w:val="center"/>
                  <w:hideMark/>
                </w:tcPr>
                <w:p w14:paraId="43DC8ADE"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210 (26%) </w:t>
                  </w:r>
                </w:p>
              </w:tc>
              <w:tc>
                <w:tcPr>
                  <w:tcW w:w="0" w:type="auto"/>
                  <w:vAlign w:val="center"/>
                  <w:hideMark/>
                </w:tcPr>
                <w:p w14:paraId="7EC84CB2"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67 ( 8%) </w:t>
                  </w:r>
                </w:p>
              </w:tc>
              <w:tc>
                <w:tcPr>
                  <w:tcW w:w="0" w:type="auto"/>
                  <w:vAlign w:val="center"/>
                  <w:hideMark/>
                </w:tcPr>
                <w:p w14:paraId="65335800"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342 (43%) </w:t>
                  </w:r>
                </w:p>
              </w:tc>
              <w:tc>
                <w:tcPr>
                  <w:tcW w:w="0" w:type="auto"/>
                  <w:vAlign w:val="center"/>
                  <w:hideMark/>
                </w:tcPr>
                <w:p w14:paraId="7DC3E445"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132 (16%) </w:t>
                  </w:r>
                </w:p>
              </w:tc>
              <w:tc>
                <w:tcPr>
                  <w:tcW w:w="0" w:type="auto"/>
                  <w:vAlign w:val="center"/>
                  <w:hideMark/>
                </w:tcPr>
                <w:p w14:paraId="5F1916F6"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73 ( 9%) </w:t>
                  </w:r>
                </w:p>
              </w:tc>
            </w:tr>
          </w:tbl>
          <w:p w14:paraId="7A7A5EAD" w14:textId="77777777" w:rsidR="007477C2" w:rsidRPr="007477C2" w:rsidRDefault="007477C2" w:rsidP="007477C2">
            <w:pPr>
              <w:spacing w:before="100" w:beforeAutospacing="1" w:after="100" w:afterAutospacing="1"/>
              <w:outlineLvl w:val="2"/>
              <w:rPr>
                <w:rFonts w:ascii="Times" w:eastAsia="Times New Roman" w:hAnsi="Times" w:cs="Times New Roman"/>
                <w:b/>
                <w:bCs/>
                <w:sz w:val="27"/>
                <w:szCs w:val="27"/>
              </w:rPr>
            </w:pPr>
            <w:r w:rsidRPr="007477C2">
              <w:rPr>
                <w:rFonts w:ascii="Times" w:eastAsia="Times New Roman" w:hAnsi="Times" w:cs="Times New Roman"/>
                <w:b/>
                <w:bCs/>
                <w:sz w:val="27"/>
                <w:szCs w:val="27"/>
              </w:rPr>
              <w:t xml:space="preserve">2.3 Who killed them </w:t>
            </w:r>
          </w:p>
          <w:p w14:paraId="438F1500"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8As with weapons categories, the term “involved” is used here because deaths cannot always be attributed to a single perpetrator group in incidents involving multiple armed actors. Thus these death totals by different actors cannot be straightforwardly added due to the existence of overlaps in these categories. </w:t>
            </w:r>
          </w:p>
          <w:p w14:paraId="6325681B"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The perpetrators involved in killing the greatest number of civilians (9,346) in 2016 were Islamic State (IS) and those fighting them – US-led Coalition forces, the Iraqi Government and allied militias. The means of causing death which claimed the most lives across all demographics were also those most frequently used by these forces: executions in the case of IS, and air attacks/shelling by US/Coalition and Iraqi Government and allied forces. 8 </w:t>
            </w:r>
          </w:p>
          <w:p w14:paraId="2D17BC1C"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The only perpetrator for whom an absolute increase in its civilian death toll was reported between 2015 and 2016 was the US/Coalition (up from 1,466 in 2015 to 1,837 in 2016). The other groups showed a reported decrease (slight in the case of IS), but note that in 2016 as in previous years, deaths with unknown perpetrators constituted a significant proportion of the total.</w:t>
            </w:r>
          </w:p>
          <w:p w14:paraId="02985205"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IBC's perpetrator information is less complete than on cause of death: in 2016, of 16,393 recorded deaths, 4,454 were by unknown perpetrators (in 2015 the equivalent number was 5,563 of 17,578 and in 2014, 9,596 of 20,218). It should not be assumed that the perpetrator breakdowns within the unknown and the known cases are similar, as some perpetrator groups may be much less likely to be identified than others. And even where a perpetrator was able to be recorded, in some incidents others might have been involved who escaped notice. </w:t>
            </w:r>
          </w:p>
          <w:p w14:paraId="288F471C" w14:textId="77777777" w:rsidR="007477C2" w:rsidRPr="007477C2" w:rsidRDefault="007477C2" w:rsidP="007477C2">
            <w:pPr>
              <w:spacing w:before="100" w:beforeAutospacing="1" w:after="100" w:afterAutospacing="1"/>
              <w:outlineLvl w:val="2"/>
              <w:rPr>
                <w:rFonts w:ascii="Times" w:eastAsia="Times New Roman" w:hAnsi="Times" w:cs="Times New Roman"/>
                <w:b/>
                <w:bCs/>
                <w:sz w:val="27"/>
                <w:szCs w:val="27"/>
              </w:rPr>
            </w:pPr>
            <w:r w:rsidRPr="007477C2">
              <w:rPr>
                <w:rFonts w:ascii="Times" w:eastAsia="Times New Roman" w:hAnsi="Times" w:cs="Times New Roman"/>
                <w:b/>
                <w:bCs/>
                <w:sz w:val="27"/>
                <w:szCs w:val="27"/>
              </w:rPr>
              <w:lastRenderedPageBreak/>
              <w:t xml:space="preserve">2.3.1 Victim demographics by major perpetrators </w:t>
            </w:r>
          </w:p>
          <w:p w14:paraId="1BA7C6FB"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Of the victims recorded in 2016 who could be demographically identified as men, women or children, perpetrator information was available for 78% of the men, 70% of the women, and 88% of the children. As with the demographically undifferentiated numbers for 2016, one should note that this leaves a remainder involving unknown perpetrators which is highest, at nearly a third, for women, but little over 10% for children. </w:t>
            </w:r>
          </w:p>
          <w:p w14:paraId="0E895272" w14:textId="77777777" w:rsidR="007477C2" w:rsidRPr="007477C2" w:rsidRDefault="007477C2" w:rsidP="007477C2">
            <w:pPr>
              <w:numPr>
                <w:ilvl w:val="0"/>
                <w:numId w:val="4"/>
              </w:numPr>
              <w:spacing w:before="100" w:beforeAutospacing="1" w:after="100" w:afterAutospacing="1"/>
              <w:rPr>
                <w:rFonts w:ascii="Times" w:eastAsia="Times New Roman" w:hAnsi="Times" w:cs="Times New Roman"/>
                <w:sz w:val="20"/>
                <w:szCs w:val="20"/>
              </w:rPr>
            </w:pPr>
            <w:r w:rsidRPr="007477C2">
              <w:rPr>
                <w:rFonts w:ascii="Times" w:eastAsia="Times New Roman" w:hAnsi="Times" w:cs="Times New Roman"/>
                <w:sz w:val="20"/>
                <w:szCs w:val="20"/>
              </w:rPr>
              <w:t xml:space="preserve">Of the 3,919 deaths of adult males with known perpetrator, the vast majority involved Islamic State (3,446 , 88%). The next highest, but much lower figures were for US/Coalition (108 , 3%) and Iraqi Government and allied forces (112 , 3%). </w:t>
            </w:r>
          </w:p>
          <w:p w14:paraId="452C88ED" w14:textId="77777777" w:rsidR="007477C2" w:rsidRPr="007477C2" w:rsidRDefault="007477C2" w:rsidP="007477C2">
            <w:pPr>
              <w:numPr>
                <w:ilvl w:val="0"/>
                <w:numId w:val="4"/>
              </w:numPr>
              <w:spacing w:before="100" w:beforeAutospacing="1" w:after="100" w:afterAutospacing="1"/>
              <w:rPr>
                <w:rFonts w:ascii="Times" w:eastAsia="Times New Roman" w:hAnsi="Times" w:cs="Times New Roman"/>
                <w:sz w:val="20"/>
                <w:szCs w:val="20"/>
              </w:rPr>
            </w:pPr>
            <w:r w:rsidRPr="007477C2">
              <w:rPr>
                <w:rFonts w:ascii="Times" w:eastAsia="Times New Roman" w:hAnsi="Times" w:cs="Times New Roman"/>
                <w:sz w:val="20"/>
                <w:szCs w:val="20"/>
              </w:rPr>
              <w:t xml:space="preserve">Of the 509 deaths of adult females whose perpetrators were known, the principal group involved was, as for men, Islamic State, who killed 319 (63%), with these figures (but unlike for men, more closely) by deaths involving US/Coalition forces (135, 27%). </w:t>
            </w:r>
          </w:p>
          <w:p w14:paraId="588DB7B3" w14:textId="77777777" w:rsidR="007477C2" w:rsidRPr="007477C2" w:rsidRDefault="007477C2" w:rsidP="007477C2">
            <w:pPr>
              <w:numPr>
                <w:ilvl w:val="0"/>
                <w:numId w:val="4"/>
              </w:numPr>
              <w:spacing w:before="100" w:beforeAutospacing="1" w:after="100" w:afterAutospacing="1"/>
              <w:rPr>
                <w:rFonts w:ascii="Times" w:eastAsia="Times New Roman" w:hAnsi="Times" w:cs="Times New Roman"/>
                <w:sz w:val="20"/>
                <w:szCs w:val="20"/>
              </w:rPr>
            </w:pPr>
            <w:r w:rsidRPr="007477C2">
              <w:rPr>
                <w:rFonts w:ascii="Times" w:eastAsia="Times New Roman" w:hAnsi="Times" w:cs="Times New Roman"/>
                <w:sz w:val="20"/>
                <w:szCs w:val="20"/>
              </w:rPr>
              <w:t xml:space="preserve">Of the 709 child killings where perpetrator was known, the largest perpetrator group involved was once again Islamic State, accounting for 412, or 58% of child deaths, with US/Coalition forces (203, or 29%) and Iraqi government and allied forces, who were involved in 104 (15%) of child deaths. </w:t>
            </w:r>
          </w:p>
          <w:p w14:paraId="4FCD326E"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All three demographic groups fell victim to Islamic State by far the most often. It is however notable that the US/Coalition caused a significant proportion of women and children reported killed.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1"/>
              <w:gridCol w:w="1253"/>
              <w:gridCol w:w="1003"/>
              <w:gridCol w:w="1159"/>
              <w:gridCol w:w="1018"/>
            </w:tblGrid>
            <w:tr w:rsidR="007477C2" w:rsidRPr="007477C2" w14:paraId="45C212C3" w14:textId="77777777" w:rsidTr="007477C2">
              <w:trPr>
                <w:tblCellSpacing w:w="15" w:type="dxa"/>
              </w:trPr>
              <w:tc>
                <w:tcPr>
                  <w:tcW w:w="0" w:type="auto"/>
                  <w:gridSpan w:val="5"/>
                  <w:tcBorders>
                    <w:top w:val="nil"/>
                    <w:left w:val="nil"/>
                    <w:bottom w:val="nil"/>
                    <w:right w:val="nil"/>
                  </w:tcBorders>
                  <w:vAlign w:val="center"/>
                  <w:hideMark/>
                </w:tcPr>
                <w:p w14:paraId="0E148F17" w14:textId="77777777" w:rsidR="007477C2" w:rsidRPr="007477C2" w:rsidRDefault="007477C2" w:rsidP="007477C2">
                  <w:pPr>
                    <w:jc w:val="center"/>
                    <w:rPr>
                      <w:rFonts w:ascii="Times" w:eastAsia="Times New Roman" w:hAnsi="Times" w:cs="Times New Roman"/>
                      <w:sz w:val="20"/>
                      <w:szCs w:val="20"/>
                    </w:rPr>
                  </w:pPr>
                  <w:r w:rsidRPr="007477C2">
                    <w:rPr>
                      <w:rFonts w:ascii="Times" w:eastAsia="Times New Roman" w:hAnsi="Times" w:cs="Times New Roman"/>
                      <w:sz w:val="20"/>
                      <w:szCs w:val="20"/>
                    </w:rPr>
                    <w:t>Table 7. Male adult, female adult, and child deaths by major perpetrator groups, 1 Jan-31 Dec 2016</w:t>
                  </w:r>
                </w:p>
              </w:tc>
            </w:tr>
            <w:tr w:rsidR="007477C2" w:rsidRPr="007477C2" w14:paraId="610CB889" w14:textId="77777777" w:rsidTr="007477C2">
              <w:trPr>
                <w:tblCellSpacing w:w="15" w:type="dxa"/>
              </w:trPr>
              <w:tc>
                <w:tcPr>
                  <w:tcW w:w="1600" w:type="pct"/>
                  <w:vAlign w:val="center"/>
                  <w:hideMark/>
                </w:tcPr>
                <w:p w14:paraId="41569F87" w14:textId="77777777" w:rsidR="007477C2" w:rsidRPr="007477C2" w:rsidRDefault="007477C2" w:rsidP="007477C2">
                  <w:pPr>
                    <w:jc w:val="center"/>
                    <w:rPr>
                      <w:rFonts w:ascii="Times" w:eastAsia="Times New Roman" w:hAnsi="Times" w:cs="Times New Roman"/>
                      <w:b/>
                      <w:bCs/>
                      <w:sz w:val="20"/>
                      <w:szCs w:val="20"/>
                    </w:rPr>
                  </w:pPr>
                </w:p>
              </w:tc>
              <w:tc>
                <w:tcPr>
                  <w:tcW w:w="1000" w:type="pct"/>
                  <w:vAlign w:val="center"/>
                  <w:hideMark/>
                </w:tcPr>
                <w:p w14:paraId="3332CBF8"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whose perpetrator was known</w:t>
                  </w:r>
                </w:p>
              </w:tc>
              <w:tc>
                <w:tcPr>
                  <w:tcW w:w="800" w:type="pct"/>
                  <w:vAlign w:val="center"/>
                  <w:hideMark/>
                </w:tcPr>
                <w:p w14:paraId="3EC7BF56"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Islamic State</w:t>
                  </w:r>
                </w:p>
              </w:tc>
              <w:tc>
                <w:tcPr>
                  <w:tcW w:w="800" w:type="pct"/>
                  <w:vAlign w:val="center"/>
                  <w:hideMark/>
                </w:tcPr>
                <w:p w14:paraId="100422B5"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US/Coalition</w:t>
                  </w:r>
                </w:p>
              </w:tc>
              <w:tc>
                <w:tcPr>
                  <w:tcW w:w="800" w:type="pct"/>
                  <w:vAlign w:val="center"/>
                  <w:hideMark/>
                </w:tcPr>
                <w:p w14:paraId="09B432C7"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Iraqi Gov and allied forces</w:t>
                  </w:r>
                </w:p>
              </w:tc>
            </w:tr>
            <w:tr w:rsidR="007477C2" w:rsidRPr="007477C2" w14:paraId="02B5148F" w14:textId="77777777" w:rsidTr="007477C2">
              <w:trPr>
                <w:tblCellSpacing w:w="15" w:type="dxa"/>
              </w:trPr>
              <w:tc>
                <w:tcPr>
                  <w:tcW w:w="0" w:type="auto"/>
                  <w:vAlign w:val="center"/>
                  <w:hideMark/>
                </w:tcPr>
                <w:p w14:paraId="40103B1C"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Men</w:t>
                  </w:r>
                </w:p>
              </w:tc>
              <w:tc>
                <w:tcPr>
                  <w:tcW w:w="0" w:type="auto"/>
                  <w:vAlign w:val="center"/>
                  <w:hideMark/>
                </w:tcPr>
                <w:p w14:paraId="49B864C2"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3,919</w:t>
                  </w:r>
                </w:p>
              </w:tc>
              <w:tc>
                <w:tcPr>
                  <w:tcW w:w="0" w:type="auto"/>
                  <w:vAlign w:val="center"/>
                  <w:hideMark/>
                </w:tcPr>
                <w:p w14:paraId="41FE3A2C"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3,446 (88%) </w:t>
                  </w:r>
                </w:p>
              </w:tc>
              <w:tc>
                <w:tcPr>
                  <w:tcW w:w="0" w:type="auto"/>
                  <w:vAlign w:val="center"/>
                  <w:hideMark/>
                </w:tcPr>
                <w:p w14:paraId="510A7FB4"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108 ( 3%) </w:t>
                  </w:r>
                </w:p>
              </w:tc>
              <w:tc>
                <w:tcPr>
                  <w:tcW w:w="0" w:type="auto"/>
                  <w:vAlign w:val="center"/>
                  <w:hideMark/>
                </w:tcPr>
                <w:p w14:paraId="1AD1EE71"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112 ( 3%) </w:t>
                  </w:r>
                </w:p>
              </w:tc>
            </w:tr>
            <w:tr w:rsidR="007477C2" w:rsidRPr="007477C2" w14:paraId="6217D3B1" w14:textId="77777777" w:rsidTr="007477C2">
              <w:trPr>
                <w:tblCellSpacing w:w="15" w:type="dxa"/>
              </w:trPr>
              <w:tc>
                <w:tcPr>
                  <w:tcW w:w="0" w:type="auto"/>
                  <w:vAlign w:val="center"/>
                  <w:hideMark/>
                </w:tcPr>
                <w:p w14:paraId="77E26B91"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Women</w:t>
                  </w:r>
                </w:p>
              </w:tc>
              <w:tc>
                <w:tcPr>
                  <w:tcW w:w="0" w:type="auto"/>
                  <w:vAlign w:val="center"/>
                  <w:hideMark/>
                </w:tcPr>
                <w:p w14:paraId="44458DAB"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509</w:t>
                  </w:r>
                </w:p>
              </w:tc>
              <w:tc>
                <w:tcPr>
                  <w:tcW w:w="0" w:type="auto"/>
                  <w:vAlign w:val="center"/>
                  <w:hideMark/>
                </w:tcPr>
                <w:p w14:paraId="3B58AA92"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319 (63%) </w:t>
                  </w:r>
                </w:p>
              </w:tc>
              <w:tc>
                <w:tcPr>
                  <w:tcW w:w="0" w:type="auto"/>
                  <w:vAlign w:val="center"/>
                  <w:hideMark/>
                </w:tcPr>
                <w:p w14:paraId="53946786"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135 (27%) </w:t>
                  </w:r>
                </w:p>
              </w:tc>
              <w:tc>
                <w:tcPr>
                  <w:tcW w:w="0" w:type="auto"/>
                  <w:vAlign w:val="center"/>
                  <w:hideMark/>
                </w:tcPr>
                <w:p w14:paraId="7F545A44"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61 (12%) </w:t>
                  </w:r>
                </w:p>
              </w:tc>
            </w:tr>
            <w:tr w:rsidR="007477C2" w:rsidRPr="007477C2" w14:paraId="5198518C" w14:textId="77777777" w:rsidTr="007477C2">
              <w:trPr>
                <w:tblCellSpacing w:w="15" w:type="dxa"/>
              </w:trPr>
              <w:tc>
                <w:tcPr>
                  <w:tcW w:w="0" w:type="auto"/>
                  <w:vAlign w:val="center"/>
                  <w:hideMark/>
                </w:tcPr>
                <w:p w14:paraId="47212A35"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Children</w:t>
                  </w:r>
                </w:p>
              </w:tc>
              <w:tc>
                <w:tcPr>
                  <w:tcW w:w="0" w:type="auto"/>
                  <w:vAlign w:val="center"/>
                  <w:hideMark/>
                </w:tcPr>
                <w:p w14:paraId="5E5D0539"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709</w:t>
                  </w:r>
                </w:p>
              </w:tc>
              <w:tc>
                <w:tcPr>
                  <w:tcW w:w="0" w:type="auto"/>
                  <w:vAlign w:val="center"/>
                  <w:hideMark/>
                </w:tcPr>
                <w:p w14:paraId="319E50F9"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412 (58%) </w:t>
                  </w:r>
                </w:p>
              </w:tc>
              <w:tc>
                <w:tcPr>
                  <w:tcW w:w="0" w:type="auto"/>
                  <w:vAlign w:val="center"/>
                  <w:hideMark/>
                </w:tcPr>
                <w:p w14:paraId="21951E33"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203 (29%) </w:t>
                  </w:r>
                </w:p>
              </w:tc>
              <w:tc>
                <w:tcPr>
                  <w:tcW w:w="0" w:type="auto"/>
                  <w:vAlign w:val="center"/>
                  <w:hideMark/>
                </w:tcPr>
                <w:p w14:paraId="70B457C7"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 xml:space="preserve">104 (15%) </w:t>
                  </w:r>
                </w:p>
              </w:tc>
            </w:tr>
          </w:tbl>
          <w:p w14:paraId="5B7D4332" w14:textId="77777777" w:rsidR="007477C2" w:rsidRDefault="007477C2" w:rsidP="007477C2">
            <w:pPr>
              <w:spacing w:before="100" w:beforeAutospacing="1" w:after="100" w:afterAutospacing="1"/>
              <w:outlineLvl w:val="1"/>
              <w:rPr>
                <w:rFonts w:ascii="Times" w:eastAsia="Times New Roman" w:hAnsi="Times" w:cs="Times New Roman"/>
                <w:b/>
                <w:bCs/>
                <w:sz w:val="36"/>
                <w:szCs w:val="36"/>
              </w:rPr>
            </w:pPr>
            <w:r w:rsidRPr="007477C2">
              <w:rPr>
                <w:rFonts w:ascii="Times" w:eastAsia="Times New Roman" w:hAnsi="Times" w:cs="Times New Roman"/>
                <w:b/>
                <w:bCs/>
                <w:sz w:val="36"/>
                <w:szCs w:val="36"/>
              </w:rPr>
              <w:t>2.4 Where civilians were killed</w:t>
            </w:r>
          </w:p>
          <w:p w14:paraId="260D59B5" w14:textId="77777777" w:rsidR="00E07B4B" w:rsidRDefault="00E07B4B" w:rsidP="007477C2">
            <w:pPr>
              <w:spacing w:before="100" w:beforeAutospacing="1" w:after="100" w:afterAutospacing="1"/>
              <w:outlineLvl w:val="1"/>
              <w:rPr>
                <w:rFonts w:ascii="Times" w:eastAsia="Times New Roman" w:hAnsi="Times" w:cs="Times New Roman"/>
                <w:b/>
                <w:bCs/>
                <w:sz w:val="36"/>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828"/>
              <w:gridCol w:w="616"/>
              <w:gridCol w:w="805"/>
              <w:gridCol w:w="616"/>
              <w:gridCol w:w="1118"/>
              <w:gridCol w:w="772"/>
              <w:gridCol w:w="375"/>
            </w:tblGrid>
            <w:tr w:rsidR="00E07B4B" w:rsidRPr="00E07B4B" w14:paraId="548FC755" w14:textId="77777777" w:rsidTr="00E07B4B">
              <w:trPr>
                <w:gridAfter w:val="1"/>
                <w:tblCellSpacing w:w="15" w:type="dxa"/>
              </w:trPr>
              <w:tc>
                <w:tcPr>
                  <w:tcW w:w="0" w:type="auto"/>
                  <w:vAlign w:val="center"/>
                  <w:hideMark/>
                </w:tcPr>
                <w:p w14:paraId="360D0811"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Ninewa</w:t>
                  </w:r>
                </w:p>
              </w:tc>
              <w:tc>
                <w:tcPr>
                  <w:tcW w:w="0" w:type="auto"/>
                  <w:vAlign w:val="center"/>
                  <w:hideMark/>
                </w:tcPr>
                <w:p w14:paraId="2CFB3EF5"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Baghdad</w:t>
                  </w:r>
                </w:p>
              </w:tc>
              <w:tc>
                <w:tcPr>
                  <w:tcW w:w="0" w:type="auto"/>
                  <w:vAlign w:val="center"/>
                  <w:hideMark/>
                </w:tcPr>
                <w:p w14:paraId="3DAAFB1F"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Anbar</w:t>
                  </w:r>
                </w:p>
              </w:tc>
              <w:tc>
                <w:tcPr>
                  <w:tcW w:w="0" w:type="auto"/>
                  <w:vAlign w:val="center"/>
                  <w:hideMark/>
                </w:tcPr>
                <w:p w14:paraId="63709DFD"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Tameem</w:t>
                  </w:r>
                </w:p>
              </w:tc>
              <w:tc>
                <w:tcPr>
                  <w:tcW w:w="0" w:type="auto"/>
                  <w:vAlign w:val="center"/>
                  <w:hideMark/>
                </w:tcPr>
                <w:p w14:paraId="7269E8EB"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Diyala</w:t>
                  </w:r>
                </w:p>
              </w:tc>
              <w:tc>
                <w:tcPr>
                  <w:tcW w:w="0" w:type="auto"/>
                  <w:vAlign w:val="center"/>
                  <w:hideMark/>
                </w:tcPr>
                <w:p w14:paraId="641982CB"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Salah al-Din</w:t>
                  </w:r>
                </w:p>
              </w:tc>
              <w:tc>
                <w:tcPr>
                  <w:tcW w:w="0" w:type="auto"/>
                  <w:vAlign w:val="center"/>
                  <w:hideMark/>
                </w:tcPr>
                <w:p w14:paraId="41BB96AA"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Babylo</w:t>
                  </w:r>
                  <w:bookmarkStart w:id="0" w:name="_GoBack"/>
                  <w:bookmarkEnd w:id="0"/>
                  <w:r w:rsidRPr="00E07B4B">
                    <w:rPr>
                      <w:rFonts w:ascii="Times" w:eastAsia="Times New Roman" w:hAnsi="Times" w:cs="Times New Roman"/>
                      <w:b/>
                      <w:bCs/>
                      <w:sz w:val="20"/>
                      <w:szCs w:val="20"/>
                    </w:rPr>
                    <w:t>n</w:t>
                  </w:r>
                </w:p>
              </w:tc>
            </w:tr>
            <w:tr w:rsidR="00E07B4B" w:rsidRPr="00E07B4B" w14:paraId="66014580" w14:textId="77777777" w:rsidTr="00E07B4B">
              <w:trPr>
                <w:tblCellSpacing w:w="15" w:type="dxa"/>
              </w:trPr>
              <w:tc>
                <w:tcPr>
                  <w:tcW w:w="0" w:type="auto"/>
                  <w:vAlign w:val="center"/>
                  <w:hideMark/>
                </w:tcPr>
                <w:p w14:paraId="2ADEDDF9"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January</w:t>
                  </w:r>
                </w:p>
              </w:tc>
              <w:tc>
                <w:tcPr>
                  <w:tcW w:w="0" w:type="auto"/>
                  <w:vAlign w:val="center"/>
                  <w:hideMark/>
                </w:tcPr>
                <w:p w14:paraId="42F667FB"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610</w:t>
                  </w:r>
                </w:p>
              </w:tc>
              <w:tc>
                <w:tcPr>
                  <w:tcW w:w="0" w:type="auto"/>
                  <w:vAlign w:val="center"/>
                  <w:hideMark/>
                </w:tcPr>
                <w:p w14:paraId="01FFEFD0"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308</w:t>
                  </w:r>
                </w:p>
              </w:tc>
              <w:tc>
                <w:tcPr>
                  <w:tcW w:w="0" w:type="auto"/>
                  <w:vAlign w:val="center"/>
                  <w:hideMark/>
                </w:tcPr>
                <w:p w14:paraId="529FBA0E"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179</w:t>
                  </w:r>
                </w:p>
              </w:tc>
              <w:tc>
                <w:tcPr>
                  <w:tcW w:w="0" w:type="auto"/>
                  <w:vAlign w:val="center"/>
                  <w:hideMark/>
                </w:tcPr>
                <w:p w14:paraId="54B18D78"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49</w:t>
                  </w:r>
                </w:p>
              </w:tc>
              <w:tc>
                <w:tcPr>
                  <w:tcW w:w="0" w:type="auto"/>
                  <w:vAlign w:val="center"/>
                  <w:hideMark/>
                </w:tcPr>
                <w:p w14:paraId="3A8D1208"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106</w:t>
                  </w:r>
                </w:p>
              </w:tc>
              <w:tc>
                <w:tcPr>
                  <w:tcW w:w="0" w:type="auto"/>
                  <w:vAlign w:val="center"/>
                  <w:hideMark/>
                </w:tcPr>
                <w:p w14:paraId="50F983CA"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79</w:t>
                  </w:r>
                </w:p>
              </w:tc>
              <w:tc>
                <w:tcPr>
                  <w:tcW w:w="0" w:type="auto"/>
                  <w:vAlign w:val="center"/>
                  <w:hideMark/>
                </w:tcPr>
                <w:p w14:paraId="0F41AFC8"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32</w:t>
                  </w:r>
                </w:p>
              </w:tc>
            </w:tr>
            <w:tr w:rsidR="00E07B4B" w:rsidRPr="00E07B4B" w14:paraId="44273CB0" w14:textId="77777777" w:rsidTr="00E07B4B">
              <w:trPr>
                <w:tblCellSpacing w:w="15" w:type="dxa"/>
              </w:trPr>
              <w:tc>
                <w:tcPr>
                  <w:tcW w:w="0" w:type="auto"/>
                  <w:vAlign w:val="center"/>
                  <w:hideMark/>
                </w:tcPr>
                <w:p w14:paraId="59D42208"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February</w:t>
                  </w:r>
                </w:p>
              </w:tc>
              <w:tc>
                <w:tcPr>
                  <w:tcW w:w="0" w:type="auto"/>
                  <w:vAlign w:val="center"/>
                  <w:hideMark/>
                </w:tcPr>
                <w:p w14:paraId="3A2A6147"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444</w:t>
                  </w:r>
                </w:p>
              </w:tc>
              <w:tc>
                <w:tcPr>
                  <w:tcW w:w="0" w:type="auto"/>
                  <w:vAlign w:val="center"/>
                  <w:hideMark/>
                </w:tcPr>
                <w:p w14:paraId="06E2A881"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344</w:t>
                  </w:r>
                </w:p>
              </w:tc>
              <w:tc>
                <w:tcPr>
                  <w:tcW w:w="0" w:type="auto"/>
                  <w:vAlign w:val="center"/>
                  <w:hideMark/>
                </w:tcPr>
                <w:p w14:paraId="406709D2"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206</w:t>
                  </w:r>
                </w:p>
              </w:tc>
              <w:tc>
                <w:tcPr>
                  <w:tcW w:w="0" w:type="auto"/>
                  <w:vAlign w:val="center"/>
                  <w:hideMark/>
                </w:tcPr>
                <w:p w14:paraId="4BF09687"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117</w:t>
                  </w:r>
                </w:p>
              </w:tc>
              <w:tc>
                <w:tcPr>
                  <w:tcW w:w="0" w:type="auto"/>
                  <w:vAlign w:val="center"/>
                  <w:hideMark/>
                </w:tcPr>
                <w:p w14:paraId="67CB9FB1"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91</w:t>
                  </w:r>
                </w:p>
              </w:tc>
              <w:tc>
                <w:tcPr>
                  <w:tcW w:w="0" w:type="auto"/>
                  <w:vAlign w:val="center"/>
                  <w:hideMark/>
                </w:tcPr>
                <w:p w14:paraId="09BA43AA"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24</w:t>
                  </w:r>
                </w:p>
              </w:tc>
              <w:tc>
                <w:tcPr>
                  <w:tcW w:w="0" w:type="auto"/>
                  <w:vAlign w:val="center"/>
                  <w:hideMark/>
                </w:tcPr>
                <w:p w14:paraId="49C2759F"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22</w:t>
                  </w:r>
                </w:p>
              </w:tc>
            </w:tr>
            <w:tr w:rsidR="00E07B4B" w:rsidRPr="00E07B4B" w14:paraId="53120F65" w14:textId="77777777" w:rsidTr="00E07B4B">
              <w:trPr>
                <w:tblCellSpacing w:w="15" w:type="dxa"/>
              </w:trPr>
              <w:tc>
                <w:tcPr>
                  <w:tcW w:w="0" w:type="auto"/>
                  <w:vAlign w:val="center"/>
                  <w:hideMark/>
                </w:tcPr>
                <w:p w14:paraId="3050034E"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March</w:t>
                  </w:r>
                </w:p>
              </w:tc>
              <w:tc>
                <w:tcPr>
                  <w:tcW w:w="0" w:type="auto"/>
                  <w:vAlign w:val="center"/>
                  <w:hideMark/>
                </w:tcPr>
                <w:p w14:paraId="089B993C"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600</w:t>
                  </w:r>
                </w:p>
              </w:tc>
              <w:tc>
                <w:tcPr>
                  <w:tcW w:w="0" w:type="auto"/>
                  <w:vAlign w:val="center"/>
                  <w:hideMark/>
                </w:tcPr>
                <w:p w14:paraId="54525ABA"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260</w:t>
                  </w:r>
                </w:p>
              </w:tc>
              <w:tc>
                <w:tcPr>
                  <w:tcW w:w="0" w:type="auto"/>
                  <w:vAlign w:val="center"/>
                  <w:hideMark/>
                </w:tcPr>
                <w:p w14:paraId="766F79CB"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245</w:t>
                  </w:r>
                </w:p>
              </w:tc>
              <w:tc>
                <w:tcPr>
                  <w:tcW w:w="0" w:type="auto"/>
                  <w:vAlign w:val="center"/>
                  <w:hideMark/>
                </w:tcPr>
                <w:p w14:paraId="2DA053FD"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98</w:t>
                  </w:r>
                </w:p>
              </w:tc>
              <w:tc>
                <w:tcPr>
                  <w:tcW w:w="0" w:type="auto"/>
                  <w:vAlign w:val="center"/>
                  <w:hideMark/>
                </w:tcPr>
                <w:p w14:paraId="7AC2D278"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64</w:t>
                  </w:r>
                </w:p>
              </w:tc>
              <w:tc>
                <w:tcPr>
                  <w:tcW w:w="0" w:type="auto"/>
                  <w:vAlign w:val="center"/>
                  <w:hideMark/>
                </w:tcPr>
                <w:p w14:paraId="1F114353"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35</w:t>
                  </w:r>
                </w:p>
              </w:tc>
              <w:tc>
                <w:tcPr>
                  <w:tcW w:w="0" w:type="auto"/>
                  <w:vAlign w:val="center"/>
                  <w:hideMark/>
                </w:tcPr>
                <w:p w14:paraId="74509932"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124</w:t>
                  </w:r>
                </w:p>
              </w:tc>
            </w:tr>
            <w:tr w:rsidR="00E07B4B" w:rsidRPr="00E07B4B" w14:paraId="7D5D906E" w14:textId="77777777" w:rsidTr="00E07B4B">
              <w:trPr>
                <w:tblCellSpacing w:w="15" w:type="dxa"/>
              </w:trPr>
              <w:tc>
                <w:tcPr>
                  <w:tcW w:w="0" w:type="auto"/>
                  <w:vAlign w:val="center"/>
                  <w:hideMark/>
                </w:tcPr>
                <w:p w14:paraId="76E575D2"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April</w:t>
                  </w:r>
                </w:p>
              </w:tc>
              <w:tc>
                <w:tcPr>
                  <w:tcW w:w="0" w:type="auto"/>
                  <w:vAlign w:val="center"/>
                  <w:hideMark/>
                </w:tcPr>
                <w:p w14:paraId="5BE5FB37"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589</w:t>
                  </w:r>
                </w:p>
              </w:tc>
              <w:tc>
                <w:tcPr>
                  <w:tcW w:w="0" w:type="auto"/>
                  <w:vAlign w:val="center"/>
                  <w:hideMark/>
                </w:tcPr>
                <w:p w14:paraId="20E3459F"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248</w:t>
                  </w:r>
                </w:p>
              </w:tc>
              <w:tc>
                <w:tcPr>
                  <w:tcW w:w="0" w:type="auto"/>
                  <w:vAlign w:val="center"/>
                  <w:hideMark/>
                </w:tcPr>
                <w:p w14:paraId="49F2BA08"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168</w:t>
                  </w:r>
                </w:p>
              </w:tc>
              <w:tc>
                <w:tcPr>
                  <w:tcW w:w="0" w:type="auto"/>
                  <w:vAlign w:val="center"/>
                  <w:hideMark/>
                </w:tcPr>
                <w:p w14:paraId="7FD79381"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20</w:t>
                  </w:r>
                </w:p>
              </w:tc>
              <w:tc>
                <w:tcPr>
                  <w:tcW w:w="0" w:type="auto"/>
                  <w:vAlign w:val="center"/>
                  <w:hideMark/>
                </w:tcPr>
                <w:p w14:paraId="0C42AA76"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62</w:t>
                  </w:r>
                </w:p>
              </w:tc>
              <w:tc>
                <w:tcPr>
                  <w:tcW w:w="0" w:type="auto"/>
                  <w:vAlign w:val="center"/>
                  <w:hideMark/>
                </w:tcPr>
                <w:p w14:paraId="7492283C"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58</w:t>
                  </w:r>
                </w:p>
              </w:tc>
              <w:tc>
                <w:tcPr>
                  <w:tcW w:w="0" w:type="auto"/>
                  <w:vAlign w:val="center"/>
                  <w:hideMark/>
                </w:tcPr>
                <w:p w14:paraId="261E8EEB"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27</w:t>
                  </w:r>
                </w:p>
              </w:tc>
            </w:tr>
            <w:tr w:rsidR="00E07B4B" w:rsidRPr="00E07B4B" w14:paraId="1F0F935E" w14:textId="77777777" w:rsidTr="00E07B4B">
              <w:trPr>
                <w:tblCellSpacing w:w="15" w:type="dxa"/>
              </w:trPr>
              <w:tc>
                <w:tcPr>
                  <w:tcW w:w="0" w:type="auto"/>
                  <w:vAlign w:val="center"/>
                  <w:hideMark/>
                </w:tcPr>
                <w:p w14:paraId="097ABB9C"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May</w:t>
                  </w:r>
                </w:p>
              </w:tc>
              <w:tc>
                <w:tcPr>
                  <w:tcW w:w="0" w:type="auto"/>
                  <w:vAlign w:val="center"/>
                  <w:hideMark/>
                </w:tcPr>
                <w:p w14:paraId="447BF5A9"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397</w:t>
                  </w:r>
                </w:p>
              </w:tc>
              <w:tc>
                <w:tcPr>
                  <w:tcW w:w="0" w:type="auto"/>
                  <w:vAlign w:val="center"/>
                  <w:hideMark/>
                </w:tcPr>
                <w:p w14:paraId="628C31C1"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449</w:t>
                  </w:r>
                </w:p>
              </w:tc>
              <w:tc>
                <w:tcPr>
                  <w:tcW w:w="0" w:type="auto"/>
                  <w:vAlign w:val="center"/>
                  <w:hideMark/>
                </w:tcPr>
                <w:p w14:paraId="375D9F64"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130</w:t>
                  </w:r>
                </w:p>
              </w:tc>
              <w:tc>
                <w:tcPr>
                  <w:tcW w:w="0" w:type="auto"/>
                  <w:vAlign w:val="center"/>
                  <w:hideMark/>
                </w:tcPr>
                <w:p w14:paraId="1DB896D9"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41</w:t>
                  </w:r>
                </w:p>
              </w:tc>
              <w:tc>
                <w:tcPr>
                  <w:tcW w:w="0" w:type="auto"/>
                  <w:vAlign w:val="center"/>
                  <w:hideMark/>
                </w:tcPr>
                <w:p w14:paraId="4D7FBC4D"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114</w:t>
                  </w:r>
                </w:p>
              </w:tc>
              <w:tc>
                <w:tcPr>
                  <w:tcW w:w="0" w:type="auto"/>
                  <w:vAlign w:val="center"/>
                  <w:hideMark/>
                </w:tcPr>
                <w:p w14:paraId="3867BC07"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56</w:t>
                  </w:r>
                </w:p>
              </w:tc>
              <w:tc>
                <w:tcPr>
                  <w:tcW w:w="0" w:type="auto"/>
                  <w:vAlign w:val="center"/>
                  <w:hideMark/>
                </w:tcPr>
                <w:p w14:paraId="7EA51B27"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29</w:t>
                  </w:r>
                </w:p>
              </w:tc>
            </w:tr>
            <w:tr w:rsidR="00E07B4B" w:rsidRPr="00E07B4B" w14:paraId="53E6DFED" w14:textId="77777777" w:rsidTr="00E07B4B">
              <w:trPr>
                <w:tblCellSpacing w:w="15" w:type="dxa"/>
              </w:trPr>
              <w:tc>
                <w:tcPr>
                  <w:tcW w:w="0" w:type="auto"/>
                  <w:vAlign w:val="center"/>
                  <w:hideMark/>
                </w:tcPr>
                <w:p w14:paraId="33953BB7"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June</w:t>
                  </w:r>
                </w:p>
              </w:tc>
              <w:tc>
                <w:tcPr>
                  <w:tcW w:w="0" w:type="auto"/>
                  <w:vAlign w:val="center"/>
                  <w:hideMark/>
                </w:tcPr>
                <w:p w14:paraId="7F20A8A7"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525</w:t>
                  </w:r>
                </w:p>
              </w:tc>
              <w:tc>
                <w:tcPr>
                  <w:tcW w:w="0" w:type="auto"/>
                  <w:vAlign w:val="center"/>
                  <w:hideMark/>
                </w:tcPr>
                <w:p w14:paraId="22F31252"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264</w:t>
                  </w:r>
                </w:p>
              </w:tc>
              <w:tc>
                <w:tcPr>
                  <w:tcW w:w="0" w:type="auto"/>
                  <w:vAlign w:val="center"/>
                  <w:hideMark/>
                </w:tcPr>
                <w:p w14:paraId="62128CCF"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317</w:t>
                  </w:r>
                </w:p>
              </w:tc>
              <w:tc>
                <w:tcPr>
                  <w:tcW w:w="0" w:type="auto"/>
                  <w:vAlign w:val="center"/>
                  <w:hideMark/>
                </w:tcPr>
                <w:p w14:paraId="7CB0C3CD"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36</w:t>
                  </w:r>
                </w:p>
              </w:tc>
              <w:tc>
                <w:tcPr>
                  <w:tcW w:w="0" w:type="auto"/>
                  <w:vAlign w:val="center"/>
                  <w:hideMark/>
                </w:tcPr>
                <w:p w14:paraId="2454912D"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64</w:t>
                  </w:r>
                </w:p>
              </w:tc>
              <w:tc>
                <w:tcPr>
                  <w:tcW w:w="0" w:type="auto"/>
                  <w:vAlign w:val="center"/>
                  <w:hideMark/>
                </w:tcPr>
                <w:p w14:paraId="5B522F02"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84</w:t>
                  </w:r>
                </w:p>
              </w:tc>
              <w:tc>
                <w:tcPr>
                  <w:tcW w:w="0" w:type="auto"/>
                  <w:vAlign w:val="center"/>
                  <w:hideMark/>
                </w:tcPr>
                <w:p w14:paraId="7AE23A63"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22</w:t>
                  </w:r>
                </w:p>
              </w:tc>
            </w:tr>
            <w:tr w:rsidR="00E07B4B" w:rsidRPr="00E07B4B" w14:paraId="1CBB432D" w14:textId="77777777" w:rsidTr="00E07B4B">
              <w:trPr>
                <w:tblCellSpacing w:w="15" w:type="dxa"/>
              </w:trPr>
              <w:tc>
                <w:tcPr>
                  <w:tcW w:w="0" w:type="auto"/>
                  <w:vAlign w:val="center"/>
                  <w:hideMark/>
                </w:tcPr>
                <w:p w14:paraId="5B295998"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July</w:t>
                  </w:r>
                </w:p>
              </w:tc>
              <w:tc>
                <w:tcPr>
                  <w:tcW w:w="0" w:type="auto"/>
                  <w:vAlign w:val="center"/>
                  <w:hideMark/>
                </w:tcPr>
                <w:p w14:paraId="5C5EF588"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313</w:t>
                  </w:r>
                </w:p>
              </w:tc>
              <w:tc>
                <w:tcPr>
                  <w:tcW w:w="0" w:type="auto"/>
                  <w:vAlign w:val="center"/>
                  <w:hideMark/>
                </w:tcPr>
                <w:p w14:paraId="41FE5007"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645</w:t>
                  </w:r>
                </w:p>
              </w:tc>
              <w:tc>
                <w:tcPr>
                  <w:tcW w:w="0" w:type="auto"/>
                  <w:vAlign w:val="center"/>
                  <w:hideMark/>
                </w:tcPr>
                <w:p w14:paraId="5450EC6A"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63</w:t>
                  </w:r>
                </w:p>
              </w:tc>
              <w:tc>
                <w:tcPr>
                  <w:tcW w:w="0" w:type="auto"/>
                  <w:vAlign w:val="center"/>
                  <w:hideMark/>
                </w:tcPr>
                <w:p w14:paraId="3F8A9079"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64</w:t>
                  </w:r>
                </w:p>
              </w:tc>
              <w:tc>
                <w:tcPr>
                  <w:tcW w:w="0" w:type="auto"/>
                  <w:vAlign w:val="center"/>
                  <w:hideMark/>
                </w:tcPr>
                <w:p w14:paraId="41D5565C"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88</w:t>
                  </w:r>
                </w:p>
              </w:tc>
              <w:tc>
                <w:tcPr>
                  <w:tcW w:w="0" w:type="auto"/>
                  <w:vAlign w:val="center"/>
                  <w:hideMark/>
                </w:tcPr>
                <w:p w14:paraId="305EF08C"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84</w:t>
                  </w:r>
                </w:p>
              </w:tc>
              <w:tc>
                <w:tcPr>
                  <w:tcW w:w="0" w:type="auto"/>
                  <w:vAlign w:val="center"/>
                  <w:hideMark/>
                </w:tcPr>
                <w:p w14:paraId="453EFEA1"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17</w:t>
                  </w:r>
                </w:p>
              </w:tc>
            </w:tr>
            <w:tr w:rsidR="00E07B4B" w:rsidRPr="00E07B4B" w14:paraId="6CFAF7C1" w14:textId="77777777" w:rsidTr="00E07B4B">
              <w:trPr>
                <w:tblCellSpacing w:w="15" w:type="dxa"/>
              </w:trPr>
              <w:tc>
                <w:tcPr>
                  <w:tcW w:w="0" w:type="auto"/>
                  <w:vAlign w:val="center"/>
                  <w:hideMark/>
                </w:tcPr>
                <w:p w14:paraId="570CE346"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August</w:t>
                  </w:r>
                </w:p>
              </w:tc>
              <w:tc>
                <w:tcPr>
                  <w:tcW w:w="0" w:type="auto"/>
                  <w:vAlign w:val="center"/>
                  <w:hideMark/>
                </w:tcPr>
                <w:p w14:paraId="2477CAAD"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572</w:t>
                  </w:r>
                </w:p>
              </w:tc>
              <w:tc>
                <w:tcPr>
                  <w:tcW w:w="0" w:type="auto"/>
                  <w:vAlign w:val="center"/>
                  <w:hideMark/>
                </w:tcPr>
                <w:p w14:paraId="22A704F3"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258</w:t>
                  </w:r>
                </w:p>
              </w:tc>
              <w:tc>
                <w:tcPr>
                  <w:tcW w:w="0" w:type="auto"/>
                  <w:vAlign w:val="center"/>
                  <w:hideMark/>
                </w:tcPr>
                <w:p w14:paraId="7C75974B"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114</w:t>
                  </w:r>
                </w:p>
              </w:tc>
              <w:tc>
                <w:tcPr>
                  <w:tcW w:w="0" w:type="auto"/>
                  <w:vAlign w:val="center"/>
                  <w:hideMark/>
                </w:tcPr>
                <w:p w14:paraId="463A2137"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277</w:t>
                  </w:r>
                </w:p>
              </w:tc>
              <w:tc>
                <w:tcPr>
                  <w:tcW w:w="0" w:type="auto"/>
                  <w:vAlign w:val="center"/>
                  <w:hideMark/>
                </w:tcPr>
                <w:p w14:paraId="3F191652"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65</w:t>
                  </w:r>
                </w:p>
              </w:tc>
              <w:tc>
                <w:tcPr>
                  <w:tcW w:w="0" w:type="auto"/>
                  <w:vAlign w:val="center"/>
                  <w:hideMark/>
                </w:tcPr>
                <w:p w14:paraId="407A0B60"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33</w:t>
                  </w:r>
                </w:p>
              </w:tc>
              <w:tc>
                <w:tcPr>
                  <w:tcW w:w="0" w:type="auto"/>
                  <w:vAlign w:val="center"/>
                  <w:hideMark/>
                </w:tcPr>
                <w:p w14:paraId="25133592"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21</w:t>
                  </w:r>
                </w:p>
              </w:tc>
            </w:tr>
            <w:tr w:rsidR="00E07B4B" w:rsidRPr="00E07B4B" w14:paraId="5DD3F714" w14:textId="77777777" w:rsidTr="00E07B4B">
              <w:trPr>
                <w:tblCellSpacing w:w="15" w:type="dxa"/>
              </w:trPr>
              <w:tc>
                <w:tcPr>
                  <w:tcW w:w="0" w:type="auto"/>
                  <w:vAlign w:val="center"/>
                  <w:hideMark/>
                </w:tcPr>
                <w:p w14:paraId="72FF9F85"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September</w:t>
                  </w:r>
                </w:p>
              </w:tc>
              <w:tc>
                <w:tcPr>
                  <w:tcW w:w="0" w:type="auto"/>
                  <w:vAlign w:val="center"/>
                  <w:hideMark/>
                </w:tcPr>
                <w:p w14:paraId="5397AD9F"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329</w:t>
                  </w:r>
                </w:p>
              </w:tc>
              <w:tc>
                <w:tcPr>
                  <w:tcW w:w="0" w:type="auto"/>
                  <w:vAlign w:val="center"/>
                  <w:hideMark/>
                </w:tcPr>
                <w:p w14:paraId="7CEC93C9"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327</w:t>
                  </w:r>
                </w:p>
              </w:tc>
              <w:tc>
                <w:tcPr>
                  <w:tcW w:w="0" w:type="auto"/>
                  <w:vAlign w:val="center"/>
                  <w:hideMark/>
                </w:tcPr>
                <w:p w14:paraId="1AEE7CDC"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37</w:t>
                  </w:r>
                </w:p>
              </w:tc>
              <w:tc>
                <w:tcPr>
                  <w:tcW w:w="0" w:type="auto"/>
                  <w:vAlign w:val="center"/>
                  <w:hideMark/>
                </w:tcPr>
                <w:p w14:paraId="4A38BAB2"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51</w:t>
                  </w:r>
                </w:p>
              </w:tc>
              <w:tc>
                <w:tcPr>
                  <w:tcW w:w="0" w:type="auto"/>
                  <w:vAlign w:val="center"/>
                  <w:hideMark/>
                </w:tcPr>
                <w:p w14:paraId="7D5F1008"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68</w:t>
                  </w:r>
                </w:p>
              </w:tc>
              <w:tc>
                <w:tcPr>
                  <w:tcW w:w="0" w:type="auto"/>
                  <w:vAlign w:val="center"/>
                  <w:hideMark/>
                </w:tcPr>
                <w:p w14:paraId="42F70D26"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92</w:t>
                  </w:r>
                </w:p>
              </w:tc>
              <w:tc>
                <w:tcPr>
                  <w:tcW w:w="0" w:type="auto"/>
                  <w:vAlign w:val="center"/>
                  <w:hideMark/>
                </w:tcPr>
                <w:p w14:paraId="1AC04997"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20</w:t>
                  </w:r>
                </w:p>
              </w:tc>
            </w:tr>
            <w:tr w:rsidR="00E07B4B" w:rsidRPr="00E07B4B" w14:paraId="26DFE3CA" w14:textId="77777777" w:rsidTr="00E07B4B">
              <w:trPr>
                <w:tblCellSpacing w:w="15" w:type="dxa"/>
              </w:trPr>
              <w:tc>
                <w:tcPr>
                  <w:tcW w:w="0" w:type="auto"/>
                  <w:vAlign w:val="center"/>
                  <w:hideMark/>
                </w:tcPr>
                <w:p w14:paraId="27BA9036"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lastRenderedPageBreak/>
                    <w:t>October</w:t>
                  </w:r>
                </w:p>
              </w:tc>
              <w:tc>
                <w:tcPr>
                  <w:tcW w:w="0" w:type="auto"/>
                  <w:vAlign w:val="center"/>
                  <w:hideMark/>
                </w:tcPr>
                <w:p w14:paraId="3B3B2835"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1,332</w:t>
                  </w:r>
                </w:p>
              </w:tc>
              <w:tc>
                <w:tcPr>
                  <w:tcW w:w="0" w:type="auto"/>
                  <w:vAlign w:val="center"/>
                  <w:hideMark/>
                </w:tcPr>
                <w:p w14:paraId="678242C2"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298</w:t>
                  </w:r>
                </w:p>
              </w:tc>
              <w:tc>
                <w:tcPr>
                  <w:tcW w:w="0" w:type="auto"/>
                  <w:vAlign w:val="center"/>
                  <w:hideMark/>
                </w:tcPr>
                <w:p w14:paraId="0B47ED96"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26</w:t>
                  </w:r>
                </w:p>
              </w:tc>
              <w:tc>
                <w:tcPr>
                  <w:tcW w:w="0" w:type="auto"/>
                  <w:vAlign w:val="center"/>
                  <w:hideMark/>
                </w:tcPr>
                <w:p w14:paraId="6172568D"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156</w:t>
                  </w:r>
                </w:p>
              </w:tc>
              <w:tc>
                <w:tcPr>
                  <w:tcW w:w="0" w:type="auto"/>
                  <w:vAlign w:val="center"/>
                  <w:hideMark/>
                </w:tcPr>
                <w:p w14:paraId="7A6F4EDD"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52</w:t>
                  </w:r>
                </w:p>
              </w:tc>
              <w:tc>
                <w:tcPr>
                  <w:tcW w:w="0" w:type="auto"/>
                  <w:vAlign w:val="center"/>
                  <w:hideMark/>
                </w:tcPr>
                <w:p w14:paraId="1B3166DA"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59</w:t>
                  </w:r>
                </w:p>
              </w:tc>
              <w:tc>
                <w:tcPr>
                  <w:tcW w:w="0" w:type="auto"/>
                  <w:vAlign w:val="center"/>
                  <w:hideMark/>
                </w:tcPr>
                <w:p w14:paraId="514388B2"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23</w:t>
                  </w:r>
                </w:p>
              </w:tc>
            </w:tr>
            <w:tr w:rsidR="00E07B4B" w:rsidRPr="00E07B4B" w14:paraId="6A0BFA31" w14:textId="77777777" w:rsidTr="00E07B4B">
              <w:trPr>
                <w:tblCellSpacing w:w="15" w:type="dxa"/>
              </w:trPr>
              <w:tc>
                <w:tcPr>
                  <w:tcW w:w="0" w:type="auto"/>
                  <w:vAlign w:val="center"/>
                  <w:hideMark/>
                </w:tcPr>
                <w:p w14:paraId="76328F07"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November</w:t>
                  </w:r>
                </w:p>
              </w:tc>
              <w:tc>
                <w:tcPr>
                  <w:tcW w:w="0" w:type="auto"/>
                  <w:vAlign w:val="center"/>
                  <w:hideMark/>
                </w:tcPr>
                <w:p w14:paraId="0CA5E6CC"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1,116</w:t>
                  </w:r>
                </w:p>
              </w:tc>
              <w:tc>
                <w:tcPr>
                  <w:tcW w:w="0" w:type="auto"/>
                  <w:vAlign w:val="center"/>
                  <w:hideMark/>
                </w:tcPr>
                <w:p w14:paraId="5393DF46"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188</w:t>
                  </w:r>
                </w:p>
              </w:tc>
              <w:tc>
                <w:tcPr>
                  <w:tcW w:w="0" w:type="auto"/>
                  <w:vAlign w:val="center"/>
                  <w:hideMark/>
                </w:tcPr>
                <w:p w14:paraId="6AE95EFD"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74</w:t>
                  </w:r>
                </w:p>
              </w:tc>
              <w:tc>
                <w:tcPr>
                  <w:tcW w:w="0" w:type="auto"/>
                  <w:vAlign w:val="center"/>
                  <w:hideMark/>
                </w:tcPr>
                <w:p w14:paraId="15EDF298"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79</w:t>
                  </w:r>
                </w:p>
              </w:tc>
              <w:tc>
                <w:tcPr>
                  <w:tcW w:w="0" w:type="auto"/>
                  <w:vAlign w:val="center"/>
                  <w:hideMark/>
                </w:tcPr>
                <w:p w14:paraId="64806D3C"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48</w:t>
                  </w:r>
                </w:p>
              </w:tc>
              <w:tc>
                <w:tcPr>
                  <w:tcW w:w="0" w:type="auto"/>
                  <w:vAlign w:val="center"/>
                  <w:hideMark/>
                </w:tcPr>
                <w:p w14:paraId="2DEB8398"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92</w:t>
                  </w:r>
                </w:p>
              </w:tc>
              <w:tc>
                <w:tcPr>
                  <w:tcW w:w="0" w:type="auto"/>
                  <w:vAlign w:val="center"/>
                  <w:hideMark/>
                </w:tcPr>
                <w:p w14:paraId="3F242E2B"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127</w:t>
                  </w:r>
                </w:p>
              </w:tc>
            </w:tr>
            <w:tr w:rsidR="00E07B4B" w:rsidRPr="00E07B4B" w14:paraId="726EF174" w14:textId="77777777" w:rsidTr="00E07B4B">
              <w:trPr>
                <w:tblCellSpacing w:w="15" w:type="dxa"/>
              </w:trPr>
              <w:tc>
                <w:tcPr>
                  <w:tcW w:w="0" w:type="auto"/>
                  <w:vAlign w:val="center"/>
                  <w:hideMark/>
                </w:tcPr>
                <w:p w14:paraId="688A0A15"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December</w:t>
                  </w:r>
                </w:p>
              </w:tc>
              <w:tc>
                <w:tcPr>
                  <w:tcW w:w="0" w:type="auto"/>
                  <w:vAlign w:val="center"/>
                  <w:hideMark/>
                </w:tcPr>
                <w:p w14:paraId="12B1B122"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595</w:t>
                  </w:r>
                </w:p>
              </w:tc>
              <w:tc>
                <w:tcPr>
                  <w:tcW w:w="0" w:type="auto"/>
                  <w:vAlign w:val="center"/>
                  <w:hideMark/>
                </w:tcPr>
                <w:p w14:paraId="45E50F3D"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155</w:t>
                  </w:r>
                </w:p>
              </w:tc>
              <w:tc>
                <w:tcPr>
                  <w:tcW w:w="0" w:type="auto"/>
                  <w:vAlign w:val="center"/>
                  <w:hideMark/>
                </w:tcPr>
                <w:p w14:paraId="7F865F3D"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188</w:t>
                  </w:r>
                </w:p>
              </w:tc>
              <w:tc>
                <w:tcPr>
                  <w:tcW w:w="0" w:type="auto"/>
                  <w:vAlign w:val="center"/>
                  <w:hideMark/>
                </w:tcPr>
                <w:p w14:paraId="61009D52"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107</w:t>
                  </w:r>
                </w:p>
              </w:tc>
              <w:tc>
                <w:tcPr>
                  <w:tcW w:w="0" w:type="auto"/>
                  <w:vAlign w:val="center"/>
                  <w:hideMark/>
                </w:tcPr>
                <w:p w14:paraId="6FA03DDC"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39</w:t>
                  </w:r>
                </w:p>
              </w:tc>
              <w:tc>
                <w:tcPr>
                  <w:tcW w:w="0" w:type="auto"/>
                  <w:vAlign w:val="center"/>
                  <w:hideMark/>
                </w:tcPr>
                <w:p w14:paraId="7172106A"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26</w:t>
                  </w:r>
                </w:p>
              </w:tc>
              <w:tc>
                <w:tcPr>
                  <w:tcW w:w="0" w:type="auto"/>
                  <w:vAlign w:val="center"/>
                  <w:hideMark/>
                </w:tcPr>
                <w:p w14:paraId="3FEC9723"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sz w:val="20"/>
                      <w:szCs w:val="20"/>
                    </w:rPr>
                    <w:t>8</w:t>
                  </w:r>
                </w:p>
              </w:tc>
            </w:tr>
            <w:tr w:rsidR="00E07B4B" w:rsidRPr="00E07B4B" w14:paraId="46DCF770" w14:textId="77777777" w:rsidTr="00E07B4B">
              <w:trPr>
                <w:tblCellSpacing w:w="15" w:type="dxa"/>
              </w:trPr>
              <w:tc>
                <w:tcPr>
                  <w:tcW w:w="0" w:type="auto"/>
                  <w:vAlign w:val="center"/>
                  <w:hideMark/>
                </w:tcPr>
                <w:p w14:paraId="2531E3E2" w14:textId="77777777" w:rsidR="00E07B4B" w:rsidRPr="00E07B4B" w:rsidRDefault="00E07B4B" w:rsidP="00E07B4B">
                  <w:pPr>
                    <w:jc w:val="center"/>
                    <w:rPr>
                      <w:rFonts w:ascii="Times" w:eastAsia="Times New Roman" w:hAnsi="Times" w:cs="Times New Roman"/>
                      <w:b/>
                      <w:bCs/>
                      <w:sz w:val="20"/>
                      <w:szCs w:val="20"/>
                    </w:rPr>
                  </w:pPr>
                  <w:r w:rsidRPr="00E07B4B">
                    <w:rPr>
                      <w:rFonts w:ascii="Times" w:eastAsia="Times New Roman" w:hAnsi="Times" w:cs="Times New Roman"/>
                      <w:b/>
                      <w:bCs/>
                      <w:sz w:val="20"/>
                      <w:szCs w:val="20"/>
                    </w:rPr>
                    <w:t>Totals</w:t>
                  </w:r>
                </w:p>
              </w:tc>
              <w:tc>
                <w:tcPr>
                  <w:tcW w:w="0" w:type="auto"/>
                  <w:vAlign w:val="center"/>
                  <w:hideMark/>
                </w:tcPr>
                <w:p w14:paraId="06000895"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b/>
                      <w:bCs/>
                      <w:sz w:val="20"/>
                      <w:szCs w:val="20"/>
                    </w:rPr>
                    <w:t>3,744</w:t>
                  </w:r>
                </w:p>
              </w:tc>
              <w:tc>
                <w:tcPr>
                  <w:tcW w:w="0" w:type="auto"/>
                  <w:vAlign w:val="center"/>
                  <w:hideMark/>
                </w:tcPr>
                <w:p w14:paraId="4A55E770" w14:textId="77777777" w:rsidR="00E07B4B" w:rsidRPr="00E07B4B" w:rsidRDefault="00E07B4B" w:rsidP="00E07B4B">
                  <w:pPr>
                    <w:rPr>
                      <w:rFonts w:ascii="Times" w:eastAsia="Times New Roman" w:hAnsi="Times" w:cs="Times New Roman"/>
                      <w:sz w:val="20"/>
                      <w:szCs w:val="20"/>
                    </w:rPr>
                  </w:pPr>
                  <w:r w:rsidRPr="00E07B4B">
                    <w:rPr>
                      <w:rFonts w:ascii="Times" w:eastAsia="Times New Roman" w:hAnsi="Times" w:cs="Times New Roman"/>
                      <w:b/>
                      <w:bCs/>
                      <w:sz w:val="20"/>
                      <w:szCs w:val="20"/>
                    </w:rPr>
                    <w:t>1,095</w:t>
                  </w:r>
                </w:p>
              </w:tc>
              <w:tc>
                <w:tcPr>
                  <w:tcW w:w="0" w:type="auto"/>
                  <w:vAlign w:val="center"/>
                  <w:hideMark/>
                </w:tcPr>
                <w:p w14:paraId="5C9C8D13" w14:textId="77777777" w:rsidR="00E07B4B" w:rsidRPr="00E07B4B" w:rsidRDefault="00E07B4B" w:rsidP="00E07B4B">
                  <w:pPr>
                    <w:rPr>
                      <w:rFonts w:ascii="Times New Roman" w:eastAsia="Times New Roman" w:hAnsi="Times New Roman" w:cs="Times New Roman"/>
                      <w:sz w:val="20"/>
                      <w:szCs w:val="20"/>
                    </w:rPr>
                  </w:pPr>
                </w:p>
              </w:tc>
              <w:tc>
                <w:tcPr>
                  <w:tcW w:w="0" w:type="auto"/>
                  <w:vAlign w:val="center"/>
                  <w:hideMark/>
                </w:tcPr>
                <w:p w14:paraId="7CDD067D" w14:textId="77777777" w:rsidR="00E07B4B" w:rsidRPr="00E07B4B" w:rsidRDefault="00E07B4B" w:rsidP="00E07B4B">
                  <w:pPr>
                    <w:rPr>
                      <w:rFonts w:ascii="Times New Roman" w:eastAsia="Times New Roman" w:hAnsi="Times New Roman" w:cs="Times New Roman"/>
                      <w:sz w:val="20"/>
                      <w:szCs w:val="20"/>
                    </w:rPr>
                  </w:pPr>
                </w:p>
              </w:tc>
              <w:tc>
                <w:tcPr>
                  <w:tcW w:w="0" w:type="auto"/>
                  <w:vAlign w:val="center"/>
                  <w:hideMark/>
                </w:tcPr>
                <w:p w14:paraId="464EDB87" w14:textId="77777777" w:rsidR="00E07B4B" w:rsidRPr="00E07B4B" w:rsidRDefault="00E07B4B" w:rsidP="00E07B4B">
                  <w:pPr>
                    <w:rPr>
                      <w:rFonts w:ascii="Times New Roman" w:eastAsia="Times New Roman" w:hAnsi="Times New Roman" w:cs="Times New Roman"/>
                      <w:sz w:val="20"/>
                      <w:szCs w:val="20"/>
                    </w:rPr>
                  </w:pPr>
                </w:p>
              </w:tc>
              <w:tc>
                <w:tcPr>
                  <w:tcW w:w="0" w:type="auto"/>
                  <w:vAlign w:val="center"/>
                  <w:hideMark/>
                </w:tcPr>
                <w:p w14:paraId="5A489618" w14:textId="77777777" w:rsidR="00E07B4B" w:rsidRPr="00E07B4B" w:rsidRDefault="00E07B4B" w:rsidP="00E07B4B">
                  <w:pPr>
                    <w:rPr>
                      <w:rFonts w:ascii="Times New Roman" w:eastAsia="Times New Roman" w:hAnsi="Times New Roman" w:cs="Times New Roman"/>
                      <w:sz w:val="20"/>
                      <w:szCs w:val="20"/>
                    </w:rPr>
                  </w:pPr>
                </w:p>
              </w:tc>
              <w:tc>
                <w:tcPr>
                  <w:tcW w:w="0" w:type="auto"/>
                  <w:vAlign w:val="center"/>
                  <w:hideMark/>
                </w:tcPr>
                <w:p w14:paraId="2DB2FE92" w14:textId="77777777" w:rsidR="00E07B4B" w:rsidRPr="00E07B4B" w:rsidRDefault="00E07B4B" w:rsidP="00E07B4B">
                  <w:pPr>
                    <w:rPr>
                      <w:rFonts w:ascii="Times New Roman" w:eastAsia="Times New Roman" w:hAnsi="Times New Roman" w:cs="Times New Roman"/>
                      <w:sz w:val="20"/>
                      <w:szCs w:val="20"/>
                    </w:rPr>
                  </w:pPr>
                </w:p>
              </w:tc>
            </w:tr>
          </w:tbl>
          <w:p w14:paraId="10FC6B28" w14:textId="77777777" w:rsidR="00E07B4B" w:rsidRDefault="00E07B4B" w:rsidP="007477C2">
            <w:pPr>
              <w:spacing w:before="100" w:beforeAutospacing="1" w:after="100" w:afterAutospacing="1"/>
              <w:outlineLvl w:val="1"/>
              <w:rPr>
                <w:rFonts w:ascii="Times" w:eastAsia="Times New Roman" w:hAnsi="Times" w:cs="Times New Roman"/>
                <w:b/>
                <w:bCs/>
                <w:sz w:val="36"/>
                <w:szCs w:val="36"/>
              </w:rPr>
            </w:pPr>
          </w:p>
          <w:p w14:paraId="1ABAC74E" w14:textId="651F928D" w:rsidR="007477C2" w:rsidRPr="007477C2" w:rsidRDefault="00E07B4B" w:rsidP="00E07B4B">
            <w:pPr>
              <w:rPr>
                <w:rFonts w:ascii="Verdana" w:eastAsia="Times New Roman" w:hAnsi="Verdana" w:cs="Times New Roman"/>
                <w:sz w:val="16"/>
                <w:szCs w:val="16"/>
              </w:rPr>
            </w:pPr>
            <w:r>
              <w:rPr>
                <w:rFonts w:ascii="Times" w:hAnsi="Times" w:cs="Times New Roman"/>
                <w:sz w:val="20"/>
                <w:szCs w:val="20"/>
              </w:rPr>
              <w:t>T</w:t>
            </w:r>
            <w:r w:rsidR="007477C2" w:rsidRPr="007477C2">
              <w:rPr>
                <w:rFonts w:ascii="Times" w:hAnsi="Times" w:cs="Times New Roman"/>
                <w:sz w:val="20"/>
                <w:szCs w:val="20"/>
              </w:rPr>
              <w:t xml:space="preserve">he 7 Iraqi provinces (also called governorates) with the highest civilian death tolls in 2016, accounting between them for the vast majority of recorded deaths. These include areas held by IS, as well as the so-called ”Baghdad Belts” where the capital shares borders with Anbar, Salah al-Din, Diyala and Babylon, all of which led to the concentration of civilian casualties in these provinces. 9 </w:t>
            </w:r>
          </w:p>
          <w:p w14:paraId="0A7CAB85"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9 Province boundaries vary across commonly used maps of Iraq, particularly for Baghdad province, which is often </w:t>
            </w:r>
            <w:hyperlink r:id="rId12" w:history="1">
              <w:r w:rsidRPr="007477C2">
                <w:rPr>
                  <w:rFonts w:ascii="Times" w:hAnsi="Times" w:cs="Times New Roman"/>
                  <w:color w:val="0000FF"/>
                  <w:sz w:val="20"/>
                  <w:szCs w:val="20"/>
                  <w:u w:val="single"/>
                </w:rPr>
                <w:t xml:space="preserve">depicted as smaller </w:t>
              </w:r>
            </w:hyperlink>
            <w:r w:rsidRPr="007477C2">
              <w:rPr>
                <w:rFonts w:ascii="Times" w:hAnsi="Times" w:cs="Times New Roman"/>
                <w:sz w:val="20"/>
                <w:szCs w:val="20"/>
              </w:rPr>
              <w:t xml:space="preserve">than in Figure 2. IBC codes for both sets of boundaries and where necessary IBC province figures split the difference between these two versions in assigning deaths to bordering provinces. </w:t>
            </w:r>
          </w:p>
          <w:p w14:paraId="6BCCB8EC"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Three cities with significant death toll changes between 2014, 2015, and 2016 were Fallujah, Mosul and Al-Qayyarah. Fallujah had a noticeable decline, particularly in the last half of 2016. Al-Qayyarah as well witnessed a decline in the last four months of 2016, despite being the year’s third highest city in number of civilian deaths Iraq (overtaking Fallujah). In contrast Mosul casualties have dramatically increased over the full period, with the highest monthly Mosul death toll of the entire post-invasion period being in November 2016 (1,059 in one month alone, which is significantly more than the monthly death toll for the entire country prior to June 2013). </w:t>
            </w:r>
          </w:p>
          <w:p w14:paraId="27DF2B00" w14:textId="77777777" w:rsidR="007477C2" w:rsidRPr="007477C2" w:rsidRDefault="007477C2" w:rsidP="007477C2">
            <w:pPr>
              <w:spacing w:before="100" w:beforeAutospacing="1" w:after="100" w:afterAutospacing="1"/>
              <w:outlineLvl w:val="1"/>
              <w:rPr>
                <w:rFonts w:ascii="Times" w:eastAsia="Times New Roman" w:hAnsi="Times" w:cs="Times New Roman"/>
                <w:b/>
                <w:bCs/>
                <w:sz w:val="36"/>
                <w:szCs w:val="36"/>
              </w:rPr>
            </w:pPr>
            <w:r w:rsidRPr="007477C2">
              <w:rPr>
                <w:rFonts w:ascii="Times" w:eastAsia="Times New Roman" w:hAnsi="Times" w:cs="Times New Roman"/>
                <w:b/>
                <w:bCs/>
                <w:sz w:val="36"/>
                <w:szCs w:val="36"/>
              </w:rPr>
              <w:t xml:space="preserve">3. Large-scale incidents in 2016 and earlier </w:t>
            </w:r>
          </w:p>
          <w:p w14:paraId="37815CD1"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2016 also witnessed some particularly shocking events, even by post-invasion standards. An example of that is the most deadly ground-based bombing attack in Baghdad, which was claimed by IS and hit a very crowded market in the central area of Karrada, on the 3rd of July just one day before Muslims’ Eid al-Fitr, killing 324, including women, children and members of entire families, according to the latest reports. </w:t>
            </w:r>
          </w:p>
          <w:p w14:paraId="78D29224"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The second largest deadly bombing of 2016 took place in Shomali village, southeast of Hilla, on the 24th of November. The suicide attack was carried out using a fuel tanker and targeted buses carrying Muslim pilgrims returning from the religious rituals of Imam Hussein Arba'een in Karbala. The powerful explosion took the lives of up to 100 civilians, with casualties not limited to Iraqis but including nationals from Iran, Afghanistan and Pakistan. </w:t>
            </w:r>
          </w:p>
          <w:p w14:paraId="413D7593"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Another brutal attack shocked the world in 2016 on the 25th of March, when an IS child recruit detonated his suicide belt in the midst of a trophy award ceremony in Alexandria district, north of Hilla, killing 17 children, some as young as ten years old. </w:t>
            </w:r>
          </w:p>
          <w:p w14:paraId="6DD4640A" w14:textId="77777777" w:rsidR="007477C2" w:rsidRPr="007477C2" w:rsidRDefault="007477C2" w:rsidP="007477C2">
            <w:pPr>
              <w:rPr>
                <w:rFonts w:ascii="Verdana" w:eastAsia="Times New Roman" w:hAnsi="Verdana" w:cs="Times New Roman"/>
                <w:sz w:val="16"/>
                <w:szCs w:val="16"/>
              </w:rPr>
            </w:pPr>
            <w:r w:rsidRPr="007477C2">
              <w:rPr>
                <w:rFonts w:ascii="Verdana" w:eastAsia="Times New Roman" w:hAnsi="Verdana" w:cs="Times New Roman"/>
                <w:sz w:val="16"/>
                <w:szCs w:val="16"/>
              </w:rPr>
              <w:br/>
            </w:r>
          </w:p>
          <w:p w14:paraId="080EB318"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All deadly attacks are devastating to those affected by them, no matter their </w:t>
            </w:r>
            <w:r w:rsidRPr="007477C2">
              <w:rPr>
                <w:rFonts w:ascii="Times" w:hAnsi="Times" w:cs="Times New Roman"/>
                <w:sz w:val="20"/>
                <w:szCs w:val="20"/>
              </w:rPr>
              <w:lastRenderedPageBreak/>
              <w:t xml:space="preserve">scale. However for reference, the table below shows IBC’s list of all 19 suicide or IED attacks that killed 100 or more civilians in Iraq, from 2003-2016. A list for the same period that included attacks killing 50 or more would contain 97 entries (or 312 entries for those killing 25 or more, and 1,028 entries involving 10 or more deaths).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1614"/>
              <w:gridCol w:w="4030"/>
            </w:tblGrid>
            <w:tr w:rsidR="007477C2" w:rsidRPr="007477C2" w14:paraId="185ADB6C" w14:textId="77777777" w:rsidTr="007477C2">
              <w:trPr>
                <w:tblCellSpacing w:w="15" w:type="dxa"/>
              </w:trPr>
              <w:tc>
                <w:tcPr>
                  <w:tcW w:w="0" w:type="auto"/>
                  <w:gridSpan w:val="3"/>
                  <w:tcBorders>
                    <w:top w:val="nil"/>
                    <w:left w:val="nil"/>
                    <w:bottom w:val="nil"/>
                    <w:right w:val="nil"/>
                  </w:tcBorders>
                  <w:vAlign w:val="center"/>
                  <w:hideMark/>
                </w:tcPr>
                <w:p w14:paraId="36F96315" w14:textId="77777777" w:rsidR="007477C2" w:rsidRPr="007477C2" w:rsidRDefault="007477C2" w:rsidP="007477C2">
                  <w:pPr>
                    <w:jc w:val="center"/>
                    <w:rPr>
                      <w:rFonts w:ascii="Times" w:eastAsia="Times New Roman" w:hAnsi="Times" w:cs="Times New Roman"/>
                      <w:sz w:val="20"/>
                      <w:szCs w:val="20"/>
                    </w:rPr>
                  </w:pPr>
                  <w:r w:rsidRPr="007477C2">
                    <w:rPr>
                      <w:rFonts w:ascii="Times" w:eastAsia="Times New Roman" w:hAnsi="Times" w:cs="Times New Roman"/>
                      <w:sz w:val="20"/>
                      <w:szCs w:val="20"/>
                    </w:rPr>
                    <w:t>Table 10. Suicide or IED attacks killing more than 100 people, 2003-2016</w:t>
                  </w:r>
                </w:p>
              </w:tc>
            </w:tr>
            <w:tr w:rsidR="007477C2" w:rsidRPr="007477C2" w14:paraId="0DF21A76" w14:textId="77777777" w:rsidTr="007477C2">
              <w:trPr>
                <w:tblCellSpacing w:w="15" w:type="dxa"/>
              </w:trPr>
              <w:tc>
                <w:tcPr>
                  <w:tcW w:w="0" w:type="auto"/>
                  <w:vAlign w:val="center"/>
                  <w:hideMark/>
                </w:tcPr>
                <w:p w14:paraId="70A079F3"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IBC page</w:t>
                  </w:r>
                </w:p>
              </w:tc>
              <w:tc>
                <w:tcPr>
                  <w:tcW w:w="1250" w:type="pct"/>
                  <w:vAlign w:val="center"/>
                  <w:hideMark/>
                </w:tcPr>
                <w:p w14:paraId="57735690"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Date</w:t>
                  </w:r>
                </w:p>
              </w:tc>
              <w:tc>
                <w:tcPr>
                  <w:tcW w:w="0" w:type="auto"/>
                  <w:vAlign w:val="center"/>
                  <w:hideMark/>
                </w:tcPr>
                <w:p w14:paraId="7ECCB2BE"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Incident summary</w:t>
                  </w:r>
                </w:p>
              </w:tc>
            </w:tr>
            <w:tr w:rsidR="007477C2" w:rsidRPr="007477C2" w14:paraId="62859948" w14:textId="77777777" w:rsidTr="007477C2">
              <w:trPr>
                <w:tblCellSpacing w:w="15" w:type="dxa"/>
              </w:trPr>
              <w:tc>
                <w:tcPr>
                  <w:tcW w:w="0" w:type="auto"/>
                  <w:vAlign w:val="center"/>
                  <w:hideMark/>
                </w:tcPr>
                <w:p w14:paraId="1BEDE907" w14:textId="77777777" w:rsidR="007477C2" w:rsidRPr="007477C2" w:rsidRDefault="007477C2" w:rsidP="007477C2">
                  <w:pPr>
                    <w:jc w:val="center"/>
                    <w:rPr>
                      <w:rFonts w:ascii="Times" w:eastAsia="Times New Roman" w:hAnsi="Times" w:cs="Times New Roman"/>
                      <w:b/>
                      <w:bCs/>
                      <w:sz w:val="20"/>
                      <w:szCs w:val="20"/>
                    </w:rPr>
                  </w:pPr>
                  <w:hyperlink r:id="rId13" w:history="1">
                    <w:r w:rsidRPr="007477C2">
                      <w:rPr>
                        <w:rFonts w:ascii="Times" w:eastAsia="Times New Roman" w:hAnsi="Times" w:cs="Times New Roman"/>
                        <w:b/>
                        <w:bCs/>
                        <w:color w:val="0000FF"/>
                        <w:sz w:val="20"/>
                        <w:szCs w:val="20"/>
                        <w:u w:val="single"/>
                      </w:rPr>
                      <w:t>k021</w:t>
                    </w:r>
                  </w:hyperlink>
                </w:p>
              </w:tc>
              <w:tc>
                <w:tcPr>
                  <w:tcW w:w="0" w:type="auto"/>
                  <w:vAlign w:val="center"/>
                  <w:hideMark/>
                </w:tcPr>
                <w:p w14:paraId="111161F3"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 February 2004</w:t>
                  </w:r>
                </w:p>
              </w:tc>
              <w:tc>
                <w:tcPr>
                  <w:tcW w:w="0" w:type="auto"/>
                  <w:vAlign w:val="center"/>
                  <w:hideMark/>
                </w:tcPr>
                <w:p w14:paraId="62E767CA"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107-109 by suicide bombers in party offices in Irbil</w:t>
                  </w:r>
                </w:p>
              </w:tc>
            </w:tr>
            <w:tr w:rsidR="007477C2" w:rsidRPr="007477C2" w14:paraId="39E02F67" w14:textId="77777777" w:rsidTr="007477C2">
              <w:trPr>
                <w:tblCellSpacing w:w="15" w:type="dxa"/>
              </w:trPr>
              <w:tc>
                <w:tcPr>
                  <w:tcW w:w="0" w:type="auto"/>
                  <w:vAlign w:val="center"/>
                  <w:hideMark/>
                </w:tcPr>
                <w:p w14:paraId="3A564463" w14:textId="77777777" w:rsidR="007477C2" w:rsidRPr="007477C2" w:rsidRDefault="007477C2" w:rsidP="007477C2">
                  <w:pPr>
                    <w:jc w:val="center"/>
                    <w:rPr>
                      <w:rFonts w:ascii="Times" w:eastAsia="Times New Roman" w:hAnsi="Times" w:cs="Times New Roman"/>
                      <w:b/>
                      <w:bCs/>
                      <w:sz w:val="20"/>
                      <w:szCs w:val="20"/>
                    </w:rPr>
                  </w:pPr>
                  <w:hyperlink r:id="rId14" w:history="1">
                    <w:r w:rsidRPr="007477C2">
                      <w:rPr>
                        <w:rFonts w:ascii="Times" w:eastAsia="Times New Roman" w:hAnsi="Times" w:cs="Times New Roman"/>
                        <w:b/>
                        <w:bCs/>
                        <w:color w:val="0000FF"/>
                        <w:sz w:val="20"/>
                        <w:szCs w:val="20"/>
                        <w:u w:val="single"/>
                      </w:rPr>
                      <w:t>k022</w:t>
                    </w:r>
                  </w:hyperlink>
                </w:p>
              </w:tc>
              <w:tc>
                <w:tcPr>
                  <w:tcW w:w="0" w:type="auto"/>
                  <w:vAlign w:val="center"/>
                  <w:hideMark/>
                </w:tcPr>
                <w:p w14:paraId="1A8A4CA7"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2 March 2004</w:t>
                  </w:r>
                </w:p>
              </w:tc>
              <w:tc>
                <w:tcPr>
                  <w:tcW w:w="0" w:type="auto"/>
                  <w:vAlign w:val="center"/>
                  <w:hideMark/>
                </w:tcPr>
                <w:p w14:paraId="46AB6F78"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121 by suicide bombers in Karbala</w:t>
                  </w:r>
                </w:p>
              </w:tc>
            </w:tr>
            <w:tr w:rsidR="007477C2" w:rsidRPr="007477C2" w14:paraId="266837A3" w14:textId="77777777" w:rsidTr="007477C2">
              <w:trPr>
                <w:tblCellSpacing w:w="15" w:type="dxa"/>
              </w:trPr>
              <w:tc>
                <w:tcPr>
                  <w:tcW w:w="0" w:type="auto"/>
                  <w:vAlign w:val="center"/>
                  <w:hideMark/>
                </w:tcPr>
                <w:p w14:paraId="68874FF7" w14:textId="77777777" w:rsidR="007477C2" w:rsidRPr="007477C2" w:rsidRDefault="007477C2" w:rsidP="007477C2">
                  <w:pPr>
                    <w:jc w:val="center"/>
                    <w:rPr>
                      <w:rFonts w:ascii="Times" w:eastAsia="Times New Roman" w:hAnsi="Times" w:cs="Times New Roman"/>
                      <w:b/>
                      <w:bCs/>
                      <w:sz w:val="20"/>
                      <w:szCs w:val="20"/>
                    </w:rPr>
                  </w:pPr>
                  <w:hyperlink r:id="rId15" w:history="1">
                    <w:r w:rsidRPr="007477C2">
                      <w:rPr>
                        <w:rFonts w:ascii="Times" w:eastAsia="Times New Roman" w:hAnsi="Times" w:cs="Times New Roman"/>
                        <w:b/>
                        <w:bCs/>
                        <w:color w:val="0000FF"/>
                        <w:sz w:val="20"/>
                        <w:szCs w:val="20"/>
                        <w:u w:val="single"/>
                      </w:rPr>
                      <w:t>k991</w:t>
                    </w:r>
                  </w:hyperlink>
                </w:p>
              </w:tc>
              <w:tc>
                <w:tcPr>
                  <w:tcW w:w="0" w:type="auto"/>
                  <w:vAlign w:val="center"/>
                  <w:hideMark/>
                </w:tcPr>
                <w:p w14:paraId="2A13B6DC"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28 February 2005</w:t>
                  </w:r>
                </w:p>
              </w:tc>
              <w:tc>
                <w:tcPr>
                  <w:tcW w:w="0" w:type="auto"/>
                  <w:vAlign w:val="center"/>
                  <w:hideMark/>
                </w:tcPr>
                <w:p w14:paraId="515AE0A0"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125-136 by suicide car bomb in Hilla</w:t>
                  </w:r>
                </w:p>
              </w:tc>
            </w:tr>
            <w:tr w:rsidR="007477C2" w:rsidRPr="007477C2" w14:paraId="4F78556E" w14:textId="77777777" w:rsidTr="007477C2">
              <w:trPr>
                <w:tblCellSpacing w:w="15" w:type="dxa"/>
              </w:trPr>
              <w:tc>
                <w:tcPr>
                  <w:tcW w:w="0" w:type="auto"/>
                  <w:vAlign w:val="center"/>
                  <w:hideMark/>
                </w:tcPr>
                <w:p w14:paraId="072B3612" w14:textId="77777777" w:rsidR="007477C2" w:rsidRPr="007477C2" w:rsidRDefault="007477C2" w:rsidP="007477C2">
                  <w:pPr>
                    <w:jc w:val="center"/>
                    <w:rPr>
                      <w:rFonts w:ascii="Times" w:eastAsia="Times New Roman" w:hAnsi="Times" w:cs="Times New Roman"/>
                      <w:b/>
                      <w:bCs/>
                      <w:sz w:val="20"/>
                      <w:szCs w:val="20"/>
                    </w:rPr>
                  </w:pPr>
                  <w:hyperlink r:id="rId16" w:history="1">
                    <w:r w:rsidRPr="007477C2">
                      <w:rPr>
                        <w:rFonts w:ascii="Times" w:eastAsia="Times New Roman" w:hAnsi="Times" w:cs="Times New Roman"/>
                        <w:b/>
                        <w:bCs/>
                        <w:color w:val="0000FF"/>
                        <w:sz w:val="20"/>
                        <w:szCs w:val="20"/>
                        <w:u w:val="single"/>
                      </w:rPr>
                      <w:t>k1100</w:t>
                    </w:r>
                  </w:hyperlink>
                </w:p>
              </w:tc>
              <w:tc>
                <w:tcPr>
                  <w:tcW w:w="0" w:type="auto"/>
                  <w:vAlign w:val="center"/>
                  <w:hideMark/>
                </w:tcPr>
                <w:p w14:paraId="1FC5F974"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29 August 2003</w:t>
                  </w:r>
                </w:p>
              </w:tc>
              <w:tc>
                <w:tcPr>
                  <w:tcW w:w="0" w:type="auto"/>
                  <w:vAlign w:val="center"/>
                  <w:hideMark/>
                </w:tcPr>
                <w:p w14:paraId="08FF915D"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83-126 by car bombs at Imam Ali mosque, Najaf</w:t>
                  </w:r>
                </w:p>
              </w:tc>
            </w:tr>
            <w:tr w:rsidR="007477C2" w:rsidRPr="007477C2" w14:paraId="2512D6EF" w14:textId="77777777" w:rsidTr="007477C2">
              <w:trPr>
                <w:tblCellSpacing w:w="15" w:type="dxa"/>
              </w:trPr>
              <w:tc>
                <w:tcPr>
                  <w:tcW w:w="0" w:type="auto"/>
                  <w:vAlign w:val="center"/>
                  <w:hideMark/>
                </w:tcPr>
                <w:p w14:paraId="56724316" w14:textId="77777777" w:rsidR="007477C2" w:rsidRPr="007477C2" w:rsidRDefault="007477C2" w:rsidP="007477C2">
                  <w:pPr>
                    <w:jc w:val="center"/>
                    <w:rPr>
                      <w:rFonts w:ascii="Times" w:eastAsia="Times New Roman" w:hAnsi="Times" w:cs="Times New Roman"/>
                      <w:b/>
                      <w:bCs/>
                      <w:sz w:val="20"/>
                      <w:szCs w:val="20"/>
                    </w:rPr>
                  </w:pPr>
                  <w:hyperlink r:id="rId17" w:history="1">
                    <w:r w:rsidRPr="007477C2">
                      <w:rPr>
                        <w:rFonts w:ascii="Times" w:eastAsia="Times New Roman" w:hAnsi="Times" w:cs="Times New Roman"/>
                        <w:b/>
                        <w:bCs/>
                        <w:color w:val="0000FF"/>
                        <w:sz w:val="20"/>
                        <w:szCs w:val="20"/>
                        <w:u w:val="single"/>
                      </w:rPr>
                      <w:t>k1903</w:t>
                    </w:r>
                  </w:hyperlink>
                </w:p>
              </w:tc>
              <w:tc>
                <w:tcPr>
                  <w:tcW w:w="0" w:type="auto"/>
                  <w:vAlign w:val="center"/>
                  <w:hideMark/>
                </w:tcPr>
                <w:p w14:paraId="788492EF"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14 September 2005</w:t>
                  </w:r>
                </w:p>
              </w:tc>
              <w:tc>
                <w:tcPr>
                  <w:tcW w:w="0" w:type="auto"/>
                  <w:vAlign w:val="center"/>
                  <w:hideMark/>
                </w:tcPr>
                <w:p w14:paraId="1105C2E7"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111-114 by suicide bomb, Kadhimiya, Baghdad</w:t>
                  </w:r>
                </w:p>
              </w:tc>
            </w:tr>
            <w:tr w:rsidR="007477C2" w:rsidRPr="007477C2" w14:paraId="08638DFC" w14:textId="77777777" w:rsidTr="007477C2">
              <w:trPr>
                <w:tblCellSpacing w:w="15" w:type="dxa"/>
              </w:trPr>
              <w:tc>
                <w:tcPr>
                  <w:tcW w:w="0" w:type="auto"/>
                  <w:vAlign w:val="center"/>
                  <w:hideMark/>
                </w:tcPr>
                <w:p w14:paraId="5ECC5F72" w14:textId="77777777" w:rsidR="007477C2" w:rsidRPr="007477C2" w:rsidRDefault="007477C2" w:rsidP="007477C2">
                  <w:pPr>
                    <w:jc w:val="center"/>
                    <w:rPr>
                      <w:rFonts w:ascii="Times" w:eastAsia="Times New Roman" w:hAnsi="Times" w:cs="Times New Roman"/>
                      <w:b/>
                      <w:bCs/>
                      <w:sz w:val="20"/>
                      <w:szCs w:val="20"/>
                    </w:rPr>
                  </w:pPr>
                  <w:hyperlink r:id="rId18" w:history="1">
                    <w:r w:rsidRPr="007477C2">
                      <w:rPr>
                        <w:rFonts w:ascii="Times" w:eastAsia="Times New Roman" w:hAnsi="Times" w:cs="Times New Roman"/>
                        <w:b/>
                        <w:bCs/>
                        <w:color w:val="0000FF"/>
                        <w:sz w:val="20"/>
                        <w:szCs w:val="20"/>
                        <w:u w:val="single"/>
                      </w:rPr>
                      <w:t>k1981</w:t>
                    </w:r>
                  </w:hyperlink>
                </w:p>
              </w:tc>
              <w:tc>
                <w:tcPr>
                  <w:tcW w:w="0" w:type="auto"/>
                  <w:vAlign w:val="center"/>
                  <w:hideMark/>
                </w:tcPr>
                <w:p w14:paraId="61768356"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29 September 2005</w:t>
                  </w:r>
                </w:p>
              </w:tc>
              <w:tc>
                <w:tcPr>
                  <w:tcW w:w="0" w:type="auto"/>
                  <w:vAlign w:val="center"/>
                  <w:hideMark/>
                </w:tcPr>
                <w:p w14:paraId="1A995BCD"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99-102 by car bombs in Balad</w:t>
                  </w:r>
                </w:p>
              </w:tc>
            </w:tr>
            <w:tr w:rsidR="007477C2" w:rsidRPr="007477C2" w14:paraId="337C03AE" w14:textId="77777777" w:rsidTr="007477C2">
              <w:trPr>
                <w:tblCellSpacing w:w="15" w:type="dxa"/>
              </w:trPr>
              <w:tc>
                <w:tcPr>
                  <w:tcW w:w="0" w:type="auto"/>
                  <w:vAlign w:val="center"/>
                  <w:hideMark/>
                </w:tcPr>
                <w:p w14:paraId="6E4AAD19" w14:textId="77777777" w:rsidR="007477C2" w:rsidRPr="007477C2" w:rsidRDefault="007477C2" w:rsidP="007477C2">
                  <w:pPr>
                    <w:jc w:val="center"/>
                    <w:rPr>
                      <w:rFonts w:ascii="Times" w:eastAsia="Times New Roman" w:hAnsi="Times" w:cs="Times New Roman"/>
                      <w:b/>
                      <w:bCs/>
                      <w:sz w:val="20"/>
                      <w:szCs w:val="20"/>
                    </w:rPr>
                  </w:pPr>
                  <w:hyperlink r:id="rId19" w:history="1">
                    <w:r w:rsidRPr="007477C2">
                      <w:rPr>
                        <w:rFonts w:ascii="Times" w:eastAsia="Times New Roman" w:hAnsi="Times" w:cs="Times New Roman"/>
                        <w:b/>
                        <w:bCs/>
                        <w:color w:val="0000FF"/>
                        <w:sz w:val="20"/>
                        <w:szCs w:val="20"/>
                        <w:u w:val="single"/>
                      </w:rPr>
                      <w:t>k4710</w:t>
                    </w:r>
                  </w:hyperlink>
                </w:p>
              </w:tc>
              <w:tc>
                <w:tcPr>
                  <w:tcW w:w="0" w:type="auto"/>
                  <w:vAlign w:val="center"/>
                  <w:hideMark/>
                </w:tcPr>
                <w:p w14:paraId="41DF8CE5"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23 November 2006</w:t>
                  </w:r>
                </w:p>
              </w:tc>
              <w:tc>
                <w:tcPr>
                  <w:tcW w:w="0" w:type="auto"/>
                  <w:vAlign w:val="center"/>
                  <w:hideMark/>
                </w:tcPr>
                <w:p w14:paraId="382D0DED"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215 by bombs, mortars in Sadr City, Baghdad</w:t>
                  </w:r>
                </w:p>
              </w:tc>
            </w:tr>
            <w:tr w:rsidR="007477C2" w:rsidRPr="007477C2" w14:paraId="446562E1" w14:textId="77777777" w:rsidTr="007477C2">
              <w:trPr>
                <w:tblCellSpacing w:w="15" w:type="dxa"/>
              </w:trPr>
              <w:tc>
                <w:tcPr>
                  <w:tcW w:w="0" w:type="auto"/>
                  <w:vAlign w:val="center"/>
                  <w:hideMark/>
                </w:tcPr>
                <w:p w14:paraId="37A60819" w14:textId="77777777" w:rsidR="007477C2" w:rsidRPr="007477C2" w:rsidRDefault="007477C2" w:rsidP="007477C2">
                  <w:pPr>
                    <w:jc w:val="center"/>
                    <w:rPr>
                      <w:rFonts w:ascii="Times" w:eastAsia="Times New Roman" w:hAnsi="Times" w:cs="Times New Roman"/>
                      <w:b/>
                      <w:bCs/>
                      <w:sz w:val="20"/>
                      <w:szCs w:val="20"/>
                    </w:rPr>
                  </w:pPr>
                  <w:hyperlink r:id="rId20" w:history="1">
                    <w:r w:rsidRPr="007477C2">
                      <w:rPr>
                        <w:rFonts w:ascii="Times" w:eastAsia="Times New Roman" w:hAnsi="Times" w:cs="Times New Roman"/>
                        <w:b/>
                        <w:bCs/>
                        <w:color w:val="0000FF"/>
                        <w:sz w:val="20"/>
                        <w:szCs w:val="20"/>
                        <w:u w:val="single"/>
                      </w:rPr>
                      <w:t>k5356</w:t>
                    </w:r>
                  </w:hyperlink>
                </w:p>
              </w:tc>
              <w:tc>
                <w:tcPr>
                  <w:tcW w:w="0" w:type="auto"/>
                  <w:vAlign w:val="center"/>
                  <w:hideMark/>
                </w:tcPr>
                <w:p w14:paraId="77917168"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3 February 2007</w:t>
                  </w:r>
                </w:p>
              </w:tc>
              <w:tc>
                <w:tcPr>
                  <w:tcW w:w="0" w:type="auto"/>
                  <w:vAlign w:val="center"/>
                  <w:hideMark/>
                </w:tcPr>
                <w:p w14:paraId="21B8AA2E"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136-137 by suicide truck bomb in market, Sadriya, Baghdad</w:t>
                  </w:r>
                </w:p>
              </w:tc>
            </w:tr>
            <w:tr w:rsidR="007477C2" w:rsidRPr="007477C2" w14:paraId="1D3DE231" w14:textId="77777777" w:rsidTr="007477C2">
              <w:trPr>
                <w:tblCellSpacing w:w="15" w:type="dxa"/>
              </w:trPr>
              <w:tc>
                <w:tcPr>
                  <w:tcW w:w="0" w:type="auto"/>
                  <w:vAlign w:val="center"/>
                  <w:hideMark/>
                </w:tcPr>
                <w:p w14:paraId="008F261D" w14:textId="77777777" w:rsidR="007477C2" w:rsidRPr="007477C2" w:rsidRDefault="007477C2" w:rsidP="007477C2">
                  <w:pPr>
                    <w:jc w:val="center"/>
                    <w:rPr>
                      <w:rFonts w:ascii="Times" w:eastAsia="Times New Roman" w:hAnsi="Times" w:cs="Times New Roman"/>
                      <w:b/>
                      <w:bCs/>
                      <w:sz w:val="20"/>
                      <w:szCs w:val="20"/>
                    </w:rPr>
                  </w:pPr>
                  <w:hyperlink r:id="rId21" w:history="1">
                    <w:r w:rsidRPr="007477C2">
                      <w:rPr>
                        <w:rFonts w:ascii="Times" w:eastAsia="Times New Roman" w:hAnsi="Times" w:cs="Times New Roman"/>
                        <w:b/>
                        <w:bCs/>
                        <w:color w:val="0000FF"/>
                        <w:sz w:val="20"/>
                        <w:szCs w:val="20"/>
                        <w:u w:val="single"/>
                      </w:rPr>
                      <w:t>k5659</w:t>
                    </w:r>
                  </w:hyperlink>
                </w:p>
              </w:tc>
              <w:tc>
                <w:tcPr>
                  <w:tcW w:w="0" w:type="auto"/>
                  <w:vAlign w:val="center"/>
                  <w:hideMark/>
                </w:tcPr>
                <w:p w14:paraId="0EB5C7E2"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6 March 2007</w:t>
                  </w:r>
                </w:p>
              </w:tc>
              <w:tc>
                <w:tcPr>
                  <w:tcW w:w="0" w:type="auto"/>
                  <w:vAlign w:val="center"/>
                  <w:hideMark/>
                </w:tcPr>
                <w:p w14:paraId="6EC1D60F"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118-120 Shiite pilgrims by suicide bombers in Hilla</w:t>
                  </w:r>
                </w:p>
              </w:tc>
            </w:tr>
            <w:tr w:rsidR="007477C2" w:rsidRPr="007477C2" w14:paraId="690CB89A" w14:textId="77777777" w:rsidTr="007477C2">
              <w:trPr>
                <w:tblCellSpacing w:w="15" w:type="dxa"/>
              </w:trPr>
              <w:tc>
                <w:tcPr>
                  <w:tcW w:w="0" w:type="auto"/>
                  <w:vAlign w:val="center"/>
                  <w:hideMark/>
                </w:tcPr>
                <w:p w14:paraId="6A1B40D9" w14:textId="77777777" w:rsidR="007477C2" w:rsidRPr="007477C2" w:rsidRDefault="007477C2" w:rsidP="007477C2">
                  <w:pPr>
                    <w:jc w:val="center"/>
                    <w:rPr>
                      <w:rFonts w:ascii="Times" w:eastAsia="Times New Roman" w:hAnsi="Times" w:cs="Times New Roman"/>
                      <w:b/>
                      <w:bCs/>
                      <w:sz w:val="20"/>
                      <w:szCs w:val="20"/>
                    </w:rPr>
                  </w:pPr>
                  <w:hyperlink r:id="rId22" w:history="1">
                    <w:r w:rsidRPr="007477C2">
                      <w:rPr>
                        <w:rFonts w:ascii="Times" w:eastAsia="Times New Roman" w:hAnsi="Times" w:cs="Times New Roman"/>
                        <w:b/>
                        <w:bCs/>
                        <w:color w:val="0000FF"/>
                        <w:sz w:val="20"/>
                        <w:szCs w:val="20"/>
                        <w:u w:val="single"/>
                      </w:rPr>
                      <w:t>k5897</w:t>
                    </w:r>
                  </w:hyperlink>
                </w:p>
              </w:tc>
              <w:tc>
                <w:tcPr>
                  <w:tcW w:w="0" w:type="auto"/>
                  <w:vAlign w:val="center"/>
                  <w:hideMark/>
                </w:tcPr>
                <w:p w14:paraId="3293B6E0"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27 March 2007</w:t>
                  </w:r>
                </w:p>
              </w:tc>
              <w:tc>
                <w:tcPr>
                  <w:tcW w:w="0" w:type="auto"/>
                  <w:vAlign w:val="center"/>
                  <w:hideMark/>
                </w:tcPr>
                <w:p w14:paraId="67DB7462"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152 by truck bombs in market, Tal Afar</w:t>
                  </w:r>
                </w:p>
              </w:tc>
            </w:tr>
            <w:tr w:rsidR="007477C2" w:rsidRPr="007477C2" w14:paraId="57B3B902" w14:textId="77777777" w:rsidTr="007477C2">
              <w:trPr>
                <w:tblCellSpacing w:w="15" w:type="dxa"/>
              </w:trPr>
              <w:tc>
                <w:tcPr>
                  <w:tcW w:w="0" w:type="auto"/>
                  <w:vAlign w:val="center"/>
                  <w:hideMark/>
                </w:tcPr>
                <w:p w14:paraId="2812E674" w14:textId="77777777" w:rsidR="007477C2" w:rsidRPr="007477C2" w:rsidRDefault="007477C2" w:rsidP="007477C2">
                  <w:pPr>
                    <w:jc w:val="center"/>
                    <w:rPr>
                      <w:rFonts w:ascii="Times" w:eastAsia="Times New Roman" w:hAnsi="Times" w:cs="Times New Roman"/>
                      <w:b/>
                      <w:bCs/>
                      <w:sz w:val="20"/>
                      <w:szCs w:val="20"/>
                    </w:rPr>
                  </w:pPr>
                  <w:hyperlink r:id="rId23" w:history="1">
                    <w:r w:rsidRPr="007477C2">
                      <w:rPr>
                        <w:rFonts w:ascii="Times" w:eastAsia="Times New Roman" w:hAnsi="Times" w:cs="Times New Roman"/>
                        <w:b/>
                        <w:bCs/>
                        <w:color w:val="0000FF"/>
                        <w:sz w:val="20"/>
                        <w:szCs w:val="20"/>
                        <w:u w:val="single"/>
                      </w:rPr>
                      <w:t>k6112</w:t>
                    </w:r>
                  </w:hyperlink>
                </w:p>
              </w:tc>
              <w:tc>
                <w:tcPr>
                  <w:tcW w:w="0" w:type="auto"/>
                  <w:vAlign w:val="center"/>
                  <w:hideMark/>
                </w:tcPr>
                <w:p w14:paraId="781FC94D"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18 April 2007</w:t>
                  </w:r>
                </w:p>
              </w:tc>
              <w:tc>
                <w:tcPr>
                  <w:tcW w:w="0" w:type="auto"/>
                  <w:vAlign w:val="center"/>
                  <w:hideMark/>
                </w:tcPr>
                <w:p w14:paraId="767A9504"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140 by car bomb, Sadriya food market, Baghdad</w:t>
                  </w:r>
                </w:p>
              </w:tc>
            </w:tr>
            <w:tr w:rsidR="007477C2" w:rsidRPr="007477C2" w14:paraId="64A31803" w14:textId="77777777" w:rsidTr="007477C2">
              <w:trPr>
                <w:tblCellSpacing w:w="15" w:type="dxa"/>
              </w:trPr>
              <w:tc>
                <w:tcPr>
                  <w:tcW w:w="0" w:type="auto"/>
                  <w:vAlign w:val="center"/>
                  <w:hideMark/>
                </w:tcPr>
                <w:p w14:paraId="24CD53A0" w14:textId="77777777" w:rsidR="007477C2" w:rsidRPr="007477C2" w:rsidRDefault="007477C2" w:rsidP="007477C2">
                  <w:pPr>
                    <w:jc w:val="center"/>
                    <w:rPr>
                      <w:rFonts w:ascii="Times" w:eastAsia="Times New Roman" w:hAnsi="Times" w:cs="Times New Roman"/>
                      <w:b/>
                      <w:bCs/>
                      <w:sz w:val="20"/>
                      <w:szCs w:val="20"/>
                    </w:rPr>
                  </w:pPr>
                  <w:hyperlink r:id="rId24" w:history="1">
                    <w:r w:rsidRPr="007477C2">
                      <w:rPr>
                        <w:rFonts w:ascii="Times" w:eastAsia="Times New Roman" w:hAnsi="Times" w:cs="Times New Roman"/>
                        <w:b/>
                        <w:bCs/>
                        <w:color w:val="0000FF"/>
                        <w:sz w:val="20"/>
                        <w:szCs w:val="20"/>
                        <w:u w:val="single"/>
                      </w:rPr>
                      <w:t>k6891</w:t>
                    </w:r>
                  </w:hyperlink>
                </w:p>
              </w:tc>
              <w:tc>
                <w:tcPr>
                  <w:tcW w:w="0" w:type="auto"/>
                  <w:vAlign w:val="center"/>
                  <w:hideMark/>
                </w:tcPr>
                <w:p w14:paraId="740DE90E"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7 July 2007</w:t>
                  </w:r>
                </w:p>
              </w:tc>
              <w:tc>
                <w:tcPr>
                  <w:tcW w:w="0" w:type="auto"/>
                  <w:vAlign w:val="center"/>
                  <w:hideMark/>
                </w:tcPr>
                <w:p w14:paraId="54B2A64F"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159-160 by suicide truck bomb in market, Amerli, near Tuz Khurmato</w:t>
                  </w:r>
                </w:p>
              </w:tc>
            </w:tr>
            <w:tr w:rsidR="007477C2" w:rsidRPr="007477C2" w14:paraId="31ADACD2" w14:textId="77777777" w:rsidTr="007477C2">
              <w:trPr>
                <w:tblCellSpacing w:w="15" w:type="dxa"/>
              </w:trPr>
              <w:tc>
                <w:tcPr>
                  <w:tcW w:w="0" w:type="auto"/>
                  <w:vAlign w:val="center"/>
                  <w:hideMark/>
                </w:tcPr>
                <w:p w14:paraId="5FDD19D5" w14:textId="77777777" w:rsidR="007477C2" w:rsidRPr="007477C2" w:rsidRDefault="007477C2" w:rsidP="007477C2">
                  <w:pPr>
                    <w:jc w:val="center"/>
                    <w:rPr>
                      <w:rFonts w:ascii="Times" w:eastAsia="Times New Roman" w:hAnsi="Times" w:cs="Times New Roman"/>
                      <w:b/>
                      <w:bCs/>
                      <w:sz w:val="20"/>
                      <w:szCs w:val="20"/>
                    </w:rPr>
                  </w:pPr>
                  <w:hyperlink r:id="rId25" w:history="1">
                    <w:r w:rsidRPr="007477C2">
                      <w:rPr>
                        <w:rFonts w:ascii="Times" w:eastAsia="Times New Roman" w:hAnsi="Times" w:cs="Times New Roman"/>
                        <w:b/>
                        <w:bCs/>
                        <w:color w:val="0000FF"/>
                        <w:sz w:val="20"/>
                        <w:szCs w:val="20"/>
                        <w:u w:val="single"/>
                      </w:rPr>
                      <w:t>k7225</w:t>
                    </w:r>
                  </w:hyperlink>
                </w:p>
              </w:tc>
              <w:tc>
                <w:tcPr>
                  <w:tcW w:w="0" w:type="auto"/>
                  <w:vAlign w:val="center"/>
                  <w:hideMark/>
                </w:tcPr>
                <w:p w14:paraId="4034EC0D"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14 August 2007</w:t>
                  </w:r>
                </w:p>
              </w:tc>
              <w:tc>
                <w:tcPr>
                  <w:tcW w:w="0" w:type="auto"/>
                  <w:vAlign w:val="center"/>
                  <w:hideMark/>
                </w:tcPr>
                <w:p w14:paraId="4950893C"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516-525 by suicide fuel tanker bombs in Yazidi villages, Sinjar area</w:t>
                  </w:r>
                </w:p>
              </w:tc>
            </w:tr>
            <w:tr w:rsidR="007477C2" w:rsidRPr="007477C2" w14:paraId="4EAF5C58" w14:textId="77777777" w:rsidTr="007477C2">
              <w:trPr>
                <w:tblCellSpacing w:w="15" w:type="dxa"/>
              </w:trPr>
              <w:tc>
                <w:tcPr>
                  <w:tcW w:w="0" w:type="auto"/>
                  <w:vAlign w:val="center"/>
                  <w:hideMark/>
                </w:tcPr>
                <w:p w14:paraId="6ECBCEF3" w14:textId="77777777" w:rsidR="007477C2" w:rsidRPr="007477C2" w:rsidRDefault="007477C2" w:rsidP="007477C2">
                  <w:pPr>
                    <w:jc w:val="center"/>
                    <w:rPr>
                      <w:rFonts w:ascii="Times" w:eastAsia="Times New Roman" w:hAnsi="Times" w:cs="Times New Roman"/>
                      <w:b/>
                      <w:bCs/>
                      <w:sz w:val="20"/>
                      <w:szCs w:val="20"/>
                    </w:rPr>
                  </w:pPr>
                  <w:hyperlink r:id="rId26" w:history="1">
                    <w:r w:rsidRPr="007477C2">
                      <w:rPr>
                        <w:rFonts w:ascii="Times" w:eastAsia="Times New Roman" w:hAnsi="Times" w:cs="Times New Roman"/>
                        <w:b/>
                        <w:bCs/>
                        <w:color w:val="0000FF"/>
                        <w:sz w:val="20"/>
                        <w:szCs w:val="20"/>
                        <w:u w:val="single"/>
                      </w:rPr>
                      <w:t>k13866</w:t>
                    </w:r>
                  </w:hyperlink>
                </w:p>
              </w:tc>
              <w:tc>
                <w:tcPr>
                  <w:tcW w:w="0" w:type="auto"/>
                  <w:vAlign w:val="center"/>
                  <w:hideMark/>
                </w:tcPr>
                <w:p w14:paraId="1BCF383D"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19 August 2009</w:t>
                  </w:r>
                </w:p>
              </w:tc>
              <w:tc>
                <w:tcPr>
                  <w:tcW w:w="0" w:type="auto"/>
                  <w:vAlign w:val="center"/>
                  <w:hideMark/>
                </w:tcPr>
                <w:p w14:paraId="77AD4EA7"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130-132 in multiple bombings in Baghdad</w:t>
                  </w:r>
                </w:p>
              </w:tc>
            </w:tr>
            <w:tr w:rsidR="007477C2" w:rsidRPr="007477C2" w14:paraId="30D6F62D" w14:textId="77777777" w:rsidTr="007477C2">
              <w:trPr>
                <w:tblCellSpacing w:w="15" w:type="dxa"/>
              </w:trPr>
              <w:tc>
                <w:tcPr>
                  <w:tcW w:w="0" w:type="auto"/>
                  <w:vAlign w:val="center"/>
                  <w:hideMark/>
                </w:tcPr>
                <w:p w14:paraId="38768997" w14:textId="77777777" w:rsidR="007477C2" w:rsidRPr="007477C2" w:rsidRDefault="007477C2" w:rsidP="007477C2">
                  <w:pPr>
                    <w:jc w:val="center"/>
                    <w:rPr>
                      <w:rFonts w:ascii="Times" w:eastAsia="Times New Roman" w:hAnsi="Times" w:cs="Times New Roman"/>
                      <w:b/>
                      <w:bCs/>
                      <w:sz w:val="20"/>
                      <w:szCs w:val="20"/>
                    </w:rPr>
                  </w:pPr>
                  <w:hyperlink r:id="rId27" w:history="1">
                    <w:r w:rsidRPr="007477C2">
                      <w:rPr>
                        <w:rFonts w:ascii="Times" w:eastAsia="Times New Roman" w:hAnsi="Times" w:cs="Times New Roman"/>
                        <w:b/>
                        <w:bCs/>
                        <w:color w:val="0000FF"/>
                        <w:sz w:val="20"/>
                        <w:szCs w:val="20"/>
                        <w:u w:val="single"/>
                      </w:rPr>
                      <w:t>k14203</w:t>
                    </w:r>
                  </w:hyperlink>
                </w:p>
              </w:tc>
              <w:tc>
                <w:tcPr>
                  <w:tcW w:w="0" w:type="auto"/>
                  <w:vAlign w:val="center"/>
                  <w:hideMark/>
                </w:tcPr>
                <w:p w14:paraId="368935BB"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25 October 2009</w:t>
                  </w:r>
                </w:p>
              </w:tc>
              <w:tc>
                <w:tcPr>
                  <w:tcW w:w="0" w:type="auto"/>
                  <w:vAlign w:val="center"/>
                  <w:hideMark/>
                </w:tcPr>
                <w:p w14:paraId="48DF1289"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150-152 in suicide truck bombings, Haifa Street, central Baghdad</w:t>
                  </w:r>
                </w:p>
              </w:tc>
            </w:tr>
            <w:tr w:rsidR="007477C2" w:rsidRPr="007477C2" w14:paraId="00AD0C2A" w14:textId="77777777" w:rsidTr="007477C2">
              <w:trPr>
                <w:tblCellSpacing w:w="15" w:type="dxa"/>
              </w:trPr>
              <w:tc>
                <w:tcPr>
                  <w:tcW w:w="0" w:type="auto"/>
                  <w:vAlign w:val="center"/>
                  <w:hideMark/>
                </w:tcPr>
                <w:p w14:paraId="41AEDF1C" w14:textId="77777777" w:rsidR="007477C2" w:rsidRPr="007477C2" w:rsidRDefault="007477C2" w:rsidP="007477C2">
                  <w:pPr>
                    <w:jc w:val="center"/>
                    <w:rPr>
                      <w:rFonts w:ascii="Times" w:eastAsia="Times New Roman" w:hAnsi="Times" w:cs="Times New Roman"/>
                      <w:b/>
                      <w:bCs/>
                      <w:sz w:val="20"/>
                      <w:szCs w:val="20"/>
                    </w:rPr>
                  </w:pPr>
                  <w:hyperlink r:id="rId28" w:history="1">
                    <w:r w:rsidRPr="007477C2">
                      <w:rPr>
                        <w:rFonts w:ascii="Times" w:eastAsia="Times New Roman" w:hAnsi="Times" w:cs="Times New Roman"/>
                        <w:b/>
                        <w:bCs/>
                        <w:color w:val="0000FF"/>
                        <w:sz w:val="20"/>
                        <w:szCs w:val="20"/>
                        <w:u w:val="single"/>
                      </w:rPr>
                      <w:t>k14379</w:t>
                    </w:r>
                  </w:hyperlink>
                </w:p>
              </w:tc>
              <w:tc>
                <w:tcPr>
                  <w:tcW w:w="0" w:type="auto"/>
                  <w:vAlign w:val="center"/>
                  <w:hideMark/>
                </w:tcPr>
                <w:p w14:paraId="6CB208F0"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8 December 2009</w:t>
                  </w:r>
                </w:p>
              </w:tc>
              <w:tc>
                <w:tcPr>
                  <w:tcW w:w="0" w:type="auto"/>
                  <w:vAlign w:val="center"/>
                  <w:hideMark/>
                </w:tcPr>
                <w:p w14:paraId="050DE23E"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122-127 in 5 car bombings in Baghdad</w:t>
                  </w:r>
                </w:p>
              </w:tc>
            </w:tr>
            <w:tr w:rsidR="007477C2" w:rsidRPr="007477C2" w14:paraId="3CC1368C" w14:textId="77777777" w:rsidTr="007477C2">
              <w:trPr>
                <w:tblCellSpacing w:w="15" w:type="dxa"/>
              </w:trPr>
              <w:tc>
                <w:tcPr>
                  <w:tcW w:w="0" w:type="auto"/>
                  <w:vAlign w:val="center"/>
                  <w:hideMark/>
                </w:tcPr>
                <w:p w14:paraId="09B85E1C" w14:textId="77777777" w:rsidR="007477C2" w:rsidRPr="007477C2" w:rsidRDefault="007477C2" w:rsidP="007477C2">
                  <w:pPr>
                    <w:jc w:val="center"/>
                    <w:rPr>
                      <w:rFonts w:ascii="Times" w:eastAsia="Times New Roman" w:hAnsi="Times" w:cs="Times New Roman"/>
                      <w:b/>
                      <w:bCs/>
                      <w:sz w:val="20"/>
                      <w:szCs w:val="20"/>
                    </w:rPr>
                  </w:pPr>
                  <w:hyperlink r:id="rId29" w:history="1">
                    <w:r w:rsidRPr="007477C2">
                      <w:rPr>
                        <w:rFonts w:ascii="Times" w:eastAsia="Times New Roman" w:hAnsi="Times" w:cs="Times New Roman"/>
                        <w:b/>
                        <w:bCs/>
                        <w:color w:val="0000FF"/>
                        <w:sz w:val="20"/>
                        <w:szCs w:val="20"/>
                        <w:u w:val="single"/>
                      </w:rPr>
                      <w:t>k21122</w:t>
                    </w:r>
                  </w:hyperlink>
                </w:p>
              </w:tc>
              <w:tc>
                <w:tcPr>
                  <w:tcW w:w="0" w:type="auto"/>
                  <w:vAlign w:val="center"/>
                  <w:hideMark/>
                </w:tcPr>
                <w:p w14:paraId="00FF0A28"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17 July 2015</w:t>
                  </w:r>
                </w:p>
              </w:tc>
              <w:tc>
                <w:tcPr>
                  <w:tcW w:w="0" w:type="auto"/>
                  <w:vAlign w:val="center"/>
                  <w:hideMark/>
                </w:tcPr>
                <w:p w14:paraId="53353F10"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95-120 by suicide car or truck bomb in Khan Bani Saad</w:t>
                  </w:r>
                </w:p>
              </w:tc>
            </w:tr>
            <w:tr w:rsidR="007477C2" w:rsidRPr="007477C2" w14:paraId="59643DA1" w14:textId="77777777" w:rsidTr="007477C2">
              <w:trPr>
                <w:tblCellSpacing w:w="15" w:type="dxa"/>
              </w:trPr>
              <w:tc>
                <w:tcPr>
                  <w:tcW w:w="0" w:type="auto"/>
                  <w:vAlign w:val="center"/>
                  <w:hideMark/>
                </w:tcPr>
                <w:p w14:paraId="5B566B81" w14:textId="77777777" w:rsidR="007477C2" w:rsidRPr="007477C2" w:rsidRDefault="007477C2" w:rsidP="007477C2">
                  <w:pPr>
                    <w:jc w:val="center"/>
                    <w:rPr>
                      <w:rFonts w:ascii="Times" w:eastAsia="Times New Roman" w:hAnsi="Times" w:cs="Times New Roman"/>
                      <w:b/>
                      <w:bCs/>
                      <w:sz w:val="20"/>
                      <w:szCs w:val="20"/>
                    </w:rPr>
                  </w:pPr>
                  <w:hyperlink r:id="rId30" w:history="1">
                    <w:r w:rsidRPr="007477C2">
                      <w:rPr>
                        <w:rFonts w:ascii="Times" w:eastAsia="Times New Roman" w:hAnsi="Times" w:cs="Times New Roman"/>
                        <w:b/>
                        <w:bCs/>
                        <w:color w:val="0000FF"/>
                        <w:sz w:val="20"/>
                        <w:szCs w:val="20"/>
                        <w:u w:val="single"/>
                      </w:rPr>
                      <w:t>d12134</w:t>
                    </w:r>
                  </w:hyperlink>
                </w:p>
              </w:tc>
              <w:tc>
                <w:tcPr>
                  <w:tcW w:w="0" w:type="auto"/>
                  <w:vAlign w:val="center"/>
                  <w:hideMark/>
                </w:tcPr>
                <w:p w14:paraId="1D671B1E"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3 July 2016</w:t>
                  </w:r>
                </w:p>
              </w:tc>
              <w:tc>
                <w:tcPr>
                  <w:tcW w:w="0" w:type="auto"/>
                  <w:vAlign w:val="center"/>
                  <w:hideMark/>
                </w:tcPr>
                <w:p w14:paraId="17880CEA"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323-371 by suicide truck bomb in Karradah district, central Baghdad</w:t>
                  </w:r>
                </w:p>
              </w:tc>
            </w:tr>
            <w:tr w:rsidR="007477C2" w:rsidRPr="007477C2" w14:paraId="6411BA36" w14:textId="77777777" w:rsidTr="007477C2">
              <w:trPr>
                <w:tblCellSpacing w:w="15" w:type="dxa"/>
              </w:trPr>
              <w:tc>
                <w:tcPr>
                  <w:tcW w:w="0" w:type="auto"/>
                  <w:vAlign w:val="center"/>
                  <w:hideMark/>
                </w:tcPr>
                <w:p w14:paraId="759D3468" w14:textId="77777777" w:rsidR="007477C2" w:rsidRPr="007477C2" w:rsidRDefault="007477C2" w:rsidP="007477C2">
                  <w:pPr>
                    <w:jc w:val="center"/>
                    <w:rPr>
                      <w:rFonts w:ascii="Times" w:eastAsia="Times New Roman" w:hAnsi="Times" w:cs="Times New Roman"/>
                      <w:b/>
                      <w:bCs/>
                      <w:sz w:val="20"/>
                      <w:szCs w:val="20"/>
                    </w:rPr>
                  </w:pPr>
                  <w:hyperlink r:id="rId31" w:history="1">
                    <w:r w:rsidRPr="007477C2">
                      <w:rPr>
                        <w:rFonts w:ascii="Times" w:eastAsia="Times New Roman" w:hAnsi="Times" w:cs="Times New Roman"/>
                        <w:b/>
                        <w:bCs/>
                        <w:color w:val="0000FF"/>
                        <w:sz w:val="20"/>
                        <w:szCs w:val="20"/>
                        <w:u w:val="single"/>
                      </w:rPr>
                      <w:t>d12819</w:t>
                    </w:r>
                  </w:hyperlink>
                </w:p>
              </w:tc>
              <w:tc>
                <w:tcPr>
                  <w:tcW w:w="0" w:type="auto"/>
                  <w:vAlign w:val="center"/>
                  <w:hideMark/>
                </w:tcPr>
                <w:p w14:paraId="2AF081B4"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24 November 2016</w:t>
                  </w:r>
                </w:p>
              </w:tc>
              <w:tc>
                <w:tcPr>
                  <w:tcW w:w="0" w:type="auto"/>
                  <w:vAlign w:val="center"/>
                  <w:hideMark/>
                </w:tcPr>
                <w:p w14:paraId="67AC9D0C"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80-100 by suicide truck bomb near Hilla</w:t>
                  </w:r>
                </w:p>
              </w:tc>
            </w:tr>
          </w:tbl>
          <w:p w14:paraId="17219631" w14:textId="77777777" w:rsidR="007477C2" w:rsidRPr="007477C2" w:rsidRDefault="007477C2" w:rsidP="007477C2">
            <w:pPr>
              <w:spacing w:before="100" w:beforeAutospacing="1" w:after="100" w:afterAutospacing="1"/>
              <w:outlineLvl w:val="1"/>
              <w:rPr>
                <w:rFonts w:ascii="Times" w:eastAsia="Times New Roman" w:hAnsi="Times" w:cs="Times New Roman"/>
                <w:b/>
                <w:bCs/>
                <w:sz w:val="36"/>
                <w:szCs w:val="36"/>
              </w:rPr>
            </w:pPr>
            <w:r w:rsidRPr="007477C2">
              <w:rPr>
                <w:rFonts w:ascii="Times" w:eastAsia="Times New Roman" w:hAnsi="Times" w:cs="Times New Roman"/>
                <w:b/>
                <w:bCs/>
                <w:sz w:val="36"/>
                <w:szCs w:val="36"/>
              </w:rPr>
              <w:t>4. Civilians injured</w:t>
            </w:r>
          </w:p>
          <w:p w14:paraId="7E8B90D7"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IBC does not record incidents causing injuries and no deaths, but does record the injuries, which are serious, that occur in incidents that also cause deaths. These data are systematically recorded but not individually published on the IBC website, but it is useful to analyse and understand the types of weapons and attacks that cause injuries as well as deaths. </w:t>
            </w:r>
          </w:p>
          <w:p w14:paraId="4B408D67"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10 For an earlier IBC analysis on the civilian wounded resulting immediately from the 2003 “Shock and Awe’” phase of the 2003 invasion, see </w:t>
            </w:r>
            <w:hyperlink r:id="rId32" w:history="1">
              <w:r w:rsidRPr="007477C2">
                <w:rPr>
                  <w:rFonts w:ascii="Times" w:hAnsi="Times" w:cs="Times New Roman"/>
                  <w:color w:val="0000FF"/>
                  <w:sz w:val="20"/>
                  <w:szCs w:val="20"/>
                  <w:u w:val="single"/>
                </w:rPr>
                <w:t xml:space="preserve">Adding Indifference to Injury </w:t>
              </w:r>
            </w:hyperlink>
            <w:r w:rsidRPr="007477C2">
              <w:rPr>
                <w:rFonts w:ascii="Times" w:hAnsi="Times" w:cs="Times New Roman"/>
                <w:sz w:val="20"/>
                <w:szCs w:val="20"/>
              </w:rPr>
              <w:t xml:space="preserve">and over a longer period, see </w:t>
            </w:r>
            <w:hyperlink r:id="rId33" w:history="1">
              <w:r w:rsidRPr="007477C2">
                <w:rPr>
                  <w:rFonts w:ascii="Times" w:hAnsi="Times" w:cs="Times New Roman"/>
                  <w:color w:val="0000FF"/>
                  <w:sz w:val="20"/>
                  <w:szCs w:val="20"/>
                  <w:u w:val="single"/>
                </w:rPr>
                <w:t xml:space="preserve">A Dossier of Civilian Casualties in Iraq 2003-2005 </w:t>
              </w:r>
            </w:hyperlink>
          </w:p>
          <w:p w14:paraId="067D87A8"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lastRenderedPageBreak/>
              <w:t xml:space="preserve">In 2016 (as in 2014 and 15), there were roughly the same number of civilians recorded injured as killed. However the proportion of killed to injured is highly dependent on the nature of the weapons. Our analysis shows that the great majority of injuries were associated with explosive weapons, broadly covering the weapon categories of ground bombing, air attacks and shelling, and suicide attacks: 17,806 of the total number of 18,087 were injured by weapons in these categories. This pattern holds true for the preceding three years, as indeed it has throughout the conflict, a pattern which tends to underscore the intrinsically indiscriminate nature of explosive weapons, as has been shown in many other contexts.10 </w:t>
            </w:r>
          </w:p>
          <w:p w14:paraId="18C9E657" w14:textId="77777777" w:rsidR="007477C2" w:rsidRPr="007477C2" w:rsidRDefault="007477C2" w:rsidP="007477C2">
            <w:pPr>
              <w:spacing w:before="100" w:beforeAutospacing="1" w:after="100" w:afterAutospacing="1"/>
              <w:outlineLvl w:val="1"/>
              <w:rPr>
                <w:rFonts w:ascii="Times" w:eastAsia="Times New Roman" w:hAnsi="Times" w:cs="Times New Roman"/>
                <w:b/>
                <w:bCs/>
                <w:sz w:val="36"/>
                <w:szCs w:val="36"/>
              </w:rPr>
            </w:pPr>
            <w:r w:rsidRPr="007477C2">
              <w:rPr>
                <w:rFonts w:ascii="Times" w:eastAsia="Times New Roman" w:hAnsi="Times" w:cs="Times New Roman"/>
                <w:b/>
                <w:bCs/>
                <w:sz w:val="36"/>
                <w:szCs w:val="36"/>
              </w:rPr>
              <w:t>5. Combatants and total deaths since 2003</w:t>
            </w:r>
          </w:p>
          <w:p w14:paraId="149654D3"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Civilians, tragic as their deaths are, are not the only casualties of this war. In 2016, clashes between Iraqi military and allied militias on the one part, and insurgent groups such as IS on the other, have continued to cause thousands of deaths among these groups, particularly in Mosul and areas of Anbar. </w:t>
            </w:r>
          </w:p>
          <w:p w14:paraId="6640E57D"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11 For a more detailed discussion of these issues see section 4 of IBC's </w:t>
            </w:r>
            <w:hyperlink r:id="rId34" w:history="1">
              <w:r w:rsidRPr="007477C2">
                <w:rPr>
                  <w:rFonts w:ascii="Times" w:hAnsi="Times" w:cs="Times New Roman"/>
                  <w:color w:val="0000FF"/>
                  <w:sz w:val="20"/>
                  <w:szCs w:val="20"/>
                  <w:u w:val="single"/>
                </w:rPr>
                <w:t xml:space="preserve">2014 report </w:t>
              </w:r>
            </w:hyperlink>
          </w:p>
          <w:p w14:paraId="62B0C726"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12Also see the earlier IBC </w:t>
            </w:r>
            <w:hyperlink r:id="rId35" w:history="1">
              <w:r w:rsidRPr="007477C2">
                <w:rPr>
                  <w:rFonts w:ascii="Times" w:hAnsi="Times" w:cs="Times New Roman"/>
                  <w:color w:val="0000FF"/>
                  <w:sz w:val="20"/>
                  <w:szCs w:val="20"/>
                  <w:u w:val="single"/>
                </w:rPr>
                <w:t>announcement</w:t>
              </w:r>
            </w:hyperlink>
            <w:r w:rsidRPr="007477C2">
              <w:rPr>
                <w:rFonts w:ascii="Times" w:hAnsi="Times" w:cs="Times New Roman"/>
                <w:sz w:val="20"/>
                <w:szCs w:val="20"/>
              </w:rPr>
              <w:t xml:space="preserve"> of this table, where the use of the Iraq War Logs and other sources is described. </w:t>
            </w:r>
          </w:p>
          <w:p w14:paraId="32D4D55F"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Reporting on combatant casualties is often more questionable and far harder to verify than civilians, particularly since the emergence of IS in 2014.11 But even under the most conservative reading, the available data show that tens of thousands of fighters need to be added to the civilian death toll to begin to assess the full human cost of this ongoing conflict.12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29"/>
              <w:gridCol w:w="725"/>
            </w:tblGrid>
            <w:tr w:rsidR="007477C2" w:rsidRPr="007477C2" w14:paraId="6CD6DD48" w14:textId="77777777" w:rsidTr="007477C2">
              <w:trPr>
                <w:tblCellSpacing w:w="15" w:type="dxa"/>
              </w:trPr>
              <w:tc>
                <w:tcPr>
                  <w:tcW w:w="0" w:type="auto"/>
                  <w:gridSpan w:val="2"/>
                  <w:tcBorders>
                    <w:top w:val="nil"/>
                    <w:left w:val="nil"/>
                    <w:bottom w:val="nil"/>
                    <w:right w:val="nil"/>
                  </w:tcBorders>
                  <w:vAlign w:val="center"/>
                  <w:hideMark/>
                </w:tcPr>
                <w:p w14:paraId="2A0A6BD0" w14:textId="77777777" w:rsidR="007477C2" w:rsidRPr="007477C2" w:rsidRDefault="007477C2" w:rsidP="007477C2">
                  <w:pPr>
                    <w:jc w:val="center"/>
                    <w:rPr>
                      <w:rFonts w:ascii="Times" w:eastAsia="Times New Roman" w:hAnsi="Times" w:cs="Times New Roman"/>
                      <w:sz w:val="20"/>
                      <w:szCs w:val="20"/>
                    </w:rPr>
                  </w:pPr>
                  <w:r w:rsidRPr="007477C2">
                    <w:rPr>
                      <w:rFonts w:ascii="Times" w:eastAsia="Times New Roman" w:hAnsi="Times" w:cs="Times New Roman"/>
                      <w:sz w:val="20"/>
                      <w:szCs w:val="20"/>
                    </w:rPr>
                    <w:t>All violent deaths including combatants, 2003-2016</w:t>
                  </w:r>
                </w:p>
              </w:tc>
            </w:tr>
            <w:tr w:rsidR="007477C2" w:rsidRPr="007477C2" w14:paraId="34664639" w14:textId="77777777" w:rsidTr="007477C2">
              <w:trPr>
                <w:tblCellSpacing w:w="15" w:type="dxa"/>
              </w:trPr>
              <w:tc>
                <w:tcPr>
                  <w:tcW w:w="0" w:type="auto"/>
                  <w:vAlign w:val="center"/>
                  <w:hideMark/>
                </w:tcPr>
                <w:p w14:paraId="09F40161"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Iraq Body Count March 2003-December 2016</w:t>
                  </w:r>
                </w:p>
              </w:tc>
              <w:tc>
                <w:tcPr>
                  <w:tcW w:w="0" w:type="auto"/>
                  <w:vAlign w:val="center"/>
                  <w:hideMark/>
                </w:tcPr>
                <w:p w14:paraId="70E5A134"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188,689</w:t>
                  </w:r>
                </w:p>
              </w:tc>
            </w:tr>
            <w:tr w:rsidR="007477C2" w:rsidRPr="007477C2" w14:paraId="5A6062C8" w14:textId="77777777" w:rsidTr="007477C2">
              <w:trPr>
                <w:tblCellSpacing w:w="15" w:type="dxa"/>
              </w:trPr>
              <w:tc>
                <w:tcPr>
                  <w:tcW w:w="0" w:type="auto"/>
                  <w:vAlign w:val="center"/>
                  <w:hideMark/>
                </w:tcPr>
                <w:p w14:paraId="52A0B5C6"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Insurgents, Iraqi soldiers &amp; other combatants killed 2010–2016</w:t>
                  </w:r>
                </w:p>
              </w:tc>
              <w:tc>
                <w:tcPr>
                  <w:tcW w:w="0" w:type="auto"/>
                  <w:vAlign w:val="center"/>
                  <w:hideMark/>
                </w:tcPr>
                <w:p w14:paraId="7A6A4830"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32,340</w:t>
                  </w:r>
                </w:p>
              </w:tc>
            </w:tr>
            <w:tr w:rsidR="007477C2" w:rsidRPr="007477C2" w14:paraId="72E7BE6E" w14:textId="77777777" w:rsidTr="007477C2">
              <w:trPr>
                <w:tblCellSpacing w:w="15" w:type="dxa"/>
              </w:trPr>
              <w:tc>
                <w:tcPr>
                  <w:tcW w:w="0" w:type="auto"/>
                  <w:vAlign w:val="center"/>
                  <w:hideMark/>
                </w:tcPr>
                <w:p w14:paraId="3EBA6A8C"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 xml:space="preserve">Iraq War Logs new 'Civilian' and comparable 'Host Nation' remaining 2004-2009 - central estimate (9420), ‘Host Nation’ combatant 2004-2009 - central estimate (5575), ‘Enemy’ (minus IBC overlaps) 2004-2009 - central estimate (20499) </w:t>
                  </w:r>
                </w:p>
              </w:tc>
              <w:tc>
                <w:tcPr>
                  <w:tcW w:w="0" w:type="auto"/>
                  <w:vAlign w:val="center"/>
                  <w:hideMark/>
                </w:tcPr>
                <w:p w14:paraId="1096592D"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35,494</w:t>
                  </w:r>
                </w:p>
              </w:tc>
            </w:tr>
            <w:tr w:rsidR="007477C2" w:rsidRPr="007477C2" w14:paraId="7A949EC0" w14:textId="77777777" w:rsidTr="007477C2">
              <w:trPr>
                <w:tblCellSpacing w:w="15" w:type="dxa"/>
              </w:trPr>
              <w:tc>
                <w:tcPr>
                  <w:tcW w:w="0" w:type="auto"/>
                  <w:vAlign w:val="center"/>
                  <w:hideMark/>
                </w:tcPr>
                <w:p w14:paraId="3F816CCF"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 xml:space="preserve">Iraqi combatants killed March-May 2003 (4,895); Insurgents killed June-December 2003 (597); Insurgents killed May 2004 (652); Insurgents &amp; Iraqi soldiers killed March 2009 (59) </w:t>
                  </w:r>
                </w:p>
              </w:tc>
              <w:tc>
                <w:tcPr>
                  <w:tcW w:w="0" w:type="auto"/>
                  <w:vAlign w:val="center"/>
                  <w:hideMark/>
                </w:tcPr>
                <w:p w14:paraId="63381BF0"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6,203</w:t>
                  </w:r>
                </w:p>
              </w:tc>
            </w:tr>
            <w:tr w:rsidR="007477C2" w:rsidRPr="007477C2" w14:paraId="59D06029" w14:textId="77777777" w:rsidTr="007477C2">
              <w:trPr>
                <w:tblCellSpacing w:w="15" w:type="dxa"/>
              </w:trPr>
              <w:tc>
                <w:tcPr>
                  <w:tcW w:w="0" w:type="auto"/>
                  <w:vAlign w:val="center"/>
                  <w:hideMark/>
                </w:tcPr>
                <w:p w14:paraId="329B206A"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TOTAL IRAQI DEATHS</w:t>
                  </w:r>
                </w:p>
              </w:tc>
              <w:tc>
                <w:tcPr>
                  <w:tcW w:w="0" w:type="auto"/>
                  <w:vAlign w:val="center"/>
                  <w:hideMark/>
                </w:tcPr>
                <w:p w14:paraId="0437554F"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b/>
                      <w:bCs/>
                      <w:sz w:val="20"/>
                      <w:szCs w:val="20"/>
                    </w:rPr>
                    <w:t>262,726</w:t>
                  </w:r>
                  <w:r w:rsidRPr="007477C2">
                    <w:rPr>
                      <w:rFonts w:ascii="Times" w:eastAsia="Times New Roman" w:hAnsi="Times" w:cs="Times New Roman"/>
                      <w:sz w:val="20"/>
                      <w:szCs w:val="20"/>
                    </w:rPr>
                    <w:t xml:space="preserve"> </w:t>
                  </w:r>
                </w:p>
              </w:tc>
            </w:tr>
            <w:tr w:rsidR="007477C2" w:rsidRPr="007477C2" w14:paraId="783F6DAB" w14:textId="77777777" w:rsidTr="007477C2">
              <w:trPr>
                <w:tblCellSpacing w:w="15" w:type="dxa"/>
              </w:trPr>
              <w:tc>
                <w:tcPr>
                  <w:tcW w:w="0" w:type="auto"/>
                  <w:vAlign w:val="center"/>
                  <w:hideMark/>
                </w:tcPr>
                <w:p w14:paraId="2A05E208"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US &amp; Coalition military killed 2003–2016</w:t>
                  </w:r>
                </w:p>
              </w:tc>
              <w:tc>
                <w:tcPr>
                  <w:tcW w:w="0" w:type="auto"/>
                  <w:vAlign w:val="center"/>
                  <w:hideMark/>
                </w:tcPr>
                <w:p w14:paraId="3EBD1E47"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4,832</w:t>
                  </w:r>
                </w:p>
              </w:tc>
            </w:tr>
            <w:tr w:rsidR="007477C2" w:rsidRPr="007477C2" w14:paraId="25B8B8F0" w14:textId="77777777" w:rsidTr="007477C2">
              <w:trPr>
                <w:tblCellSpacing w:w="15" w:type="dxa"/>
              </w:trPr>
              <w:tc>
                <w:tcPr>
                  <w:tcW w:w="0" w:type="auto"/>
                  <w:vAlign w:val="center"/>
                  <w:hideMark/>
                </w:tcPr>
                <w:p w14:paraId="345F3E32"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US &amp; Coalition foreign contractors killed 2003–2016</w:t>
                  </w:r>
                </w:p>
              </w:tc>
              <w:tc>
                <w:tcPr>
                  <w:tcW w:w="0" w:type="auto"/>
                  <w:vAlign w:val="center"/>
                  <w:hideMark/>
                </w:tcPr>
                <w:p w14:paraId="44E1CE6B"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sz w:val="20"/>
                      <w:szCs w:val="20"/>
                    </w:rPr>
                    <w:t>468</w:t>
                  </w:r>
                </w:p>
              </w:tc>
            </w:tr>
            <w:tr w:rsidR="007477C2" w:rsidRPr="007477C2" w14:paraId="32FDF7C4" w14:textId="77777777" w:rsidTr="007477C2">
              <w:trPr>
                <w:tblCellSpacing w:w="15" w:type="dxa"/>
              </w:trPr>
              <w:tc>
                <w:tcPr>
                  <w:tcW w:w="0" w:type="auto"/>
                  <w:vAlign w:val="center"/>
                  <w:hideMark/>
                </w:tcPr>
                <w:p w14:paraId="3A9B8F67" w14:textId="77777777" w:rsidR="007477C2" w:rsidRPr="007477C2" w:rsidRDefault="007477C2" w:rsidP="007477C2">
                  <w:pPr>
                    <w:jc w:val="center"/>
                    <w:rPr>
                      <w:rFonts w:ascii="Times" w:eastAsia="Times New Roman" w:hAnsi="Times" w:cs="Times New Roman"/>
                      <w:b/>
                      <w:bCs/>
                      <w:sz w:val="20"/>
                      <w:szCs w:val="20"/>
                    </w:rPr>
                  </w:pPr>
                  <w:r w:rsidRPr="007477C2">
                    <w:rPr>
                      <w:rFonts w:ascii="Times" w:eastAsia="Times New Roman" w:hAnsi="Times" w:cs="Times New Roman"/>
                      <w:b/>
                      <w:bCs/>
                      <w:sz w:val="20"/>
                      <w:szCs w:val="20"/>
                    </w:rPr>
                    <w:t>TOTAL DEATHS</w:t>
                  </w:r>
                </w:p>
              </w:tc>
              <w:tc>
                <w:tcPr>
                  <w:tcW w:w="0" w:type="auto"/>
                  <w:vAlign w:val="center"/>
                  <w:hideMark/>
                </w:tcPr>
                <w:p w14:paraId="7CD92F71" w14:textId="77777777" w:rsidR="007477C2" w:rsidRPr="007477C2" w:rsidRDefault="007477C2" w:rsidP="007477C2">
                  <w:pPr>
                    <w:rPr>
                      <w:rFonts w:ascii="Times" w:eastAsia="Times New Roman" w:hAnsi="Times" w:cs="Times New Roman"/>
                      <w:sz w:val="20"/>
                      <w:szCs w:val="20"/>
                    </w:rPr>
                  </w:pPr>
                  <w:r w:rsidRPr="007477C2">
                    <w:rPr>
                      <w:rFonts w:ascii="Times" w:eastAsia="Times New Roman" w:hAnsi="Times" w:cs="Times New Roman"/>
                      <w:b/>
                      <w:bCs/>
                      <w:sz w:val="20"/>
                      <w:szCs w:val="20"/>
                    </w:rPr>
                    <w:t>268,026</w:t>
                  </w:r>
                </w:p>
              </w:tc>
            </w:tr>
          </w:tbl>
          <w:p w14:paraId="5416DB77" w14:textId="77777777" w:rsidR="007477C2" w:rsidRPr="007477C2" w:rsidRDefault="007477C2" w:rsidP="007477C2">
            <w:pPr>
              <w:spacing w:before="100" w:beforeAutospacing="1" w:after="100" w:afterAutospacing="1"/>
              <w:outlineLvl w:val="1"/>
              <w:rPr>
                <w:rFonts w:ascii="Times" w:eastAsia="Times New Roman" w:hAnsi="Times" w:cs="Times New Roman"/>
                <w:b/>
                <w:bCs/>
                <w:sz w:val="36"/>
                <w:szCs w:val="36"/>
              </w:rPr>
            </w:pPr>
            <w:r w:rsidRPr="007477C2">
              <w:rPr>
                <w:rFonts w:ascii="Times" w:eastAsia="Times New Roman" w:hAnsi="Times" w:cs="Times New Roman"/>
                <w:b/>
                <w:bCs/>
                <w:sz w:val="36"/>
                <w:szCs w:val="36"/>
              </w:rPr>
              <w:t>6. Other sources</w:t>
            </w:r>
          </w:p>
          <w:p w14:paraId="0BEE4617"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IBC is not the only organisation issuing casualty totals for Iraq. The United Nations in Iraq (UNAMI) issues monthly casualty totals, and their published </w:t>
            </w:r>
            <w:hyperlink r:id="rId36" w:history="1">
              <w:r w:rsidRPr="007477C2">
                <w:rPr>
                  <w:rFonts w:ascii="Times" w:hAnsi="Times" w:cs="Times New Roman"/>
                  <w:color w:val="0000FF"/>
                  <w:sz w:val="20"/>
                  <w:szCs w:val="20"/>
                  <w:u w:val="single"/>
                </w:rPr>
                <w:t>civilian death toll</w:t>
              </w:r>
            </w:hyperlink>
            <w:r w:rsidRPr="007477C2">
              <w:rPr>
                <w:rFonts w:ascii="Times" w:hAnsi="Times" w:cs="Times New Roman"/>
                <w:sz w:val="20"/>
                <w:szCs w:val="20"/>
              </w:rPr>
              <w:t xml:space="preserve"> for 2016 is 6,876. Such official figures have typically been lower than the figures provided by IBC, often vastly lower, as in 2016. </w:t>
            </w:r>
          </w:p>
          <w:p w14:paraId="4F039C5F"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As we have remarked in earlier reports, when comparing differing published figures for Iraq it is important to note that on its public database IBC openly </w:t>
            </w:r>
            <w:r w:rsidRPr="007477C2">
              <w:rPr>
                <w:rFonts w:ascii="Times" w:hAnsi="Times" w:cs="Times New Roman"/>
                <w:sz w:val="20"/>
                <w:szCs w:val="20"/>
              </w:rPr>
              <w:lastRenderedPageBreak/>
              <w:t xml:space="preserve">lists the violent incidents from which it derives its data, along with the original publishing sources for each entry. Progress in understanding differences between IBC and others requires looking beyond “competing totals” and examining what lies beneath them: that is, identifying which specific incidents are included in each total. </w:t>
            </w:r>
          </w:p>
          <w:p w14:paraId="5892D54E"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Until agencies such as UNAMI also make available the underlying data for their totals in the same disaggregated, incident-by-incident fashion that IBC does, it will remain impossible for third parties to meaningfully investigate and understand these differences (which is one reason why we and others have repeatedly </w:t>
            </w:r>
            <w:hyperlink r:id="rId37" w:history="1">
              <w:r w:rsidRPr="007477C2">
                <w:rPr>
                  <w:rFonts w:ascii="Times" w:hAnsi="Times" w:cs="Times New Roman"/>
                  <w:color w:val="0000FF"/>
                  <w:sz w:val="20"/>
                  <w:szCs w:val="20"/>
                  <w:u w:val="single"/>
                </w:rPr>
                <w:t xml:space="preserve">called </w:t>
              </w:r>
            </w:hyperlink>
            <w:r w:rsidRPr="007477C2">
              <w:rPr>
                <w:rFonts w:ascii="Times" w:hAnsi="Times" w:cs="Times New Roman"/>
                <w:sz w:val="20"/>
                <w:szCs w:val="20"/>
              </w:rPr>
              <w:t xml:space="preserve">for such open publication by official sources. IBC has committed itself to abiding by recently launched international </w:t>
            </w:r>
            <w:hyperlink r:id="rId38" w:history="1">
              <w:r w:rsidRPr="007477C2">
                <w:rPr>
                  <w:rFonts w:ascii="Times" w:hAnsi="Times" w:cs="Times New Roman"/>
                  <w:color w:val="0000FF"/>
                  <w:sz w:val="20"/>
                  <w:szCs w:val="20"/>
                  <w:u w:val="single"/>
                </w:rPr>
                <w:t xml:space="preserve">Standards for Casualty Recording </w:t>
              </w:r>
            </w:hyperlink>
            <w:r w:rsidRPr="007477C2">
              <w:rPr>
                <w:rFonts w:ascii="Times" w:hAnsi="Times" w:cs="Times New Roman"/>
                <w:sz w:val="20"/>
                <w:szCs w:val="20"/>
              </w:rPr>
              <w:t xml:space="preserve">which prescribe maximum possible detail and transparency in pursuit of the “ultimate objective of the recognition of every casualty” (Standard 53). </w:t>
            </w:r>
          </w:p>
          <w:p w14:paraId="140E07A7" w14:textId="77777777" w:rsidR="007477C2" w:rsidRPr="007477C2" w:rsidRDefault="007477C2" w:rsidP="007477C2">
            <w:pPr>
              <w:spacing w:before="100" w:beforeAutospacing="1" w:after="100" w:afterAutospacing="1"/>
              <w:rPr>
                <w:rFonts w:ascii="Times" w:hAnsi="Times" w:cs="Times New Roman"/>
                <w:sz w:val="20"/>
                <w:szCs w:val="20"/>
              </w:rPr>
            </w:pPr>
            <w:r w:rsidRPr="007477C2">
              <w:rPr>
                <w:rFonts w:ascii="Times" w:hAnsi="Times" w:cs="Times New Roman"/>
                <w:sz w:val="20"/>
                <w:szCs w:val="20"/>
              </w:rPr>
              <w:t xml:space="preserve">Such recognition can only be achieved where the individual incidents contained within larger totals are each published, together with whatever information is available about the people killed in them. It is this recognition which has always motivated our work, and which guides the future development of it. We are heartened that this goal is shared by increasing numbers of others, including the NGO </w:t>
            </w:r>
            <w:hyperlink r:id="rId39" w:history="1">
              <w:r w:rsidRPr="007477C2">
                <w:rPr>
                  <w:rFonts w:ascii="Times" w:hAnsi="Times" w:cs="Times New Roman"/>
                  <w:color w:val="0000FF"/>
                  <w:sz w:val="20"/>
                  <w:szCs w:val="20"/>
                  <w:u w:val="single"/>
                </w:rPr>
                <w:t>airwars.org</w:t>
              </w:r>
            </w:hyperlink>
            <w:r w:rsidRPr="007477C2">
              <w:rPr>
                <w:rFonts w:ascii="Times" w:hAnsi="Times" w:cs="Times New Roman"/>
                <w:sz w:val="20"/>
                <w:szCs w:val="20"/>
              </w:rPr>
              <w:t xml:space="preserve"> whose data on victims of coalition strikes, fully incorporated into our database, has greatly enriched detailed knowledge of victim identity and the incidents in which they were killed. </w:t>
            </w:r>
          </w:p>
          <w:p w14:paraId="79483DDF" w14:textId="77777777" w:rsidR="007477C2" w:rsidRPr="007477C2" w:rsidRDefault="007477C2" w:rsidP="007477C2">
            <w:pPr>
              <w:rPr>
                <w:rFonts w:ascii="Times New Roman" w:eastAsia="Times New Roman" w:hAnsi="Times New Roman" w:cs="Times New Roman"/>
                <w:sz w:val="20"/>
                <w:szCs w:val="20"/>
              </w:rPr>
            </w:pPr>
          </w:p>
        </w:tc>
        <w:tc>
          <w:tcPr>
            <w:tcW w:w="0" w:type="auto"/>
            <w:vAlign w:val="center"/>
            <w:hideMark/>
          </w:tcPr>
          <w:p w14:paraId="637A9AA8" w14:textId="77777777" w:rsidR="007477C2" w:rsidRPr="007477C2" w:rsidRDefault="007477C2" w:rsidP="007477C2">
            <w:pPr>
              <w:rPr>
                <w:rFonts w:ascii="Times New Roman" w:eastAsia="Times New Roman" w:hAnsi="Times New Roman" w:cs="Times New Roman"/>
                <w:sz w:val="20"/>
                <w:szCs w:val="20"/>
              </w:rPr>
            </w:pPr>
          </w:p>
        </w:tc>
        <w:tc>
          <w:tcPr>
            <w:tcW w:w="0" w:type="auto"/>
            <w:vAlign w:val="center"/>
            <w:hideMark/>
          </w:tcPr>
          <w:p w14:paraId="718C089A" w14:textId="77777777" w:rsidR="007477C2" w:rsidRPr="007477C2" w:rsidRDefault="007477C2" w:rsidP="007477C2">
            <w:pPr>
              <w:rPr>
                <w:rFonts w:ascii="Times New Roman" w:eastAsia="Times New Roman" w:hAnsi="Times New Roman" w:cs="Times New Roman"/>
                <w:sz w:val="20"/>
                <w:szCs w:val="20"/>
              </w:rPr>
            </w:pPr>
          </w:p>
        </w:tc>
      </w:tr>
    </w:tbl>
    <w:p w14:paraId="529B7401" w14:textId="77777777" w:rsidR="005F2B7B" w:rsidRDefault="005F2B7B"/>
    <w:sectPr w:rsidR="005F2B7B" w:rsidSect="006B6D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039A1"/>
    <w:multiLevelType w:val="multilevel"/>
    <w:tmpl w:val="10FC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F3C32"/>
    <w:multiLevelType w:val="multilevel"/>
    <w:tmpl w:val="381E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8468FE"/>
    <w:multiLevelType w:val="multilevel"/>
    <w:tmpl w:val="4E8E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91474B"/>
    <w:multiLevelType w:val="multilevel"/>
    <w:tmpl w:val="825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C2"/>
    <w:rsid w:val="00321774"/>
    <w:rsid w:val="005F2B7B"/>
    <w:rsid w:val="006B6D78"/>
    <w:rsid w:val="006F61D2"/>
    <w:rsid w:val="007477C2"/>
    <w:rsid w:val="00A32B0E"/>
    <w:rsid w:val="00CD140C"/>
    <w:rsid w:val="00E07B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42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77C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477C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477C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7C2"/>
    <w:rPr>
      <w:rFonts w:ascii="Times" w:hAnsi="Times"/>
      <w:b/>
      <w:bCs/>
      <w:kern w:val="36"/>
      <w:sz w:val="48"/>
      <w:szCs w:val="48"/>
    </w:rPr>
  </w:style>
  <w:style w:type="character" w:customStyle="1" w:styleId="Heading2Char">
    <w:name w:val="Heading 2 Char"/>
    <w:basedOn w:val="DefaultParagraphFont"/>
    <w:link w:val="Heading2"/>
    <w:uiPriority w:val="9"/>
    <w:rsid w:val="007477C2"/>
    <w:rPr>
      <w:rFonts w:ascii="Times" w:hAnsi="Times"/>
      <w:b/>
      <w:bCs/>
      <w:sz w:val="36"/>
      <w:szCs w:val="36"/>
    </w:rPr>
  </w:style>
  <w:style w:type="character" w:customStyle="1" w:styleId="Heading3Char">
    <w:name w:val="Heading 3 Char"/>
    <w:basedOn w:val="DefaultParagraphFont"/>
    <w:link w:val="Heading3"/>
    <w:uiPriority w:val="9"/>
    <w:rsid w:val="007477C2"/>
    <w:rPr>
      <w:rFonts w:ascii="Times" w:hAnsi="Times"/>
      <w:b/>
      <w:bCs/>
      <w:sz w:val="27"/>
      <w:szCs w:val="27"/>
    </w:rPr>
  </w:style>
  <w:style w:type="paragraph" w:styleId="NormalWeb">
    <w:name w:val="Normal (Web)"/>
    <w:basedOn w:val="Normal"/>
    <w:uiPriority w:val="99"/>
    <w:unhideWhenUsed/>
    <w:rsid w:val="007477C2"/>
    <w:pPr>
      <w:spacing w:before="100" w:beforeAutospacing="1" w:after="100" w:afterAutospacing="1"/>
    </w:pPr>
    <w:rPr>
      <w:rFonts w:ascii="Times" w:hAnsi="Times" w:cs="Times New Roman"/>
      <w:sz w:val="20"/>
      <w:szCs w:val="20"/>
    </w:rPr>
  </w:style>
  <w:style w:type="character" w:customStyle="1" w:styleId="data">
    <w:name w:val="data"/>
    <w:basedOn w:val="DefaultParagraphFont"/>
    <w:rsid w:val="007477C2"/>
  </w:style>
  <w:style w:type="character" w:customStyle="1" w:styleId="ref-more">
    <w:name w:val="ref-more"/>
    <w:basedOn w:val="DefaultParagraphFont"/>
    <w:rsid w:val="007477C2"/>
  </w:style>
  <w:style w:type="character" w:styleId="Emphasis">
    <w:name w:val="Emphasis"/>
    <w:basedOn w:val="DefaultParagraphFont"/>
    <w:uiPriority w:val="20"/>
    <w:qFormat/>
    <w:rsid w:val="007477C2"/>
    <w:rPr>
      <w:i/>
      <w:iCs/>
    </w:rPr>
  </w:style>
  <w:style w:type="character" w:customStyle="1" w:styleId="aline">
    <w:name w:val="aline"/>
    <w:basedOn w:val="DefaultParagraphFont"/>
    <w:rsid w:val="007477C2"/>
  </w:style>
  <w:style w:type="character" w:styleId="Hyperlink">
    <w:name w:val="Hyperlink"/>
    <w:basedOn w:val="DefaultParagraphFont"/>
    <w:uiPriority w:val="99"/>
    <w:semiHidden/>
    <w:unhideWhenUsed/>
    <w:rsid w:val="007477C2"/>
    <w:rPr>
      <w:color w:val="0000FF"/>
      <w:u w:val="single"/>
    </w:rPr>
  </w:style>
  <w:style w:type="character" w:customStyle="1" w:styleId="datamap">
    <w:name w:val="datamap"/>
    <w:basedOn w:val="DefaultParagraphFont"/>
    <w:rsid w:val="007477C2"/>
  </w:style>
  <w:style w:type="character" w:styleId="Strong">
    <w:name w:val="Strong"/>
    <w:basedOn w:val="DefaultParagraphFont"/>
    <w:uiPriority w:val="22"/>
    <w:qFormat/>
    <w:rsid w:val="007477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77C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477C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477C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7C2"/>
    <w:rPr>
      <w:rFonts w:ascii="Times" w:hAnsi="Times"/>
      <w:b/>
      <w:bCs/>
      <w:kern w:val="36"/>
      <w:sz w:val="48"/>
      <w:szCs w:val="48"/>
    </w:rPr>
  </w:style>
  <w:style w:type="character" w:customStyle="1" w:styleId="Heading2Char">
    <w:name w:val="Heading 2 Char"/>
    <w:basedOn w:val="DefaultParagraphFont"/>
    <w:link w:val="Heading2"/>
    <w:uiPriority w:val="9"/>
    <w:rsid w:val="007477C2"/>
    <w:rPr>
      <w:rFonts w:ascii="Times" w:hAnsi="Times"/>
      <w:b/>
      <w:bCs/>
      <w:sz w:val="36"/>
      <w:szCs w:val="36"/>
    </w:rPr>
  </w:style>
  <w:style w:type="character" w:customStyle="1" w:styleId="Heading3Char">
    <w:name w:val="Heading 3 Char"/>
    <w:basedOn w:val="DefaultParagraphFont"/>
    <w:link w:val="Heading3"/>
    <w:uiPriority w:val="9"/>
    <w:rsid w:val="007477C2"/>
    <w:rPr>
      <w:rFonts w:ascii="Times" w:hAnsi="Times"/>
      <w:b/>
      <w:bCs/>
      <w:sz w:val="27"/>
      <w:szCs w:val="27"/>
    </w:rPr>
  </w:style>
  <w:style w:type="paragraph" w:styleId="NormalWeb">
    <w:name w:val="Normal (Web)"/>
    <w:basedOn w:val="Normal"/>
    <w:uiPriority w:val="99"/>
    <w:unhideWhenUsed/>
    <w:rsid w:val="007477C2"/>
    <w:pPr>
      <w:spacing w:before="100" w:beforeAutospacing="1" w:after="100" w:afterAutospacing="1"/>
    </w:pPr>
    <w:rPr>
      <w:rFonts w:ascii="Times" w:hAnsi="Times" w:cs="Times New Roman"/>
      <w:sz w:val="20"/>
      <w:szCs w:val="20"/>
    </w:rPr>
  </w:style>
  <w:style w:type="character" w:customStyle="1" w:styleId="data">
    <w:name w:val="data"/>
    <w:basedOn w:val="DefaultParagraphFont"/>
    <w:rsid w:val="007477C2"/>
  </w:style>
  <w:style w:type="character" w:customStyle="1" w:styleId="ref-more">
    <w:name w:val="ref-more"/>
    <w:basedOn w:val="DefaultParagraphFont"/>
    <w:rsid w:val="007477C2"/>
  </w:style>
  <w:style w:type="character" w:styleId="Emphasis">
    <w:name w:val="Emphasis"/>
    <w:basedOn w:val="DefaultParagraphFont"/>
    <w:uiPriority w:val="20"/>
    <w:qFormat/>
    <w:rsid w:val="007477C2"/>
    <w:rPr>
      <w:i/>
      <w:iCs/>
    </w:rPr>
  </w:style>
  <w:style w:type="character" w:customStyle="1" w:styleId="aline">
    <w:name w:val="aline"/>
    <w:basedOn w:val="DefaultParagraphFont"/>
    <w:rsid w:val="007477C2"/>
  </w:style>
  <w:style w:type="character" w:styleId="Hyperlink">
    <w:name w:val="Hyperlink"/>
    <w:basedOn w:val="DefaultParagraphFont"/>
    <w:uiPriority w:val="99"/>
    <w:semiHidden/>
    <w:unhideWhenUsed/>
    <w:rsid w:val="007477C2"/>
    <w:rPr>
      <w:color w:val="0000FF"/>
      <w:u w:val="single"/>
    </w:rPr>
  </w:style>
  <w:style w:type="character" w:customStyle="1" w:styleId="datamap">
    <w:name w:val="datamap"/>
    <w:basedOn w:val="DefaultParagraphFont"/>
    <w:rsid w:val="007477C2"/>
  </w:style>
  <w:style w:type="character" w:styleId="Strong">
    <w:name w:val="Strong"/>
    <w:basedOn w:val="DefaultParagraphFont"/>
    <w:uiPriority w:val="22"/>
    <w:qFormat/>
    <w:rsid w:val="00747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3084">
      <w:marLeft w:val="0"/>
      <w:marRight w:val="0"/>
      <w:marTop w:val="0"/>
      <w:marBottom w:val="0"/>
      <w:divBdr>
        <w:top w:val="none" w:sz="0" w:space="0" w:color="auto"/>
        <w:left w:val="none" w:sz="0" w:space="0" w:color="auto"/>
        <w:bottom w:val="none" w:sz="0" w:space="0" w:color="auto"/>
        <w:right w:val="none" w:sz="0" w:space="0" w:color="auto"/>
      </w:divBdr>
      <w:divsChild>
        <w:div w:id="2050296823">
          <w:marLeft w:val="0"/>
          <w:marRight w:val="0"/>
          <w:marTop w:val="0"/>
          <w:marBottom w:val="0"/>
          <w:divBdr>
            <w:top w:val="none" w:sz="0" w:space="0" w:color="auto"/>
            <w:left w:val="none" w:sz="0" w:space="0" w:color="auto"/>
            <w:bottom w:val="none" w:sz="0" w:space="0" w:color="auto"/>
            <w:right w:val="none" w:sz="0" w:space="0" w:color="auto"/>
          </w:divBdr>
        </w:div>
      </w:divsChild>
    </w:div>
    <w:div w:id="343752936">
      <w:marLeft w:val="0"/>
      <w:marRight w:val="0"/>
      <w:marTop w:val="0"/>
      <w:marBottom w:val="0"/>
      <w:divBdr>
        <w:top w:val="none" w:sz="0" w:space="0" w:color="auto"/>
        <w:left w:val="none" w:sz="0" w:space="0" w:color="auto"/>
        <w:bottom w:val="none" w:sz="0" w:space="0" w:color="auto"/>
        <w:right w:val="none" w:sz="0" w:space="0" w:color="auto"/>
      </w:divBdr>
      <w:divsChild>
        <w:div w:id="546449958">
          <w:marLeft w:val="0"/>
          <w:marRight w:val="0"/>
          <w:marTop w:val="0"/>
          <w:marBottom w:val="0"/>
          <w:divBdr>
            <w:top w:val="none" w:sz="0" w:space="0" w:color="auto"/>
            <w:left w:val="none" w:sz="0" w:space="0" w:color="auto"/>
            <w:bottom w:val="none" w:sz="0" w:space="0" w:color="auto"/>
            <w:right w:val="none" w:sz="0" w:space="0" w:color="auto"/>
          </w:divBdr>
          <w:divsChild>
            <w:div w:id="377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69009">
      <w:marLeft w:val="0"/>
      <w:marRight w:val="0"/>
      <w:marTop w:val="0"/>
      <w:marBottom w:val="0"/>
      <w:divBdr>
        <w:top w:val="none" w:sz="0" w:space="0" w:color="auto"/>
        <w:left w:val="none" w:sz="0" w:space="0" w:color="auto"/>
        <w:bottom w:val="none" w:sz="0" w:space="0" w:color="auto"/>
        <w:right w:val="none" w:sz="0" w:space="0" w:color="auto"/>
      </w:divBdr>
    </w:div>
    <w:div w:id="605649565">
      <w:bodyDiv w:val="1"/>
      <w:marLeft w:val="0"/>
      <w:marRight w:val="0"/>
      <w:marTop w:val="0"/>
      <w:marBottom w:val="0"/>
      <w:divBdr>
        <w:top w:val="none" w:sz="0" w:space="0" w:color="auto"/>
        <w:left w:val="none" w:sz="0" w:space="0" w:color="auto"/>
        <w:bottom w:val="none" w:sz="0" w:space="0" w:color="auto"/>
        <w:right w:val="none" w:sz="0" w:space="0" w:color="auto"/>
      </w:divBdr>
    </w:div>
    <w:div w:id="797644627">
      <w:marLeft w:val="0"/>
      <w:marRight w:val="0"/>
      <w:marTop w:val="0"/>
      <w:marBottom w:val="0"/>
      <w:divBdr>
        <w:top w:val="none" w:sz="0" w:space="0" w:color="auto"/>
        <w:left w:val="none" w:sz="0" w:space="0" w:color="auto"/>
        <w:bottom w:val="none" w:sz="0" w:space="0" w:color="auto"/>
        <w:right w:val="none" w:sz="0" w:space="0" w:color="auto"/>
      </w:divBdr>
      <w:divsChild>
        <w:div w:id="1244609487">
          <w:marLeft w:val="0"/>
          <w:marRight w:val="0"/>
          <w:marTop w:val="0"/>
          <w:marBottom w:val="0"/>
          <w:divBdr>
            <w:top w:val="none" w:sz="0" w:space="0" w:color="auto"/>
            <w:left w:val="none" w:sz="0" w:space="0" w:color="auto"/>
            <w:bottom w:val="none" w:sz="0" w:space="0" w:color="auto"/>
            <w:right w:val="none" w:sz="0" w:space="0" w:color="auto"/>
          </w:divBdr>
          <w:divsChild>
            <w:div w:id="4670717">
              <w:marLeft w:val="0"/>
              <w:marRight w:val="0"/>
              <w:marTop w:val="0"/>
              <w:marBottom w:val="0"/>
              <w:divBdr>
                <w:top w:val="none" w:sz="0" w:space="0" w:color="auto"/>
                <w:left w:val="none" w:sz="0" w:space="0" w:color="auto"/>
                <w:bottom w:val="none" w:sz="0" w:space="0" w:color="auto"/>
                <w:right w:val="none" w:sz="0" w:space="0" w:color="auto"/>
              </w:divBdr>
              <w:divsChild>
                <w:div w:id="229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61131">
          <w:marLeft w:val="0"/>
          <w:marRight w:val="0"/>
          <w:marTop w:val="0"/>
          <w:marBottom w:val="0"/>
          <w:divBdr>
            <w:top w:val="none" w:sz="0" w:space="0" w:color="auto"/>
            <w:left w:val="none" w:sz="0" w:space="0" w:color="auto"/>
            <w:bottom w:val="none" w:sz="0" w:space="0" w:color="auto"/>
            <w:right w:val="none" w:sz="0" w:space="0" w:color="auto"/>
          </w:divBdr>
        </w:div>
      </w:divsChild>
    </w:div>
    <w:div w:id="814955512">
      <w:marLeft w:val="0"/>
      <w:marRight w:val="0"/>
      <w:marTop w:val="0"/>
      <w:marBottom w:val="0"/>
      <w:divBdr>
        <w:top w:val="none" w:sz="0" w:space="0" w:color="auto"/>
        <w:left w:val="none" w:sz="0" w:space="0" w:color="auto"/>
        <w:bottom w:val="none" w:sz="0" w:space="0" w:color="auto"/>
        <w:right w:val="none" w:sz="0" w:space="0" w:color="auto"/>
      </w:divBdr>
      <w:divsChild>
        <w:div w:id="1476607455">
          <w:marLeft w:val="-300"/>
          <w:marRight w:val="20"/>
          <w:marTop w:val="0"/>
          <w:marBottom w:val="240"/>
          <w:divBdr>
            <w:top w:val="none" w:sz="0" w:space="0" w:color="auto"/>
            <w:left w:val="none" w:sz="0" w:space="0" w:color="auto"/>
            <w:bottom w:val="none" w:sz="0" w:space="0" w:color="auto"/>
            <w:right w:val="none" w:sz="0" w:space="0" w:color="auto"/>
          </w:divBdr>
          <w:divsChild>
            <w:div w:id="2101442083">
              <w:marLeft w:val="0"/>
              <w:marRight w:val="0"/>
              <w:marTop w:val="0"/>
              <w:marBottom w:val="0"/>
              <w:divBdr>
                <w:top w:val="none" w:sz="0" w:space="0" w:color="auto"/>
                <w:left w:val="none" w:sz="0" w:space="0" w:color="auto"/>
                <w:bottom w:val="none" w:sz="0" w:space="0" w:color="auto"/>
                <w:right w:val="none" w:sz="0" w:space="0" w:color="auto"/>
              </w:divBdr>
            </w:div>
            <w:div w:id="1220753274">
              <w:marLeft w:val="0"/>
              <w:marRight w:val="0"/>
              <w:marTop w:val="0"/>
              <w:marBottom w:val="0"/>
              <w:divBdr>
                <w:top w:val="none" w:sz="0" w:space="0" w:color="auto"/>
                <w:left w:val="none" w:sz="0" w:space="0" w:color="auto"/>
                <w:bottom w:val="none" w:sz="0" w:space="0" w:color="auto"/>
                <w:right w:val="none" w:sz="0" w:space="0" w:color="auto"/>
              </w:divBdr>
            </w:div>
            <w:div w:id="1343045949">
              <w:marLeft w:val="0"/>
              <w:marRight w:val="0"/>
              <w:marTop w:val="0"/>
              <w:marBottom w:val="0"/>
              <w:divBdr>
                <w:top w:val="none" w:sz="0" w:space="0" w:color="auto"/>
                <w:left w:val="none" w:sz="0" w:space="0" w:color="auto"/>
                <w:bottom w:val="none" w:sz="0" w:space="0" w:color="auto"/>
                <w:right w:val="none" w:sz="0" w:space="0" w:color="auto"/>
              </w:divBdr>
            </w:div>
            <w:div w:id="1637829326">
              <w:marLeft w:val="0"/>
              <w:marRight w:val="0"/>
              <w:marTop w:val="0"/>
              <w:marBottom w:val="0"/>
              <w:divBdr>
                <w:top w:val="none" w:sz="0" w:space="0" w:color="auto"/>
                <w:left w:val="none" w:sz="0" w:space="0" w:color="auto"/>
                <w:bottom w:val="none" w:sz="0" w:space="0" w:color="auto"/>
                <w:right w:val="none" w:sz="0" w:space="0" w:color="auto"/>
              </w:divBdr>
            </w:div>
            <w:div w:id="1599480891">
              <w:marLeft w:val="0"/>
              <w:marRight w:val="0"/>
              <w:marTop w:val="0"/>
              <w:marBottom w:val="0"/>
              <w:divBdr>
                <w:top w:val="none" w:sz="0" w:space="0" w:color="auto"/>
                <w:left w:val="none" w:sz="0" w:space="0" w:color="auto"/>
                <w:bottom w:val="none" w:sz="0" w:space="0" w:color="auto"/>
                <w:right w:val="none" w:sz="0" w:space="0" w:color="auto"/>
              </w:divBdr>
            </w:div>
            <w:div w:id="180972072">
              <w:marLeft w:val="0"/>
              <w:marRight w:val="0"/>
              <w:marTop w:val="0"/>
              <w:marBottom w:val="0"/>
              <w:divBdr>
                <w:top w:val="none" w:sz="0" w:space="0" w:color="auto"/>
                <w:left w:val="none" w:sz="0" w:space="0" w:color="auto"/>
                <w:bottom w:val="none" w:sz="0" w:space="0" w:color="auto"/>
                <w:right w:val="none" w:sz="0" w:space="0" w:color="auto"/>
              </w:divBdr>
            </w:div>
            <w:div w:id="805896506">
              <w:marLeft w:val="0"/>
              <w:marRight w:val="0"/>
              <w:marTop w:val="0"/>
              <w:marBottom w:val="0"/>
              <w:divBdr>
                <w:top w:val="none" w:sz="0" w:space="0" w:color="auto"/>
                <w:left w:val="none" w:sz="0" w:space="0" w:color="auto"/>
                <w:bottom w:val="none" w:sz="0" w:space="0" w:color="auto"/>
                <w:right w:val="none" w:sz="0" w:space="0" w:color="auto"/>
              </w:divBdr>
            </w:div>
            <w:div w:id="4491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0196">
      <w:marLeft w:val="0"/>
      <w:marRight w:val="0"/>
      <w:marTop w:val="0"/>
      <w:marBottom w:val="0"/>
      <w:divBdr>
        <w:top w:val="none" w:sz="0" w:space="0" w:color="auto"/>
        <w:left w:val="none" w:sz="0" w:space="0" w:color="auto"/>
        <w:bottom w:val="none" w:sz="0" w:space="0" w:color="auto"/>
        <w:right w:val="none" w:sz="0" w:space="0" w:color="auto"/>
      </w:divBdr>
      <w:divsChild>
        <w:div w:id="369577475">
          <w:marLeft w:val="0"/>
          <w:marRight w:val="0"/>
          <w:marTop w:val="0"/>
          <w:marBottom w:val="0"/>
          <w:divBdr>
            <w:top w:val="none" w:sz="0" w:space="0" w:color="auto"/>
            <w:left w:val="none" w:sz="0" w:space="0" w:color="auto"/>
            <w:bottom w:val="none" w:sz="0" w:space="0" w:color="auto"/>
            <w:right w:val="none" w:sz="0" w:space="0" w:color="auto"/>
          </w:divBdr>
        </w:div>
        <w:div w:id="733698069">
          <w:marLeft w:val="0"/>
          <w:marRight w:val="0"/>
          <w:marTop w:val="0"/>
          <w:marBottom w:val="0"/>
          <w:divBdr>
            <w:top w:val="none" w:sz="0" w:space="0" w:color="auto"/>
            <w:left w:val="none" w:sz="0" w:space="0" w:color="auto"/>
            <w:bottom w:val="none" w:sz="0" w:space="0" w:color="auto"/>
            <w:right w:val="none" w:sz="0" w:space="0" w:color="auto"/>
          </w:divBdr>
        </w:div>
      </w:divsChild>
    </w:div>
    <w:div w:id="921913208">
      <w:marLeft w:val="0"/>
      <w:marRight w:val="0"/>
      <w:marTop w:val="0"/>
      <w:marBottom w:val="0"/>
      <w:divBdr>
        <w:top w:val="none" w:sz="0" w:space="0" w:color="auto"/>
        <w:left w:val="none" w:sz="0" w:space="0" w:color="auto"/>
        <w:bottom w:val="none" w:sz="0" w:space="0" w:color="auto"/>
        <w:right w:val="none" w:sz="0" w:space="0" w:color="auto"/>
      </w:divBdr>
    </w:div>
    <w:div w:id="1087770797">
      <w:marLeft w:val="0"/>
      <w:marRight w:val="0"/>
      <w:marTop w:val="0"/>
      <w:marBottom w:val="0"/>
      <w:divBdr>
        <w:top w:val="none" w:sz="0" w:space="0" w:color="auto"/>
        <w:left w:val="none" w:sz="0" w:space="0" w:color="auto"/>
        <w:bottom w:val="none" w:sz="0" w:space="0" w:color="auto"/>
        <w:right w:val="none" w:sz="0" w:space="0" w:color="auto"/>
      </w:divBdr>
      <w:divsChild>
        <w:div w:id="1398170558">
          <w:marLeft w:val="-300"/>
          <w:marRight w:val="17"/>
          <w:marTop w:val="0"/>
          <w:marBottom w:val="240"/>
          <w:divBdr>
            <w:top w:val="none" w:sz="0" w:space="0" w:color="auto"/>
            <w:left w:val="none" w:sz="0" w:space="0" w:color="auto"/>
            <w:bottom w:val="none" w:sz="0" w:space="0" w:color="auto"/>
            <w:right w:val="none" w:sz="0" w:space="0" w:color="auto"/>
          </w:divBdr>
        </w:div>
        <w:div w:id="126943861">
          <w:marLeft w:val="0"/>
          <w:marRight w:val="0"/>
          <w:marTop w:val="0"/>
          <w:marBottom w:val="0"/>
          <w:divBdr>
            <w:top w:val="none" w:sz="0" w:space="0" w:color="auto"/>
            <w:left w:val="none" w:sz="0" w:space="0" w:color="auto"/>
            <w:bottom w:val="none" w:sz="0" w:space="0" w:color="auto"/>
            <w:right w:val="none" w:sz="0" w:space="0" w:color="auto"/>
          </w:divBdr>
        </w:div>
      </w:divsChild>
    </w:div>
    <w:div w:id="1202285311">
      <w:marLeft w:val="0"/>
      <w:marRight w:val="0"/>
      <w:marTop w:val="0"/>
      <w:marBottom w:val="0"/>
      <w:divBdr>
        <w:top w:val="none" w:sz="0" w:space="0" w:color="auto"/>
        <w:left w:val="none" w:sz="0" w:space="0" w:color="auto"/>
        <w:bottom w:val="none" w:sz="0" w:space="0" w:color="auto"/>
        <w:right w:val="none" w:sz="0" w:space="0" w:color="auto"/>
      </w:divBdr>
      <w:divsChild>
        <w:div w:id="1470902314">
          <w:marLeft w:val="0"/>
          <w:marRight w:val="0"/>
          <w:marTop w:val="0"/>
          <w:marBottom w:val="0"/>
          <w:divBdr>
            <w:top w:val="none" w:sz="0" w:space="0" w:color="auto"/>
            <w:left w:val="none" w:sz="0" w:space="0" w:color="auto"/>
            <w:bottom w:val="none" w:sz="0" w:space="0" w:color="auto"/>
            <w:right w:val="none" w:sz="0" w:space="0" w:color="auto"/>
          </w:divBdr>
          <w:divsChild>
            <w:div w:id="816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4450">
      <w:marLeft w:val="0"/>
      <w:marRight w:val="0"/>
      <w:marTop w:val="0"/>
      <w:marBottom w:val="0"/>
      <w:divBdr>
        <w:top w:val="none" w:sz="0" w:space="0" w:color="auto"/>
        <w:left w:val="none" w:sz="0" w:space="0" w:color="auto"/>
        <w:bottom w:val="none" w:sz="0" w:space="0" w:color="auto"/>
        <w:right w:val="none" w:sz="0" w:space="0" w:color="auto"/>
      </w:divBdr>
      <w:divsChild>
        <w:div w:id="380174404">
          <w:marLeft w:val="0"/>
          <w:marRight w:val="0"/>
          <w:marTop w:val="0"/>
          <w:marBottom w:val="0"/>
          <w:divBdr>
            <w:top w:val="none" w:sz="0" w:space="0" w:color="auto"/>
            <w:left w:val="none" w:sz="0" w:space="0" w:color="auto"/>
            <w:bottom w:val="none" w:sz="0" w:space="0" w:color="auto"/>
            <w:right w:val="none" w:sz="0" w:space="0" w:color="auto"/>
          </w:divBdr>
          <w:divsChild>
            <w:div w:id="11984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333">
      <w:marLeft w:val="0"/>
      <w:marRight w:val="0"/>
      <w:marTop w:val="0"/>
      <w:marBottom w:val="0"/>
      <w:divBdr>
        <w:top w:val="none" w:sz="0" w:space="0" w:color="auto"/>
        <w:left w:val="none" w:sz="0" w:space="0" w:color="auto"/>
        <w:bottom w:val="none" w:sz="0" w:space="0" w:color="auto"/>
        <w:right w:val="none" w:sz="0" w:space="0" w:color="auto"/>
      </w:divBdr>
    </w:div>
    <w:div w:id="1530098868">
      <w:marLeft w:val="0"/>
      <w:marRight w:val="0"/>
      <w:marTop w:val="0"/>
      <w:marBottom w:val="0"/>
      <w:divBdr>
        <w:top w:val="none" w:sz="0" w:space="0" w:color="auto"/>
        <w:left w:val="none" w:sz="0" w:space="0" w:color="auto"/>
        <w:bottom w:val="none" w:sz="0" w:space="0" w:color="auto"/>
        <w:right w:val="none" w:sz="0" w:space="0" w:color="auto"/>
      </w:divBdr>
      <w:divsChild>
        <w:div w:id="2004965164">
          <w:marLeft w:val="0"/>
          <w:marRight w:val="0"/>
          <w:marTop w:val="0"/>
          <w:marBottom w:val="0"/>
          <w:divBdr>
            <w:top w:val="none" w:sz="0" w:space="0" w:color="auto"/>
            <w:left w:val="none" w:sz="0" w:space="0" w:color="auto"/>
            <w:bottom w:val="none" w:sz="0" w:space="0" w:color="auto"/>
            <w:right w:val="none" w:sz="0" w:space="0" w:color="auto"/>
          </w:divBdr>
          <w:divsChild>
            <w:div w:id="12064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4029">
      <w:marLeft w:val="-300"/>
      <w:marRight w:val="17"/>
      <w:marTop w:val="720"/>
      <w:marBottom w:val="240"/>
      <w:divBdr>
        <w:top w:val="none" w:sz="0" w:space="0" w:color="auto"/>
        <w:left w:val="none" w:sz="0" w:space="0" w:color="auto"/>
        <w:bottom w:val="none" w:sz="0" w:space="0" w:color="auto"/>
        <w:right w:val="none" w:sz="0" w:space="0" w:color="auto"/>
      </w:divBdr>
      <w:divsChild>
        <w:div w:id="1784960482">
          <w:marLeft w:val="0"/>
          <w:marRight w:val="0"/>
          <w:marTop w:val="0"/>
          <w:marBottom w:val="0"/>
          <w:divBdr>
            <w:top w:val="none" w:sz="0" w:space="0" w:color="auto"/>
            <w:left w:val="none" w:sz="0" w:space="0" w:color="auto"/>
            <w:bottom w:val="none" w:sz="0" w:space="0" w:color="auto"/>
            <w:right w:val="none" w:sz="0" w:space="0" w:color="auto"/>
          </w:divBdr>
        </w:div>
      </w:divsChild>
    </w:div>
    <w:div w:id="1694182603">
      <w:marLeft w:val="0"/>
      <w:marRight w:val="0"/>
      <w:marTop w:val="0"/>
      <w:marBottom w:val="0"/>
      <w:divBdr>
        <w:top w:val="none" w:sz="0" w:space="0" w:color="auto"/>
        <w:left w:val="none" w:sz="0" w:space="0" w:color="auto"/>
        <w:bottom w:val="none" w:sz="0" w:space="0" w:color="auto"/>
        <w:right w:val="none" w:sz="0" w:space="0" w:color="auto"/>
      </w:divBdr>
    </w:div>
    <w:div w:id="1700012796">
      <w:bodyDiv w:val="1"/>
      <w:marLeft w:val="0"/>
      <w:marRight w:val="0"/>
      <w:marTop w:val="0"/>
      <w:marBottom w:val="0"/>
      <w:divBdr>
        <w:top w:val="none" w:sz="0" w:space="0" w:color="auto"/>
        <w:left w:val="none" w:sz="0" w:space="0" w:color="auto"/>
        <w:bottom w:val="none" w:sz="0" w:space="0" w:color="auto"/>
        <w:right w:val="none" w:sz="0" w:space="0" w:color="auto"/>
      </w:divBdr>
    </w:div>
    <w:div w:id="1734505233">
      <w:bodyDiv w:val="1"/>
      <w:marLeft w:val="0"/>
      <w:marRight w:val="0"/>
      <w:marTop w:val="0"/>
      <w:marBottom w:val="0"/>
      <w:divBdr>
        <w:top w:val="none" w:sz="0" w:space="0" w:color="auto"/>
        <w:left w:val="none" w:sz="0" w:space="0" w:color="auto"/>
        <w:bottom w:val="none" w:sz="0" w:space="0" w:color="auto"/>
        <w:right w:val="none" w:sz="0" w:space="0" w:color="auto"/>
      </w:divBdr>
    </w:div>
    <w:div w:id="1856924530">
      <w:marLeft w:val="0"/>
      <w:marRight w:val="0"/>
      <w:marTop w:val="0"/>
      <w:marBottom w:val="0"/>
      <w:divBdr>
        <w:top w:val="none" w:sz="0" w:space="0" w:color="auto"/>
        <w:left w:val="none" w:sz="0" w:space="0" w:color="auto"/>
        <w:bottom w:val="none" w:sz="0" w:space="0" w:color="auto"/>
        <w:right w:val="none" w:sz="0" w:space="0" w:color="auto"/>
      </w:divBdr>
      <w:divsChild>
        <w:div w:id="4017237">
          <w:marLeft w:val="0"/>
          <w:marRight w:val="0"/>
          <w:marTop w:val="0"/>
          <w:marBottom w:val="0"/>
          <w:divBdr>
            <w:top w:val="none" w:sz="0" w:space="0" w:color="auto"/>
            <w:left w:val="none" w:sz="0" w:space="0" w:color="auto"/>
            <w:bottom w:val="none" w:sz="0" w:space="0" w:color="auto"/>
            <w:right w:val="none" w:sz="0" w:space="0" w:color="auto"/>
          </w:divBdr>
          <w:divsChild>
            <w:div w:id="1831288806">
              <w:marLeft w:val="0"/>
              <w:marRight w:val="0"/>
              <w:marTop w:val="0"/>
              <w:marBottom w:val="0"/>
              <w:divBdr>
                <w:top w:val="none" w:sz="0" w:space="0" w:color="auto"/>
                <w:left w:val="none" w:sz="0" w:space="0" w:color="auto"/>
                <w:bottom w:val="none" w:sz="0" w:space="0" w:color="auto"/>
                <w:right w:val="none" w:sz="0" w:space="0" w:color="auto"/>
              </w:divBdr>
              <w:divsChild>
                <w:div w:id="14820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3414">
      <w:marLeft w:val="0"/>
      <w:marRight w:val="0"/>
      <w:marTop w:val="0"/>
      <w:marBottom w:val="0"/>
      <w:divBdr>
        <w:top w:val="none" w:sz="0" w:space="0" w:color="auto"/>
        <w:left w:val="none" w:sz="0" w:space="0" w:color="auto"/>
        <w:bottom w:val="none" w:sz="0" w:space="0" w:color="auto"/>
        <w:right w:val="none" w:sz="0" w:space="0" w:color="auto"/>
      </w:divBdr>
      <w:divsChild>
        <w:div w:id="1697120686">
          <w:marLeft w:val="0"/>
          <w:marRight w:val="0"/>
          <w:marTop w:val="0"/>
          <w:marBottom w:val="0"/>
          <w:divBdr>
            <w:top w:val="none" w:sz="0" w:space="0" w:color="auto"/>
            <w:left w:val="none" w:sz="0" w:space="0" w:color="auto"/>
            <w:bottom w:val="none" w:sz="0" w:space="0" w:color="auto"/>
            <w:right w:val="none" w:sz="0" w:space="0" w:color="auto"/>
          </w:divBdr>
          <w:divsChild>
            <w:div w:id="1906911518">
              <w:marLeft w:val="0"/>
              <w:marRight w:val="0"/>
              <w:marTop w:val="0"/>
              <w:marBottom w:val="0"/>
              <w:divBdr>
                <w:top w:val="none" w:sz="0" w:space="0" w:color="auto"/>
                <w:left w:val="none" w:sz="0" w:space="0" w:color="auto"/>
                <w:bottom w:val="none" w:sz="0" w:space="0" w:color="auto"/>
                <w:right w:val="none" w:sz="0" w:space="0" w:color="auto"/>
              </w:divBdr>
              <w:divsChild>
                <w:div w:id="1129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9205">
          <w:marLeft w:val="0"/>
          <w:marRight w:val="0"/>
          <w:marTop w:val="0"/>
          <w:marBottom w:val="0"/>
          <w:divBdr>
            <w:top w:val="none" w:sz="0" w:space="0" w:color="auto"/>
            <w:left w:val="none" w:sz="0" w:space="0" w:color="auto"/>
            <w:bottom w:val="none" w:sz="0" w:space="0" w:color="auto"/>
            <w:right w:val="none" w:sz="0" w:space="0" w:color="auto"/>
          </w:divBdr>
        </w:div>
        <w:div w:id="78529303">
          <w:marLeft w:val="0"/>
          <w:marRight w:val="0"/>
          <w:marTop w:val="0"/>
          <w:marBottom w:val="0"/>
          <w:divBdr>
            <w:top w:val="none" w:sz="0" w:space="0" w:color="auto"/>
            <w:left w:val="none" w:sz="0" w:space="0" w:color="auto"/>
            <w:bottom w:val="none" w:sz="0" w:space="0" w:color="auto"/>
            <w:right w:val="none" w:sz="0" w:space="0" w:color="auto"/>
          </w:divBdr>
          <w:divsChild>
            <w:div w:id="1923759041">
              <w:marLeft w:val="0"/>
              <w:marRight w:val="0"/>
              <w:marTop w:val="0"/>
              <w:marBottom w:val="0"/>
              <w:divBdr>
                <w:top w:val="none" w:sz="0" w:space="0" w:color="auto"/>
                <w:left w:val="none" w:sz="0" w:space="0" w:color="auto"/>
                <w:bottom w:val="none" w:sz="0" w:space="0" w:color="auto"/>
                <w:right w:val="none" w:sz="0" w:space="0" w:color="auto"/>
              </w:divBdr>
              <w:divsChild>
                <w:div w:id="1472673612">
                  <w:marLeft w:val="0"/>
                  <w:marRight w:val="0"/>
                  <w:marTop w:val="0"/>
                  <w:marBottom w:val="0"/>
                  <w:divBdr>
                    <w:top w:val="none" w:sz="0" w:space="0" w:color="auto"/>
                    <w:left w:val="none" w:sz="0" w:space="0" w:color="auto"/>
                    <w:bottom w:val="none" w:sz="0" w:space="0" w:color="auto"/>
                    <w:right w:val="none" w:sz="0" w:space="0" w:color="auto"/>
                  </w:divBdr>
                  <w:divsChild>
                    <w:div w:id="18949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raqbodycount.org/database/incidents/k5356" TargetMode="External"/><Relationship Id="rId21" Type="http://schemas.openxmlformats.org/officeDocument/2006/relationships/hyperlink" Target="https://www.iraqbodycount.org/database/incidents/k5659" TargetMode="External"/><Relationship Id="rId22" Type="http://schemas.openxmlformats.org/officeDocument/2006/relationships/hyperlink" Target="https://www.iraqbodycount.org/database/incidents/k5897" TargetMode="External"/><Relationship Id="rId23" Type="http://schemas.openxmlformats.org/officeDocument/2006/relationships/hyperlink" Target="https://www.iraqbodycount.org/database/incidents/k6112" TargetMode="External"/><Relationship Id="rId24" Type="http://schemas.openxmlformats.org/officeDocument/2006/relationships/hyperlink" Target="https://www.iraqbodycount.org/database/incidents/k6891" TargetMode="External"/><Relationship Id="rId25" Type="http://schemas.openxmlformats.org/officeDocument/2006/relationships/hyperlink" Target="https://www.iraqbodycount.org/database/incidents/k7225" TargetMode="External"/><Relationship Id="rId26" Type="http://schemas.openxmlformats.org/officeDocument/2006/relationships/hyperlink" Target="https://www.iraqbodycount.org/database/incidents/k13866" TargetMode="External"/><Relationship Id="rId27" Type="http://schemas.openxmlformats.org/officeDocument/2006/relationships/hyperlink" Target="https://www.iraqbodycount.org/database/incidents/k14203" TargetMode="External"/><Relationship Id="rId28" Type="http://schemas.openxmlformats.org/officeDocument/2006/relationships/hyperlink" Target="https://www.iraqbodycount.org/database/incidents/k14379" TargetMode="External"/><Relationship Id="rId29" Type="http://schemas.openxmlformats.org/officeDocument/2006/relationships/hyperlink" Target="https://www.iraqbodycount.org/database/incidents/k2112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iraqbodycount.org/database/incidents/d12134" TargetMode="External"/><Relationship Id="rId31" Type="http://schemas.openxmlformats.org/officeDocument/2006/relationships/hyperlink" Target="https://www.iraqbodycount.org/database/incidents/d12819" TargetMode="External"/><Relationship Id="rId32" Type="http://schemas.openxmlformats.org/officeDocument/2006/relationships/hyperlink" Target="https://www.iraqbodycount.org/analysis/beyond/indifference-to-injury/" TargetMode="External"/><Relationship Id="rId9" Type="http://schemas.openxmlformats.org/officeDocument/2006/relationships/hyperlink" Target="https://www.iraqbodycount.org/analysis/reference/announcements/6/" TargetMode="External"/><Relationship Id="rId6" Type="http://schemas.openxmlformats.org/officeDocument/2006/relationships/hyperlink" Target="https://www.iraqbodycount.org/database/" TargetMode="External"/><Relationship Id="rId7" Type="http://schemas.openxmlformats.org/officeDocument/2006/relationships/hyperlink" Target="https://www.iraqbodycount.org/about/methods/3" TargetMode="External"/><Relationship Id="rId8" Type="http://schemas.openxmlformats.org/officeDocument/2006/relationships/hyperlink" Target="https://www.iraqbodycount.org/analysis/beyond/lest-we-forget/" TargetMode="External"/><Relationship Id="rId33" Type="http://schemas.openxmlformats.org/officeDocument/2006/relationships/hyperlink" Target="https://www.iraqbodycount.org/analysis/reference/press-releases/12/" TargetMode="External"/><Relationship Id="rId34" Type="http://schemas.openxmlformats.org/officeDocument/2006/relationships/hyperlink" Target="https://www.iraqbodycount.org/analysis/numbers/2014/" TargetMode="External"/><Relationship Id="rId35" Type="http://schemas.openxmlformats.org/officeDocument/2006/relationships/hyperlink" Target="https://www.iraqbodycount.org/analysis/reference/announcements/5/" TargetMode="External"/><Relationship Id="rId36" Type="http://schemas.openxmlformats.org/officeDocument/2006/relationships/hyperlink" Target="http://www.uniraq.org/index.php?option=com_k2&amp;view=item&amp;id=6611:un-casualties-figures-for-iraq-for-the-month-of-december-2016&amp;Itemid=633&amp;lang=en" TargetMode="External"/><Relationship Id="rId10" Type="http://schemas.openxmlformats.org/officeDocument/2006/relationships/hyperlink" Target="https://www.facebook.com/IraqDigitalMemorial/" TargetMode="External"/><Relationship Id="rId11" Type="http://schemas.openxmlformats.org/officeDocument/2006/relationships/hyperlink" Target="https://www.iraqbodycount.org/database/individuals/" TargetMode="External"/><Relationship Id="rId12" Type="http://schemas.openxmlformats.org/officeDocument/2006/relationships/hyperlink" Target="http://iraqpictures.org/wp-content/uploads/2010/02/1-17-05ColorizedIraqMap.jpg" TargetMode="External"/><Relationship Id="rId13" Type="http://schemas.openxmlformats.org/officeDocument/2006/relationships/hyperlink" Target="https://www.iraqbodycount.org/database/incidents/k021" TargetMode="External"/><Relationship Id="rId14" Type="http://schemas.openxmlformats.org/officeDocument/2006/relationships/hyperlink" Target="https://www.iraqbodycount.org/database/incidents/k022" TargetMode="External"/><Relationship Id="rId15" Type="http://schemas.openxmlformats.org/officeDocument/2006/relationships/hyperlink" Target="https://www.iraqbodycount.org/database/incidents/k991" TargetMode="External"/><Relationship Id="rId16" Type="http://schemas.openxmlformats.org/officeDocument/2006/relationships/hyperlink" Target="https://www.iraqbodycount.org/database/incidents/k1100" TargetMode="External"/><Relationship Id="rId17" Type="http://schemas.openxmlformats.org/officeDocument/2006/relationships/hyperlink" Target="https://www.iraqbodycount.org/database/incidents/k1903" TargetMode="External"/><Relationship Id="rId18" Type="http://schemas.openxmlformats.org/officeDocument/2006/relationships/hyperlink" Target="https://www.iraqbodycount.org/database/incidents/k1981" TargetMode="External"/><Relationship Id="rId19" Type="http://schemas.openxmlformats.org/officeDocument/2006/relationships/hyperlink" Target="https://www.iraqbodycount.org/database/incidents/k4710" TargetMode="External"/><Relationship Id="rId37" Type="http://schemas.openxmlformats.org/officeDocument/2006/relationships/hyperlink" Target="http://www.everycasualty.org/newsandviews/joint-pr" TargetMode="External"/><Relationship Id="rId38" Type="http://schemas.openxmlformats.org/officeDocument/2006/relationships/hyperlink" Target="http://www.everycasualty.org/newsandviews/casualty-standards-published" TargetMode="External"/><Relationship Id="rId39" Type="http://schemas.openxmlformats.org/officeDocument/2006/relationships/hyperlink" Target="https://airwars.org"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3712</Words>
  <Characters>21161</Characters>
  <Application>Microsoft Macintosh Word</Application>
  <DocSecurity>0</DocSecurity>
  <Lines>176</Lines>
  <Paragraphs>49</Paragraphs>
  <ScaleCrop>false</ScaleCrop>
  <Company/>
  <LinksUpToDate>false</LinksUpToDate>
  <CharactersWithSpaces>24824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Hamourtziadou</dc:creator>
  <cp:keywords/>
  <dc:description/>
  <cp:lastModifiedBy>Lily Hamourtziadou</cp:lastModifiedBy>
  <cp:revision>6</cp:revision>
  <dcterms:created xsi:type="dcterms:W3CDTF">2018-10-05T09:00:00Z</dcterms:created>
  <dcterms:modified xsi:type="dcterms:W3CDTF">2018-10-05T09:09:00Z</dcterms:modified>
</cp:coreProperties>
</file>