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4E959" w14:textId="77777777" w:rsidR="00A315EE" w:rsidRDefault="00A315EE" w:rsidP="00230E3B">
      <w:pPr>
        <w:widowControl w:val="0"/>
        <w:autoSpaceDE w:val="0"/>
        <w:autoSpaceDN w:val="0"/>
        <w:adjustRightInd w:val="0"/>
        <w:spacing w:line="360" w:lineRule="auto"/>
        <w:jc w:val="center"/>
        <w:rPr>
          <w:rFonts w:ascii="Times New Roman" w:hAnsi="Times New Roman" w:cs="Times New Roman"/>
          <w:b/>
          <w:lang w:val="en-US"/>
        </w:rPr>
      </w:pPr>
      <w:r w:rsidRPr="00FA377A">
        <w:rPr>
          <w:rFonts w:ascii="Times New Roman" w:hAnsi="Times New Roman" w:cs="Times New Roman"/>
          <w:b/>
          <w:lang w:val="en-US"/>
        </w:rPr>
        <w:t xml:space="preserve">Music, Noise, and the First World War in Ford </w:t>
      </w:r>
      <w:proofErr w:type="spellStart"/>
      <w:r w:rsidRPr="00FA377A">
        <w:rPr>
          <w:rFonts w:ascii="Times New Roman" w:hAnsi="Times New Roman" w:cs="Times New Roman"/>
          <w:b/>
          <w:lang w:val="en-US"/>
        </w:rPr>
        <w:t>Madox</w:t>
      </w:r>
      <w:proofErr w:type="spellEnd"/>
      <w:r w:rsidRPr="00FA377A">
        <w:rPr>
          <w:rFonts w:ascii="Times New Roman" w:hAnsi="Times New Roman" w:cs="Times New Roman"/>
          <w:b/>
          <w:lang w:val="en-US"/>
        </w:rPr>
        <w:t xml:space="preserve"> Ford’s </w:t>
      </w:r>
      <w:r w:rsidRPr="00FA377A">
        <w:rPr>
          <w:rFonts w:ascii="Times New Roman" w:hAnsi="Times New Roman" w:cs="Times New Roman"/>
          <w:b/>
          <w:i/>
          <w:lang w:val="en-US"/>
        </w:rPr>
        <w:t>Parade’s End</w:t>
      </w:r>
    </w:p>
    <w:p w14:paraId="0148A632" w14:textId="77777777" w:rsidR="00FB1018" w:rsidRPr="00FB1018" w:rsidRDefault="00FB1018" w:rsidP="00230E3B">
      <w:pPr>
        <w:widowControl w:val="0"/>
        <w:autoSpaceDE w:val="0"/>
        <w:autoSpaceDN w:val="0"/>
        <w:adjustRightInd w:val="0"/>
        <w:spacing w:line="360" w:lineRule="auto"/>
        <w:jc w:val="center"/>
        <w:rPr>
          <w:rFonts w:ascii="Times New Roman" w:hAnsi="Times New Roman" w:cs="Times New Roman"/>
          <w:b/>
          <w:lang w:val="en-US"/>
        </w:rPr>
      </w:pPr>
      <w:r>
        <w:rPr>
          <w:rFonts w:ascii="Times New Roman" w:hAnsi="Times New Roman" w:cs="Times New Roman"/>
          <w:b/>
          <w:lang w:val="en-US"/>
        </w:rPr>
        <w:t>Gemma Moss</w:t>
      </w:r>
    </w:p>
    <w:p w14:paraId="5B1C7BBE" w14:textId="77777777" w:rsidR="005745AE" w:rsidRPr="00FA377A" w:rsidRDefault="005745AE" w:rsidP="00B352AA">
      <w:pPr>
        <w:spacing w:line="360" w:lineRule="auto"/>
        <w:rPr>
          <w:rFonts w:ascii="Times New Roman" w:hAnsi="Times New Roman" w:cs="Times New Roman"/>
          <w:lang w:val="en-US"/>
        </w:rPr>
      </w:pPr>
    </w:p>
    <w:p w14:paraId="6EC40EF9" w14:textId="3EFFE10E" w:rsidR="00A315EE" w:rsidRPr="00FA377A" w:rsidRDefault="005745AE" w:rsidP="00B352AA">
      <w:pPr>
        <w:spacing w:line="360" w:lineRule="auto"/>
        <w:rPr>
          <w:rFonts w:ascii="Times New Roman" w:hAnsi="Times New Roman" w:cs="Times New Roman"/>
          <w:i/>
          <w:lang w:val="en-US"/>
        </w:rPr>
      </w:pPr>
      <w:r w:rsidRPr="00FA377A">
        <w:rPr>
          <w:rFonts w:ascii="Times New Roman" w:hAnsi="Times New Roman" w:cs="Times New Roman"/>
          <w:i/>
          <w:iCs/>
          <w:lang w:val="en-US"/>
        </w:rPr>
        <w:t xml:space="preserve">Parade’s </w:t>
      </w:r>
      <w:r w:rsidR="00774705">
        <w:rPr>
          <w:rFonts w:ascii="Times New Roman" w:hAnsi="Times New Roman" w:cs="Times New Roman"/>
          <w:i/>
          <w:iCs/>
          <w:lang w:val="en-US"/>
        </w:rPr>
        <w:t>End</w:t>
      </w:r>
      <w:r w:rsidR="00945047" w:rsidRPr="00FA377A">
        <w:rPr>
          <w:rFonts w:ascii="Times New Roman" w:hAnsi="Times New Roman" w:cs="Times New Roman"/>
          <w:i/>
        </w:rPr>
        <w:t xml:space="preserve"> </w:t>
      </w:r>
      <w:r w:rsidR="007C1B6F" w:rsidRPr="00FA377A">
        <w:rPr>
          <w:rFonts w:ascii="Times New Roman" w:hAnsi="Times New Roman" w:cs="Times New Roman"/>
          <w:i/>
          <w:lang w:val="en-US"/>
        </w:rPr>
        <w:t>registers the potential and necessity for a transition in conceptions of music informed by new sounds experienced during the First World War.</w:t>
      </w:r>
      <w:r w:rsidR="007C1B6F">
        <w:rPr>
          <w:rFonts w:ascii="Times New Roman" w:hAnsi="Times New Roman" w:cs="Times New Roman"/>
          <w:i/>
          <w:lang w:val="en-US"/>
        </w:rPr>
        <w:t xml:space="preserve"> </w:t>
      </w:r>
      <w:r w:rsidR="00897674">
        <w:rPr>
          <w:rFonts w:ascii="Times New Roman" w:hAnsi="Times New Roman" w:cs="Times New Roman"/>
          <w:i/>
          <w:lang w:val="en-US"/>
        </w:rPr>
        <w:t xml:space="preserve">In the trenches, </w:t>
      </w:r>
      <w:proofErr w:type="spellStart"/>
      <w:r w:rsidR="00945047">
        <w:rPr>
          <w:rFonts w:ascii="Times New Roman" w:hAnsi="Times New Roman" w:cs="Times New Roman"/>
          <w:i/>
          <w:lang w:val="en-US"/>
        </w:rPr>
        <w:t>Tietjens</w:t>
      </w:r>
      <w:proofErr w:type="spellEnd"/>
      <w:r w:rsidR="00945047">
        <w:rPr>
          <w:rFonts w:ascii="Times New Roman" w:hAnsi="Times New Roman" w:cs="Times New Roman"/>
          <w:i/>
          <w:lang w:val="en-US"/>
        </w:rPr>
        <w:t xml:space="preserve"> interprets a bombardment as a Wagnerian orchestra</w:t>
      </w:r>
      <w:r w:rsidR="004F4C70" w:rsidRPr="00FA377A">
        <w:rPr>
          <w:rFonts w:ascii="Times New Roman" w:hAnsi="Times New Roman" w:cs="Times New Roman"/>
          <w:i/>
          <w:lang w:val="en-US"/>
        </w:rPr>
        <w:t>, encouraging</w:t>
      </w:r>
      <w:r w:rsidRPr="00FA377A">
        <w:rPr>
          <w:rFonts w:ascii="Times New Roman" w:hAnsi="Times New Roman" w:cs="Times New Roman"/>
          <w:i/>
          <w:lang w:val="en-US"/>
        </w:rPr>
        <w:t xml:space="preserve"> contemplation of where and why demarcation lines between music and noise are drawn, as well as reflection on the utopian project of Wagner’s Total Art-Work.</w:t>
      </w:r>
      <w:r w:rsidR="00446095">
        <w:rPr>
          <w:rFonts w:ascii="Times New Roman" w:hAnsi="Times New Roman" w:cs="Times New Roman"/>
          <w:i/>
          <w:lang w:val="en-US"/>
        </w:rPr>
        <w:t xml:space="preserve"> </w:t>
      </w:r>
      <w:r w:rsidR="00897674">
        <w:rPr>
          <w:rFonts w:ascii="Times New Roman" w:hAnsi="Times New Roman" w:cs="Times New Roman"/>
          <w:i/>
          <w:lang w:val="en-US"/>
        </w:rPr>
        <w:t>Ford’s</w:t>
      </w:r>
      <w:r w:rsidR="00774705">
        <w:rPr>
          <w:rFonts w:ascii="Times New Roman" w:hAnsi="Times New Roman" w:cs="Times New Roman"/>
          <w:i/>
          <w:lang w:val="en-US"/>
        </w:rPr>
        <w:t xml:space="preserve"> tetralogy</w:t>
      </w:r>
      <w:r w:rsidR="007C1B6F">
        <w:rPr>
          <w:rFonts w:ascii="Times New Roman" w:hAnsi="Times New Roman" w:cs="Times New Roman"/>
          <w:i/>
          <w:lang w:val="en-US"/>
        </w:rPr>
        <w:t xml:space="preserve"> </w:t>
      </w:r>
      <w:r w:rsidR="007C1B6F" w:rsidRPr="00FA377A">
        <w:rPr>
          <w:rFonts w:ascii="Times New Roman" w:hAnsi="Times New Roman" w:cs="Times New Roman"/>
          <w:i/>
        </w:rPr>
        <w:t>has a significant contribution to make towards understanding how writers were navigating the impact of noise on music</w:t>
      </w:r>
      <w:r w:rsidR="007C1B6F">
        <w:rPr>
          <w:rFonts w:ascii="Times New Roman" w:hAnsi="Times New Roman" w:cs="Times New Roman"/>
          <w:i/>
        </w:rPr>
        <w:t xml:space="preserve"> in the early twentieth century</w:t>
      </w:r>
      <w:r w:rsidR="007C1B6F" w:rsidRPr="00FA377A">
        <w:rPr>
          <w:rFonts w:ascii="Times New Roman" w:hAnsi="Times New Roman" w:cs="Times New Roman"/>
          <w:i/>
        </w:rPr>
        <w:t>.</w:t>
      </w:r>
      <w:r w:rsidR="007C1B6F">
        <w:rPr>
          <w:rFonts w:ascii="Times New Roman" w:hAnsi="Times New Roman" w:cs="Times New Roman"/>
          <w:i/>
        </w:rPr>
        <w:t xml:space="preserve"> </w:t>
      </w:r>
      <w:r w:rsidRPr="00FA377A">
        <w:rPr>
          <w:rFonts w:ascii="Times New Roman" w:hAnsi="Times New Roman" w:cs="Times New Roman"/>
          <w:i/>
          <w:lang w:val="en-US"/>
        </w:rPr>
        <w:t xml:space="preserve"> </w:t>
      </w:r>
    </w:p>
    <w:p w14:paraId="727F61C9" w14:textId="77777777" w:rsidR="00846354" w:rsidRPr="00FA377A" w:rsidRDefault="00846354" w:rsidP="00B352AA">
      <w:pPr>
        <w:widowControl w:val="0"/>
        <w:autoSpaceDE w:val="0"/>
        <w:autoSpaceDN w:val="0"/>
        <w:adjustRightInd w:val="0"/>
        <w:spacing w:line="360" w:lineRule="auto"/>
        <w:rPr>
          <w:rFonts w:ascii="Times New Roman" w:hAnsi="Times New Roman" w:cs="Times New Roman"/>
          <w:lang w:val="en-US"/>
        </w:rPr>
      </w:pPr>
    </w:p>
    <w:p w14:paraId="1BD75BA0" w14:textId="77777777" w:rsidR="00A315EE" w:rsidRPr="00FA377A" w:rsidRDefault="00A315EE" w:rsidP="00B352AA">
      <w:pPr>
        <w:widowControl w:val="0"/>
        <w:autoSpaceDE w:val="0"/>
        <w:autoSpaceDN w:val="0"/>
        <w:adjustRightInd w:val="0"/>
        <w:spacing w:line="360" w:lineRule="auto"/>
        <w:rPr>
          <w:rFonts w:ascii="Times New Roman" w:hAnsi="Times New Roman" w:cs="Times New Roman"/>
          <w:lang w:val="en-US"/>
        </w:rPr>
      </w:pPr>
      <w:r w:rsidRPr="00FA377A">
        <w:rPr>
          <w:rFonts w:ascii="Times New Roman" w:hAnsi="Times New Roman" w:cs="Times New Roman"/>
          <w:b/>
          <w:lang w:val="en-US"/>
        </w:rPr>
        <w:t xml:space="preserve">Keywords: </w:t>
      </w:r>
      <w:r w:rsidR="00846354" w:rsidRPr="00FA377A">
        <w:rPr>
          <w:rFonts w:ascii="Times New Roman" w:hAnsi="Times New Roman" w:cs="Times New Roman"/>
          <w:lang w:val="en-US"/>
        </w:rPr>
        <w:t xml:space="preserve">Ford </w:t>
      </w:r>
      <w:proofErr w:type="spellStart"/>
      <w:r w:rsidR="00846354" w:rsidRPr="00FA377A">
        <w:rPr>
          <w:rFonts w:ascii="Times New Roman" w:hAnsi="Times New Roman" w:cs="Times New Roman"/>
          <w:lang w:val="en-US"/>
        </w:rPr>
        <w:t>Madox</w:t>
      </w:r>
      <w:proofErr w:type="spellEnd"/>
      <w:r w:rsidR="00846354" w:rsidRPr="00FA377A">
        <w:rPr>
          <w:rFonts w:ascii="Times New Roman" w:hAnsi="Times New Roman" w:cs="Times New Roman"/>
          <w:lang w:val="en-US"/>
        </w:rPr>
        <w:t xml:space="preserve"> Ford / modernism / music / Wagner</w:t>
      </w:r>
      <w:r w:rsidRPr="00FA377A">
        <w:rPr>
          <w:rFonts w:ascii="Times New Roman" w:hAnsi="Times New Roman" w:cs="Times New Roman"/>
          <w:lang w:val="en-US"/>
        </w:rPr>
        <w:t xml:space="preserve"> / </w:t>
      </w:r>
      <w:r w:rsidR="00846354" w:rsidRPr="00FA377A">
        <w:rPr>
          <w:rFonts w:ascii="Times New Roman" w:hAnsi="Times New Roman" w:cs="Times New Roman"/>
          <w:lang w:val="en-US"/>
        </w:rPr>
        <w:t>First World War</w:t>
      </w:r>
    </w:p>
    <w:p w14:paraId="2FE2C97D" w14:textId="77777777" w:rsidR="00A315EE" w:rsidRPr="00FA377A" w:rsidRDefault="00A315EE" w:rsidP="00B352AA">
      <w:pPr>
        <w:spacing w:line="360" w:lineRule="auto"/>
        <w:rPr>
          <w:rFonts w:ascii="Times New Roman" w:hAnsi="Times New Roman" w:cs="Times New Roman"/>
          <w:i/>
          <w:lang w:val="en-US"/>
        </w:rPr>
      </w:pPr>
    </w:p>
    <w:p w14:paraId="2A589B60" w14:textId="3FA0885D" w:rsidR="00B74C46" w:rsidRPr="00FA377A" w:rsidRDefault="001E2E72" w:rsidP="00B352AA">
      <w:pPr>
        <w:spacing w:line="360" w:lineRule="auto"/>
        <w:rPr>
          <w:rFonts w:ascii="Times New Roman" w:hAnsi="Times New Roman" w:cs="Times New Roman"/>
          <w:lang w:val="en-US"/>
        </w:rPr>
      </w:pPr>
      <w:r w:rsidRPr="00FA377A">
        <w:rPr>
          <w:rFonts w:ascii="Times New Roman" w:hAnsi="Times New Roman" w:cs="Times New Roman"/>
          <w:i/>
          <w:lang w:val="en-US"/>
        </w:rPr>
        <w:t xml:space="preserve">Parade’s </w:t>
      </w:r>
      <w:r w:rsidRPr="00FA377A">
        <w:rPr>
          <w:rFonts w:ascii="Times New Roman" w:hAnsi="Times New Roman" w:cs="Times New Roman"/>
          <w:i/>
          <w:iCs/>
          <w:lang w:val="en-US"/>
        </w:rPr>
        <w:t>End </w:t>
      </w:r>
      <w:r w:rsidRPr="00FA377A">
        <w:rPr>
          <w:rFonts w:ascii="Times New Roman" w:hAnsi="Times New Roman" w:cs="Times New Roman"/>
          <w:lang w:val="en-US"/>
        </w:rPr>
        <w:t xml:space="preserve">explores a shift in how music is </w:t>
      </w:r>
      <w:proofErr w:type="spellStart"/>
      <w:r w:rsidRPr="00FA377A">
        <w:rPr>
          <w:rFonts w:ascii="Times New Roman" w:hAnsi="Times New Roman" w:cs="Times New Roman"/>
          <w:lang w:val="en-US"/>
        </w:rPr>
        <w:t>conceptualised</w:t>
      </w:r>
      <w:proofErr w:type="spellEnd"/>
      <w:r w:rsidRPr="00FA377A">
        <w:rPr>
          <w:rFonts w:ascii="Times New Roman" w:hAnsi="Times New Roman" w:cs="Times New Roman"/>
          <w:lang w:val="en-US"/>
        </w:rPr>
        <w:t xml:space="preserve"> that is shaped by sonic experiences during the First World War. Music has a history of being con</w:t>
      </w:r>
      <w:r w:rsidR="009173AB" w:rsidRPr="00FA377A">
        <w:rPr>
          <w:rFonts w:ascii="Times New Roman" w:hAnsi="Times New Roman" w:cs="Times New Roman"/>
          <w:lang w:val="en-US"/>
        </w:rPr>
        <w:t xml:space="preserve">sidered an aesthetic paradigm, </w:t>
      </w:r>
      <w:r w:rsidRPr="00FA377A">
        <w:rPr>
          <w:rFonts w:ascii="Times New Roman" w:hAnsi="Times New Roman" w:cs="Times New Roman"/>
          <w:lang w:val="en-US"/>
        </w:rPr>
        <w:t xml:space="preserve">exemplified in Walter Pater’s claim that it is the ‘highest’ form of art because </w:t>
      </w:r>
      <w:r w:rsidR="00822000">
        <w:rPr>
          <w:rFonts w:ascii="Times New Roman" w:hAnsi="Times New Roman" w:cs="Times New Roman"/>
          <w:lang w:val="en-US"/>
        </w:rPr>
        <w:t xml:space="preserve">it seems </w:t>
      </w:r>
      <w:r w:rsidRPr="00FA377A">
        <w:rPr>
          <w:rFonts w:ascii="Times New Roman" w:hAnsi="Times New Roman" w:cs="Times New Roman"/>
          <w:lang w:val="en-US"/>
        </w:rPr>
        <w:t>to create meaning without reference to the material world</w:t>
      </w:r>
      <w:r w:rsidR="009173AB" w:rsidRPr="00FA377A">
        <w:rPr>
          <w:rFonts w:ascii="Times New Roman" w:hAnsi="Times New Roman" w:cs="Times New Roman"/>
          <w:lang w:val="en-US"/>
        </w:rPr>
        <w:t>.</w:t>
      </w:r>
      <w:r w:rsidR="00B74C46" w:rsidRPr="00FA377A">
        <w:rPr>
          <w:rStyle w:val="EndnoteReference"/>
          <w:rFonts w:ascii="Times New Roman" w:hAnsi="Times New Roman" w:cs="Times New Roman"/>
          <w:lang w:val="en-US"/>
        </w:rPr>
        <w:endnoteReference w:id="1"/>
      </w:r>
      <w:r w:rsidR="00B74C46" w:rsidRPr="00FA377A">
        <w:rPr>
          <w:rFonts w:ascii="Times New Roman" w:hAnsi="Times New Roman" w:cs="Times New Roman"/>
          <w:lang w:val="en-US"/>
        </w:rPr>
        <w:t xml:space="preserve"> The </w:t>
      </w:r>
      <w:r w:rsidR="00B74C46" w:rsidRPr="00FA377A">
        <w:rPr>
          <w:rFonts w:ascii="Times New Roman" w:hAnsi="Times New Roman" w:cs="Times New Roman"/>
          <w:iCs/>
          <w:lang w:val="en-US"/>
        </w:rPr>
        <w:t xml:space="preserve">battlefield in </w:t>
      </w:r>
      <w:r w:rsidR="00B74C46" w:rsidRPr="00FA377A">
        <w:rPr>
          <w:rFonts w:ascii="Times New Roman" w:hAnsi="Times New Roman" w:cs="Times New Roman"/>
          <w:i/>
          <w:iCs/>
          <w:lang w:val="en-US"/>
        </w:rPr>
        <w:t xml:space="preserve">Parade’s End </w:t>
      </w:r>
      <w:r w:rsidR="00B74C46" w:rsidRPr="00FA377A">
        <w:rPr>
          <w:rFonts w:ascii="Times New Roman" w:hAnsi="Times New Roman" w:cs="Times New Roman"/>
          <w:lang w:val="en-US"/>
        </w:rPr>
        <w:t>is music’s antithesis – ‘a perfect hell of noise’.</w:t>
      </w:r>
      <w:r w:rsidR="00B74C46" w:rsidRPr="00FA377A">
        <w:rPr>
          <w:rStyle w:val="EndnoteReference"/>
          <w:rFonts w:ascii="Times New Roman" w:hAnsi="Times New Roman" w:cs="Times New Roman"/>
          <w:lang w:val="en-US"/>
        </w:rPr>
        <w:endnoteReference w:id="2"/>
      </w:r>
      <w:r w:rsidR="00B74C46" w:rsidRPr="00FA377A">
        <w:rPr>
          <w:rFonts w:ascii="Times New Roman" w:hAnsi="Times New Roman" w:cs="Times New Roman"/>
          <w:lang w:val="en-US"/>
        </w:rPr>
        <w:t xml:space="preserve"> T</w:t>
      </w:r>
      <w:r w:rsidR="00B74C46" w:rsidRPr="00FA377A">
        <w:rPr>
          <w:rFonts w:ascii="Times New Roman" w:hAnsi="Times New Roman" w:cs="Times New Roman"/>
        </w:rPr>
        <w:t xml:space="preserve">he sounds of the First World War provided new levels of contrast with music’s supposed heavenly transcendence: noises of technology and machinery that had been altering modern soundscapes took on different proportions. </w:t>
      </w:r>
      <w:r w:rsidR="00897674">
        <w:rPr>
          <w:rFonts w:ascii="Times New Roman" w:hAnsi="Times New Roman" w:cs="Times New Roman"/>
          <w:lang w:val="en-US"/>
        </w:rPr>
        <w:t>D</w:t>
      </w:r>
      <w:r w:rsidR="00B74C46" w:rsidRPr="00FA377A">
        <w:rPr>
          <w:rFonts w:ascii="Times New Roman" w:hAnsi="Times New Roman" w:cs="Times New Roman"/>
          <w:lang w:val="en-US"/>
        </w:rPr>
        <w:t xml:space="preserve">uring a </w:t>
      </w:r>
      <w:r w:rsidR="00D201A3">
        <w:rPr>
          <w:rFonts w:ascii="Times New Roman" w:hAnsi="Times New Roman" w:cs="Times New Roman"/>
          <w:lang w:val="en-US"/>
        </w:rPr>
        <w:t>bomb</w:t>
      </w:r>
      <w:r w:rsidR="006A48D7">
        <w:rPr>
          <w:rFonts w:ascii="Times New Roman" w:hAnsi="Times New Roman" w:cs="Times New Roman"/>
          <w:lang w:val="en-US"/>
        </w:rPr>
        <w:t>ardment</w:t>
      </w:r>
      <w:r w:rsidR="00B74C46" w:rsidRPr="00FA377A">
        <w:rPr>
          <w:rFonts w:ascii="Times New Roman" w:hAnsi="Times New Roman" w:cs="Times New Roman"/>
          <w:lang w:val="en-US"/>
        </w:rPr>
        <w:t xml:space="preserve"> on the front line Christopher </w:t>
      </w:r>
      <w:proofErr w:type="spellStart"/>
      <w:r w:rsidR="00B74C46" w:rsidRPr="00FA377A">
        <w:rPr>
          <w:rFonts w:ascii="Times New Roman" w:hAnsi="Times New Roman" w:cs="Times New Roman"/>
          <w:lang w:val="en-US"/>
        </w:rPr>
        <w:t>Tietjens</w:t>
      </w:r>
      <w:proofErr w:type="spellEnd"/>
      <w:r w:rsidR="00B74C46" w:rsidRPr="00FA377A">
        <w:rPr>
          <w:rFonts w:ascii="Times New Roman" w:hAnsi="Times New Roman" w:cs="Times New Roman"/>
          <w:lang w:val="en-US"/>
        </w:rPr>
        <w:t xml:space="preserve"> hears gunfir</w:t>
      </w:r>
      <w:r w:rsidR="00897674">
        <w:rPr>
          <w:rFonts w:ascii="Times New Roman" w:hAnsi="Times New Roman" w:cs="Times New Roman"/>
          <w:lang w:val="en-US"/>
        </w:rPr>
        <w:t xml:space="preserve">e and shells as Wagnerian opera, and trench </w:t>
      </w:r>
      <w:r w:rsidR="00897674" w:rsidRPr="00FA377A">
        <w:rPr>
          <w:rFonts w:ascii="Times New Roman" w:hAnsi="Times New Roman" w:cs="Times New Roman"/>
          <w:lang w:val="en-US"/>
        </w:rPr>
        <w:t>warfare shifts from being experienced as a sonic assault to be</w:t>
      </w:r>
      <w:r w:rsidR="00897674">
        <w:rPr>
          <w:rFonts w:ascii="Times New Roman" w:hAnsi="Times New Roman" w:cs="Times New Roman"/>
          <w:lang w:val="en-US"/>
        </w:rPr>
        <w:t xml:space="preserve">ing understood in musical terms. </w:t>
      </w:r>
      <w:r w:rsidR="00B74C46" w:rsidRPr="00FA377A">
        <w:rPr>
          <w:rFonts w:ascii="Times New Roman" w:hAnsi="Times New Roman" w:cs="Times New Roman"/>
          <w:lang w:val="en-US"/>
        </w:rPr>
        <w:t xml:space="preserve">By considering the significance of Wagner in </w:t>
      </w:r>
      <w:r w:rsidR="00B74C46" w:rsidRPr="00FA377A">
        <w:rPr>
          <w:rFonts w:ascii="Times New Roman" w:hAnsi="Times New Roman" w:cs="Times New Roman"/>
          <w:i/>
          <w:lang w:val="en-US"/>
        </w:rPr>
        <w:t>Parade’s End</w:t>
      </w:r>
      <w:r w:rsidR="00B74C46" w:rsidRPr="00FA377A">
        <w:rPr>
          <w:rFonts w:ascii="Times New Roman" w:hAnsi="Times New Roman" w:cs="Times New Roman"/>
          <w:lang w:val="en-US"/>
        </w:rPr>
        <w:t xml:space="preserve">, </w:t>
      </w:r>
      <w:r w:rsidR="00B74C46" w:rsidRPr="00FA377A">
        <w:rPr>
          <w:rFonts w:ascii="Times New Roman" w:hAnsi="Times New Roman" w:cs="Times New Roman"/>
        </w:rPr>
        <w:t xml:space="preserve">this article explores how the First World War affects ideas about what music is, and what it is for. </w:t>
      </w:r>
      <w:r w:rsidR="00B74C46" w:rsidRPr="00FA377A">
        <w:rPr>
          <w:rFonts w:ascii="Times New Roman" w:hAnsi="Times New Roman" w:cs="Times New Roman"/>
          <w:lang w:val="en-US"/>
        </w:rPr>
        <w:t>Music is invoked as a way of coping with an event, but its association with violence during the war means that it cannot be considered a separate, transcendent, or humane realm. </w:t>
      </w:r>
      <w:r w:rsidR="00B74C46" w:rsidRPr="00FA377A">
        <w:rPr>
          <w:rFonts w:ascii="Times New Roman" w:hAnsi="Times New Roman" w:cs="Times New Roman"/>
        </w:rPr>
        <w:t xml:space="preserve"> </w:t>
      </w:r>
    </w:p>
    <w:p w14:paraId="244D78FC" w14:textId="23526CB3"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lang w:val="en-US"/>
        </w:rPr>
        <w:tab/>
        <w:t>Ford’s significance in shaping British literary modernism is now widely recognized.</w:t>
      </w:r>
      <w:r w:rsidRPr="00FA377A">
        <w:rPr>
          <w:rStyle w:val="EndnoteReference"/>
          <w:rFonts w:ascii="Times New Roman" w:hAnsi="Times New Roman" w:cs="Times New Roman"/>
          <w:lang w:val="en-US"/>
        </w:rPr>
        <w:endnoteReference w:id="3"/>
      </w:r>
      <w:r w:rsidRPr="00FA377A">
        <w:rPr>
          <w:rFonts w:ascii="Times New Roman" w:hAnsi="Times New Roman" w:cs="Times New Roman"/>
          <w:lang w:val="en-US"/>
        </w:rPr>
        <w:t xml:space="preserve"> In addition to his own novels, he edited the </w:t>
      </w:r>
      <w:r w:rsidRPr="00FA377A">
        <w:rPr>
          <w:rFonts w:ascii="Times New Roman" w:hAnsi="Times New Roman" w:cs="Times New Roman"/>
          <w:i/>
          <w:lang w:val="en-US"/>
        </w:rPr>
        <w:t xml:space="preserve">English Review </w:t>
      </w:r>
      <w:r w:rsidRPr="00FA377A">
        <w:rPr>
          <w:rFonts w:ascii="Times New Roman" w:hAnsi="Times New Roman" w:cs="Times New Roman"/>
          <w:lang w:val="en-US"/>
        </w:rPr>
        <w:t xml:space="preserve">and </w:t>
      </w:r>
      <w:r w:rsidRPr="00FA377A">
        <w:rPr>
          <w:rFonts w:ascii="Times New Roman" w:hAnsi="Times New Roman" w:cs="Times New Roman"/>
          <w:i/>
          <w:lang w:val="en-US"/>
        </w:rPr>
        <w:t xml:space="preserve">Transatlantic Review, </w:t>
      </w:r>
      <w:r w:rsidRPr="00FA377A">
        <w:rPr>
          <w:rFonts w:ascii="Times New Roman" w:hAnsi="Times New Roman" w:cs="Times New Roman"/>
          <w:lang w:val="en-US"/>
        </w:rPr>
        <w:t>and mentored Joseph Conrad and Ezra Pound.</w:t>
      </w:r>
      <w:r w:rsidRPr="00FA377A">
        <w:rPr>
          <w:rStyle w:val="EndnoteReference"/>
          <w:rFonts w:ascii="Times New Roman" w:hAnsi="Times New Roman" w:cs="Times New Roman"/>
          <w:lang w:val="en-US"/>
        </w:rPr>
        <w:endnoteReference w:id="4"/>
      </w:r>
      <w:r w:rsidRPr="00FA377A">
        <w:rPr>
          <w:rFonts w:ascii="Times New Roman" w:hAnsi="Times New Roman" w:cs="Times New Roman"/>
          <w:lang w:val="en-US"/>
        </w:rPr>
        <w:t xml:space="preserve"> Modernism </w:t>
      </w:r>
      <w:r w:rsidR="00D4740F">
        <w:rPr>
          <w:rFonts w:ascii="Times New Roman" w:hAnsi="Times New Roman" w:cs="Times New Roman"/>
          <w:lang w:val="en-US"/>
        </w:rPr>
        <w:t>has</w:t>
      </w:r>
      <w:r w:rsidRPr="00FA377A">
        <w:rPr>
          <w:rFonts w:ascii="Times New Roman" w:hAnsi="Times New Roman" w:cs="Times New Roman"/>
          <w:lang w:val="en-US"/>
        </w:rPr>
        <w:t xml:space="preserve"> long been approached as a decisive br</w:t>
      </w:r>
      <w:r w:rsidR="008C710B">
        <w:rPr>
          <w:rFonts w:ascii="Times New Roman" w:hAnsi="Times New Roman" w:cs="Times New Roman"/>
          <w:lang w:val="en-US"/>
        </w:rPr>
        <w:t xml:space="preserve">eak or rupture with </w:t>
      </w:r>
      <w:r w:rsidR="00853EB3">
        <w:rPr>
          <w:rFonts w:ascii="Times New Roman" w:hAnsi="Times New Roman" w:cs="Times New Roman"/>
          <w:lang w:val="en-US"/>
        </w:rPr>
        <w:t>nineteenth-century aesthetic forms</w:t>
      </w:r>
      <w:r w:rsidR="00D4740F">
        <w:rPr>
          <w:rFonts w:ascii="Times New Roman" w:hAnsi="Times New Roman" w:cs="Times New Roman"/>
          <w:lang w:val="en-US"/>
        </w:rPr>
        <w:t xml:space="preserve">, but this is no longer the case. </w:t>
      </w:r>
      <w:r w:rsidRPr="00FA377A">
        <w:rPr>
          <w:rFonts w:ascii="Times New Roman" w:hAnsi="Times New Roman" w:cs="Times New Roman"/>
          <w:lang w:val="en-US"/>
        </w:rPr>
        <w:t xml:space="preserve">For Andrzej </w:t>
      </w:r>
      <w:proofErr w:type="spellStart"/>
      <w:r w:rsidRPr="00FA377A">
        <w:rPr>
          <w:rFonts w:ascii="Times New Roman" w:hAnsi="Times New Roman" w:cs="Times New Roman"/>
          <w:lang w:val="en-US"/>
        </w:rPr>
        <w:t>Gasiorek</w:t>
      </w:r>
      <w:proofErr w:type="spellEnd"/>
      <w:r w:rsidRPr="00FA377A">
        <w:rPr>
          <w:rFonts w:ascii="Times New Roman" w:hAnsi="Times New Roman" w:cs="Times New Roman"/>
          <w:lang w:val="en-US"/>
        </w:rPr>
        <w:t xml:space="preserve">, claims about modernism’s newness often relied on monolithic or vaguely defined notions of </w:t>
      </w:r>
      <w:r w:rsidR="002420F6">
        <w:rPr>
          <w:rFonts w:ascii="Times New Roman" w:hAnsi="Times New Roman" w:cs="Times New Roman"/>
          <w:lang w:val="en-US"/>
        </w:rPr>
        <w:t>‘tradition’,</w:t>
      </w:r>
      <w:r w:rsidRPr="00FA377A">
        <w:rPr>
          <w:rFonts w:ascii="Times New Roman" w:hAnsi="Times New Roman" w:cs="Times New Roman"/>
          <w:lang w:val="en-US"/>
        </w:rPr>
        <w:t xml:space="preserve"> while looking at specific aesthetic traditions shows that modernism’s engagement with these is often fraught and complex, rather than a clean </w:t>
      </w:r>
      <w:r w:rsidRPr="00FA377A">
        <w:rPr>
          <w:rFonts w:ascii="Times New Roman" w:hAnsi="Times New Roman" w:cs="Times New Roman"/>
          <w:lang w:val="en-US"/>
        </w:rPr>
        <w:lastRenderedPageBreak/>
        <w:t>break.</w:t>
      </w:r>
      <w:r w:rsidRPr="00FA377A">
        <w:rPr>
          <w:rStyle w:val="EndnoteReference"/>
          <w:rFonts w:ascii="Times New Roman" w:hAnsi="Times New Roman" w:cs="Times New Roman"/>
          <w:lang w:val="en-US"/>
        </w:rPr>
        <w:endnoteReference w:id="5"/>
      </w:r>
      <w:r w:rsidRPr="00FA377A">
        <w:rPr>
          <w:rFonts w:ascii="Times New Roman" w:hAnsi="Times New Roman" w:cs="Times New Roman"/>
          <w:lang w:val="en-US"/>
        </w:rPr>
        <w:t xml:space="preserve"> Ford </w:t>
      </w:r>
      <w:r w:rsidR="00F67BF7">
        <w:rPr>
          <w:rFonts w:ascii="Times New Roman" w:hAnsi="Times New Roman" w:cs="Times New Roman"/>
        </w:rPr>
        <w:t xml:space="preserve">had a </w:t>
      </w:r>
      <w:r w:rsidR="008C710B">
        <w:rPr>
          <w:rFonts w:ascii="Times New Roman" w:hAnsi="Times New Roman" w:cs="Times New Roman"/>
        </w:rPr>
        <w:t>comprehensive</w:t>
      </w:r>
      <w:r w:rsidR="00F67BF7" w:rsidRPr="00FA377A">
        <w:rPr>
          <w:rFonts w:ascii="Times New Roman" w:hAnsi="Times New Roman" w:cs="Times New Roman"/>
        </w:rPr>
        <w:t xml:space="preserve"> education in the arts </w:t>
      </w:r>
      <w:r w:rsidR="00F67BF7">
        <w:rPr>
          <w:rFonts w:ascii="Times New Roman" w:hAnsi="Times New Roman" w:cs="Times New Roman"/>
        </w:rPr>
        <w:t>and</w:t>
      </w:r>
      <w:r w:rsidR="00F67BF7" w:rsidRPr="00FA377A">
        <w:rPr>
          <w:rFonts w:ascii="Times New Roman" w:hAnsi="Times New Roman" w:cs="Times New Roman"/>
        </w:rPr>
        <w:t xml:space="preserve"> became deeply musically knowledgeable in his own right</w:t>
      </w:r>
      <w:r w:rsidR="00F67BF7">
        <w:rPr>
          <w:rFonts w:ascii="Times New Roman" w:hAnsi="Times New Roman" w:cs="Times New Roman"/>
        </w:rPr>
        <w:t>,</w:t>
      </w:r>
      <w:r w:rsidR="00F67BF7" w:rsidRPr="00FA377A">
        <w:rPr>
          <w:rFonts w:ascii="Times New Roman" w:hAnsi="Times New Roman" w:cs="Times New Roman"/>
          <w:lang w:val="en-US"/>
        </w:rPr>
        <w:t xml:space="preserve"> </w:t>
      </w:r>
      <w:r w:rsidRPr="00FA377A">
        <w:rPr>
          <w:rFonts w:ascii="Times New Roman" w:hAnsi="Times New Roman" w:cs="Times New Roman"/>
          <w:lang w:val="en-US"/>
        </w:rPr>
        <w:t>which makes his writing rich ground f</w:t>
      </w:r>
      <w:r w:rsidR="002420F6">
        <w:rPr>
          <w:rFonts w:ascii="Times New Roman" w:hAnsi="Times New Roman" w:cs="Times New Roman"/>
          <w:lang w:val="en-US"/>
        </w:rPr>
        <w:t xml:space="preserve">or </w:t>
      </w:r>
      <w:proofErr w:type="spellStart"/>
      <w:r w:rsidR="002420F6">
        <w:rPr>
          <w:rFonts w:ascii="Times New Roman" w:hAnsi="Times New Roman" w:cs="Times New Roman"/>
          <w:lang w:val="en-US"/>
        </w:rPr>
        <w:t>analysing</w:t>
      </w:r>
      <w:proofErr w:type="spellEnd"/>
      <w:r w:rsidR="002420F6">
        <w:rPr>
          <w:rFonts w:ascii="Times New Roman" w:hAnsi="Times New Roman" w:cs="Times New Roman"/>
          <w:lang w:val="en-US"/>
        </w:rPr>
        <w:t xml:space="preserve"> how it references and engages with other artworks</w:t>
      </w:r>
      <w:r w:rsidRPr="00FA377A">
        <w:rPr>
          <w:rFonts w:ascii="Times New Roman" w:hAnsi="Times New Roman" w:cs="Times New Roman"/>
          <w:lang w:val="en-US"/>
        </w:rPr>
        <w:t xml:space="preserve">. </w:t>
      </w:r>
      <w:r w:rsidR="003E7F97" w:rsidRPr="00FA377A">
        <w:rPr>
          <w:rFonts w:ascii="Times New Roman" w:hAnsi="Times New Roman" w:cs="Times New Roman"/>
        </w:rPr>
        <w:t xml:space="preserve">Sondra </w:t>
      </w:r>
      <w:proofErr w:type="spellStart"/>
      <w:r w:rsidR="003E7F97" w:rsidRPr="00FA377A">
        <w:rPr>
          <w:rFonts w:ascii="Times New Roman" w:hAnsi="Times New Roman" w:cs="Times New Roman"/>
        </w:rPr>
        <w:t>Stang</w:t>
      </w:r>
      <w:proofErr w:type="spellEnd"/>
      <w:r w:rsidR="003E7F97" w:rsidRPr="00FA377A">
        <w:rPr>
          <w:rFonts w:ascii="Times New Roman" w:hAnsi="Times New Roman" w:cs="Times New Roman"/>
        </w:rPr>
        <w:t xml:space="preserve"> and Carl Smith have discussed the depth of </w:t>
      </w:r>
      <w:r w:rsidR="003E7F97">
        <w:rPr>
          <w:rFonts w:ascii="Times New Roman" w:hAnsi="Times New Roman" w:cs="Times New Roman"/>
        </w:rPr>
        <w:t>Ford’s</w:t>
      </w:r>
      <w:r w:rsidR="003E7F97" w:rsidRPr="00FA377A">
        <w:rPr>
          <w:rFonts w:ascii="Times New Roman" w:hAnsi="Times New Roman" w:cs="Times New Roman"/>
        </w:rPr>
        <w:t xml:space="preserve"> knowledge and his compositional skill</w:t>
      </w:r>
      <w:r w:rsidR="00341706">
        <w:rPr>
          <w:rFonts w:ascii="Times New Roman" w:hAnsi="Times New Roman" w:cs="Times New Roman"/>
        </w:rPr>
        <w:t>,</w:t>
      </w:r>
      <w:r w:rsidR="003E7F97" w:rsidRPr="00FA377A">
        <w:rPr>
          <w:rStyle w:val="EndnoteReference"/>
          <w:rFonts w:ascii="Times New Roman" w:hAnsi="Times New Roman" w:cs="Times New Roman"/>
        </w:rPr>
        <w:endnoteReference w:id="6"/>
      </w:r>
      <w:r w:rsidR="00341706">
        <w:rPr>
          <w:rFonts w:ascii="Times New Roman" w:hAnsi="Times New Roman" w:cs="Times New Roman"/>
        </w:rPr>
        <w:t xml:space="preserve"> while</w:t>
      </w:r>
      <w:r w:rsidR="003E7F97" w:rsidRPr="00FA377A">
        <w:rPr>
          <w:rFonts w:ascii="Times New Roman" w:hAnsi="Times New Roman" w:cs="Times New Roman"/>
        </w:rPr>
        <w:t xml:space="preserve"> </w:t>
      </w:r>
      <w:r w:rsidRPr="00FA377A">
        <w:rPr>
          <w:rFonts w:ascii="Times New Roman" w:hAnsi="Times New Roman" w:cs="Times New Roman"/>
          <w:lang w:val="en-US"/>
        </w:rPr>
        <w:t>Ford’s</w:t>
      </w:r>
      <w:r w:rsidRPr="00FA377A">
        <w:rPr>
          <w:rFonts w:ascii="Times New Roman" w:hAnsi="Times New Roman" w:cs="Times New Roman"/>
        </w:rPr>
        <w:t xml:space="preserve"> grandfather was the pre-Raphaelite painter Ford </w:t>
      </w:r>
      <w:proofErr w:type="spellStart"/>
      <w:r w:rsidRPr="00FA377A">
        <w:rPr>
          <w:rFonts w:ascii="Times New Roman" w:hAnsi="Times New Roman" w:cs="Times New Roman"/>
        </w:rPr>
        <w:t>Madox</w:t>
      </w:r>
      <w:proofErr w:type="spellEnd"/>
      <w:r w:rsidRPr="00FA377A">
        <w:rPr>
          <w:rFonts w:ascii="Times New Roman" w:hAnsi="Times New Roman" w:cs="Times New Roman"/>
        </w:rPr>
        <w:t xml:space="preserve"> Brown</w:t>
      </w:r>
      <w:r w:rsidR="003E7F97">
        <w:rPr>
          <w:rFonts w:ascii="Times New Roman" w:hAnsi="Times New Roman" w:cs="Times New Roman"/>
        </w:rPr>
        <w:t xml:space="preserve">, </w:t>
      </w:r>
      <w:r w:rsidR="00341706">
        <w:rPr>
          <w:rFonts w:ascii="Times New Roman" w:hAnsi="Times New Roman" w:cs="Times New Roman"/>
        </w:rPr>
        <w:t>and</w:t>
      </w:r>
      <w:r w:rsidR="003E7F97">
        <w:rPr>
          <w:rFonts w:ascii="Times New Roman" w:hAnsi="Times New Roman" w:cs="Times New Roman"/>
        </w:rPr>
        <w:t xml:space="preserve"> his </w:t>
      </w:r>
      <w:r w:rsidR="003E7F97" w:rsidRPr="00FA377A">
        <w:rPr>
          <w:rFonts w:ascii="Times New Roman" w:hAnsi="Times New Roman" w:cs="Times New Roman"/>
        </w:rPr>
        <w:t xml:space="preserve">father, Francis </w:t>
      </w:r>
      <w:proofErr w:type="spellStart"/>
      <w:r w:rsidR="003E7F97" w:rsidRPr="00FA377A">
        <w:rPr>
          <w:rFonts w:ascii="Times New Roman" w:hAnsi="Times New Roman" w:cs="Times New Roman"/>
        </w:rPr>
        <w:t>Hueffer</w:t>
      </w:r>
      <w:proofErr w:type="spellEnd"/>
      <w:r w:rsidR="003E7F97" w:rsidRPr="00FA377A">
        <w:rPr>
          <w:rFonts w:ascii="Times New Roman" w:hAnsi="Times New Roman" w:cs="Times New Roman"/>
        </w:rPr>
        <w:t>, was a</w:t>
      </w:r>
      <w:r w:rsidR="003E7F97">
        <w:rPr>
          <w:rFonts w:ascii="Times New Roman" w:hAnsi="Times New Roman" w:cs="Times New Roman"/>
        </w:rPr>
        <w:t>n expert</w:t>
      </w:r>
      <w:r w:rsidR="003E7F97" w:rsidRPr="00FA377A">
        <w:rPr>
          <w:rFonts w:ascii="Times New Roman" w:hAnsi="Times New Roman" w:cs="Times New Roman"/>
        </w:rPr>
        <w:t xml:space="preserve"> music</w:t>
      </w:r>
      <w:r w:rsidR="003E7F97">
        <w:rPr>
          <w:rFonts w:ascii="Times New Roman" w:hAnsi="Times New Roman" w:cs="Times New Roman"/>
        </w:rPr>
        <w:t xml:space="preserve"> critic</w:t>
      </w:r>
      <w:r w:rsidR="003E7F97" w:rsidRPr="00FA377A">
        <w:rPr>
          <w:rFonts w:ascii="Times New Roman" w:hAnsi="Times New Roman" w:cs="Times New Roman"/>
        </w:rPr>
        <w:t xml:space="preserve"> and</w:t>
      </w:r>
      <w:r w:rsidR="003E7F97">
        <w:rPr>
          <w:rFonts w:ascii="Times New Roman" w:hAnsi="Times New Roman" w:cs="Times New Roman"/>
        </w:rPr>
        <w:t xml:space="preserve"> author of a book on Wagner</w:t>
      </w:r>
      <w:r w:rsidRPr="00FA377A">
        <w:rPr>
          <w:rFonts w:ascii="Times New Roman" w:hAnsi="Times New Roman" w:cs="Times New Roman"/>
          <w:lang w:val="en-US"/>
        </w:rPr>
        <w:t>.</w:t>
      </w:r>
      <w:r w:rsidRPr="00FA377A">
        <w:rPr>
          <w:rStyle w:val="EndnoteReference"/>
          <w:rFonts w:ascii="Times New Roman" w:hAnsi="Times New Roman" w:cs="Times New Roman"/>
          <w:lang w:val="en-US"/>
        </w:rPr>
        <w:endnoteReference w:id="7"/>
      </w:r>
      <w:r w:rsidRPr="00FA377A">
        <w:rPr>
          <w:rFonts w:ascii="Times New Roman" w:hAnsi="Times New Roman" w:cs="Times New Roman"/>
        </w:rPr>
        <w:t xml:space="preserve"> </w:t>
      </w:r>
      <w:r w:rsidR="008C710B">
        <w:rPr>
          <w:rFonts w:ascii="Times New Roman" w:hAnsi="Times New Roman" w:cs="Times New Roman"/>
        </w:rPr>
        <w:t>R</w:t>
      </w:r>
      <w:r w:rsidRPr="00FA377A">
        <w:rPr>
          <w:rFonts w:ascii="Times New Roman" w:hAnsi="Times New Roman" w:cs="Times New Roman"/>
        </w:rPr>
        <w:t xml:space="preserve">eferences to music and Wagner in </w:t>
      </w:r>
      <w:r w:rsidR="00895050">
        <w:rPr>
          <w:rFonts w:ascii="Times New Roman" w:hAnsi="Times New Roman" w:cs="Times New Roman"/>
        </w:rPr>
        <w:t>Ford’s</w:t>
      </w:r>
      <w:r w:rsidRPr="00FA377A">
        <w:rPr>
          <w:rFonts w:ascii="Times New Roman" w:hAnsi="Times New Roman" w:cs="Times New Roman"/>
        </w:rPr>
        <w:t xml:space="preserve"> work should </w:t>
      </w:r>
      <w:r w:rsidR="00C05B9C">
        <w:rPr>
          <w:rFonts w:ascii="Times New Roman" w:hAnsi="Times New Roman" w:cs="Times New Roman"/>
        </w:rPr>
        <w:t xml:space="preserve">thus </w:t>
      </w:r>
      <w:r w:rsidRPr="00FA377A">
        <w:rPr>
          <w:rFonts w:ascii="Times New Roman" w:hAnsi="Times New Roman" w:cs="Times New Roman"/>
        </w:rPr>
        <w:t>be approached as exceptionally well-informed.</w:t>
      </w:r>
    </w:p>
    <w:p w14:paraId="4B271D7C" w14:textId="6E5EDCE6"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i/>
        </w:rPr>
        <w:tab/>
        <w:t xml:space="preserve">Parade’s End </w:t>
      </w:r>
      <w:r w:rsidRPr="00FA377A">
        <w:rPr>
          <w:rFonts w:ascii="Times New Roman" w:hAnsi="Times New Roman" w:cs="Times New Roman"/>
        </w:rPr>
        <w:t xml:space="preserve">is absent from books that have been shaping the field of music and modernism. Brad </w:t>
      </w:r>
      <w:proofErr w:type="spellStart"/>
      <w:r w:rsidRPr="00FA377A">
        <w:rPr>
          <w:rFonts w:ascii="Times New Roman" w:hAnsi="Times New Roman" w:cs="Times New Roman"/>
        </w:rPr>
        <w:t>Bucknell</w:t>
      </w:r>
      <w:proofErr w:type="spellEnd"/>
      <w:r w:rsidRPr="00FA377A">
        <w:rPr>
          <w:rFonts w:ascii="Times New Roman" w:hAnsi="Times New Roman" w:cs="Times New Roman"/>
        </w:rPr>
        <w:t>, Daniel Albright, Emma Sutton, and Peter Dayan</w:t>
      </w:r>
      <w:r w:rsidRPr="00FA377A">
        <w:rPr>
          <w:rStyle w:val="EndnoteReference"/>
          <w:rFonts w:ascii="Times New Roman" w:hAnsi="Times New Roman" w:cs="Times New Roman"/>
        </w:rPr>
        <w:endnoteReference w:id="8"/>
      </w:r>
      <w:r w:rsidRPr="00FA377A">
        <w:rPr>
          <w:rFonts w:ascii="Times New Roman" w:hAnsi="Times New Roman" w:cs="Times New Roman"/>
        </w:rPr>
        <w:t xml:space="preserve"> </w:t>
      </w:r>
      <w:r w:rsidR="00CE7F09">
        <w:rPr>
          <w:rFonts w:ascii="Times New Roman" w:hAnsi="Times New Roman" w:cs="Times New Roman"/>
        </w:rPr>
        <w:t>have</w:t>
      </w:r>
      <w:r w:rsidRPr="00FA377A">
        <w:rPr>
          <w:rFonts w:ascii="Times New Roman" w:hAnsi="Times New Roman" w:cs="Times New Roman"/>
        </w:rPr>
        <w:t xml:space="preserve"> </w:t>
      </w:r>
      <w:r w:rsidR="00CE7F09">
        <w:rPr>
          <w:rFonts w:ascii="Times New Roman" w:hAnsi="Times New Roman" w:cs="Times New Roman"/>
        </w:rPr>
        <w:t>investigated m</w:t>
      </w:r>
      <w:r w:rsidR="00CE7F09" w:rsidRPr="00FA377A">
        <w:rPr>
          <w:rFonts w:ascii="Times New Roman" w:hAnsi="Times New Roman" w:cs="Times New Roman"/>
        </w:rPr>
        <w:t>odernist literature’s cl</w:t>
      </w:r>
      <w:r w:rsidR="00CE7F09">
        <w:rPr>
          <w:rFonts w:ascii="Times New Roman" w:hAnsi="Times New Roman" w:cs="Times New Roman"/>
        </w:rPr>
        <w:t xml:space="preserve">ose engagement with the musical, building </w:t>
      </w:r>
      <w:r w:rsidRPr="00FA377A">
        <w:rPr>
          <w:rFonts w:ascii="Times New Roman" w:hAnsi="Times New Roman" w:cs="Times New Roman"/>
        </w:rPr>
        <w:t>on earlier explorations of words and music by Werner Wolf and Eric Prieto</w:t>
      </w:r>
      <w:r w:rsidR="00B90989">
        <w:rPr>
          <w:rFonts w:ascii="Times New Roman" w:hAnsi="Times New Roman" w:cs="Times New Roman"/>
        </w:rPr>
        <w:t>.</w:t>
      </w:r>
      <w:r w:rsidRPr="00FA377A">
        <w:rPr>
          <w:rStyle w:val="EndnoteReference"/>
          <w:rFonts w:ascii="Times New Roman" w:hAnsi="Times New Roman" w:cs="Times New Roman"/>
        </w:rPr>
        <w:endnoteReference w:id="9"/>
      </w:r>
      <w:r w:rsidRPr="00FA377A">
        <w:rPr>
          <w:rFonts w:ascii="Times New Roman" w:hAnsi="Times New Roman" w:cs="Times New Roman"/>
        </w:rPr>
        <w:t xml:space="preserve"> </w:t>
      </w:r>
      <w:r w:rsidR="000A728C">
        <w:rPr>
          <w:rFonts w:ascii="Times New Roman" w:hAnsi="Times New Roman" w:cs="Times New Roman"/>
        </w:rPr>
        <w:t>For</w:t>
      </w:r>
      <w:r w:rsidRPr="00FA377A">
        <w:rPr>
          <w:rFonts w:ascii="Times New Roman" w:hAnsi="Times New Roman" w:cs="Times New Roman"/>
        </w:rPr>
        <w:t xml:space="preserve"> Prieto, ‘music offers a set of formal, expressive and referential principles that can be used in the attempt to better represent the inner space of consciousness’.</w:t>
      </w:r>
      <w:r w:rsidRPr="00FA377A">
        <w:rPr>
          <w:rStyle w:val="EndnoteReference"/>
          <w:rFonts w:ascii="Times New Roman" w:hAnsi="Times New Roman" w:cs="Times New Roman"/>
        </w:rPr>
        <w:endnoteReference w:id="10"/>
      </w:r>
      <w:r w:rsidR="00C97E31">
        <w:rPr>
          <w:rFonts w:ascii="Times New Roman" w:hAnsi="Times New Roman" w:cs="Times New Roman"/>
        </w:rPr>
        <w:t xml:space="preserve"> This approach </w:t>
      </w:r>
      <w:r w:rsidR="00020DF2">
        <w:rPr>
          <w:rFonts w:ascii="Times New Roman" w:hAnsi="Times New Roman" w:cs="Times New Roman"/>
        </w:rPr>
        <w:t xml:space="preserve">is </w:t>
      </w:r>
      <w:r w:rsidRPr="00FA377A">
        <w:rPr>
          <w:rFonts w:ascii="Times New Roman" w:hAnsi="Times New Roman" w:cs="Times New Roman"/>
        </w:rPr>
        <w:t xml:space="preserve">echoed by </w:t>
      </w:r>
      <w:proofErr w:type="spellStart"/>
      <w:r w:rsidRPr="00FA377A">
        <w:rPr>
          <w:rFonts w:ascii="Times New Roman" w:hAnsi="Times New Roman" w:cs="Times New Roman"/>
        </w:rPr>
        <w:t>Bucknell</w:t>
      </w:r>
      <w:proofErr w:type="spellEnd"/>
      <w:r w:rsidRPr="00FA377A">
        <w:rPr>
          <w:rFonts w:ascii="Times New Roman" w:hAnsi="Times New Roman" w:cs="Times New Roman"/>
        </w:rPr>
        <w:t xml:space="preserve">, who notes that in the face of a crisis of language, modernists </w:t>
      </w:r>
      <w:r w:rsidR="00C97E31">
        <w:rPr>
          <w:rFonts w:ascii="Times New Roman" w:hAnsi="Times New Roman" w:cs="Times New Roman"/>
        </w:rPr>
        <w:t xml:space="preserve">drew on music as a </w:t>
      </w:r>
      <w:r w:rsidRPr="00FA377A">
        <w:rPr>
          <w:rFonts w:ascii="Times New Roman" w:hAnsi="Times New Roman" w:cs="Times New Roman"/>
        </w:rPr>
        <w:t>model ‘to represent conscious and unconscious levels of emotion’ of ‘deeper significance’.</w:t>
      </w:r>
      <w:r w:rsidRPr="00FA377A">
        <w:rPr>
          <w:rStyle w:val="EndnoteReference"/>
          <w:rFonts w:ascii="Times New Roman" w:hAnsi="Times New Roman" w:cs="Times New Roman"/>
        </w:rPr>
        <w:endnoteReference w:id="11"/>
      </w:r>
      <w:r w:rsidRPr="00FA377A">
        <w:rPr>
          <w:rFonts w:ascii="Times New Roman" w:hAnsi="Times New Roman" w:cs="Times New Roman"/>
        </w:rPr>
        <w:t xml:space="preserve"> Music’s non-referential capacity for communication and emotional stimulation was related to perceptions of it </w:t>
      </w:r>
      <w:r w:rsidR="00B93F78">
        <w:rPr>
          <w:rFonts w:ascii="Times New Roman" w:hAnsi="Times New Roman" w:cs="Times New Roman"/>
        </w:rPr>
        <w:t xml:space="preserve">as </w:t>
      </w:r>
      <w:r w:rsidRPr="00FA377A">
        <w:rPr>
          <w:rFonts w:ascii="Times New Roman" w:hAnsi="Times New Roman" w:cs="Times New Roman"/>
        </w:rPr>
        <w:t xml:space="preserve">transcendent of material concerns. For </w:t>
      </w:r>
      <w:r w:rsidR="00B90989">
        <w:rPr>
          <w:rFonts w:ascii="Times New Roman" w:hAnsi="Times New Roman" w:cs="Times New Roman"/>
        </w:rPr>
        <w:t>early twentieth-century writers</w:t>
      </w:r>
      <w:r w:rsidRPr="00FA377A">
        <w:rPr>
          <w:rFonts w:ascii="Times New Roman" w:hAnsi="Times New Roman" w:cs="Times New Roman"/>
        </w:rPr>
        <w:t>, the immediate history of these ideas is in British Aestheticism, exemplified in Pater’s claim that ‘all art constantly aspires to the condition of music’ because he considered it to refer to nothing outside itself.</w:t>
      </w:r>
      <w:r w:rsidRPr="00FA377A">
        <w:rPr>
          <w:rStyle w:val="EndnoteReference"/>
          <w:rFonts w:ascii="Times New Roman" w:hAnsi="Times New Roman" w:cs="Times New Roman"/>
        </w:rPr>
        <w:endnoteReference w:id="12"/>
      </w:r>
      <w:r w:rsidRPr="00FA377A">
        <w:rPr>
          <w:rFonts w:ascii="Times New Roman" w:hAnsi="Times New Roman" w:cs="Times New Roman"/>
        </w:rPr>
        <w:t xml:space="preserve"> Pater was informed by the German Romantics</w:t>
      </w:r>
      <w:r w:rsidR="00D4740F">
        <w:rPr>
          <w:rFonts w:ascii="Times New Roman" w:hAnsi="Times New Roman" w:cs="Times New Roman"/>
        </w:rPr>
        <w:t>,</w:t>
      </w:r>
      <w:r w:rsidRPr="00FA377A">
        <w:rPr>
          <w:rStyle w:val="EndnoteReference"/>
          <w:rFonts w:ascii="Times New Roman" w:hAnsi="Times New Roman" w:cs="Times New Roman"/>
        </w:rPr>
        <w:endnoteReference w:id="13"/>
      </w:r>
      <w:r w:rsidR="00B531AB">
        <w:rPr>
          <w:rFonts w:ascii="Times New Roman" w:hAnsi="Times New Roman" w:cs="Times New Roman"/>
        </w:rPr>
        <w:t xml:space="preserve"> such as </w:t>
      </w:r>
      <w:proofErr w:type="spellStart"/>
      <w:r w:rsidR="00B531AB">
        <w:rPr>
          <w:rFonts w:ascii="Times New Roman" w:hAnsi="Times New Roman" w:cs="Times New Roman"/>
        </w:rPr>
        <w:t>Shopenhauer’s</w:t>
      </w:r>
      <w:proofErr w:type="spellEnd"/>
      <w:r w:rsidR="00B531AB" w:rsidRPr="00FA377A">
        <w:rPr>
          <w:rStyle w:val="EndnoteReference"/>
          <w:rFonts w:ascii="Times New Roman" w:hAnsi="Times New Roman" w:cs="Times New Roman"/>
        </w:rPr>
        <w:endnoteReference w:id="14"/>
      </w:r>
      <w:r w:rsidR="00B531AB" w:rsidRPr="00FA377A">
        <w:rPr>
          <w:rFonts w:ascii="Times New Roman" w:hAnsi="Times New Roman" w:cs="Times New Roman"/>
        </w:rPr>
        <w:t xml:space="preserve"> writing about music’s capacity to express the thing-in-itself</w:t>
      </w:r>
      <w:r w:rsidR="00DB3FA4" w:rsidRPr="00DB3FA4">
        <w:rPr>
          <w:rFonts w:ascii="Times New Roman" w:hAnsi="Times New Roman" w:cs="Times New Roman"/>
          <w:highlight w:val="yellow"/>
        </w:rPr>
        <w:t>, which</w:t>
      </w:r>
      <w:r w:rsidR="00B531AB" w:rsidRPr="00FA377A">
        <w:rPr>
          <w:rFonts w:ascii="Times New Roman" w:hAnsi="Times New Roman" w:cs="Times New Roman"/>
        </w:rPr>
        <w:t xml:space="preserve"> influenced Wagner, Brahms and Mahler.</w:t>
      </w:r>
      <w:r w:rsidR="00B531AB" w:rsidRPr="00FA377A">
        <w:rPr>
          <w:rStyle w:val="EndnoteReference"/>
          <w:rFonts w:ascii="Times New Roman" w:hAnsi="Times New Roman" w:cs="Times New Roman"/>
        </w:rPr>
        <w:endnoteReference w:id="15"/>
      </w:r>
      <w:r w:rsidR="00B531AB" w:rsidRPr="00FA377A">
        <w:rPr>
          <w:rFonts w:ascii="Times New Roman" w:hAnsi="Times New Roman" w:cs="Times New Roman"/>
        </w:rPr>
        <w:t xml:space="preserve"> Similar concepts can be found in the writing of the French symbolists, especially Baudelaire and </w:t>
      </w:r>
      <w:proofErr w:type="spellStart"/>
      <w:r w:rsidR="00B531AB" w:rsidRPr="00FA377A">
        <w:rPr>
          <w:rFonts w:ascii="Times New Roman" w:hAnsi="Times New Roman" w:cs="Times New Roman"/>
        </w:rPr>
        <w:t>Mallarmé</w:t>
      </w:r>
      <w:proofErr w:type="spellEnd"/>
      <w:r w:rsidR="00B531AB" w:rsidRPr="00FA377A">
        <w:rPr>
          <w:rFonts w:ascii="Times New Roman" w:hAnsi="Times New Roman" w:cs="Times New Roman"/>
        </w:rPr>
        <w:t>.</w:t>
      </w:r>
      <w:r w:rsidR="00B531AB" w:rsidRPr="00FA377A">
        <w:rPr>
          <w:rStyle w:val="EndnoteReference"/>
          <w:rFonts w:ascii="Times New Roman" w:hAnsi="Times New Roman" w:cs="Times New Roman"/>
        </w:rPr>
        <w:endnoteReference w:id="16"/>
      </w:r>
      <w:r w:rsidR="00B531AB" w:rsidRPr="00FA377A">
        <w:rPr>
          <w:rFonts w:ascii="Times New Roman" w:hAnsi="Times New Roman" w:cs="Times New Roman"/>
        </w:rPr>
        <w:t xml:space="preserve"> </w:t>
      </w:r>
      <w:r w:rsidR="00B531AB">
        <w:rPr>
          <w:rFonts w:ascii="Times New Roman" w:hAnsi="Times New Roman" w:cs="Times New Roman"/>
        </w:rPr>
        <w:t xml:space="preserve">All </w:t>
      </w:r>
      <w:r w:rsidR="00B531AB" w:rsidRPr="00FA377A">
        <w:rPr>
          <w:rFonts w:ascii="Times New Roman" w:hAnsi="Times New Roman" w:cs="Times New Roman"/>
        </w:rPr>
        <w:t>these ideas are connected –</w:t>
      </w:r>
      <w:r w:rsidR="00B531AB">
        <w:rPr>
          <w:rFonts w:ascii="Times New Roman" w:hAnsi="Times New Roman" w:cs="Times New Roman"/>
        </w:rPr>
        <w:t xml:space="preserve"> </w:t>
      </w:r>
      <w:r w:rsidR="00B531AB" w:rsidRPr="00FA377A">
        <w:rPr>
          <w:rFonts w:ascii="Times New Roman" w:hAnsi="Times New Roman" w:cs="Times New Roman"/>
        </w:rPr>
        <w:t>Raymond Furness has illuminated Wagner’s influence on literature</w:t>
      </w:r>
      <w:r w:rsidR="00B531AB">
        <w:rPr>
          <w:rFonts w:ascii="Times New Roman" w:hAnsi="Times New Roman" w:cs="Times New Roman"/>
        </w:rPr>
        <w:t>,</w:t>
      </w:r>
      <w:r w:rsidR="00B531AB" w:rsidRPr="00FA377A">
        <w:rPr>
          <w:rStyle w:val="EndnoteReference"/>
          <w:rFonts w:ascii="Times New Roman" w:hAnsi="Times New Roman" w:cs="Times New Roman"/>
        </w:rPr>
        <w:endnoteReference w:id="17"/>
      </w:r>
      <w:r w:rsidR="002360AD">
        <w:rPr>
          <w:rFonts w:ascii="Times New Roman" w:hAnsi="Times New Roman" w:cs="Times New Roman"/>
        </w:rPr>
        <w:t xml:space="preserve"> </w:t>
      </w:r>
      <w:r w:rsidRPr="00FA377A">
        <w:rPr>
          <w:rFonts w:ascii="Times New Roman" w:hAnsi="Times New Roman" w:cs="Times New Roman"/>
        </w:rPr>
        <w:t>while French symbolism was a significant influence on modernism’s preoccupation with music’s aesthetic potential</w:t>
      </w:r>
      <w:r w:rsidRPr="00FA377A">
        <w:rPr>
          <w:rStyle w:val="EndnoteReference"/>
          <w:rFonts w:ascii="Times New Roman" w:hAnsi="Times New Roman" w:cs="Times New Roman"/>
        </w:rPr>
        <w:endnoteReference w:id="18"/>
      </w:r>
      <w:r w:rsidRPr="00FA377A">
        <w:rPr>
          <w:rFonts w:ascii="Times New Roman" w:hAnsi="Times New Roman" w:cs="Times New Roman"/>
        </w:rPr>
        <w:t xml:space="preserve"> – </w:t>
      </w:r>
      <w:r w:rsidR="00C97E31">
        <w:rPr>
          <w:rFonts w:ascii="Times New Roman" w:hAnsi="Times New Roman" w:cs="Times New Roman"/>
        </w:rPr>
        <w:t>and</w:t>
      </w:r>
      <w:r w:rsidRPr="00FA377A">
        <w:rPr>
          <w:rFonts w:ascii="Times New Roman" w:hAnsi="Times New Roman" w:cs="Times New Roman"/>
        </w:rPr>
        <w:t xml:space="preserve"> go back even further. </w:t>
      </w:r>
      <w:r w:rsidR="003C0BDE">
        <w:rPr>
          <w:rFonts w:ascii="Times New Roman" w:hAnsi="Times New Roman" w:cs="Times New Roman"/>
        </w:rPr>
        <w:t xml:space="preserve">Ezra </w:t>
      </w:r>
      <w:r w:rsidRPr="00FA377A">
        <w:rPr>
          <w:rFonts w:ascii="Times New Roman" w:hAnsi="Times New Roman" w:cs="Times New Roman"/>
        </w:rPr>
        <w:t xml:space="preserve">Pound’s efforts to compose poetry ‘in the sequence of the musical phrase’ were informed by twelfth- and thirteenth-century troubadours Arnaut Daniel and Guido </w:t>
      </w:r>
      <w:proofErr w:type="spellStart"/>
      <w:r w:rsidRPr="00FA377A">
        <w:rPr>
          <w:rFonts w:ascii="Times New Roman" w:hAnsi="Times New Roman" w:cs="Times New Roman"/>
        </w:rPr>
        <w:t>Cavalcante</w:t>
      </w:r>
      <w:proofErr w:type="spellEnd"/>
      <w:r w:rsidR="00B352AA">
        <w:rPr>
          <w:rFonts w:ascii="Times New Roman" w:hAnsi="Times New Roman" w:cs="Times New Roman"/>
        </w:rPr>
        <w:t>.</w:t>
      </w:r>
      <w:r w:rsidRPr="00FA377A">
        <w:rPr>
          <w:rStyle w:val="EndnoteReference"/>
          <w:rFonts w:ascii="Times New Roman" w:hAnsi="Times New Roman" w:cs="Times New Roman"/>
        </w:rPr>
        <w:endnoteReference w:id="19"/>
      </w:r>
      <w:r w:rsidRPr="00FA377A">
        <w:rPr>
          <w:rFonts w:ascii="Times New Roman" w:hAnsi="Times New Roman" w:cs="Times New Roman"/>
        </w:rPr>
        <w:t xml:space="preserve"> Earlier still, </w:t>
      </w:r>
      <w:proofErr w:type="spellStart"/>
      <w:r w:rsidRPr="00FA377A">
        <w:rPr>
          <w:rFonts w:ascii="Times New Roman" w:hAnsi="Times New Roman" w:cs="Times New Roman"/>
        </w:rPr>
        <w:t>Neoplatonists</w:t>
      </w:r>
      <w:proofErr w:type="spellEnd"/>
      <w:r w:rsidRPr="00FA377A">
        <w:rPr>
          <w:rFonts w:ascii="Times New Roman" w:hAnsi="Times New Roman" w:cs="Times New Roman"/>
        </w:rPr>
        <w:t xml:space="preserve"> </w:t>
      </w:r>
      <w:r w:rsidR="00C97E31">
        <w:rPr>
          <w:rFonts w:ascii="Times New Roman" w:hAnsi="Times New Roman" w:cs="Times New Roman"/>
        </w:rPr>
        <w:t xml:space="preserve">had </w:t>
      </w:r>
      <w:r w:rsidRPr="00FA377A">
        <w:rPr>
          <w:rFonts w:ascii="Times New Roman" w:hAnsi="Times New Roman" w:cs="Times New Roman"/>
        </w:rPr>
        <w:t>appropriated Pythagorean observations about the</w:t>
      </w:r>
      <w:r w:rsidR="00853EB3">
        <w:rPr>
          <w:rFonts w:ascii="Times New Roman" w:hAnsi="Times New Roman" w:cs="Times New Roman"/>
        </w:rPr>
        <w:t xml:space="preserve"> relationship between pitch and </w:t>
      </w:r>
      <w:r w:rsidRPr="00FA377A">
        <w:rPr>
          <w:rFonts w:ascii="Times New Roman" w:hAnsi="Times New Roman" w:cs="Times New Roman"/>
        </w:rPr>
        <w:t>ratio as evidence of divine order in nature.</w:t>
      </w:r>
      <w:r w:rsidRPr="00FA377A">
        <w:rPr>
          <w:rStyle w:val="EndnoteReference"/>
          <w:rFonts w:ascii="Times New Roman" w:hAnsi="Times New Roman" w:cs="Times New Roman"/>
        </w:rPr>
        <w:endnoteReference w:id="20"/>
      </w:r>
      <w:r w:rsidRPr="00FA377A">
        <w:rPr>
          <w:rFonts w:ascii="Times New Roman" w:hAnsi="Times New Roman" w:cs="Times New Roman"/>
        </w:rPr>
        <w:t xml:space="preserve"> As such, some of the most formally innovative modernist</w:t>
      </w:r>
      <w:r w:rsidR="00273FAE">
        <w:rPr>
          <w:rFonts w:ascii="Times New Roman" w:hAnsi="Times New Roman" w:cs="Times New Roman"/>
        </w:rPr>
        <w:t xml:space="preserve"> writing </w:t>
      </w:r>
      <w:r w:rsidR="00DA0563">
        <w:rPr>
          <w:rFonts w:ascii="Times New Roman" w:hAnsi="Times New Roman" w:cs="Times New Roman"/>
        </w:rPr>
        <w:t xml:space="preserve">that is considered especially ‘musical’ </w:t>
      </w:r>
      <w:r w:rsidR="00273FAE">
        <w:rPr>
          <w:rFonts w:ascii="Times New Roman" w:hAnsi="Times New Roman" w:cs="Times New Roman"/>
        </w:rPr>
        <w:t>– such as that of James Joyce, Ezra Pound, Gertrude Stein and Virginia Woolf –</w:t>
      </w:r>
      <w:r w:rsidRPr="00FA377A">
        <w:rPr>
          <w:rFonts w:ascii="Times New Roman" w:hAnsi="Times New Roman" w:cs="Times New Roman"/>
        </w:rPr>
        <w:t xml:space="preserve"> </w:t>
      </w:r>
      <w:r w:rsidR="00DB3FA4" w:rsidRPr="00DB3FA4">
        <w:rPr>
          <w:rFonts w:ascii="Times New Roman" w:hAnsi="Times New Roman" w:cs="Times New Roman"/>
          <w:highlight w:val="yellow"/>
        </w:rPr>
        <w:t>works with</w:t>
      </w:r>
      <w:r w:rsidRPr="00DB3FA4">
        <w:rPr>
          <w:rFonts w:ascii="Times New Roman" w:hAnsi="Times New Roman" w:cs="Times New Roman"/>
          <w:highlight w:val="yellow"/>
        </w:rPr>
        <w:t xml:space="preserve"> notions of musical transcendence</w:t>
      </w:r>
      <w:r w:rsidR="00DB3FA4" w:rsidRPr="00DB3FA4">
        <w:rPr>
          <w:rFonts w:ascii="Times New Roman" w:hAnsi="Times New Roman" w:cs="Times New Roman"/>
          <w:highlight w:val="yellow"/>
        </w:rPr>
        <w:t xml:space="preserve"> that are</w:t>
      </w:r>
      <w:r w:rsidRPr="00DB3FA4">
        <w:rPr>
          <w:rFonts w:ascii="Times New Roman" w:hAnsi="Times New Roman" w:cs="Times New Roman"/>
          <w:highlight w:val="yellow"/>
        </w:rPr>
        <w:t xml:space="preserve"> rooted</w:t>
      </w:r>
      <w:r w:rsidRPr="00FA377A">
        <w:rPr>
          <w:rFonts w:ascii="Times New Roman" w:hAnsi="Times New Roman" w:cs="Times New Roman"/>
        </w:rPr>
        <w:t xml:space="preserve"> in centuries of philosophical tradition. Ford’s use </w:t>
      </w:r>
      <w:r w:rsidR="00083D07">
        <w:rPr>
          <w:rFonts w:ascii="Times New Roman" w:hAnsi="Times New Roman" w:cs="Times New Roman"/>
        </w:rPr>
        <w:t>of music is different</w:t>
      </w:r>
      <w:r w:rsidR="00273FAE">
        <w:rPr>
          <w:rFonts w:ascii="Times New Roman" w:hAnsi="Times New Roman" w:cs="Times New Roman"/>
        </w:rPr>
        <w:t>.</w:t>
      </w:r>
      <w:r w:rsidRPr="00FA377A">
        <w:rPr>
          <w:rFonts w:ascii="Times New Roman" w:hAnsi="Times New Roman" w:cs="Times New Roman"/>
        </w:rPr>
        <w:t xml:space="preserve"> </w:t>
      </w:r>
      <w:r w:rsidRPr="00FA377A">
        <w:rPr>
          <w:rFonts w:ascii="Times New Roman" w:hAnsi="Times New Roman" w:cs="Times New Roman"/>
          <w:i/>
        </w:rPr>
        <w:lastRenderedPageBreak/>
        <w:t>Parade’s End</w:t>
      </w:r>
      <w:r w:rsidRPr="00FA377A">
        <w:rPr>
          <w:rFonts w:ascii="Times New Roman" w:hAnsi="Times New Roman" w:cs="Times New Roman"/>
        </w:rPr>
        <w:t xml:space="preserve"> explores how noise during the First World War alters relationships with sound, including music.</w:t>
      </w:r>
    </w:p>
    <w:p w14:paraId="36A2F1E4" w14:textId="5E3821D8"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t xml:space="preserve">In the trenches in </w:t>
      </w:r>
      <w:r w:rsidRPr="00FA377A">
        <w:rPr>
          <w:rFonts w:ascii="Times New Roman" w:hAnsi="Times New Roman" w:cs="Times New Roman"/>
          <w:i/>
        </w:rPr>
        <w:t xml:space="preserve">Parade’s End </w:t>
      </w:r>
      <w:r w:rsidRPr="00FA377A">
        <w:rPr>
          <w:rFonts w:ascii="Times New Roman" w:hAnsi="Times New Roman" w:cs="Times New Roman"/>
        </w:rPr>
        <w:t>there is ‘solid noise that swept you off your feet’.</w:t>
      </w:r>
      <w:r w:rsidRPr="00FA377A">
        <w:rPr>
          <w:rStyle w:val="EndnoteReference"/>
          <w:rFonts w:ascii="Times New Roman" w:hAnsi="Times New Roman" w:cs="Times New Roman"/>
        </w:rPr>
        <w:endnoteReference w:id="21"/>
      </w:r>
      <w:r w:rsidRPr="00FA377A">
        <w:rPr>
          <w:rFonts w:ascii="Times New Roman" w:hAnsi="Times New Roman" w:cs="Times New Roman"/>
        </w:rPr>
        <w:t xml:space="preserve"> Sound has physical </w:t>
      </w:r>
      <w:r w:rsidR="00FA377A">
        <w:rPr>
          <w:rFonts w:ascii="Times New Roman" w:hAnsi="Times New Roman" w:cs="Times New Roman"/>
        </w:rPr>
        <w:t>e</w:t>
      </w:r>
      <w:r w:rsidRPr="00FA377A">
        <w:rPr>
          <w:rFonts w:ascii="Times New Roman" w:hAnsi="Times New Roman" w:cs="Times New Roman"/>
        </w:rPr>
        <w:t>ffects and vibrates the body. The phrase ‘swept you off your feet’ is literal. Usually a metaphor for something pleasurable (if extreme), instead it describes wartime experiences that provided new scales of sound and force, to which music relates as antithesis. Josh Epstein has investigated modernist writers’ negotiations with the sounds of modernity, exploring how writers responded to ‘new rhythms, dissonances and noises’</w:t>
      </w:r>
      <w:r w:rsidRPr="00FA377A">
        <w:rPr>
          <w:rStyle w:val="EndnoteReference"/>
          <w:rFonts w:ascii="Times New Roman" w:hAnsi="Times New Roman" w:cs="Times New Roman"/>
        </w:rPr>
        <w:endnoteReference w:id="22"/>
      </w:r>
      <w:r w:rsidRPr="00FA377A">
        <w:rPr>
          <w:rFonts w:ascii="Times New Roman" w:hAnsi="Times New Roman" w:cs="Times New Roman"/>
        </w:rPr>
        <w:t xml:space="preserve"> produced by technology, machinery and war. ‘Modernists’, Epstein </w:t>
      </w:r>
      <w:r w:rsidR="0058479D">
        <w:rPr>
          <w:rFonts w:ascii="Times New Roman" w:hAnsi="Times New Roman" w:cs="Times New Roman"/>
        </w:rPr>
        <w:t>says</w:t>
      </w:r>
      <w:r w:rsidRPr="00FA377A">
        <w:rPr>
          <w:rFonts w:ascii="Times New Roman" w:hAnsi="Times New Roman" w:cs="Times New Roman"/>
        </w:rPr>
        <w:t xml:space="preserve">, ‘imagined music as a mediation of noise: an effort to interpret, orchestrate, sublimate, amplify, or critique the sounds and the affective shocks of industrialization, urbanisation, warfare, publicity, and mechanical </w:t>
      </w:r>
      <w:proofErr w:type="spellStart"/>
      <w:r w:rsidRPr="00FA377A">
        <w:rPr>
          <w:rFonts w:ascii="Times New Roman" w:hAnsi="Times New Roman" w:cs="Times New Roman"/>
        </w:rPr>
        <w:t>reproducability</w:t>
      </w:r>
      <w:proofErr w:type="spellEnd"/>
      <w:r w:rsidRPr="00FA377A">
        <w:rPr>
          <w:rFonts w:ascii="Times New Roman" w:hAnsi="Times New Roman" w:cs="Times New Roman"/>
        </w:rPr>
        <w:t>’.</w:t>
      </w:r>
      <w:r w:rsidRPr="00FA377A">
        <w:rPr>
          <w:rStyle w:val="EndnoteReference"/>
          <w:rFonts w:ascii="Times New Roman" w:hAnsi="Times New Roman" w:cs="Times New Roman"/>
        </w:rPr>
        <w:endnoteReference w:id="23"/>
      </w:r>
      <w:r w:rsidRPr="00FA377A">
        <w:rPr>
          <w:rFonts w:ascii="Times New Roman" w:hAnsi="Times New Roman" w:cs="Times New Roman"/>
        </w:rPr>
        <w:t xml:space="preserve"> In other words, to have an idea of what music is requires an understanding of what </w:t>
      </w:r>
      <w:r w:rsidR="001B3685">
        <w:rPr>
          <w:rFonts w:ascii="Times New Roman" w:hAnsi="Times New Roman" w:cs="Times New Roman"/>
        </w:rPr>
        <w:t>it is not: sounds, noises, dins,</w:t>
      </w:r>
      <w:r w:rsidRPr="00FA377A">
        <w:rPr>
          <w:rFonts w:ascii="Times New Roman" w:hAnsi="Times New Roman" w:cs="Times New Roman"/>
        </w:rPr>
        <w:t xml:space="preserve"> are all ways of describing what is distinct from music. Epstein builds on Jacques </w:t>
      </w:r>
      <w:proofErr w:type="spellStart"/>
      <w:r w:rsidRPr="00FA377A">
        <w:rPr>
          <w:rFonts w:ascii="Times New Roman" w:hAnsi="Times New Roman" w:cs="Times New Roman"/>
        </w:rPr>
        <w:t>Attali’s</w:t>
      </w:r>
      <w:proofErr w:type="spellEnd"/>
      <w:r w:rsidRPr="00FA377A">
        <w:rPr>
          <w:rFonts w:ascii="Times New Roman" w:hAnsi="Times New Roman" w:cs="Times New Roman"/>
        </w:rPr>
        <w:t xml:space="preserve"> contemplation of the material, political and economic history of music. For </w:t>
      </w:r>
      <w:proofErr w:type="spellStart"/>
      <w:r w:rsidRPr="00FA377A">
        <w:rPr>
          <w:rFonts w:ascii="Times New Roman" w:hAnsi="Times New Roman" w:cs="Times New Roman"/>
        </w:rPr>
        <w:t>Attali</w:t>
      </w:r>
      <w:proofErr w:type="spellEnd"/>
      <w:r w:rsidRPr="00FA377A">
        <w:rPr>
          <w:rFonts w:ascii="Times New Roman" w:hAnsi="Times New Roman" w:cs="Times New Roman"/>
        </w:rPr>
        <w:t>, the entry of noise in to the music of the early twenty first century was related to ‘a world in which brutal noise was omnipresent’</w:t>
      </w:r>
      <w:r w:rsidR="000D3FA6">
        <w:rPr>
          <w:rFonts w:ascii="Times New Roman" w:hAnsi="Times New Roman" w:cs="Times New Roman"/>
        </w:rPr>
        <w:t>.</w:t>
      </w:r>
      <w:r w:rsidRPr="00FA377A">
        <w:rPr>
          <w:rStyle w:val="EndnoteReference"/>
          <w:rFonts w:ascii="Times New Roman" w:hAnsi="Times New Roman" w:cs="Times New Roman"/>
        </w:rPr>
        <w:endnoteReference w:id="24"/>
      </w:r>
      <w:r w:rsidR="000D3FA6">
        <w:rPr>
          <w:rFonts w:ascii="Times New Roman" w:hAnsi="Times New Roman" w:cs="Times New Roman"/>
        </w:rPr>
        <w:t xml:space="preserve"> (Aldous Huxley </w:t>
      </w:r>
      <w:r w:rsidR="00CF03A8">
        <w:rPr>
          <w:rFonts w:ascii="Times New Roman" w:hAnsi="Times New Roman" w:cs="Times New Roman"/>
        </w:rPr>
        <w:t>dubbed</w:t>
      </w:r>
      <w:r w:rsidR="000D3FA6">
        <w:rPr>
          <w:rFonts w:ascii="Times New Roman" w:hAnsi="Times New Roman" w:cs="Times New Roman"/>
        </w:rPr>
        <w:t xml:space="preserve"> the early twentieth century the ‘Age of Noise’.</w:t>
      </w:r>
      <w:r w:rsidR="000D3FA6">
        <w:rPr>
          <w:rStyle w:val="EndnoteReference"/>
          <w:rFonts w:cs="Times New Roman"/>
        </w:rPr>
        <w:endnoteReference w:id="25"/>
      </w:r>
      <w:r w:rsidR="000D3FA6">
        <w:rPr>
          <w:rFonts w:ascii="Times New Roman" w:hAnsi="Times New Roman" w:cs="Times New Roman"/>
        </w:rPr>
        <w:t>)</w:t>
      </w:r>
      <w:r w:rsidR="00CF03A8">
        <w:rPr>
          <w:rFonts w:ascii="Times New Roman" w:hAnsi="Times New Roman" w:cs="Times New Roman"/>
        </w:rPr>
        <w:t xml:space="preserve"> </w:t>
      </w:r>
      <w:r w:rsidR="00EA4598">
        <w:rPr>
          <w:rFonts w:ascii="Times New Roman" w:hAnsi="Times New Roman" w:cs="Times New Roman"/>
        </w:rPr>
        <w:t>The</w:t>
      </w:r>
      <w:r w:rsidRPr="00FA377A">
        <w:rPr>
          <w:rFonts w:ascii="Times New Roman" w:hAnsi="Times New Roman" w:cs="Times New Roman"/>
        </w:rPr>
        <w:t xml:space="preserve"> </w:t>
      </w:r>
      <w:r w:rsidRPr="00FA377A">
        <w:rPr>
          <w:rFonts w:ascii="Times New Roman" w:hAnsi="Times New Roman" w:cs="Times New Roman"/>
          <w:i/>
        </w:rPr>
        <w:t>Parade’s End</w:t>
      </w:r>
      <w:r w:rsidRPr="00FA377A">
        <w:rPr>
          <w:rFonts w:ascii="Times New Roman" w:hAnsi="Times New Roman" w:cs="Times New Roman"/>
        </w:rPr>
        <w:t xml:space="preserve"> tetralogy has a significant contribution to make towards understanding how writers were navigating the impact of noise on music. By placing Wagner and battle noise in close proximity, </w:t>
      </w:r>
      <w:r w:rsidRPr="00FA377A">
        <w:rPr>
          <w:rFonts w:ascii="Times New Roman" w:hAnsi="Times New Roman" w:cs="Times New Roman"/>
          <w:i/>
        </w:rPr>
        <w:t>Parade’s End</w:t>
      </w:r>
      <w:r w:rsidRPr="00FA377A">
        <w:rPr>
          <w:rFonts w:ascii="Times New Roman" w:hAnsi="Times New Roman" w:cs="Times New Roman"/>
        </w:rPr>
        <w:t xml:space="preserve"> explores where and why demarcation lines between music and sound are drawn, and how these boundaries are affected by political and material concerns.</w:t>
      </w:r>
    </w:p>
    <w:p w14:paraId="4BCB8259" w14:textId="4781ED06" w:rsidR="00732084" w:rsidRDefault="00B74C46" w:rsidP="00B352AA">
      <w:pPr>
        <w:spacing w:line="360" w:lineRule="auto"/>
        <w:rPr>
          <w:rFonts w:ascii="Times New Roman" w:hAnsi="Times New Roman" w:cs="Times New Roman"/>
        </w:rPr>
      </w:pPr>
      <w:r w:rsidRPr="00FA377A">
        <w:rPr>
          <w:rFonts w:ascii="Times New Roman" w:hAnsi="Times New Roman" w:cs="Times New Roman"/>
        </w:rPr>
        <w:tab/>
        <w:t xml:space="preserve">In </w:t>
      </w:r>
      <w:r w:rsidRPr="00FA377A">
        <w:rPr>
          <w:rFonts w:ascii="Times New Roman" w:hAnsi="Times New Roman" w:cs="Times New Roman"/>
          <w:i/>
        </w:rPr>
        <w:t>Parade’s End</w:t>
      </w:r>
      <w:r w:rsidRPr="00FA377A">
        <w:rPr>
          <w:rFonts w:ascii="Times New Roman" w:hAnsi="Times New Roman" w:cs="Times New Roman"/>
        </w:rPr>
        <w:t xml:space="preserve"> Sylvia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and Christopher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think about Wagner’s operas during highly stressful wartime experiences</w:t>
      </w:r>
      <w:r w:rsidR="00F95334">
        <w:rPr>
          <w:rFonts w:ascii="Times New Roman" w:hAnsi="Times New Roman" w:cs="Times New Roman"/>
        </w:rPr>
        <w:t xml:space="preserve">, bringing art and </w:t>
      </w:r>
      <w:r w:rsidR="001673AB">
        <w:rPr>
          <w:rFonts w:ascii="Times New Roman" w:hAnsi="Times New Roman" w:cs="Times New Roman"/>
        </w:rPr>
        <w:t>the violent materiality of war into dialogue.</w:t>
      </w:r>
      <w:r w:rsidR="00C9202E">
        <w:rPr>
          <w:rFonts w:ascii="Times New Roman" w:hAnsi="Times New Roman" w:cs="Times New Roman"/>
        </w:rPr>
        <w:t xml:space="preserve"> </w:t>
      </w:r>
      <w:r w:rsidRPr="00FA377A">
        <w:rPr>
          <w:rFonts w:ascii="Times New Roman" w:hAnsi="Times New Roman" w:cs="Times New Roman"/>
          <w:lang w:val="en-US"/>
        </w:rPr>
        <w:t>References to Wagner reach back to a prominent aesthetic tradition that has had sustained influence throughout the twentieth century: the Ges</w:t>
      </w:r>
      <w:r w:rsidR="00662EED">
        <w:rPr>
          <w:rFonts w:ascii="Times New Roman" w:hAnsi="Times New Roman" w:cs="Times New Roman"/>
          <w:lang w:val="en-US"/>
        </w:rPr>
        <w:t>amtkunstwerk or Total Artwork</w:t>
      </w:r>
      <w:r w:rsidR="00752409">
        <w:rPr>
          <w:rFonts w:ascii="Times New Roman" w:hAnsi="Times New Roman" w:cs="Times New Roman"/>
          <w:lang w:val="en-US"/>
        </w:rPr>
        <w:t xml:space="preserve"> which combined music, words, dance, drama, set design</w:t>
      </w:r>
      <w:r w:rsidR="00662EED">
        <w:rPr>
          <w:rFonts w:ascii="Times New Roman" w:hAnsi="Times New Roman" w:cs="Times New Roman"/>
          <w:lang w:val="en-US"/>
        </w:rPr>
        <w:t>.</w:t>
      </w:r>
      <w:r w:rsidR="00662EED" w:rsidRPr="00FA377A">
        <w:rPr>
          <w:rStyle w:val="EndnoteReference"/>
          <w:rFonts w:ascii="Times New Roman" w:hAnsi="Times New Roman" w:cs="Times New Roman"/>
        </w:rPr>
        <w:endnoteReference w:id="26"/>
      </w:r>
      <w:r w:rsidR="00662EED" w:rsidRPr="00FA377A">
        <w:rPr>
          <w:rFonts w:ascii="Times New Roman" w:hAnsi="Times New Roman" w:cs="Times New Roman"/>
        </w:rPr>
        <w:t xml:space="preserve"> </w:t>
      </w:r>
      <w:r w:rsidRPr="00FA377A">
        <w:rPr>
          <w:rFonts w:ascii="Times New Roman" w:hAnsi="Times New Roman" w:cs="Times New Roman"/>
        </w:rPr>
        <w:t>Wagner has long been associated with nineteenth-century decadence,</w:t>
      </w:r>
      <w:r w:rsidRPr="00FA377A">
        <w:rPr>
          <w:rStyle w:val="EndnoteReference"/>
          <w:rFonts w:ascii="Times New Roman" w:hAnsi="Times New Roman" w:cs="Times New Roman"/>
        </w:rPr>
        <w:endnoteReference w:id="27"/>
      </w:r>
      <w:r w:rsidRPr="00FA377A">
        <w:rPr>
          <w:rFonts w:ascii="Times New Roman" w:hAnsi="Times New Roman" w:cs="Times New Roman"/>
        </w:rPr>
        <w:t xml:space="preserve"> but recently Juliet Koss and David Roberts have explored the im</w:t>
      </w:r>
      <w:r w:rsidR="001240FD">
        <w:rPr>
          <w:rFonts w:ascii="Times New Roman" w:hAnsi="Times New Roman" w:cs="Times New Roman"/>
        </w:rPr>
        <w:t>pact of the Wagnerian Total Art-W</w:t>
      </w:r>
      <w:r w:rsidRPr="00FA377A">
        <w:rPr>
          <w:rFonts w:ascii="Times New Roman" w:hAnsi="Times New Roman" w:cs="Times New Roman"/>
        </w:rPr>
        <w:t xml:space="preserve">ork in European modernism, from architecture and theatre to its engagement with abstraction and </w:t>
      </w:r>
      <w:proofErr w:type="spellStart"/>
      <w:r w:rsidRPr="00FA377A">
        <w:rPr>
          <w:rFonts w:ascii="Times New Roman" w:hAnsi="Times New Roman" w:cs="Times New Roman"/>
        </w:rPr>
        <w:t>intermediality</w:t>
      </w:r>
      <w:proofErr w:type="spellEnd"/>
      <w:r w:rsidRPr="00FA377A">
        <w:rPr>
          <w:rFonts w:ascii="Times New Roman" w:hAnsi="Times New Roman" w:cs="Times New Roman"/>
        </w:rPr>
        <w:t>.</w:t>
      </w:r>
      <w:r w:rsidRPr="00FA377A">
        <w:rPr>
          <w:rStyle w:val="EndnoteReference"/>
          <w:rFonts w:ascii="Times New Roman" w:hAnsi="Times New Roman" w:cs="Times New Roman"/>
        </w:rPr>
        <w:endnoteReference w:id="28"/>
      </w:r>
      <w:r w:rsidR="00662EED">
        <w:rPr>
          <w:rFonts w:ascii="Times New Roman" w:hAnsi="Times New Roman" w:cs="Times New Roman"/>
        </w:rPr>
        <w:t xml:space="preserve"> </w:t>
      </w:r>
      <w:r w:rsidR="00662EED">
        <w:rPr>
          <w:rFonts w:ascii="Times New Roman" w:hAnsi="Times New Roman" w:cs="Times New Roman"/>
          <w:lang w:val="en-US"/>
        </w:rPr>
        <w:t xml:space="preserve">Wagner’s </w:t>
      </w:r>
      <w:r w:rsidR="00662EED" w:rsidRPr="00DB3FA4">
        <w:rPr>
          <w:rFonts w:ascii="Times New Roman" w:hAnsi="Times New Roman" w:cs="Times New Roman"/>
          <w:highlight w:val="yellow"/>
          <w:lang w:val="en-US"/>
        </w:rPr>
        <w:t>Gesamtkuns</w:t>
      </w:r>
      <w:r w:rsidR="00DB3FA4" w:rsidRPr="00DB3FA4">
        <w:rPr>
          <w:rFonts w:ascii="Times New Roman" w:hAnsi="Times New Roman" w:cs="Times New Roman"/>
          <w:highlight w:val="yellow"/>
          <w:lang w:val="en-US"/>
        </w:rPr>
        <w:t>t</w:t>
      </w:r>
      <w:r w:rsidR="00662EED" w:rsidRPr="00DB3FA4">
        <w:rPr>
          <w:rFonts w:ascii="Times New Roman" w:hAnsi="Times New Roman" w:cs="Times New Roman"/>
          <w:highlight w:val="yellow"/>
          <w:lang w:val="en-US"/>
        </w:rPr>
        <w:t>werk</w:t>
      </w:r>
      <w:r w:rsidR="00662EED">
        <w:rPr>
          <w:rFonts w:ascii="Times New Roman" w:hAnsi="Times New Roman" w:cs="Times New Roman"/>
          <w:lang w:val="en-US"/>
        </w:rPr>
        <w:t xml:space="preserve"> was</w:t>
      </w:r>
      <w:r w:rsidR="00662EED" w:rsidRPr="00FA377A">
        <w:rPr>
          <w:rFonts w:ascii="Times New Roman" w:hAnsi="Times New Roman" w:cs="Times New Roman"/>
          <w:lang w:val="en-US"/>
        </w:rPr>
        <w:t xml:space="preserve"> </w:t>
      </w:r>
      <w:r w:rsidR="00662EED">
        <w:rPr>
          <w:rFonts w:ascii="Times New Roman" w:hAnsi="Times New Roman" w:cs="Times New Roman"/>
          <w:lang w:val="en-US"/>
        </w:rPr>
        <w:t>a</w:t>
      </w:r>
      <w:r w:rsidR="00662EED" w:rsidRPr="00FA377A">
        <w:rPr>
          <w:rFonts w:ascii="Times New Roman" w:hAnsi="Times New Roman" w:cs="Times New Roman"/>
          <w:lang w:val="en-US"/>
        </w:rPr>
        <w:t xml:space="preserve"> utopian artistic project that sought to create a better society by providing its audience with an aesthetic and moral education.</w:t>
      </w:r>
      <w:r w:rsidR="00662EED" w:rsidRPr="00FA377A">
        <w:rPr>
          <w:rFonts w:ascii="Times New Roman" w:hAnsi="Times New Roman" w:cs="Times New Roman"/>
          <w:i/>
          <w:lang w:val="en-US"/>
        </w:rPr>
        <w:t xml:space="preserve"> </w:t>
      </w:r>
      <w:r w:rsidR="00320E2E">
        <w:rPr>
          <w:rFonts w:ascii="Times New Roman" w:hAnsi="Times New Roman" w:cs="Times New Roman"/>
        </w:rPr>
        <w:t xml:space="preserve">For Wagner, society and artworks had been in decline since the </w:t>
      </w:r>
      <w:r w:rsidR="00B71FAF">
        <w:rPr>
          <w:rFonts w:ascii="Times New Roman" w:hAnsi="Times New Roman" w:cs="Times New Roman"/>
        </w:rPr>
        <w:t>high po</w:t>
      </w:r>
      <w:r w:rsidRPr="00FA377A">
        <w:rPr>
          <w:rFonts w:ascii="Times New Roman" w:hAnsi="Times New Roman" w:cs="Times New Roman"/>
        </w:rPr>
        <w:t xml:space="preserve">int </w:t>
      </w:r>
      <w:r w:rsidR="00DB671F">
        <w:rPr>
          <w:rFonts w:ascii="Times New Roman" w:hAnsi="Times New Roman" w:cs="Times New Roman"/>
        </w:rPr>
        <w:t>of Ancient Greek drama</w:t>
      </w:r>
      <w:r w:rsidR="00320E2E">
        <w:rPr>
          <w:rFonts w:ascii="Times New Roman" w:hAnsi="Times New Roman" w:cs="Times New Roman"/>
        </w:rPr>
        <w:t>,</w:t>
      </w:r>
      <w:r w:rsidRPr="00FA377A">
        <w:rPr>
          <w:rFonts w:ascii="Times New Roman" w:hAnsi="Times New Roman" w:cs="Times New Roman"/>
        </w:rPr>
        <w:t xml:space="preserve"> but </w:t>
      </w:r>
      <w:r w:rsidR="00320E2E">
        <w:rPr>
          <w:rFonts w:ascii="Times New Roman" w:hAnsi="Times New Roman" w:cs="Times New Roman"/>
        </w:rPr>
        <w:t xml:space="preserve">both </w:t>
      </w:r>
      <w:r w:rsidRPr="00FA377A">
        <w:rPr>
          <w:rFonts w:ascii="Times New Roman" w:hAnsi="Times New Roman" w:cs="Times New Roman"/>
        </w:rPr>
        <w:t>might be redeemed through a return to a unifying art form.</w:t>
      </w:r>
      <w:r w:rsidRPr="00FA377A">
        <w:rPr>
          <w:rStyle w:val="EndnoteReference"/>
          <w:rFonts w:ascii="Times New Roman" w:hAnsi="Times New Roman" w:cs="Times New Roman"/>
        </w:rPr>
        <w:endnoteReference w:id="29"/>
      </w:r>
      <w:r w:rsidRPr="00FA377A">
        <w:rPr>
          <w:rFonts w:ascii="Times New Roman" w:hAnsi="Times New Roman" w:cs="Times New Roman"/>
        </w:rPr>
        <w:t xml:space="preserve"> A symptom of this decline was the commodification of art</w:t>
      </w:r>
      <w:r w:rsidR="00CD285E">
        <w:rPr>
          <w:rFonts w:ascii="Times New Roman" w:hAnsi="Times New Roman" w:cs="Times New Roman"/>
        </w:rPr>
        <w:t>:</w:t>
      </w:r>
      <w:r w:rsidRPr="00FA377A">
        <w:rPr>
          <w:rFonts w:ascii="Times New Roman" w:hAnsi="Times New Roman" w:cs="Times New Roman"/>
        </w:rPr>
        <w:t xml:space="preserve"> in </w:t>
      </w:r>
      <w:r w:rsidRPr="00FA377A">
        <w:rPr>
          <w:rFonts w:ascii="Times New Roman" w:hAnsi="Times New Roman" w:cs="Times New Roman"/>
          <w:i/>
        </w:rPr>
        <w:t>The Art-Work of the Future</w:t>
      </w:r>
      <w:r w:rsidR="00CD285E">
        <w:rPr>
          <w:rFonts w:ascii="Times New Roman" w:hAnsi="Times New Roman" w:cs="Times New Roman"/>
        </w:rPr>
        <w:t xml:space="preserve"> Wagner </w:t>
      </w:r>
      <w:r w:rsidRPr="00FA377A">
        <w:rPr>
          <w:rFonts w:ascii="Times New Roman" w:hAnsi="Times New Roman" w:cs="Times New Roman"/>
        </w:rPr>
        <w:t xml:space="preserve">refers </w:t>
      </w:r>
      <w:r w:rsidR="00CD285E">
        <w:rPr>
          <w:rFonts w:ascii="Times New Roman" w:hAnsi="Times New Roman" w:cs="Times New Roman"/>
        </w:rPr>
        <w:t xml:space="preserve">repeatedly </w:t>
      </w:r>
      <w:r w:rsidRPr="00FA377A">
        <w:rPr>
          <w:rFonts w:ascii="Times New Roman" w:hAnsi="Times New Roman" w:cs="Times New Roman"/>
        </w:rPr>
        <w:t xml:space="preserve">to transient </w:t>
      </w:r>
      <w:r w:rsidRPr="00FA377A">
        <w:rPr>
          <w:rFonts w:ascii="Times New Roman" w:hAnsi="Times New Roman" w:cs="Times New Roman"/>
        </w:rPr>
        <w:lastRenderedPageBreak/>
        <w:t xml:space="preserve">‘fashions’ and luxuries that have no relation to real wants and necessities, claiming that art has become ‘private property’ rather than a communal </w:t>
      </w:r>
      <w:proofErr w:type="spellStart"/>
      <w:r w:rsidRPr="00FA377A">
        <w:rPr>
          <w:rFonts w:ascii="Times New Roman" w:hAnsi="Times New Roman" w:cs="Times New Roman"/>
        </w:rPr>
        <w:t>activit</w:t>
      </w:r>
      <w:proofErr w:type="spellEnd"/>
      <w:r w:rsidRPr="00FA377A">
        <w:rPr>
          <w:rFonts w:ascii="Times New Roman" w:hAnsi="Times New Roman" w:cs="Times New Roman"/>
          <w:lang w:val="en-US"/>
        </w:rPr>
        <w:t>y.</w:t>
      </w:r>
      <w:r w:rsidRPr="00FA377A">
        <w:rPr>
          <w:rStyle w:val="EndnoteReference"/>
          <w:rFonts w:ascii="Times New Roman" w:hAnsi="Times New Roman" w:cs="Times New Roman"/>
          <w:lang w:val="en-US"/>
        </w:rPr>
        <w:endnoteReference w:id="30"/>
      </w:r>
      <w:r w:rsidRPr="00FA377A">
        <w:rPr>
          <w:rFonts w:ascii="Times New Roman" w:hAnsi="Times New Roman" w:cs="Times New Roman"/>
          <w:lang w:val="en-US"/>
        </w:rPr>
        <w:t xml:space="preserve"> </w:t>
      </w:r>
      <w:r w:rsidRPr="00FA377A">
        <w:rPr>
          <w:rFonts w:ascii="Times New Roman" w:hAnsi="Times New Roman" w:cs="Times New Roman"/>
        </w:rPr>
        <w:t xml:space="preserve">The </w:t>
      </w:r>
      <w:r w:rsidRPr="00DB3FA4">
        <w:rPr>
          <w:rFonts w:ascii="Times New Roman" w:hAnsi="Times New Roman" w:cs="Times New Roman"/>
          <w:highlight w:val="yellow"/>
        </w:rPr>
        <w:t>Gesamtkuns</w:t>
      </w:r>
      <w:r w:rsidR="00DB3FA4" w:rsidRPr="00DB3FA4">
        <w:rPr>
          <w:rFonts w:ascii="Times New Roman" w:hAnsi="Times New Roman" w:cs="Times New Roman"/>
          <w:highlight w:val="yellow"/>
        </w:rPr>
        <w:t>t</w:t>
      </w:r>
      <w:r w:rsidRPr="00DB3FA4">
        <w:rPr>
          <w:rFonts w:ascii="Times New Roman" w:hAnsi="Times New Roman" w:cs="Times New Roman"/>
          <w:highlight w:val="yellow"/>
        </w:rPr>
        <w:t>werk</w:t>
      </w:r>
      <w:r w:rsidRPr="00FA377A">
        <w:rPr>
          <w:rFonts w:ascii="Times New Roman" w:hAnsi="Times New Roman" w:cs="Times New Roman"/>
        </w:rPr>
        <w:t xml:space="preserve"> was intended to be ‘the great and universal Art-work of the future’:</w:t>
      </w:r>
      <w:r w:rsidRPr="00FA377A">
        <w:rPr>
          <w:rStyle w:val="EndnoteReference"/>
          <w:rFonts w:ascii="Times New Roman" w:hAnsi="Times New Roman" w:cs="Times New Roman"/>
        </w:rPr>
        <w:endnoteReference w:id="31"/>
      </w:r>
      <w:r w:rsidRPr="00FA377A">
        <w:rPr>
          <w:rFonts w:ascii="Times New Roman" w:hAnsi="Times New Roman" w:cs="Times New Roman"/>
        </w:rPr>
        <w:t xml:space="preserve"> a completely immersive aesthetic experience, liberating humanity by unifying disparate art forms to abolish the distinction between the separate spheres of religion, politics and art, and allowing access to a fuller form of life.</w:t>
      </w:r>
    </w:p>
    <w:p w14:paraId="7827ADD9" w14:textId="4EAE66D8"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 xml:space="preserve"> </w:t>
      </w:r>
      <w:r w:rsidR="00732084">
        <w:rPr>
          <w:rFonts w:ascii="Times New Roman" w:hAnsi="Times New Roman" w:cs="Times New Roman"/>
        </w:rPr>
        <w:tab/>
      </w:r>
      <w:r w:rsidRPr="00FA377A">
        <w:rPr>
          <w:rFonts w:ascii="Times New Roman" w:hAnsi="Times New Roman" w:cs="Times New Roman"/>
        </w:rPr>
        <w:t xml:space="preserve">Ford shares with Wagner a sense that there is much wrong with the world, but in </w:t>
      </w:r>
      <w:r w:rsidRPr="00FA377A">
        <w:rPr>
          <w:rFonts w:ascii="Times New Roman" w:hAnsi="Times New Roman" w:cs="Times New Roman"/>
          <w:i/>
        </w:rPr>
        <w:t>Parade’s End</w:t>
      </w:r>
      <w:r w:rsidRPr="00FA377A">
        <w:rPr>
          <w:rFonts w:ascii="Times New Roman" w:hAnsi="Times New Roman" w:cs="Times New Roman"/>
        </w:rPr>
        <w:t xml:space="preserve"> nineteenth-century art and philosophy are partially complicit in events leading up to the First World War.</w:t>
      </w:r>
      <w:r w:rsidR="00732084">
        <w:rPr>
          <w:rFonts w:ascii="Times New Roman" w:hAnsi="Times New Roman" w:cs="Times New Roman"/>
        </w:rPr>
        <w:t xml:space="preserve"> </w:t>
      </w:r>
      <w:r w:rsidR="00662EED">
        <w:rPr>
          <w:rFonts w:ascii="Times New Roman" w:hAnsi="Times New Roman" w:cs="Times New Roman"/>
        </w:rPr>
        <w:t xml:space="preserve">The experiences during the </w:t>
      </w:r>
      <w:r w:rsidR="00F15A83">
        <w:rPr>
          <w:rFonts w:ascii="Times New Roman" w:hAnsi="Times New Roman" w:cs="Times New Roman"/>
        </w:rPr>
        <w:t>war</w:t>
      </w:r>
      <w:r w:rsidRPr="00FA377A">
        <w:rPr>
          <w:rFonts w:ascii="Times New Roman" w:hAnsi="Times New Roman" w:cs="Times New Roman"/>
        </w:rPr>
        <w:t xml:space="preserve"> – of disaffection, alienation and disillusionment – are related to the wider problems in society that Ford examines in the first book of the tetralogy, </w:t>
      </w:r>
      <w:r w:rsidRPr="00FA377A">
        <w:rPr>
          <w:rFonts w:ascii="Times New Roman" w:hAnsi="Times New Roman" w:cs="Times New Roman"/>
          <w:i/>
        </w:rPr>
        <w:t xml:space="preserve">Some Do Not. . . </w:t>
      </w:r>
      <w:r w:rsidRPr="00FA377A">
        <w:rPr>
          <w:rFonts w:ascii="Times New Roman" w:hAnsi="Times New Roman" w:cs="Times New Roman"/>
        </w:rPr>
        <w:t xml:space="preserve">. As Andrew Frayn notes, the ‘adapted saga form’ of </w:t>
      </w:r>
      <w:r w:rsidRPr="00FA377A">
        <w:rPr>
          <w:rFonts w:ascii="Times New Roman" w:hAnsi="Times New Roman" w:cs="Times New Roman"/>
          <w:i/>
        </w:rPr>
        <w:t>Parade’s End</w:t>
      </w:r>
      <w:r w:rsidRPr="00FA377A">
        <w:rPr>
          <w:rFonts w:ascii="Times New Roman" w:hAnsi="Times New Roman" w:cs="Times New Roman"/>
        </w:rPr>
        <w:t xml:space="preserve"> ‘allows an extended, nuanced engagement with the conflict’.</w:t>
      </w:r>
      <w:r w:rsidRPr="00FA377A">
        <w:rPr>
          <w:rStyle w:val="EndnoteReference"/>
          <w:rFonts w:ascii="Times New Roman" w:hAnsi="Times New Roman" w:cs="Times New Roman"/>
        </w:rPr>
        <w:endnoteReference w:id="32"/>
      </w:r>
      <w:r w:rsidRPr="00FA377A">
        <w:rPr>
          <w:rFonts w:ascii="Times New Roman" w:hAnsi="Times New Roman" w:cs="Times New Roman"/>
        </w:rPr>
        <w:t xml:space="preserve"> Ford charts </w:t>
      </w:r>
      <w:proofErr w:type="spellStart"/>
      <w:r w:rsidRPr="00FA377A">
        <w:rPr>
          <w:rFonts w:ascii="Times New Roman" w:hAnsi="Times New Roman" w:cs="Times New Roman"/>
        </w:rPr>
        <w:t>Tietjens’s</w:t>
      </w:r>
      <w:proofErr w:type="spellEnd"/>
      <w:r w:rsidRPr="00FA377A">
        <w:rPr>
          <w:rFonts w:ascii="Times New Roman" w:hAnsi="Times New Roman" w:cs="Times New Roman"/>
        </w:rPr>
        <w:t xml:space="preserve"> experiences</w:t>
      </w:r>
      <w:r w:rsidR="00F15A83">
        <w:rPr>
          <w:rFonts w:ascii="Times New Roman" w:hAnsi="Times New Roman" w:cs="Times New Roman"/>
        </w:rPr>
        <w:t xml:space="preserve"> before, during, and after the w</w:t>
      </w:r>
      <w:r w:rsidRPr="00FA377A">
        <w:rPr>
          <w:rFonts w:ascii="Times New Roman" w:hAnsi="Times New Roman" w:cs="Times New Roman"/>
        </w:rPr>
        <w:t xml:space="preserve">ar, showing how combat conditions intensify the alienation and isolation that is produced by the rise of the administrative class and the decline of </w:t>
      </w:r>
      <w:r w:rsidR="004F1941">
        <w:rPr>
          <w:rFonts w:ascii="Times New Roman" w:hAnsi="Times New Roman" w:cs="Times New Roman"/>
        </w:rPr>
        <w:t xml:space="preserve">the values embodied by </w:t>
      </w:r>
      <w:proofErr w:type="spellStart"/>
      <w:r w:rsidR="004F1941">
        <w:rPr>
          <w:rFonts w:ascii="Times New Roman" w:hAnsi="Times New Roman" w:cs="Times New Roman"/>
        </w:rPr>
        <w:t>Tietjens</w:t>
      </w:r>
      <w:proofErr w:type="spellEnd"/>
      <w:r w:rsidR="004F1941">
        <w:rPr>
          <w:rFonts w:ascii="Times New Roman" w:hAnsi="Times New Roman" w:cs="Times New Roman"/>
        </w:rPr>
        <w:t>, who is</w:t>
      </w:r>
      <w:r w:rsidRPr="00FA377A">
        <w:rPr>
          <w:rFonts w:ascii="Times New Roman" w:hAnsi="Times New Roman" w:cs="Times New Roman"/>
        </w:rPr>
        <w:t xml:space="preserve"> a benevolent benefactor with a strong belief in conservative institutions. A soldier in </w:t>
      </w:r>
      <w:r w:rsidRPr="00FA377A">
        <w:rPr>
          <w:rFonts w:ascii="Times New Roman" w:hAnsi="Times New Roman" w:cs="Times New Roman"/>
          <w:i/>
        </w:rPr>
        <w:t>No More Parades</w:t>
      </w:r>
      <w:r w:rsidRPr="00FA377A">
        <w:rPr>
          <w:rFonts w:ascii="Times New Roman" w:hAnsi="Times New Roman" w:cs="Times New Roman"/>
        </w:rPr>
        <w:t xml:space="preserve"> sees rottenness, not just in the war or Germans, but in the English and the whole world:</w:t>
      </w:r>
    </w:p>
    <w:p w14:paraId="25455AD0" w14:textId="77777777" w:rsidR="00B74C46" w:rsidRPr="00FA377A" w:rsidRDefault="00B74C46" w:rsidP="00B352AA">
      <w:pPr>
        <w:spacing w:line="360" w:lineRule="auto"/>
        <w:rPr>
          <w:rFonts w:ascii="Times New Roman" w:hAnsi="Times New Roman" w:cs="Times New Roman"/>
        </w:rPr>
      </w:pPr>
    </w:p>
    <w:p w14:paraId="70B9B680" w14:textId="77777777" w:rsidR="00B74C46" w:rsidRPr="00FA377A" w:rsidRDefault="00B74C46" w:rsidP="00B352AA">
      <w:pPr>
        <w:spacing w:line="360" w:lineRule="auto"/>
        <w:ind w:left="720"/>
        <w:rPr>
          <w:rFonts w:ascii="Times New Roman" w:hAnsi="Times New Roman" w:cs="Times New Roman"/>
        </w:rPr>
      </w:pPr>
      <w:r w:rsidRPr="00FA377A">
        <w:rPr>
          <w:rFonts w:ascii="Times New Roman" w:hAnsi="Times New Roman" w:cs="Times New Roman"/>
        </w:rPr>
        <w:t>Yes, the world’s certainly pretty rotten. But that’s not its particular line of rottenness as far as we’re concerned. . . .  We’re tangled up, not because we’ve got Huns in our orderly rooms, but just because we’ve got English. That’s the bat in our belfry. . . .  That Hun plane is presumably coming back. Half a dozen of them. . . .’</w:t>
      </w:r>
    </w:p>
    <w:p w14:paraId="1F9B3DA5" w14:textId="77777777" w:rsidR="00B74C46" w:rsidRPr="00FA377A" w:rsidRDefault="00B74C46" w:rsidP="00B352AA">
      <w:pPr>
        <w:spacing w:line="360" w:lineRule="auto"/>
        <w:ind w:left="720" w:firstLine="720"/>
        <w:rPr>
          <w:rFonts w:ascii="Times New Roman" w:hAnsi="Times New Roman" w:cs="Times New Roman"/>
        </w:rPr>
      </w:pPr>
      <w:r w:rsidRPr="00FA377A">
        <w:rPr>
          <w:rFonts w:ascii="Times New Roman" w:hAnsi="Times New Roman" w:cs="Times New Roman"/>
        </w:rPr>
        <w:t>The young man, his mind eased by having got off his chest a confounded lot of semi-nonsensical ravings considered the return of the Hun planes with gloomy indifference. His problem really was: could he stand the bloody noise that would probably accompany their return?</w:t>
      </w:r>
      <w:r w:rsidRPr="00FA377A">
        <w:rPr>
          <w:rStyle w:val="EndnoteReference"/>
          <w:rFonts w:ascii="Times New Roman" w:hAnsi="Times New Roman" w:cs="Times New Roman"/>
        </w:rPr>
        <w:endnoteReference w:id="33"/>
      </w:r>
      <w:r w:rsidRPr="00FA377A">
        <w:rPr>
          <w:rFonts w:ascii="Times New Roman" w:hAnsi="Times New Roman" w:cs="Times New Roman"/>
        </w:rPr>
        <w:t xml:space="preserve"> </w:t>
      </w:r>
    </w:p>
    <w:p w14:paraId="2198A136" w14:textId="77777777" w:rsidR="00B74C46" w:rsidRPr="00FA377A" w:rsidRDefault="00B74C46" w:rsidP="00B352AA">
      <w:pPr>
        <w:spacing w:line="360" w:lineRule="auto"/>
        <w:rPr>
          <w:rFonts w:ascii="Times New Roman" w:hAnsi="Times New Roman" w:cs="Times New Roman"/>
        </w:rPr>
      </w:pPr>
    </w:p>
    <w:p w14:paraId="776D45EB" w14:textId="2237F660" w:rsidR="00B74C46" w:rsidRPr="00FA377A" w:rsidRDefault="004C31EF" w:rsidP="00B352AA">
      <w:pPr>
        <w:spacing w:line="360" w:lineRule="auto"/>
        <w:rPr>
          <w:rFonts w:ascii="Times New Roman" w:hAnsi="Times New Roman" w:cs="Times New Roman"/>
        </w:rPr>
      </w:pPr>
      <w:r w:rsidRPr="00FA377A">
        <w:rPr>
          <w:rFonts w:ascii="Times New Roman" w:hAnsi="Times New Roman" w:cs="Times New Roman"/>
        </w:rPr>
        <w:t xml:space="preserve">Even with the knowledge of a broken and worsening world, in which the best possible outcome is to get back to an English society that is fundamentally damaged, the noise is his immediate concern. </w:t>
      </w:r>
      <w:r w:rsidR="00CD285E">
        <w:rPr>
          <w:rFonts w:ascii="Times New Roman" w:hAnsi="Times New Roman" w:cs="Times New Roman"/>
        </w:rPr>
        <w:t xml:space="preserve">One of the </w:t>
      </w:r>
      <w:r w:rsidR="00732084">
        <w:rPr>
          <w:rFonts w:ascii="Times New Roman" w:hAnsi="Times New Roman" w:cs="Times New Roman"/>
        </w:rPr>
        <w:t>wider issues considered in</w:t>
      </w:r>
      <w:r w:rsidR="00CD285E">
        <w:rPr>
          <w:rFonts w:ascii="Times New Roman" w:hAnsi="Times New Roman" w:cs="Times New Roman"/>
        </w:rPr>
        <w:t xml:space="preserve"> </w:t>
      </w:r>
      <w:r w:rsidR="00CD285E">
        <w:rPr>
          <w:rFonts w:ascii="Times New Roman" w:hAnsi="Times New Roman" w:cs="Times New Roman"/>
          <w:i/>
        </w:rPr>
        <w:t xml:space="preserve">Parade’s End </w:t>
      </w:r>
      <w:r w:rsidR="00F42DC7">
        <w:rPr>
          <w:rFonts w:ascii="Times New Roman" w:hAnsi="Times New Roman" w:cs="Times New Roman"/>
        </w:rPr>
        <w:t xml:space="preserve">is how Englishness is changing, and whether – like </w:t>
      </w:r>
      <w:proofErr w:type="spellStart"/>
      <w:r w:rsidR="00F42DC7">
        <w:rPr>
          <w:rFonts w:ascii="Times New Roman" w:hAnsi="Times New Roman" w:cs="Times New Roman"/>
        </w:rPr>
        <w:t>Tietjens’s</w:t>
      </w:r>
      <w:proofErr w:type="spellEnd"/>
      <w:r w:rsidR="00F42DC7">
        <w:rPr>
          <w:rFonts w:ascii="Times New Roman" w:hAnsi="Times New Roman" w:cs="Times New Roman"/>
        </w:rPr>
        <w:t xml:space="preserve"> memory</w:t>
      </w:r>
      <w:r>
        <w:rPr>
          <w:rFonts w:ascii="Times New Roman" w:hAnsi="Times New Roman" w:cs="Times New Roman"/>
        </w:rPr>
        <w:t xml:space="preserve"> after his </w:t>
      </w:r>
      <w:r w:rsidR="0046588E">
        <w:rPr>
          <w:rFonts w:ascii="Times New Roman" w:hAnsi="Times New Roman" w:cs="Times New Roman"/>
        </w:rPr>
        <w:t xml:space="preserve">shell shock induced </w:t>
      </w:r>
      <w:r>
        <w:rPr>
          <w:rFonts w:ascii="Times New Roman" w:hAnsi="Times New Roman" w:cs="Times New Roman"/>
        </w:rPr>
        <w:t>amnesia</w:t>
      </w:r>
      <w:r w:rsidR="00F42DC7">
        <w:rPr>
          <w:rFonts w:ascii="Times New Roman" w:hAnsi="Times New Roman" w:cs="Times New Roman"/>
        </w:rPr>
        <w:t xml:space="preserve"> – it can be recuperated</w:t>
      </w:r>
      <w:r>
        <w:rPr>
          <w:rFonts w:ascii="Times New Roman" w:hAnsi="Times New Roman" w:cs="Times New Roman"/>
        </w:rPr>
        <w:t xml:space="preserve"> or relearned</w:t>
      </w:r>
      <w:r w:rsidR="00F42DC7">
        <w:rPr>
          <w:rFonts w:ascii="Times New Roman" w:hAnsi="Times New Roman" w:cs="Times New Roman"/>
        </w:rPr>
        <w:t xml:space="preserve"> as something positive. These </w:t>
      </w:r>
      <w:r w:rsidR="00732084">
        <w:rPr>
          <w:rFonts w:ascii="Times New Roman" w:hAnsi="Times New Roman" w:cs="Times New Roman"/>
        </w:rPr>
        <w:t>broader</w:t>
      </w:r>
      <w:r w:rsidR="00F42DC7">
        <w:rPr>
          <w:rFonts w:ascii="Times New Roman" w:hAnsi="Times New Roman" w:cs="Times New Roman"/>
        </w:rPr>
        <w:t xml:space="preserve"> concerns come up against immediate dangers in this scene: </w:t>
      </w:r>
      <w:r w:rsidR="00F15A83">
        <w:rPr>
          <w:rFonts w:ascii="Times New Roman" w:hAnsi="Times New Roman" w:cs="Times New Roman"/>
        </w:rPr>
        <w:t>the pressures of the w</w:t>
      </w:r>
      <w:r w:rsidR="007675A8">
        <w:rPr>
          <w:rFonts w:ascii="Times New Roman" w:hAnsi="Times New Roman" w:cs="Times New Roman"/>
        </w:rPr>
        <w:t>ar on English national identity are placed besi</w:t>
      </w:r>
      <w:r w:rsidR="00F15A83">
        <w:rPr>
          <w:rFonts w:ascii="Times New Roman" w:hAnsi="Times New Roman" w:cs="Times New Roman"/>
        </w:rPr>
        <w:t xml:space="preserve">de the physical </w:t>
      </w:r>
      <w:proofErr w:type="spellStart"/>
      <w:r w:rsidR="00F15A83">
        <w:rPr>
          <w:rFonts w:ascii="Times New Roman" w:hAnsi="Times New Roman" w:cs="Times New Roman"/>
        </w:rPr>
        <w:t>affects</w:t>
      </w:r>
      <w:proofErr w:type="spellEnd"/>
      <w:r w:rsidR="00F15A83">
        <w:rPr>
          <w:rFonts w:ascii="Times New Roman" w:hAnsi="Times New Roman" w:cs="Times New Roman"/>
        </w:rPr>
        <w:t xml:space="preserve"> of the w</w:t>
      </w:r>
      <w:r w:rsidR="007675A8">
        <w:rPr>
          <w:rFonts w:ascii="Times New Roman" w:hAnsi="Times New Roman" w:cs="Times New Roman"/>
        </w:rPr>
        <w:t xml:space="preserve">ar and technology on individuals </w:t>
      </w:r>
      <w:r w:rsidR="0046588E">
        <w:rPr>
          <w:rFonts w:ascii="Times New Roman" w:hAnsi="Times New Roman" w:cs="Times New Roman"/>
        </w:rPr>
        <w:t>at</w:t>
      </w:r>
      <w:r w:rsidR="007675A8">
        <w:rPr>
          <w:rFonts w:ascii="Times New Roman" w:hAnsi="Times New Roman" w:cs="Times New Roman"/>
        </w:rPr>
        <w:t xml:space="preserve"> the </w:t>
      </w:r>
      <w:r w:rsidR="0046588E">
        <w:rPr>
          <w:rFonts w:ascii="Times New Roman" w:hAnsi="Times New Roman" w:cs="Times New Roman"/>
        </w:rPr>
        <w:t xml:space="preserve">front </w:t>
      </w:r>
      <w:r w:rsidR="0046588E">
        <w:rPr>
          <w:rFonts w:ascii="Times New Roman" w:hAnsi="Times New Roman" w:cs="Times New Roman"/>
        </w:rPr>
        <w:lastRenderedPageBreak/>
        <w:t>line. S</w:t>
      </w:r>
      <w:r w:rsidR="00B74C46" w:rsidRPr="00FA377A">
        <w:rPr>
          <w:rFonts w:ascii="Times New Roman" w:hAnsi="Times New Roman" w:cs="Times New Roman"/>
        </w:rPr>
        <w:t xml:space="preserve">ound is particularly distressing. The soldier’s indifference to danger implies that the aural bombardment is worse than death. Such </w:t>
      </w:r>
      <w:r w:rsidR="00B531AB">
        <w:rPr>
          <w:rFonts w:ascii="Times New Roman" w:hAnsi="Times New Roman" w:cs="Times New Roman"/>
        </w:rPr>
        <w:t>noises</w:t>
      </w:r>
      <w:r w:rsidR="00B74C46" w:rsidRPr="00FA377A">
        <w:rPr>
          <w:rFonts w:ascii="Times New Roman" w:hAnsi="Times New Roman" w:cs="Times New Roman"/>
        </w:rPr>
        <w:t xml:space="preserve"> provide the basis for a conceptual alteration of music. As Jacques </w:t>
      </w:r>
      <w:proofErr w:type="spellStart"/>
      <w:r w:rsidR="00B74C46" w:rsidRPr="00FA377A">
        <w:rPr>
          <w:rFonts w:ascii="Times New Roman" w:hAnsi="Times New Roman" w:cs="Times New Roman"/>
        </w:rPr>
        <w:t>Attali</w:t>
      </w:r>
      <w:proofErr w:type="spellEnd"/>
      <w:r w:rsidR="00B74C46" w:rsidRPr="00FA377A">
        <w:rPr>
          <w:rFonts w:ascii="Times New Roman" w:hAnsi="Times New Roman" w:cs="Times New Roman"/>
        </w:rPr>
        <w:t xml:space="preserve"> notes, musical forms change – ‘primitive polyphony’ is very different to ‘twelve tone serial music’ – but what they have ‘in common is the principle of giving form to noise’.</w:t>
      </w:r>
      <w:r w:rsidR="00B74C46" w:rsidRPr="00FA377A">
        <w:rPr>
          <w:rStyle w:val="EndnoteReference"/>
          <w:rFonts w:ascii="Times New Roman" w:hAnsi="Times New Roman" w:cs="Times New Roman"/>
        </w:rPr>
        <w:endnoteReference w:id="34"/>
      </w:r>
      <w:r w:rsidR="00B74C46" w:rsidRPr="00FA377A">
        <w:rPr>
          <w:rFonts w:ascii="Times New Roman" w:hAnsi="Times New Roman" w:cs="Times New Roman"/>
        </w:rPr>
        <w:t xml:space="preserve"> New technologies in the unprecedented environment of </w:t>
      </w:r>
      <w:r w:rsidR="00B74C46" w:rsidRPr="00FA377A">
        <w:rPr>
          <w:rFonts w:ascii="Times New Roman" w:hAnsi="Times New Roman" w:cs="Times New Roman"/>
          <w:i/>
        </w:rPr>
        <w:t xml:space="preserve">Parade’s End </w:t>
      </w:r>
      <w:r w:rsidR="00B74C46" w:rsidRPr="00FA377A">
        <w:rPr>
          <w:rFonts w:ascii="Times New Roman" w:hAnsi="Times New Roman" w:cs="Times New Roman"/>
        </w:rPr>
        <w:t xml:space="preserve">create a newly loud and traumatic opposition for music to be defined against.  </w:t>
      </w:r>
    </w:p>
    <w:p w14:paraId="36203624" w14:textId="4A507DA3"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i/>
        </w:rPr>
        <w:tab/>
        <w:t>Parade’s End</w:t>
      </w:r>
      <w:r w:rsidRPr="00FA377A">
        <w:rPr>
          <w:rFonts w:ascii="Times New Roman" w:hAnsi="Times New Roman" w:cs="Times New Roman"/>
        </w:rPr>
        <w:t xml:space="preserve"> is often read as a text that explores literary-musical relations or analysed for examples of </w:t>
      </w:r>
      <w:proofErr w:type="spellStart"/>
      <w:r w:rsidRPr="00FA377A">
        <w:rPr>
          <w:rFonts w:ascii="Times New Roman" w:hAnsi="Times New Roman" w:cs="Times New Roman"/>
        </w:rPr>
        <w:t>intermediality</w:t>
      </w:r>
      <w:proofErr w:type="spellEnd"/>
      <w:r w:rsidRPr="00FA377A">
        <w:rPr>
          <w:rFonts w:ascii="Times New Roman" w:hAnsi="Times New Roman" w:cs="Times New Roman"/>
        </w:rPr>
        <w:t xml:space="preserve"> (uniting different artistic disciplines).</w:t>
      </w:r>
      <w:r w:rsidRPr="00FA377A">
        <w:rPr>
          <w:rStyle w:val="EndnoteReference"/>
          <w:rFonts w:ascii="Times New Roman" w:hAnsi="Times New Roman" w:cs="Times New Roman"/>
        </w:rPr>
        <w:endnoteReference w:id="35"/>
      </w:r>
      <w:r w:rsidRPr="00FA377A">
        <w:rPr>
          <w:rFonts w:ascii="Times New Roman" w:hAnsi="Times New Roman" w:cs="Times New Roman"/>
        </w:rPr>
        <w:t xml:space="preserve"> </w:t>
      </w:r>
      <w:r w:rsidRPr="00FA377A">
        <w:rPr>
          <w:rFonts w:ascii="Times New Roman" w:hAnsi="Times New Roman" w:cs="Times New Roman"/>
          <w:lang w:val="en-US"/>
        </w:rPr>
        <w:t xml:space="preserve">Rebekah </w:t>
      </w:r>
      <w:r w:rsidRPr="00FA377A">
        <w:rPr>
          <w:rFonts w:ascii="Times New Roman" w:hAnsi="Times New Roman" w:cs="Times New Roman"/>
        </w:rPr>
        <w:t>Lockyer argues that Ford sh</w:t>
      </w:r>
      <w:r w:rsidR="00696C0D">
        <w:rPr>
          <w:rFonts w:ascii="Times New Roman" w:hAnsi="Times New Roman" w:cs="Times New Roman"/>
        </w:rPr>
        <w:t>ares Wagnerian aesthetic goals,</w:t>
      </w:r>
      <w:r w:rsidRPr="00FA377A">
        <w:rPr>
          <w:rFonts w:ascii="Times New Roman" w:hAnsi="Times New Roman" w:cs="Times New Roman"/>
        </w:rPr>
        <w:t xml:space="preserve"> adding Ford to the list of high modernists who appropriate musical forms by demonstrating the ‘Wagnerian characteristics of his Great War tetralogy, </w:t>
      </w:r>
      <w:r w:rsidRPr="00FA377A">
        <w:rPr>
          <w:rFonts w:ascii="Times New Roman" w:hAnsi="Times New Roman" w:cs="Times New Roman"/>
          <w:i/>
        </w:rPr>
        <w:t>Parade’s End</w:t>
      </w:r>
      <w:r w:rsidRPr="00FA377A">
        <w:rPr>
          <w:rFonts w:ascii="Times New Roman" w:hAnsi="Times New Roman" w:cs="Times New Roman"/>
        </w:rPr>
        <w:t>’.</w:t>
      </w:r>
      <w:r w:rsidRPr="00FA377A">
        <w:rPr>
          <w:rStyle w:val="EndnoteReference"/>
          <w:rFonts w:ascii="Times New Roman" w:hAnsi="Times New Roman" w:cs="Times New Roman"/>
        </w:rPr>
        <w:endnoteReference w:id="36"/>
      </w:r>
      <w:r w:rsidRPr="00FA377A">
        <w:rPr>
          <w:rFonts w:ascii="Times New Roman" w:hAnsi="Times New Roman" w:cs="Times New Roman"/>
        </w:rPr>
        <w:t xml:space="preserve"> For Alexandra </w:t>
      </w:r>
      <w:proofErr w:type="spellStart"/>
      <w:r w:rsidRPr="00FA377A">
        <w:rPr>
          <w:rFonts w:ascii="Times New Roman" w:hAnsi="Times New Roman" w:cs="Times New Roman"/>
        </w:rPr>
        <w:t>Becquet</w:t>
      </w:r>
      <w:proofErr w:type="spellEnd"/>
      <w:r w:rsidRPr="00FA377A">
        <w:rPr>
          <w:rFonts w:ascii="Times New Roman" w:hAnsi="Times New Roman" w:cs="Times New Roman"/>
        </w:rPr>
        <w:t xml:space="preserve"> </w:t>
      </w:r>
      <w:r w:rsidRPr="00FA377A">
        <w:rPr>
          <w:rFonts w:ascii="Times New Roman" w:hAnsi="Times New Roman" w:cs="Times New Roman"/>
          <w:i/>
        </w:rPr>
        <w:t>Parade’s End</w:t>
      </w:r>
      <w:r w:rsidRPr="00FA377A">
        <w:rPr>
          <w:rFonts w:ascii="Times New Roman" w:hAnsi="Times New Roman" w:cs="Times New Roman"/>
        </w:rPr>
        <w:t xml:space="preserve"> incorporates ‘the performing arts as well as music’ and creates ‘a unified, composite, single, and singular, artwork’.</w:t>
      </w:r>
      <w:r w:rsidRPr="00FA377A">
        <w:rPr>
          <w:rStyle w:val="EndnoteReference"/>
          <w:rFonts w:ascii="Times New Roman" w:hAnsi="Times New Roman" w:cs="Times New Roman"/>
          <w:lang w:val="en-US"/>
        </w:rPr>
        <w:endnoteReference w:id="37"/>
      </w:r>
      <w:r w:rsidRPr="00FA377A">
        <w:rPr>
          <w:rFonts w:ascii="Times New Roman" w:hAnsi="Times New Roman" w:cs="Times New Roman"/>
        </w:rPr>
        <w:t xml:space="preserve"> </w:t>
      </w:r>
      <w:r w:rsidR="002E1F7A">
        <w:rPr>
          <w:rFonts w:ascii="Times New Roman" w:hAnsi="Times New Roman" w:cs="Times New Roman"/>
          <w:lang w:val="en-US"/>
        </w:rPr>
        <w:t xml:space="preserve">Readings of Ford </w:t>
      </w:r>
      <w:r w:rsidR="00696C0D">
        <w:rPr>
          <w:rFonts w:ascii="Times New Roman" w:hAnsi="Times New Roman" w:cs="Times New Roman"/>
          <w:lang w:val="en-US"/>
        </w:rPr>
        <w:t>that look for</w:t>
      </w:r>
      <w:r w:rsidR="002E1F7A">
        <w:rPr>
          <w:rFonts w:ascii="Times New Roman" w:hAnsi="Times New Roman" w:cs="Times New Roman"/>
          <w:lang w:val="en-US"/>
        </w:rPr>
        <w:t xml:space="preserve"> </w:t>
      </w:r>
      <w:proofErr w:type="spellStart"/>
      <w:r w:rsidRPr="00FA377A">
        <w:rPr>
          <w:rFonts w:ascii="Times New Roman" w:hAnsi="Times New Roman" w:cs="Times New Roman"/>
          <w:lang w:val="en-US"/>
        </w:rPr>
        <w:t>intermediality</w:t>
      </w:r>
      <w:proofErr w:type="spellEnd"/>
      <w:r w:rsidRPr="00FA377A">
        <w:rPr>
          <w:rFonts w:ascii="Times New Roman" w:hAnsi="Times New Roman" w:cs="Times New Roman"/>
          <w:lang w:val="en-US"/>
        </w:rPr>
        <w:t xml:space="preserve"> and unity are informed</w:t>
      </w:r>
      <w:r w:rsidRPr="00FA377A">
        <w:rPr>
          <w:rFonts w:ascii="Times New Roman" w:hAnsi="Times New Roman" w:cs="Times New Roman"/>
        </w:rPr>
        <w:t xml:space="preserve"> by his assumed Wagnerism (in the sense of a </w:t>
      </w:r>
      <w:r w:rsidR="00696C0D">
        <w:rPr>
          <w:rFonts w:ascii="Times New Roman" w:hAnsi="Times New Roman" w:cs="Times New Roman"/>
        </w:rPr>
        <w:t>high regard for Wagner’s music)</w:t>
      </w:r>
      <w:r w:rsidRPr="00FA377A">
        <w:rPr>
          <w:rFonts w:ascii="Times New Roman" w:hAnsi="Times New Roman" w:cs="Times New Roman"/>
        </w:rPr>
        <w:t xml:space="preserve"> and an implicitly nineteenth-century understanding of music as a transcendent aesthetic paradigm. These are the same ideas that I have traced above as informing</w:t>
      </w:r>
      <w:r w:rsidR="002E1F7A">
        <w:rPr>
          <w:rFonts w:ascii="Times New Roman" w:hAnsi="Times New Roman" w:cs="Times New Roman"/>
        </w:rPr>
        <w:t xml:space="preserve"> many</w:t>
      </w:r>
      <w:r w:rsidRPr="00FA377A">
        <w:rPr>
          <w:rFonts w:ascii="Times New Roman" w:hAnsi="Times New Roman" w:cs="Times New Roman"/>
        </w:rPr>
        <w:t xml:space="preserve"> modernists’ experiments with musical aesthetics, specifically music’s capacity to ‘go beyond the mere rationality of language’, as </w:t>
      </w:r>
      <w:proofErr w:type="spellStart"/>
      <w:r w:rsidRPr="00FA377A">
        <w:rPr>
          <w:rFonts w:ascii="Times New Roman" w:hAnsi="Times New Roman" w:cs="Times New Roman"/>
        </w:rPr>
        <w:t>Bucknell</w:t>
      </w:r>
      <w:proofErr w:type="spellEnd"/>
      <w:r w:rsidRPr="00FA377A">
        <w:rPr>
          <w:rFonts w:ascii="Times New Roman" w:hAnsi="Times New Roman" w:cs="Times New Roman"/>
        </w:rPr>
        <w:t xml:space="preserve"> says.</w:t>
      </w:r>
      <w:r w:rsidRPr="00FA377A">
        <w:rPr>
          <w:rStyle w:val="EndnoteReference"/>
          <w:rFonts w:ascii="Times New Roman" w:hAnsi="Times New Roman" w:cs="Times New Roman"/>
        </w:rPr>
        <w:endnoteReference w:id="38"/>
      </w:r>
      <w:r w:rsidRPr="00FA377A">
        <w:rPr>
          <w:rFonts w:ascii="Times New Roman" w:hAnsi="Times New Roman" w:cs="Times New Roman"/>
        </w:rPr>
        <w:t xml:space="preserve"> </w:t>
      </w:r>
      <w:r w:rsidR="00AD012F" w:rsidRPr="00FA377A">
        <w:rPr>
          <w:rFonts w:ascii="Times New Roman" w:hAnsi="Times New Roman" w:cs="Times New Roman"/>
        </w:rPr>
        <w:t xml:space="preserve">Lockyer appropriately cites Pater, whose </w:t>
      </w:r>
      <w:r w:rsidR="00AD012F" w:rsidRPr="00FA377A">
        <w:rPr>
          <w:rFonts w:ascii="Times New Roman" w:hAnsi="Times New Roman" w:cs="Times New Roman"/>
          <w:i/>
        </w:rPr>
        <w:t xml:space="preserve">Renaissance </w:t>
      </w:r>
      <w:r w:rsidR="00AD012F" w:rsidRPr="00FA377A">
        <w:rPr>
          <w:rFonts w:ascii="Times New Roman" w:hAnsi="Times New Roman" w:cs="Times New Roman"/>
        </w:rPr>
        <w:t xml:space="preserve">was a central work informing aesthetic theory in the late nineteenth-century, as emblematic of the artistic effect she argues Ford tries to achieve. </w:t>
      </w:r>
      <w:r w:rsidR="00C703EA">
        <w:rPr>
          <w:rFonts w:ascii="Times New Roman" w:hAnsi="Times New Roman" w:cs="Times New Roman"/>
        </w:rPr>
        <w:t xml:space="preserve">Music, she says, represents the </w:t>
      </w:r>
      <w:r w:rsidR="00AD012F" w:rsidRPr="00FA377A">
        <w:rPr>
          <w:rFonts w:ascii="Times New Roman" w:hAnsi="Times New Roman" w:cs="Times New Roman"/>
        </w:rPr>
        <w:t>‘truest form of purity in art’</w:t>
      </w:r>
      <w:r w:rsidR="00AD012F" w:rsidRPr="00FA377A">
        <w:rPr>
          <w:rStyle w:val="EndnoteReference"/>
          <w:rFonts w:ascii="Times New Roman" w:hAnsi="Times New Roman" w:cs="Times New Roman"/>
        </w:rPr>
        <w:endnoteReference w:id="39"/>
      </w:r>
      <w:r w:rsidR="00AD012F" w:rsidRPr="00FA377A">
        <w:rPr>
          <w:rFonts w:ascii="Times New Roman" w:hAnsi="Times New Roman" w:cs="Times New Roman"/>
        </w:rPr>
        <w:t xml:space="preserve"> </w:t>
      </w:r>
      <w:r w:rsidR="00696427">
        <w:rPr>
          <w:rFonts w:ascii="Times New Roman" w:hAnsi="Times New Roman" w:cs="Times New Roman"/>
        </w:rPr>
        <w:t xml:space="preserve">for Pater, for whom it </w:t>
      </w:r>
      <w:r w:rsidR="0031220E">
        <w:rPr>
          <w:rFonts w:ascii="Times New Roman" w:hAnsi="Times New Roman" w:cs="Times New Roman"/>
        </w:rPr>
        <w:t xml:space="preserve">achieves </w:t>
      </w:r>
      <w:r w:rsidR="00AD012F" w:rsidRPr="00FA377A">
        <w:rPr>
          <w:rFonts w:ascii="Times New Roman" w:hAnsi="Times New Roman" w:cs="Times New Roman"/>
        </w:rPr>
        <w:t>the ‘perfect identification of matter and form’.</w:t>
      </w:r>
      <w:r w:rsidR="00AD012F" w:rsidRPr="00FA377A">
        <w:rPr>
          <w:rStyle w:val="EndnoteReference"/>
          <w:rFonts w:ascii="Times New Roman" w:hAnsi="Times New Roman" w:cs="Times New Roman"/>
        </w:rPr>
        <w:endnoteReference w:id="40"/>
      </w:r>
      <w:r w:rsidR="00AD012F" w:rsidRPr="00FA377A">
        <w:rPr>
          <w:rFonts w:ascii="Times New Roman" w:hAnsi="Times New Roman" w:cs="Times New Roman"/>
          <w:lang w:val="en-US"/>
        </w:rPr>
        <w:t xml:space="preserve"> </w:t>
      </w:r>
      <w:r w:rsidRPr="00FA377A">
        <w:rPr>
          <w:rFonts w:ascii="Times New Roman" w:hAnsi="Times New Roman" w:cs="Times New Roman"/>
        </w:rPr>
        <w:t xml:space="preserve">Yet </w:t>
      </w:r>
      <w:r w:rsidR="00CF6071">
        <w:rPr>
          <w:rFonts w:ascii="Times New Roman" w:hAnsi="Times New Roman" w:cs="Times New Roman"/>
        </w:rPr>
        <w:t>Ford’s</w:t>
      </w:r>
      <w:r w:rsidRPr="00FA377A">
        <w:rPr>
          <w:rFonts w:ascii="Times New Roman" w:hAnsi="Times New Roman" w:cs="Times New Roman"/>
        </w:rPr>
        <w:t xml:space="preserve"> tetralogy also addresses issues of fragmentation, and is not </w:t>
      </w:r>
      <w:r w:rsidR="002A0A48">
        <w:rPr>
          <w:rFonts w:ascii="Times New Roman" w:hAnsi="Times New Roman" w:cs="Times New Roman"/>
        </w:rPr>
        <w:t xml:space="preserve">solely </w:t>
      </w:r>
      <w:r w:rsidRPr="00FA377A">
        <w:rPr>
          <w:rFonts w:ascii="Times New Roman" w:hAnsi="Times New Roman" w:cs="Times New Roman"/>
        </w:rPr>
        <w:t xml:space="preserve">about wholeness and unity. </w:t>
      </w:r>
      <w:r w:rsidR="00197855">
        <w:rPr>
          <w:rFonts w:ascii="Times New Roman" w:hAnsi="Times New Roman" w:cs="Times New Roman"/>
          <w:i/>
        </w:rPr>
        <w:t>Parade’s End</w:t>
      </w:r>
      <w:r w:rsidRPr="00FA377A">
        <w:rPr>
          <w:rFonts w:ascii="Times New Roman" w:hAnsi="Times New Roman" w:cs="Times New Roman"/>
        </w:rPr>
        <w:t xml:space="preserve"> does seek ways of finding these things (although it does not provide them, not even in </w:t>
      </w:r>
      <w:r w:rsidRPr="00FA377A">
        <w:rPr>
          <w:rFonts w:ascii="Times New Roman" w:hAnsi="Times New Roman" w:cs="Times New Roman"/>
          <w:i/>
        </w:rPr>
        <w:t>Last Post</w:t>
      </w:r>
      <w:r w:rsidRPr="00FA377A">
        <w:rPr>
          <w:rFonts w:ascii="Times New Roman" w:hAnsi="Times New Roman" w:cs="Times New Roman"/>
        </w:rPr>
        <w:t xml:space="preserve">), but the tetralogy calls for a reappraisal of how we think about art under new, historically specific social conditions. Such themes set it apart from the perceived wholeness and unity of some nineteenth-century art forms stemming from a German Romantic, particularly Hegelian, aesthetic that came to be exemplified in the Wagnerian Gesamtkunstwerk. </w:t>
      </w:r>
    </w:p>
    <w:p w14:paraId="0CC9E0F7" w14:textId="7DF17467" w:rsidR="00B74C46" w:rsidRPr="00FA377A" w:rsidRDefault="00B74C46" w:rsidP="00B352AA">
      <w:pPr>
        <w:spacing w:line="360" w:lineRule="auto"/>
        <w:rPr>
          <w:rFonts w:ascii="Times New Roman" w:hAnsi="Times New Roman" w:cs="Times New Roman"/>
          <w:b/>
        </w:rPr>
      </w:pPr>
      <w:r w:rsidRPr="00FA377A">
        <w:rPr>
          <w:rFonts w:ascii="Times New Roman" w:hAnsi="Times New Roman" w:cs="Times New Roman"/>
        </w:rPr>
        <w:tab/>
        <w:t xml:space="preserve">Ford’s relationship with aesthetic traditions was critical and complex, precluding a straightforward replication of Wagnerian aesthetics. </w:t>
      </w:r>
      <w:r w:rsidR="009E588E">
        <w:rPr>
          <w:rFonts w:ascii="Times New Roman" w:hAnsi="Times New Roman" w:cs="Times New Roman"/>
        </w:rPr>
        <w:t xml:space="preserve">So too was his relationship with his German heritage, as Sara Haslam explains in the introduction to the </w:t>
      </w:r>
      <w:proofErr w:type="spellStart"/>
      <w:r w:rsidR="009E588E">
        <w:rPr>
          <w:rFonts w:ascii="Times New Roman" w:hAnsi="Times New Roman" w:cs="Times New Roman"/>
        </w:rPr>
        <w:t>Carcanet</w:t>
      </w:r>
      <w:proofErr w:type="spellEnd"/>
      <w:r w:rsidR="009E588E">
        <w:rPr>
          <w:rFonts w:ascii="Times New Roman" w:hAnsi="Times New Roman" w:cs="Times New Roman"/>
        </w:rPr>
        <w:t xml:space="preserve"> edition of </w:t>
      </w:r>
      <w:r w:rsidR="009E588E">
        <w:rPr>
          <w:rFonts w:ascii="Times New Roman" w:hAnsi="Times New Roman" w:cs="Times New Roman"/>
          <w:i/>
        </w:rPr>
        <w:t>A Man Could Stand Up-.</w:t>
      </w:r>
      <w:r w:rsidR="009E588E" w:rsidRPr="00067589">
        <w:rPr>
          <w:rStyle w:val="EndnoteReference"/>
          <w:rFonts w:cs="Times New Roman"/>
        </w:rPr>
        <w:endnoteReference w:id="41"/>
      </w:r>
      <w:r w:rsidR="009E588E" w:rsidRPr="00067589">
        <w:rPr>
          <w:rFonts w:ascii="Times New Roman" w:hAnsi="Times New Roman" w:cs="Times New Roman"/>
        </w:rPr>
        <w:t xml:space="preserve"> </w:t>
      </w:r>
      <w:r w:rsidRPr="00FA377A">
        <w:rPr>
          <w:rFonts w:ascii="Times New Roman" w:hAnsi="Times New Roman" w:cs="Times New Roman"/>
        </w:rPr>
        <w:t xml:space="preserve">Ford critiques the past as complicit in producing the world of </w:t>
      </w:r>
      <w:r w:rsidRPr="00FA377A">
        <w:rPr>
          <w:rFonts w:ascii="Times New Roman" w:hAnsi="Times New Roman" w:cs="Times New Roman"/>
          <w:i/>
        </w:rPr>
        <w:t>Parade’s End</w:t>
      </w:r>
      <w:r w:rsidRPr="00FA377A">
        <w:rPr>
          <w:rFonts w:ascii="Times New Roman" w:hAnsi="Times New Roman" w:cs="Times New Roman"/>
        </w:rPr>
        <w:t xml:space="preserve">, in which things have gone wrong. </w:t>
      </w:r>
      <w:r w:rsidRPr="00FA377A">
        <w:rPr>
          <w:rFonts w:ascii="Times New Roman" w:hAnsi="Times New Roman" w:cs="Times New Roman"/>
          <w:lang w:val="en-US"/>
        </w:rPr>
        <w:t xml:space="preserve">In </w:t>
      </w:r>
      <w:r w:rsidRPr="00FA377A">
        <w:rPr>
          <w:rFonts w:ascii="Times New Roman" w:hAnsi="Times New Roman" w:cs="Times New Roman"/>
          <w:i/>
          <w:lang w:val="en-US"/>
        </w:rPr>
        <w:t xml:space="preserve">The Critical Attitude, </w:t>
      </w:r>
      <w:r w:rsidRPr="00FA377A">
        <w:rPr>
          <w:rFonts w:ascii="Times New Roman" w:hAnsi="Times New Roman" w:cs="Times New Roman"/>
          <w:lang w:val="en-US"/>
        </w:rPr>
        <w:t xml:space="preserve">Ford wrote that </w:t>
      </w:r>
      <w:r w:rsidRPr="00FA377A">
        <w:rPr>
          <w:rFonts w:ascii="Times New Roman" w:hAnsi="Times New Roman" w:cs="Times New Roman"/>
          <w:b/>
          <w:lang w:val="en-US"/>
        </w:rPr>
        <w:t>‘</w:t>
      </w:r>
      <w:r w:rsidRPr="00FA377A">
        <w:rPr>
          <w:rFonts w:ascii="Times New Roman" w:hAnsi="Times New Roman" w:cs="Times New Roman"/>
          <w:lang w:val="en-US"/>
        </w:rPr>
        <w:t xml:space="preserve">We have to watch modern life sweeping away the traditions that we love, the places that we </w:t>
      </w:r>
      <w:r w:rsidRPr="00FA377A">
        <w:rPr>
          <w:rFonts w:ascii="Times New Roman" w:hAnsi="Times New Roman" w:cs="Times New Roman"/>
          <w:lang w:val="en-US"/>
        </w:rPr>
        <w:lastRenderedPageBreak/>
        <w:t>considered hallowed, we have to consider that it is blowing away us ourselves as if we were no more than a little dust.’</w:t>
      </w:r>
      <w:r w:rsidRPr="00FA377A">
        <w:rPr>
          <w:rStyle w:val="EndnoteReference"/>
          <w:rFonts w:ascii="Times New Roman" w:hAnsi="Times New Roman" w:cs="Times New Roman"/>
          <w:lang w:val="en-US"/>
        </w:rPr>
        <w:endnoteReference w:id="42"/>
      </w:r>
      <w:r w:rsidRPr="00FA377A">
        <w:rPr>
          <w:rFonts w:ascii="Times New Roman" w:hAnsi="Times New Roman" w:cs="Times New Roman"/>
          <w:lang w:val="en-US"/>
        </w:rPr>
        <w:t xml:space="preserve"> Ford’s response to change and modernity was often ambivalent and nostalgic, but he certainly </w:t>
      </w:r>
      <w:proofErr w:type="spellStart"/>
      <w:r w:rsidRPr="00FA377A">
        <w:rPr>
          <w:rFonts w:ascii="Times New Roman" w:hAnsi="Times New Roman" w:cs="Times New Roman"/>
          <w:lang w:val="en-US"/>
        </w:rPr>
        <w:t>recognised</w:t>
      </w:r>
      <w:proofErr w:type="spellEnd"/>
      <w:r w:rsidRPr="00FA377A">
        <w:rPr>
          <w:rFonts w:ascii="Times New Roman" w:hAnsi="Times New Roman" w:cs="Times New Roman"/>
          <w:lang w:val="en-US"/>
        </w:rPr>
        <w:t xml:space="preserve"> a shift in lived experience that required a new aesthetic approach, as Andrzej </w:t>
      </w:r>
      <w:proofErr w:type="spellStart"/>
      <w:r w:rsidRPr="00FA377A">
        <w:rPr>
          <w:rFonts w:ascii="Times New Roman" w:hAnsi="Times New Roman" w:cs="Times New Roman"/>
          <w:lang w:val="en-US"/>
        </w:rPr>
        <w:t>Gasiorek</w:t>
      </w:r>
      <w:proofErr w:type="spellEnd"/>
      <w:r w:rsidRPr="00FA377A">
        <w:rPr>
          <w:rFonts w:ascii="Times New Roman" w:hAnsi="Times New Roman" w:cs="Times New Roman"/>
          <w:lang w:val="en-US"/>
        </w:rPr>
        <w:t xml:space="preserve"> has highlighted.</w:t>
      </w:r>
      <w:r w:rsidRPr="00FA377A">
        <w:rPr>
          <w:rStyle w:val="EndnoteReference"/>
          <w:rFonts w:ascii="Times New Roman" w:hAnsi="Times New Roman" w:cs="Times New Roman"/>
          <w:lang w:val="en-US"/>
        </w:rPr>
        <w:endnoteReference w:id="43"/>
      </w:r>
      <w:r w:rsidRPr="00FA377A">
        <w:rPr>
          <w:rFonts w:ascii="Times New Roman" w:hAnsi="Times New Roman" w:cs="Times New Roman"/>
          <w:lang w:val="en-US"/>
        </w:rPr>
        <w:t xml:space="preserve"> In </w:t>
      </w:r>
      <w:r w:rsidRPr="00FA377A">
        <w:rPr>
          <w:rFonts w:ascii="Times New Roman" w:hAnsi="Times New Roman" w:cs="Times New Roman"/>
          <w:i/>
          <w:lang w:val="en-US"/>
        </w:rPr>
        <w:t xml:space="preserve">Parade’s End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rejects the recent past and its art forms: he critiques the </w:t>
      </w:r>
      <w:proofErr w:type="spellStart"/>
      <w:r w:rsidRPr="00FA377A">
        <w:rPr>
          <w:rFonts w:ascii="Times New Roman" w:hAnsi="Times New Roman" w:cs="Times New Roman"/>
        </w:rPr>
        <w:t>nin</w:t>
      </w:r>
      <w:r w:rsidRPr="00FA377A">
        <w:rPr>
          <w:rFonts w:ascii="Times New Roman" w:hAnsi="Times New Roman" w:cs="Times New Roman"/>
          <w:lang w:val="en-US"/>
        </w:rPr>
        <w:t>eteenth</w:t>
      </w:r>
      <w:proofErr w:type="spellEnd"/>
      <w:r w:rsidRPr="00FA377A">
        <w:rPr>
          <w:rFonts w:ascii="Times New Roman" w:hAnsi="Times New Roman" w:cs="Times New Roman"/>
          <w:lang w:val="en-US"/>
        </w:rPr>
        <w:t xml:space="preserve"> century, affiliating himself with a more distant past that is (as he sees it) less complicit with current problems, declaring that ‘He was eighteenth century’.</w:t>
      </w:r>
      <w:r w:rsidRPr="00FA377A">
        <w:rPr>
          <w:rStyle w:val="EndnoteReference"/>
          <w:rFonts w:ascii="Times New Roman" w:hAnsi="Times New Roman" w:cs="Times New Roman"/>
          <w:lang w:val="en-US"/>
        </w:rPr>
        <w:endnoteReference w:id="44"/>
      </w:r>
      <w:r w:rsidRPr="00FA377A">
        <w:rPr>
          <w:rFonts w:ascii="Times New Roman" w:hAnsi="Times New Roman" w:cs="Times New Roman"/>
          <w:lang w:val="en-US"/>
        </w:rPr>
        <w:t xml:space="preserve"> </w:t>
      </w:r>
      <w:r w:rsidRPr="00FA377A">
        <w:rPr>
          <w:rFonts w:ascii="Times New Roman" w:hAnsi="Times New Roman" w:cs="Times New Roman"/>
        </w:rPr>
        <w:t>He is nostalgic about the distant past, while recent events seem more responsible for the problems of the present</w:t>
      </w:r>
      <w:r w:rsidR="00797C41">
        <w:rPr>
          <w:rFonts w:ascii="Times New Roman" w:hAnsi="Times New Roman" w:cs="Times New Roman"/>
        </w:rPr>
        <w:t>.</w:t>
      </w:r>
      <w:r w:rsidRPr="00FA377A">
        <w:rPr>
          <w:rFonts w:ascii="Times New Roman" w:hAnsi="Times New Roman" w:cs="Times New Roman"/>
        </w:rPr>
        <w:t xml:space="preserve"> </w:t>
      </w:r>
      <w:r w:rsidRPr="00FA377A">
        <w:rPr>
          <w:rFonts w:ascii="Times New Roman" w:hAnsi="Times New Roman" w:cs="Times New Roman"/>
          <w:lang w:val="en-US"/>
        </w:rPr>
        <w:t>(</w:t>
      </w:r>
      <w:proofErr w:type="spellStart"/>
      <w:r w:rsidRPr="00FA377A">
        <w:rPr>
          <w:rFonts w:ascii="Times New Roman" w:hAnsi="Times New Roman" w:cs="Times New Roman"/>
          <w:lang w:val="en-US"/>
        </w:rPr>
        <w:t>Tietjens’s</w:t>
      </w:r>
      <w:proofErr w:type="spellEnd"/>
      <w:r w:rsidRPr="00FA377A">
        <w:rPr>
          <w:rFonts w:ascii="Times New Roman" w:hAnsi="Times New Roman" w:cs="Times New Roman"/>
          <w:lang w:val="en-US"/>
        </w:rPr>
        <w:t xml:space="preserve"> </w:t>
      </w:r>
      <w:r w:rsidRPr="00FA377A">
        <w:rPr>
          <w:rFonts w:ascii="Times New Roman" w:hAnsi="Times New Roman" w:cs="Times New Roman"/>
        </w:rPr>
        <w:t xml:space="preserve">particular brand of generous Toryism is not without its problems, of course.) In </w:t>
      </w:r>
      <w:r w:rsidRPr="00FA377A">
        <w:rPr>
          <w:rFonts w:ascii="Times New Roman" w:hAnsi="Times New Roman" w:cs="Times New Roman"/>
          <w:i/>
        </w:rPr>
        <w:t xml:space="preserve">A Man Could Stand Up– </w:t>
      </w:r>
      <w:r w:rsidRPr="00FA377A">
        <w:rPr>
          <w:rFonts w:ascii="Times New Roman" w:hAnsi="Times New Roman" w:cs="Times New Roman"/>
        </w:rPr>
        <w:t xml:space="preserve">Ford explores the impact of the war on </w:t>
      </w:r>
      <w:proofErr w:type="spellStart"/>
      <w:r w:rsidRPr="00FA377A">
        <w:rPr>
          <w:rFonts w:ascii="Times New Roman" w:hAnsi="Times New Roman" w:cs="Times New Roman"/>
        </w:rPr>
        <w:t>Tietjens’s</w:t>
      </w:r>
      <w:proofErr w:type="spellEnd"/>
      <w:r w:rsidRPr="00FA377A">
        <w:rPr>
          <w:rFonts w:ascii="Times New Roman" w:hAnsi="Times New Roman" w:cs="Times New Roman"/>
        </w:rPr>
        <w:t xml:space="preserve"> relationship with nineteenth-century poetry and his capacity for musical appreciation. </w:t>
      </w:r>
    </w:p>
    <w:p w14:paraId="37C82E0F" w14:textId="77777777" w:rsidR="00B74C46" w:rsidRPr="00FA377A" w:rsidRDefault="00B74C46" w:rsidP="00B352AA">
      <w:pPr>
        <w:spacing w:line="360" w:lineRule="auto"/>
        <w:rPr>
          <w:rFonts w:ascii="Times New Roman" w:hAnsi="Times New Roman" w:cs="Times New Roman"/>
        </w:rPr>
      </w:pPr>
    </w:p>
    <w:p w14:paraId="159BD67C" w14:textId="77777777" w:rsidR="00B74C46" w:rsidRPr="00FA377A" w:rsidRDefault="00B74C46" w:rsidP="00B352AA">
      <w:pPr>
        <w:spacing w:line="360" w:lineRule="auto"/>
        <w:ind w:firstLine="720"/>
        <w:rPr>
          <w:rFonts w:ascii="Times New Roman" w:hAnsi="Times New Roman" w:cs="Times New Roman"/>
        </w:rPr>
      </w:pPr>
      <w:r w:rsidRPr="00FA377A">
        <w:rPr>
          <w:rFonts w:ascii="Times New Roman" w:hAnsi="Times New Roman" w:cs="Times New Roman"/>
        </w:rPr>
        <w:t>Someone once wrote:</w:t>
      </w:r>
      <w:r w:rsidRPr="00FA377A">
        <w:rPr>
          <w:rFonts w:ascii="Times New Roman" w:hAnsi="Times New Roman" w:cs="Times New Roman"/>
        </w:rPr>
        <w:tab/>
      </w:r>
    </w:p>
    <w:p w14:paraId="16800F24" w14:textId="77777777"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r>
      <w:r w:rsidRPr="00FA377A">
        <w:rPr>
          <w:rFonts w:ascii="Times New Roman" w:hAnsi="Times New Roman" w:cs="Times New Roman"/>
        </w:rPr>
        <w:tab/>
        <w:t>A myriad larks in unison sang o’er her, soaring out of sight!</w:t>
      </w:r>
    </w:p>
    <w:p w14:paraId="49D1A57B" w14:textId="5252D2A4" w:rsidR="00B74C46" w:rsidRPr="00FA377A" w:rsidRDefault="00B74C46" w:rsidP="00B352AA">
      <w:pPr>
        <w:spacing w:line="360" w:lineRule="auto"/>
        <w:ind w:left="720" w:firstLine="60"/>
        <w:rPr>
          <w:rFonts w:ascii="Times New Roman" w:hAnsi="Times New Roman" w:cs="Times New Roman"/>
        </w:rPr>
      </w:pPr>
      <w:r w:rsidRPr="00FA377A">
        <w:rPr>
          <w:rFonts w:ascii="Times New Roman" w:hAnsi="Times New Roman" w:cs="Times New Roman"/>
        </w:rPr>
        <w:t>That was imbecile really. Larks cannot sing in unison. They make a heartless noise like that produced by the rubbing of two corks one on the other. . . . There came into</w:t>
      </w:r>
      <w:r w:rsidR="00B606FA">
        <w:rPr>
          <w:rFonts w:ascii="Times New Roman" w:hAnsi="Times New Roman" w:cs="Times New Roman"/>
        </w:rPr>
        <w:t xml:space="preserve"> his mind an image. Years ago; </w:t>
      </w:r>
      <w:r w:rsidRPr="00FA377A">
        <w:rPr>
          <w:rFonts w:ascii="Times New Roman" w:hAnsi="Times New Roman" w:cs="Times New Roman"/>
        </w:rPr>
        <w:t xml:space="preserve">years and years ago, probably having watched </w:t>
      </w:r>
      <w:r w:rsidR="00960FE2">
        <w:rPr>
          <w:rFonts w:ascii="Times New Roman" w:hAnsi="Times New Roman" w:cs="Times New Roman"/>
        </w:rPr>
        <w:t xml:space="preserve">that gunner torment the fat Hun, […] </w:t>
      </w:r>
      <w:r w:rsidRPr="00FA377A">
        <w:rPr>
          <w:rStyle w:val="EndnoteReference"/>
          <w:rFonts w:ascii="Times New Roman" w:hAnsi="Times New Roman" w:cs="Times New Roman"/>
        </w:rPr>
        <w:endnoteReference w:id="45"/>
      </w:r>
      <w:r w:rsidRPr="00FA377A">
        <w:rPr>
          <w:rFonts w:ascii="Times New Roman" w:hAnsi="Times New Roman" w:cs="Times New Roman"/>
        </w:rPr>
        <w:t xml:space="preserve"> </w:t>
      </w:r>
    </w:p>
    <w:p w14:paraId="0AC62B84" w14:textId="77777777" w:rsidR="00B74C46" w:rsidRPr="00FA377A" w:rsidRDefault="00B74C46" w:rsidP="00B352AA">
      <w:pPr>
        <w:spacing w:line="360" w:lineRule="auto"/>
        <w:ind w:left="720" w:firstLine="60"/>
        <w:rPr>
          <w:rFonts w:ascii="Times New Roman" w:hAnsi="Times New Roman" w:cs="Times New Roman"/>
        </w:rPr>
      </w:pPr>
    </w:p>
    <w:p w14:paraId="6F801388" w14:textId="75C00F81"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lang w:val="en-US"/>
        </w:rPr>
        <w:t>The</w:t>
      </w:r>
      <w:r w:rsidRPr="00FA377A">
        <w:rPr>
          <w:rFonts w:ascii="Times New Roman" w:hAnsi="Times New Roman" w:cs="Times New Roman"/>
        </w:rPr>
        <w:t xml:space="preserve"> War, Ford tells us through </w:t>
      </w:r>
      <w:proofErr w:type="spellStart"/>
      <w:r w:rsidRPr="00FA377A">
        <w:rPr>
          <w:rFonts w:ascii="Times New Roman" w:hAnsi="Times New Roman" w:cs="Times New Roman"/>
        </w:rPr>
        <w:t>Tietjens’s</w:t>
      </w:r>
      <w:proofErr w:type="spellEnd"/>
      <w:r w:rsidRPr="00FA377A">
        <w:rPr>
          <w:rFonts w:ascii="Times New Roman" w:hAnsi="Times New Roman" w:cs="Times New Roman"/>
        </w:rPr>
        <w:t xml:space="preserve"> unenthusiastic response to Mathilde Blind’s nineteenth-century verse about larks, takes the poetry and music out of everything</w:t>
      </w:r>
      <w:r w:rsidR="004022A8">
        <w:rPr>
          <w:rFonts w:ascii="Times New Roman" w:hAnsi="Times New Roman" w:cs="Times New Roman"/>
        </w:rPr>
        <w:t>.</w:t>
      </w:r>
      <w:r w:rsidRPr="00FA377A">
        <w:rPr>
          <w:rStyle w:val="EndnoteReference"/>
          <w:rFonts w:ascii="Times New Roman" w:hAnsi="Times New Roman" w:cs="Times New Roman"/>
        </w:rPr>
        <w:endnoteReference w:id="46"/>
      </w:r>
      <w:r w:rsidRPr="00FA377A">
        <w:rPr>
          <w:rFonts w:ascii="Times New Roman" w:hAnsi="Times New Roman" w:cs="Times New Roman"/>
        </w:rPr>
        <w:t xml:space="preserve"> </w:t>
      </w:r>
      <w:r w:rsidR="007737B0">
        <w:rPr>
          <w:rFonts w:ascii="Times New Roman" w:hAnsi="Times New Roman" w:cs="Times New Roman"/>
        </w:rPr>
        <w:t xml:space="preserve">Birds are often referred to as </w:t>
      </w:r>
      <w:r w:rsidR="00883291">
        <w:rPr>
          <w:rFonts w:ascii="Times New Roman" w:hAnsi="Times New Roman" w:cs="Times New Roman"/>
        </w:rPr>
        <w:t>positive albeit painful ‘</w:t>
      </w:r>
      <w:r w:rsidR="007737B0">
        <w:rPr>
          <w:rFonts w:ascii="Times New Roman" w:hAnsi="Times New Roman" w:cs="Times New Roman"/>
        </w:rPr>
        <w:t>reminder of life beyond war’</w:t>
      </w:r>
      <w:r w:rsidR="009B7702">
        <w:rPr>
          <w:rStyle w:val="EndnoteReference"/>
          <w:rFonts w:cs="Times New Roman"/>
        </w:rPr>
        <w:endnoteReference w:id="47"/>
      </w:r>
      <w:r w:rsidR="007737B0">
        <w:rPr>
          <w:rFonts w:ascii="Times New Roman" w:hAnsi="Times New Roman" w:cs="Times New Roman"/>
        </w:rPr>
        <w:t xml:space="preserve"> – as </w:t>
      </w:r>
      <w:r w:rsidR="009F3104">
        <w:rPr>
          <w:rFonts w:ascii="Times New Roman" w:hAnsi="Times New Roman" w:cs="Times New Roman"/>
        </w:rPr>
        <w:t>for</w:t>
      </w:r>
      <w:r w:rsidR="007737B0">
        <w:rPr>
          <w:rFonts w:ascii="Times New Roman" w:hAnsi="Times New Roman" w:cs="Times New Roman"/>
        </w:rPr>
        <w:t xml:space="preserve"> Willoughby</w:t>
      </w:r>
      <w:r w:rsidR="009F3104">
        <w:rPr>
          <w:rFonts w:ascii="Times New Roman" w:hAnsi="Times New Roman" w:cs="Times New Roman"/>
        </w:rPr>
        <w:t xml:space="preserve"> Weaving, for whom they are </w:t>
      </w:r>
      <w:r w:rsidR="009B7702">
        <w:rPr>
          <w:rFonts w:ascii="Times New Roman" w:hAnsi="Times New Roman" w:cs="Times New Roman"/>
        </w:rPr>
        <w:t>‘</w:t>
      </w:r>
      <w:r w:rsidR="009246DC">
        <w:rPr>
          <w:rFonts w:ascii="Times New Roman" w:hAnsi="Times New Roman" w:cs="Times New Roman"/>
        </w:rPr>
        <w:t xml:space="preserve">Small </w:t>
      </w:r>
      <w:proofErr w:type="spellStart"/>
      <w:r w:rsidR="009246DC">
        <w:rPr>
          <w:rFonts w:ascii="Times New Roman" w:hAnsi="Times New Roman" w:cs="Times New Roman"/>
        </w:rPr>
        <w:t>parle</w:t>
      </w:r>
      <w:r w:rsidR="007737B0">
        <w:rPr>
          <w:rFonts w:ascii="Times New Roman" w:hAnsi="Times New Roman" w:cs="Times New Roman"/>
        </w:rPr>
        <w:t>yers</w:t>
      </w:r>
      <w:proofErr w:type="spellEnd"/>
      <w:r w:rsidR="007737B0">
        <w:rPr>
          <w:rFonts w:ascii="Times New Roman" w:hAnsi="Times New Roman" w:cs="Times New Roman"/>
        </w:rPr>
        <w:t xml:space="preserve"> of peace where no peace is</w:t>
      </w:r>
      <w:r w:rsidR="00797C41">
        <w:rPr>
          <w:rFonts w:ascii="Times New Roman" w:hAnsi="Times New Roman" w:cs="Times New Roman"/>
        </w:rPr>
        <w:t xml:space="preserve">’ </w:t>
      </w:r>
      <w:r w:rsidR="007737B0">
        <w:rPr>
          <w:rStyle w:val="EndnoteReference"/>
          <w:rFonts w:cs="Times New Roman"/>
        </w:rPr>
        <w:endnoteReference w:id="48"/>
      </w:r>
      <w:r w:rsidR="007737B0">
        <w:rPr>
          <w:rFonts w:ascii="Times New Roman" w:hAnsi="Times New Roman" w:cs="Times New Roman"/>
        </w:rPr>
        <w:t xml:space="preserve"> – but this is not the case for </w:t>
      </w:r>
      <w:proofErr w:type="spellStart"/>
      <w:r w:rsidR="007737B0">
        <w:rPr>
          <w:rFonts w:ascii="Times New Roman" w:hAnsi="Times New Roman" w:cs="Times New Roman"/>
        </w:rPr>
        <w:t>Tietjens</w:t>
      </w:r>
      <w:proofErr w:type="spellEnd"/>
      <w:r w:rsidR="007737B0">
        <w:rPr>
          <w:rFonts w:ascii="Times New Roman" w:hAnsi="Times New Roman" w:cs="Times New Roman"/>
        </w:rPr>
        <w:t xml:space="preserve">. </w:t>
      </w:r>
      <w:r w:rsidRPr="00FA377A">
        <w:rPr>
          <w:rFonts w:ascii="Times New Roman" w:hAnsi="Times New Roman" w:cs="Times New Roman"/>
        </w:rPr>
        <w:t xml:space="preserve">That which had been musical or poetic now appears ‘imbecile’, and the experience of aesthetic beauty is replaced with a practical way of thinking: birdsong, for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is only sound that could be produced another way, by ‘the rubbing of two corks’. The ellipsis indicates the gap after this thought, registering the hollow absence when birdsong is considered ‘heartless noise’ instead of pleasing. As he registers his inability to find the birdsong beautiful, a memory of combat fills the gap in </w:t>
      </w:r>
      <w:proofErr w:type="spellStart"/>
      <w:r w:rsidRPr="00FA377A">
        <w:rPr>
          <w:rFonts w:ascii="Times New Roman" w:hAnsi="Times New Roman" w:cs="Times New Roman"/>
        </w:rPr>
        <w:t>Tietjens’s</w:t>
      </w:r>
      <w:proofErr w:type="spellEnd"/>
      <w:r w:rsidRPr="00FA377A">
        <w:rPr>
          <w:rFonts w:ascii="Times New Roman" w:hAnsi="Times New Roman" w:cs="Times New Roman"/>
        </w:rPr>
        <w:t xml:space="preserve"> train of thought. The image that comes into his mind is one from ‘Years ago;’ but it intrudes specifically into that moment and fills the void left by hearing the birdsong as noise, leading his thoughts back to the violence he has experienced during the war. Ford’s writing is, as </w:t>
      </w:r>
      <w:proofErr w:type="spellStart"/>
      <w:r w:rsidRPr="00FA377A">
        <w:rPr>
          <w:rFonts w:ascii="Times New Roman" w:hAnsi="Times New Roman" w:cs="Times New Roman"/>
        </w:rPr>
        <w:t>Becquet</w:t>
      </w:r>
      <w:proofErr w:type="spellEnd"/>
      <w:r w:rsidRPr="00FA377A">
        <w:rPr>
          <w:rFonts w:ascii="Times New Roman" w:hAnsi="Times New Roman" w:cs="Times New Roman"/>
        </w:rPr>
        <w:t xml:space="preserve"> notes, ‘saturated with images and sounds, which reveal as many subjective perceptions and so correspond to states of mind, disclosing the impact of war on the soldier’s </w:t>
      </w:r>
      <w:r w:rsidRPr="00FA377A">
        <w:rPr>
          <w:rFonts w:ascii="Times New Roman" w:hAnsi="Times New Roman" w:cs="Times New Roman"/>
        </w:rPr>
        <w:lastRenderedPageBreak/>
        <w:t>psyche’.</w:t>
      </w:r>
      <w:r w:rsidRPr="00FA377A">
        <w:rPr>
          <w:rStyle w:val="EndnoteReference"/>
          <w:rFonts w:ascii="Times New Roman" w:hAnsi="Times New Roman" w:cs="Times New Roman"/>
        </w:rPr>
        <w:endnoteReference w:id="49"/>
      </w:r>
      <w:r w:rsidRPr="00FA377A">
        <w:rPr>
          <w:rFonts w:ascii="Times New Roman" w:hAnsi="Times New Roman" w:cs="Times New Roman"/>
        </w:rPr>
        <w:t xml:space="preserve"> Ford is considering the place of nineteenth-century forms of art and aesthetic appreciation, questioning the extent of their relevance for contemporary subjectivities. The unavailability of the type of aesthetic appreciation in Blind’s poetry is connected with the violence of the war, although this is not consciously acknowledged by </w:t>
      </w:r>
      <w:proofErr w:type="spellStart"/>
      <w:r w:rsidRPr="00FA377A">
        <w:rPr>
          <w:rFonts w:ascii="Times New Roman" w:hAnsi="Times New Roman" w:cs="Times New Roman"/>
        </w:rPr>
        <w:t>Tietjens</w:t>
      </w:r>
      <w:proofErr w:type="spellEnd"/>
      <w:r w:rsidRPr="00FA377A">
        <w:rPr>
          <w:rFonts w:ascii="Times New Roman" w:hAnsi="Times New Roman" w:cs="Times New Roman"/>
        </w:rPr>
        <w:t>.</w:t>
      </w:r>
    </w:p>
    <w:p w14:paraId="1F7A4B88" w14:textId="77777777" w:rsidR="00B74C46" w:rsidRPr="00FA377A" w:rsidRDefault="00B74C46" w:rsidP="00B352AA">
      <w:pPr>
        <w:spacing w:line="360" w:lineRule="auto"/>
        <w:rPr>
          <w:rFonts w:ascii="Times New Roman" w:hAnsi="Times New Roman" w:cs="Times New Roman"/>
        </w:rPr>
      </w:pPr>
    </w:p>
    <w:p w14:paraId="31B07573" w14:textId="77777777" w:rsidR="00B74C46" w:rsidRPr="00FA377A" w:rsidRDefault="00B74C46" w:rsidP="00B352AA">
      <w:pPr>
        <w:spacing w:line="360" w:lineRule="auto"/>
        <w:jc w:val="center"/>
        <w:rPr>
          <w:rFonts w:ascii="Times New Roman" w:hAnsi="Times New Roman" w:cs="Times New Roman"/>
        </w:rPr>
      </w:pPr>
      <w:r w:rsidRPr="00FA377A">
        <w:rPr>
          <w:rFonts w:ascii="Times New Roman" w:hAnsi="Times New Roman" w:cs="Times New Roman"/>
        </w:rPr>
        <w:t>***</w:t>
      </w:r>
    </w:p>
    <w:p w14:paraId="59969CD6" w14:textId="77777777" w:rsidR="00B74C46" w:rsidRPr="00FA377A" w:rsidRDefault="00B74C46" w:rsidP="00B352AA">
      <w:pPr>
        <w:spacing w:line="360" w:lineRule="auto"/>
        <w:rPr>
          <w:rFonts w:ascii="Times New Roman" w:hAnsi="Times New Roman" w:cs="Times New Roman"/>
          <w:lang w:val="en-US"/>
        </w:rPr>
      </w:pPr>
    </w:p>
    <w:p w14:paraId="020B9257" w14:textId="7766382C"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 xml:space="preserve">Two of the moments in </w:t>
      </w:r>
      <w:r w:rsidRPr="00FA377A">
        <w:rPr>
          <w:rFonts w:ascii="Times New Roman" w:hAnsi="Times New Roman" w:cs="Times New Roman"/>
          <w:i/>
        </w:rPr>
        <w:t>Parade’s End</w:t>
      </w:r>
      <w:r w:rsidRPr="00FA377A">
        <w:rPr>
          <w:rFonts w:ascii="Times New Roman" w:hAnsi="Times New Roman" w:cs="Times New Roman"/>
        </w:rPr>
        <w:t xml:space="preserve"> when music is particularly prominent are instances of extreme or heightened emotion: first, during Sylvia’s internal monologue when she arrives at the barracks at Rouen and dances with Christopher, hoping to end their estrangement; </w:t>
      </w:r>
      <w:r w:rsidR="007A2516">
        <w:rPr>
          <w:rFonts w:ascii="Times New Roman" w:hAnsi="Times New Roman" w:cs="Times New Roman"/>
        </w:rPr>
        <w:t>then</w:t>
      </w:r>
      <w:r w:rsidRPr="00FA377A">
        <w:rPr>
          <w:rFonts w:ascii="Times New Roman" w:hAnsi="Times New Roman" w:cs="Times New Roman"/>
        </w:rPr>
        <w:t xml:space="preserve"> </w:t>
      </w:r>
      <w:r w:rsidR="00A111B1">
        <w:rPr>
          <w:rFonts w:ascii="Times New Roman" w:hAnsi="Times New Roman" w:cs="Times New Roman"/>
        </w:rPr>
        <w:t xml:space="preserve">when </w:t>
      </w:r>
      <w:proofErr w:type="spellStart"/>
      <w:r w:rsidR="00A111B1">
        <w:rPr>
          <w:rFonts w:ascii="Times New Roman" w:hAnsi="Times New Roman" w:cs="Times New Roman"/>
        </w:rPr>
        <w:t>Tietejsn</w:t>
      </w:r>
      <w:proofErr w:type="spellEnd"/>
      <w:r w:rsidR="00A111B1">
        <w:rPr>
          <w:rFonts w:ascii="Times New Roman" w:hAnsi="Times New Roman" w:cs="Times New Roman"/>
        </w:rPr>
        <w:t xml:space="preserve"> is caught in a strafe</w:t>
      </w:r>
      <w:r w:rsidRPr="00FA377A">
        <w:rPr>
          <w:rFonts w:ascii="Times New Roman" w:hAnsi="Times New Roman" w:cs="Times New Roman"/>
        </w:rPr>
        <w:t xml:space="preserve"> on the front line. Wagner is referenced in each case, functioning as a framework to structure the characters’ thoughts. Rather than showing us positive and socially cohesive aesthetic experience</w:t>
      </w:r>
      <w:r w:rsidR="00D74F4D">
        <w:rPr>
          <w:rFonts w:ascii="Times New Roman" w:hAnsi="Times New Roman" w:cs="Times New Roman"/>
        </w:rPr>
        <w:t>s</w:t>
      </w:r>
      <w:r w:rsidRPr="00FA377A">
        <w:rPr>
          <w:rFonts w:ascii="Times New Roman" w:hAnsi="Times New Roman" w:cs="Times New Roman"/>
        </w:rPr>
        <w:t>, however, Ford creates an ironic distance between the disastrous situations described, and what we know to be the utopian aims of the Gesamtkunstwerk.</w:t>
      </w:r>
      <w:r w:rsidRPr="00FA377A">
        <w:rPr>
          <w:rFonts w:ascii="Times New Roman" w:hAnsi="Times New Roman" w:cs="Times New Roman"/>
          <w:u w:val="single"/>
        </w:rPr>
        <w:t xml:space="preserve"> </w:t>
      </w:r>
    </w:p>
    <w:p w14:paraId="386F0956" w14:textId="113C93FC" w:rsidR="003573C1" w:rsidRPr="008445A1" w:rsidRDefault="00B74C46" w:rsidP="00DE321C">
      <w:pPr>
        <w:tabs>
          <w:tab w:val="left" w:pos="426"/>
        </w:tabs>
        <w:spacing w:line="360" w:lineRule="auto"/>
        <w:rPr>
          <w:rFonts w:ascii="Times New Roman" w:hAnsi="Times New Roman" w:cs="Times New Roman"/>
          <w:b/>
        </w:rPr>
      </w:pPr>
      <w:r w:rsidRPr="00FA377A">
        <w:rPr>
          <w:rFonts w:ascii="Times New Roman" w:hAnsi="Times New Roman" w:cs="Times New Roman"/>
        </w:rPr>
        <w:tab/>
      </w:r>
      <w:r w:rsidR="00D47878">
        <w:rPr>
          <w:rFonts w:ascii="Times New Roman" w:hAnsi="Times New Roman" w:cs="Times New Roman"/>
        </w:rPr>
        <w:t xml:space="preserve">Sylvia arrives </w:t>
      </w:r>
      <w:r w:rsidR="003573C1">
        <w:rPr>
          <w:rFonts w:ascii="Times New Roman" w:hAnsi="Times New Roman" w:cs="Times New Roman"/>
        </w:rPr>
        <w:t>unannounced at the</w:t>
      </w:r>
      <w:r w:rsidR="00D47878">
        <w:rPr>
          <w:rFonts w:ascii="Times New Roman" w:hAnsi="Times New Roman" w:cs="Times New Roman"/>
        </w:rPr>
        <w:t xml:space="preserve"> military camp </w:t>
      </w:r>
      <w:r w:rsidR="003573C1">
        <w:rPr>
          <w:rFonts w:ascii="Times New Roman" w:hAnsi="Times New Roman" w:cs="Times New Roman"/>
        </w:rPr>
        <w:t>at which Christopher</w:t>
      </w:r>
      <w:r w:rsidR="00574064">
        <w:rPr>
          <w:rFonts w:ascii="Times New Roman" w:hAnsi="Times New Roman" w:cs="Times New Roman"/>
        </w:rPr>
        <w:t xml:space="preserve"> is based</w:t>
      </w:r>
      <w:r w:rsidR="00D47878">
        <w:rPr>
          <w:rFonts w:ascii="Times New Roman" w:hAnsi="Times New Roman" w:cs="Times New Roman"/>
        </w:rPr>
        <w:t xml:space="preserve">, </w:t>
      </w:r>
      <w:r w:rsidR="003573C1">
        <w:rPr>
          <w:rFonts w:ascii="Times New Roman" w:hAnsi="Times New Roman" w:cs="Times New Roman"/>
        </w:rPr>
        <w:t>hoping to end their estrangement. She hums the ‘</w:t>
      </w:r>
      <w:proofErr w:type="spellStart"/>
      <w:r w:rsidR="003573C1">
        <w:rPr>
          <w:rFonts w:ascii="Times New Roman" w:hAnsi="Times New Roman" w:cs="Times New Roman"/>
        </w:rPr>
        <w:t>Venusberg</w:t>
      </w:r>
      <w:proofErr w:type="spellEnd"/>
      <w:r w:rsidR="003573C1">
        <w:rPr>
          <w:rFonts w:ascii="Times New Roman" w:hAnsi="Times New Roman" w:cs="Times New Roman"/>
        </w:rPr>
        <w:t xml:space="preserve"> music’ from Wagner’s </w:t>
      </w:r>
      <w:proofErr w:type="spellStart"/>
      <w:r w:rsidR="003573C1">
        <w:rPr>
          <w:rFonts w:ascii="Times New Roman" w:hAnsi="Times New Roman" w:cs="Times New Roman"/>
          <w:i/>
        </w:rPr>
        <w:t>Tannhäuser</w:t>
      </w:r>
      <w:proofErr w:type="spellEnd"/>
      <w:r w:rsidR="003573C1">
        <w:rPr>
          <w:rFonts w:ascii="Times New Roman" w:hAnsi="Times New Roman" w:cs="Times New Roman"/>
          <w:i/>
        </w:rPr>
        <w:t xml:space="preserve"> </w:t>
      </w:r>
      <w:r w:rsidR="003573C1">
        <w:rPr>
          <w:rFonts w:ascii="Times New Roman" w:hAnsi="Times New Roman" w:cs="Times New Roman"/>
        </w:rPr>
        <w:t>opera</w:t>
      </w:r>
      <w:r w:rsidR="00574064">
        <w:rPr>
          <w:rFonts w:ascii="Times New Roman" w:hAnsi="Times New Roman" w:cs="Times New Roman"/>
        </w:rPr>
        <w:t>.</w:t>
      </w:r>
      <w:r w:rsidR="003573C1">
        <w:rPr>
          <w:rStyle w:val="EndnoteReference"/>
          <w:rFonts w:cs="Times New Roman"/>
        </w:rPr>
        <w:endnoteReference w:id="50"/>
      </w:r>
      <w:r w:rsidR="003573C1">
        <w:rPr>
          <w:rFonts w:ascii="Times New Roman" w:hAnsi="Times New Roman" w:cs="Times New Roman"/>
        </w:rPr>
        <w:t xml:space="preserve"> </w:t>
      </w:r>
      <w:r w:rsidR="00574064" w:rsidRPr="00FA377A">
        <w:rPr>
          <w:rFonts w:ascii="Times New Roman" w:hAnsi="Times New Roman" w:cs="Times New Roman"/>
        </w:rPr>
        <w:t xml:space="preserve">Invoking Wagner in a novel about the First World War is significant, especially considering Ford’s German lineage. </w:t>
      </w:r>
      <w:r w:rsidR="00574064">
        <w:rPr>
          <w:rFonts w:ascii="Times New Roman" w:hAnsi="Times New Roman" w:cs="Times New Roman"/>
        </w:rPr>
        <w:t>T</w:t>
      </w:r>
      <w:r w:rsidR="00574064" w:rsidRPr="00FA377A">
        <w:rPr>
          <w:rFonts w:ascii="Times New Roman" w:hAnsi="Times New Roman" w:cs="Times New Roman"/>
        </w:rPr>
        <w:t xml:space="preserve">he environment in which </w:t>
      </w:r>
      <w:r w:rsidR="00574064">
        <w:rPr>
          <w:rFonts w:ascii="Times New Roman" w:hAnsi="Times New Roman" w:cs="Times New Roman"/>
        </w:rPr>
        <w:t xml:space="preserve">Sylvia thinks about </w:t>
      </w:r>
      <w:proofErr w:type="spellStart"/>
      <w:r w:rsidR="00574064">
        <w:rPr>
          <w:rFonts w:ascii="Times New Roman" w:hAnsi="Times New Roman" w:cs="Times New Roman"/>
          <w:i/>
        </w:rPr>
        <w:t>Tannhäuser</w:t>
      </w:r>
      <w:proofErr w:type="spellEnd"/>
      <w:r w:rsidR="00574064">
        <w:rPr>
          <w:rFonts w:ascii="Times New Roman" w:hAnsi="Times New Roman" w:cs="Times New Roman"/>
        </w:rPr>
        <w:t xml:space="preserve"> </w:t>
      </w:r>
      <w:r w:rsidR="00574064" w:rsidRPr="00FA377A">
        <w:rPr>
          <w:rFonts w:ascii="Times New Roman" w:hAnsi="Times New Roman" w:cs="Times New Roman"/>
        </w:rPr>
        <w:t>is politically charged: in a British military camp at Rouen, she is in close proximity to the front line. Sylvia</w:t>
      </w:r>
      <w:r w:rsidR="00574064">
        <w:rPr>
          <w:rFonts w:ascii="Times New Roman" w:hAnsi="Times New Roman" w:cs="Times New Roman"/>
        </w:rPr>
        <w:t xml:space="preserve">’s and </w:t>
      </w:r>
      <w:proofErr w:type="spellStart"/>
      <w:r w:rsidR="00574064">
        <w:rPr>
          <w:rFonts w:ascii="Times New Roman" w:hAnsi="Times New Roman" w:cs="Times New Roman"/>
        </w:rPr>
        <w:t>Tietjens’s</w:t>
      </w:r>
      <w:proofErr w:type="spellEnd"/>
      <w:r w:rsidR="00574064">
        <w:rPr>
          <w:rFonts w:ascii="Times New Roman" w:hAnsi="Times New Roman" w:cs="Times New Roman"/>
        </w:rPr>
        <w:t xml:space="preserve"> relationship </w:t>
      </w:r>
      <w:r w:rsidR="00574064" w:rsidRPr="00FA377A">
        <w:rPr>
          <w:rFonts w:ascii="Times New Roman" w:hAnsi="Times New Roman" w:cs="Times New Roman"/>
        </w:rPr>
        <w:t xml:space="preserve">is affected by </w:t>
      </w:r>
      <w:r w:rsidR="00574064">
        <w:rPr>
          <w:rFonts w:ascii="Times New Roman" w:hAnsi="Times New Roman" w:cs="Times New Roman"/>
        </w:rPr>
        <w:t>her</w:t>
      </w:r>
      <w:r w:rsidR="00574064" w:rsidRPr="00FA377A">
        <w:rPr>
          <w:rFonts w:ascii="Times New Roman" w:hAnsi="Times New Roman" w:cs="Times New Roman"/>
        </w:rPr>
        <w:t xml:space="preserve"> Catholic guilt that contributes to her difficult relationship with love and sex</w:t>
      </w:r>
      <w:r w:rsidR="00574064">
        <w:rPr>
          <w:rFonts w:ascii="Times New Roman" w:hAnsi="Times New Roman" w:cs="Times New Roman"/>
        </w:rPr>
        <w:t>, making this a</w:t>
      </w:r>
      <w:r w:rsidR="00574064" w:rsidRPr="00FA377A">
        <w:rPr>
          <w:rFonts w:ascii="Times New Roman" w:hAnsi="Times New Roman" w:cs="Times New Roman"/>
        </w:rPr>
        <w:t xml:space="preserve"> moment where the political, personal</w:t>
      </w:r>
      <w:r w:rsidR="00574064">
        <w:rPr>
          <w:rFonts w:ascii="Times New Roman" w:hAnsi="Times New Roman" w:cs="Times New Roman"/>
        </w:rPr>
        <w:t>, aesthetic</w:t>
      </w:r>
      <w:r w:rsidR="00574064" w:rsidRPr="00FA377A">
        <w:rPr>
          <w:rFonts w:ascii="Times New Roman" w:hAnsi="Times New Roman" w:cs="Times New Roman"/>
        </w:rPr>
        <w:t xml:space="preserve"> and reli</w:t>
      </w:r>
      <w:r w:rsidR="00574064">
        <w:rPr>
          <w:rFonts w:ascii="Times New Roman" w:hAnsi="Times New Roman" w:cs="Times New Roman"/>
        </w:rPr>
        <w:t>gious come into close proximity.</w:t>
      </w:r>
      <w:r w:rsidR="008445A1">
        <w:rPr>
          <w:rFonts w:ascii="Times New Roman" w:hAnsi="Times New Roman" w:cs="Times New Roman"/>
        </w:rPr>
        <w:t xml:space="preserve"> Since these reflect</w:t>
      </w:r>
      <w:r w:rsidR="008445A1" w:rsidRPr="00FA377A">
        <w:rPr>
          <w:rFonts w:ascii="Times New Roman" w:hAnsi="Times New Roman" w:cs="Times New Roman"/>
        </w:rPr>
        <w:t xml:space="preserve"> the separate spheres </w:t>
      </w:r>
      <w:r w:rsidR="008445A1">
        <w:rPr>
          <w:rFonts w:ascii="Times New Roman" w:hAnsi="Times New Roman" w:cs="Times New Roman"/>
        </w:rPr>
        <w:t>that</w:t>
      </w:r>
      <w:r w:rsidR="008445A1" w:rsidRPr="00FA377A">
        <w:rPr>
          <w:rFonts w:ascii="Times New Roman" w:hAnsi="Times New Roman" w:cs="Times New Roman"/>
        </w:rPr>
        <w:t xml:space="preserve"> Wagner wished to </w:t>
      </w:r>
      <w:r w:rsidR="008445A1">
        <w:rPr>
          <w:rFonts w:ascii="Times New Roman" w:hAnsi="Times New Roman" w:cs="Times New Roman"/>
        </w:rPr>
        <w:t xml:space="preserve">unify through the </w:t>
      </w:r>
      <w:r w:rsidR="008445A1">
        <w:rPr>
          <w:rFonts w:ascii="Times New Roman" w:hAnsi="Times New Roman" w:cs="Times New Roman"/>
          <w:i/>
        </w:rPr>
        <w:t>Gesamtkunstwerk</w:t>
      </w:r>
      <w:r w:rsidR="008445A1">
        <w:rPr>
          <w:rFonts w:ascii="Times New Roman" w:hAnsi="Times New Roman" w:cs="Times New Roman"/>
        </w:rPr>
        <w:t>,</w:t>
      </w:r>
      <w:r w:rsidR="008445A1" w:rsidRPr="00FA377A">
        <w:rPr>
          <w:rStyle w:val="EndnoteReference"/>
          <w:rFonts w:ascii="Times New Roman" w:hAnsi="Times New Roman" w:cs="Times New Roman"/>
        </w:rPr>
        <w:endnoteReference w:id="51"/>
      </w:r>
      <w:r w:rsidR="00574064" w:rsidRPr="00FA377A">
        <w:rPr>
          <w:rFonts w:ascii="Times New Roman" w:hAnsi="Times New Roman" w:cs="Times New Roman"/>
        </w:rPr>
        <w:t xml:space="preserve"> </w:t>
      </w:r>
      <w:r w:rsidR="008445A1" w:rsidRPr="00FA377A">
        <w:rPr>
          <w:rFonts w:ascii="Times New Roman" w:hAnsi="Times New Roman" w:cs="Times New Roman"/>
        </w:rPr>
        <w:t>Ford gestures towards the utopian potential of music, and especially references Wagner’s aim of unifying the</w:t>
      </w:r>
      <w:r w:rsidR="008445A1">
        <w:rPr>
          <w:rFonts w:ascii="Times New Roman" w:hAnsi="Times New Roman" w:cs="Times New Roman"/>
        </w:rPr>
        <w:t>se</w:t>
      </w:r>
      <w:r w:rsidR="008445A1" w:rsidRPr="00FA377A">
        <w:rPr>
          <w:rFonts w:ascii="Times New Roman" w:hAnsi="Times New Roman" w:cs="Times New Roman"/>
        </w:rPr>
        <w:t xml:space="preserve"> separate spheres of life through art: Sylvia’s use of German music as a fr</w:t>
      </w:r>
      <w:r w:rsidR="008445A1">
        <w:rPr>
          <w:rFonts w:ascii="Times New Roman" w:hAnsi="Times New Roman" w:cs="Times New Roman"/>
        </w:rPr>
        <w:t>ame of reference during the War</w:t>
      </w:r>
      <w:r w:rsidR="008445A1" w:rsidRPr="00FA377A">
        <w:rPr>
          <w:rFonts w:ascii="Times New Roman" w:hAnsi="Times New Roman" w:cs="Times New Roman"/>
        </w:rPr>
        <w:t xml:space="preserve"> </w:t>
      </w:r>
      <w:r w:rsidR="008445A1">
        <w:rPr>
          <w:rFonts w:ascii="Times New Roman" w:hAnsi="Times New Roman" w:cs="Times New Roman"/>
        </w:rPr>
        <w:t xml:space="preserve">gestures to art’s potential to transcend issues of </w:t>
      </w:r>
      <w:r w:rsidR="008445A1" w:rsidRPr="00FA377A">
        <w:rPr>
          <w:rFonts w:ascii="Times New Roman" w:hAnsi="Times New Roman" w:cs="Times New Roman"/>
        </w:rPr>
        <w:t>nationality or political difference.</w:t>
      </w:r>
      <w:r w:rsidR="008445A1" w:rsidRPr="00D47878">
        <w:rPr>
          <w:rFonts w:ascii="Times New Roman" w:hAnsi="Times New Roman" w:cs="Times New Roman"/>
        </w:rPr>
        <w:t xml:space="preserve"> </w:t>
      </w:r>
      <w:r w:rsidR="00574064">
        <w:rPr>
          <w:rFonts w:ascii="Times New Roman" w:hAnsi="Times New Roman" w:cs="Times New Roman"/>
        </w:rPr>
        <w:t xml:space="preserve">We are told that Sylvia ‘knew music, if she knew nothing else’, so that </w:t>
      </w:r>
      <w:r w:rsidR="008445A1">
        <w:rPr>
          <w:rFonts w:ascii="Times New Roman" w:hAnsi="Times New Roman" w:cs="Times New Roman"/>
        </w:rPr>
        <w:t xml:space="preserve">although </w:t>
      </w:r>
      <w:r w:rsidR="00574064">
        <w:rPr>
          <w:rFonts w:ascii="Times New Roman" w:hAnsi="Times New Roman" w:cs="Times New Roman"/>
        </w:rPr>
        <w:t>Sylvia appears</w:t>
      </w:r>
      <w:r w:rsidR="008445A1">
        <w:rPr>
          <w:rFonts w:ascii="Times New Roman" w:hAnsi="Times New Roman" w:cs="Times New Roman"/>
        </w:rPr>
        <w:t xml:space="preserve"> to be in a state of confusion, music </w:t>
      </w:r>
      <w:r w:rsidR="00574064">
        <w:rPr>
          <w:rFonts w:ascii="Times New Roman" w:hAnsi="Times New Roman" w:cs="Times New Roman"/>
        </w:rPr>
        <w:t>offers he</w:t>
      </w:r>
      <w:r w:rsidR="008445A1">
        <w:rPr>
          <w:rFonts w:ascii="Times New Roman" w:hAnsi="Times New Roman" w:cs="Times New Roman"/>
        </w:rPr>
        <w:t>r</w:t>
      </w:r>
      <w:r w:rsidR="00574064">
        <w:rPr>
          <w:rFonts w:ascii="Times New Roman" w:hAnsi="Times New Roman" w:cs="Times New Roman"/>
        </w:rPr>
        <w:t xml:space="preserve"> a way of </w:t>
      </w:r>
      <w:r w:rsidR="008445A1">
        <w:rPr>
          <w:rFonts w:ascii="Times New Roman" w:hAnsi="Times New Roman" w:cs="Times New Roman"/>
        </w:rPr>
        <w:t>making sense</w:t>
      </w:r>
      <w:r w:rsidR="00574064">
        <w:rPr>
          <w:rFonts w:ascii="Times New Roman" w:hAnsi="Times New Roman" w:cs="Times New Roman"/>
        </w:rPr>
        <w:t xml:space="preserve"> her situation</w:t>
      </w:r>
      <w:r w:rsidR="008445A1">
        <w:rPr>
          <w:rFonts w:ascii="Times New Roman" w:hAnsi="Times New Roman" w:cs="Times New Roman"/>
        </w:rPr>
        <w:t>.</w:t>
      </w:r>
      <w:r w:rsidR="008445A1">
        <w:rPr>
          <w:rStyle w:val="EndnoteReference"/>
          <w:rFonts w:cs="Times New Roman"/>
        </w:rPr>
        <w:endnoteReference w:id="52"/>
      </w:r>
    </w:p>
    <w:p w14:paraId="10F9C9DB" w14:textId="5C05F71F" w:rsidR="00B74C46" w:rsidRPr="009A189B" w:rsidRDefault="007C36AE" w:rsidP="009A189B">
      <w:pPr>
        <w:spacing w:line="360" w:lineRule="auto"/>
        <w:rPr>
          <w:rFonts w:ascii="Times New Roman" w:hAnsi="Times New Roman" w:cs="Times New Roman"/>
        </w:rPr>
      </w:pPr>
      <w:r w:rsidRPr="00FA377A">
        <w:rPr>
          <w:rFonts w:ascii="Times New Roman" w:hAnsi="Times New Roman" w:cs="Times New Roman"/>
        </w:rPr>
        <w:tab/>
        <w:t xml:space="preserve">Sylvia, however, lacks the capacity to interpret the opera in a way that is beneficial to her. </w:t>
      </w:r>
      <w:proofErr w:type="spellStart"/>
      <w:r w:rsidR="003573C1" w:rsidRPr="00FA377A">
        <w:rPr>
          <w:rFonts w:ascii="Times New Roman" w:hAnsi="Times New Roman" w:cs="Times New Roman"/>
        </w:rPr>
        <w:t>Tannhäuser</w:t>
      </w:r>
      <w:proofErr w:type="spellEnd"/>
      <w:r w:rsidR="003573C1" w:rsidRPr="00FA377A">
        <w:rPr>
          <w:rFonts w:ascii="Times New Roman" w:hAnsi="Times New Roman" w:cs="Times New Roman"/>
        </w:rPr>
        <w:t xml:space="preserve"> struggles to choose between two lovers, and Sylvia </w:t>
      </w:r>
      <w:r w:rsidR="003573C1">
        <w:rPr>
          <w:rFonts w:ascii="Times New Roman" w:hAnsi="Times New Roman" w:cs="Times New Roman"/>
        </w:rPr>
        <w:t xml:space="preserve">references the opera to bring up </w:t>
      </w:r>
      <w:r w:rsidR="003573C1" w:rsidRPr="00FA377A">
        <w:rPr>
          <w:rFonts w:ascii="Times New Roman" w:hAnsi="Times New Roman" w:cs="Times New Roman"/>
        </w:rPr>
        <w:t xml:space="preserve">the love triangle comprising her, Christopher and Valentine. At the start of the opera, </w:t>
      </w:r>
      <w:proofErr w:type="spellStart"/>
      <w:r w:rsidR="003573C1" w:rsidRPr="00FA377A">
        <w:rPr>
          <w:rFonts w:ascii="Times New Roman" w:hAnsi="Times New Roman" w:cs="Times New Roman"/>
        </w:rPr>
        <w:t>Tannhäuser</w:t>
      </w:r>
      <w:proofErr w:type="spellEnd"/>
      <w:r w:rsidR="003573C1" w:rsidRPr="00FA377A">
        <w:rPr>
          <w:rFonts w:ascii="Times New Roman" w:hAnsi="Times New Roman" w:cs="Times New Roman"/>
        </w:rPr>
        <w:t xml:space="preserve"> has abandoned his human lover, Elisabeth, after being seduced by the </w:t>
      </w:r>
      <w:r w:rsidR="003573C1" w:rsidRPr="00FA377A">
        <w:rPr>
          <w:rFonts w:ascii="Times New Roman" w:hAnsi="Times New Roman" w:cs="Times New Roman"/>
        </w:rPr>
        <w:lastRenderedPageBreak/>
        <w:t xml:space="preserve">goddess </w:t>
      </w:r>
      <w:proofErr w:type="spellStart"/>
      <w:r w:rsidR="003573C1" w:rsidRPr="00FA377A">
        <w:rPr>
          <w:rFonts w:ascii="Times New Roman" w:hAnsi="Times New Roman" w:cs="Times New Roman"/>
        </w:rPr>
        <w:t>Venusburg</w:t>
      </w:r>
      <w:proofErr w:type="spellEnd"/>
      <w:r w:rsidR="003573C1" w:rsidRPr="00FA377A">
        <w:rPr>
          <w:rFonts w:ascii="Times New Roman" w:hAnsi="Times New Roman" w:cs="Times New Roman"/>
        </w:rPr>
        <w:t xml:space="preserve">. </w:t>
      </w:r>
      <w:r w:rsidR="00175FC1">
        <w:rPr>
          <w:rFonts w:ascii="Times New Roman" w:hAnsi="Times New Roman" w:cs="Times New Roman"/>
        </w:rPr>
        <w:t>K</w:t>
      </w:r>
      <w:r w:rsidR="00175FC1" w:rsidRPr="00FA377A">
        <w:rPr>
          <w:rFonts w:ascii="Times New Roman" w:hAnsi="Times New Roman" w:cs="Times New Roman"/>
        </w:rPr>
        <w:t>nowing that Christopher is familiar with the opera and its storyline</w:t>
      </w:r>
      <w:r w:rsidR="00175FC1">
        <w:rPr>
          <w:rFonts w:ascii="Times New Roman" w:hAnsi="Times New Roman" w:cs="Times New Roman"/>
        </w:rPr>
        <w:t>,</w:t>
      </w:r>
      <w:r w:rsidR="00175FC1" w:rsidRPr="00FA377A">
        <w:rPr>
          <w:rFonts w:ascii="Times New Roman" w:hAnsi="Times New Roman" w:cs="Times New Roman"/>
        </w:rPr>
        <w:t xml:space="preserve"> </w:t>
      </w:r>
      <w:r w:rsidR="00175FC1">
        <w:rPr>
          <w:rFonts w:ascii="Times New Roman" w:hAnsi="Times New Roman" w:cs="Times New Roman"/>
        </w:rPr>
        <w:t>s</w:t>
      </w:r>
      <w:r w:rsidR="00B74C46" w:rsidRPr="00FA377A">
        <w:rPr>
          <w:rFonts w:ascii="Times New Roman" w:hAnsi="Times New Roman" w:cs="Times New Roman"/>
        </w:rPr>
        <w:t xml:space="preserve">he communicates her suspicions </w:t>
      </w:r>
      <w:r w:rsidR="00175FC1" w:rsidRPr="00FA377A">
        <w:rPr>
          <w:rFonts w:ascii="Times New Roman" w:hAnsi="Times New Roman" w:cs="Times New Roman"/>
        </w:rPr>
        <w:t xml:space="preserve">that </w:t>
      </w:r>
      <w:r w:rsidR="00175FC1">
        <w:rPr>
          <w:rFonts w:ascii="Times New Roman" w:hAnsi="Times New Roman" w:cs="Times New Roman"/>
        </w:rPr>
        <w:t>he</w:t>
      </w:r>
      <w:r w:rsidR="00175FC1" w:rsidRPr="00FA377A">
        <w:rPr>
          <w:rFonts w:ascii="Times New Roman" w:hAnsi="Times New Roman" w:cs="Times New Roman"/>
        </w:rPr>
        <w:t xml:space="preserve"> is hi</w:t>
      </w:r>
      <w:r w:rsidR="00175FC1">
        <w:rPr>
          <w:rFonts w:ascii="Times New Roman" w:hAnsi="Times New Roman" w:cs="Times New Roman"/>
        </w:rPr>
        <w:t>ding Valentine near his station at</w:t>
      </w:r>
      <w:r w:rsidR="00175FC1" w:rsidRPr="00FA377A">
        <w:rPr>
          <w:rFonts w:ascii="Times New Roman" w:hAnsi="Times New Roman" w:cs="Times New Roman"/>
        </w:rPr>
        <w:t xml:space="preserve"> </w:t>
      </w:r>
      <w:r w:rsidR="00B74C46" w:rsidRPr="00FA377A">
        <w:rPr>
          <w:rFonts w:ascii="Times New Roman" w:hAnsi="Times New Roman" w:cs="Times New Roman"/>
        </w:rPr>
        <w:t xml:space="preserve">by humming a </w:t>
      </w:r>
      <w:r w:rsidR="003573C1">
        <w:rPr>
          <w:rFonts w:ascii="Times New Roman" w:hAnsi="Times New Roman" w:cs="Times New Roman"/>
        </w:rPr>
        <w:t>melody from</w:t>
      </w:r>
      <w:r w:rsidR="00B74C46" w:rsidRPr="00FA377A">
        <w:rPr>
          <w:rFonts w:ascii="Times New Roman" w:hAnsi="Times New Roman" w:cs="Times New Roman"/>
        </w:rPr>
        <w:t xml:space="preserve"> </w:t>
      </w:r>
      <w:proofErr w:type="spellStart"/>
      <w:r w:rsidR="00B74C46" w:rsidRPr="00FA377A">
        <w:rPr>
          <w:rFonts w:ascii="Times New Roman" w:hAnsi="Times New Roman" w:cs="Times New Roman"/>
          <w:i/>
        </w:rPr>
        <w:t>Tannhäuser</w:t>
      </w:r>
      <w:proofErr w:type="spellEnd"/>
      <w:r w:rsidR="00B74C46" w:rsidRPr="00FA377A">
        <w:rPr>
          <w:rFonts w:ascii="Times New Roman" w:hAnsi="Times New Roman" w:cs="Times New Roman"/>
        </w:rPr>
        <w:t>.</w:t>
      </w:r>
      <w:r w:rsidR="00B74C46" w:rsidRPr="00FA377A">
        <w:rPr>
          <w:rStyle w:val="EndnoteReference"/>
          <w:rFonts w:ascii="Times New Roman" w:hAnsi="Times New Roman" w:cs="Times New Roman"/>
        </w:rPr>
        <w:endnoteReference w:id="53"/>
      </w:r>
      <w:r w:rsidR="00B74C46" w:rsidRPr="00FA377A">
        <w:rPr>
          <w:rFonts w:ascii="Times New Roman" w:hAnsi="Times New Roman" w:cs="Times New Roman"/>
        </w:rPr>
        <w:t xml:space="preserve"> As Sylvia contemplates her situation she attempts to position herself within the opera’s narrative.</w:t>
      </w:r>
    </w:p>
    <w:p w14:paraId="59C19D84" w14:textId="77777777" w:rsidR="00B74C46" w:rsidRPr="00FA377A" w:rsidRDefault="00B74C46" w:rsidP="00B352AA">
      <w:pPr>
        <w:spacing w:line="360" w:lineRule="auto"/>
        <w:rPr>
          <w:rFonts w:ascii="Times New Roman" w:hAnsi="Times New Roman" w:cs="Times New Roman"/>
        </w:rPr>
      </w:pPr>
    </w:p>
    <w:p w14:paraId="73C4C251" w14:textId="77777777" w:rsidR="00B74C46" w:rsidRPr="00FA377A" w:rsidRDefault="00B74C46" w:rsidP="00B352AA">
      <w:pPr>
        <w:spacing w:line="360" w:lineRule="auto"/>
        <w:ind w:left="720"/>
        <w:rPr>
          <w:rFonts w:ascii="Times New Roman" w:hAnsi="Times New Roman" w:cs="Times New Roman"/>
        </w:rPr>
      </w:pPr>
      <w:r w:rsidRPr="00FA377A">
        <w:rPr>
          <w:rFonts w:ascii="Times New Roman" w:hAnsi="Times New Roman" w:cs="Times New Roman"/>
        </w:rPr>
        <w:t xml:space="preserve">She said: “You call the compounds where you keep the W.A.A.C.’s </w:t>
      </w:r>
      <w:proofErr w:type="spellStart"/>
      <w:r w:rsidRPr="00FA377A">
        <w:rPr>
          <w:rFonts w:ascii="Times New Roman" w:hAnsi="Times New Roman" w:cs="Times New Roman"/>
        </w:rPr>
        <w:t>Venusberg’s</w:t>
      </w:r>
      <w:proofErr w:type="spellEnd"/>
      <w:r w:rsidRPr="00FA377A">
        <w:rPr>
          <w:rFonts w:ascii="Times New Roman" w:hAnsi="Times New Roman" w:cs="Times New Roman"/>
        </w:rPr>
        <w:t xml:space="preserve">, don’t you? Isn’t it queer that Venus should be your own? . . . Think of poor Elisabeth! The room where they were dancing was very dark. . . . It was queer to be in his arms. . . . She had known better dancers. . . . He had looked ill. . . . Perhaps he was. . . . Oh, poor Valentine-Elisabeth. . . . What a funny position! . . . The good gramophone played. . . . Destiny! . . . You see father! . . . In his arms! Of course, dancing is not really. . . . But so near the real thing! So near! . . . “Good luck to the special intention! . . .” She had almost kissed him on the lips. . . . All but! . . . </w:t>
      </w:r>
      <w:proofErr w:type="spellStart"/>
      <w:r w:rsidRPr="00D47878">
        <w:rPr>
          <w:rFonts w:ascii="Times New Roman" w:hAnsi="Times New Roman" w:cs="Times New Roman"/>
          <w:i/>
        </w:rPr>
        <w:t>Effleurer</w:t>
      </w:r>
      <w:proofErr w:type="spellEnd"/>
      <w:r w:rsidRPr="00FA377A">
        <w:rPr>
          <w:rFonts w:ascii="Times New Roman" w:hAnsi="Times New Roman" w:cs="Times New Roman"/>
        </w:rPr>
        <w:t xml:space="preserve">, the French call it. . . . But she was not as humble. . . .He had pressed her tighter. . . . All these months without. . . My lord did me honour. . . Good for </w:t>
      </w:r>
      <w:proofErr w:type="spellStart"/>
      <w:r w:rsidRPr="00FA377A">
        <w:rPr>
          <w:rFonts w:ascii="Times New Roman" w:hAnsi="Times New Roman" w:cs="Times New Roman"/>
        </w:rPr>
        <w:t>Malbrouk’s</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i/>
        </w:rPr>
        <w:t>s’en</w:t>
      </w:r>
      <w:proofErr w:type="spellEnd"/>
      <w:r w:rsidRPr="00FA377A">
        <w:rPr>
          <w:rFonts w:ascii="Times New Roman" w:hAnsi="Times New Roman" w:cs="Times New Roman"/>
          <w:i/>
        </w:rPr>
        <w:t xml:space="preserve"> </w:t>
      </w:r>
      <w:proofErr w:type="spellStart"/>
      <w:r w:rsidRPr="00FA377A">
        <w:rPr>
          <w:rFonts w:ascii="Times New Roman" w:hAnsi="Times New Roman" w:cs="Times New Roman"/>
          <w:i/>
        </w:rPr>
        <w:t>va</w:t>
      </w:r>
      <w:proofErr w:type="spellEnd"/>
      <w:r w:rsidRPr="00FA377A">
        <w:rPr>
          <w:rFonts w:ascii="Times New Roman" w:hAnsi="Times New Roman" w:cs="Times New Roman"/>
          <w:i/>
        </w:rPr>
        <w:t>-t-</w:t>
      </w:r>
      <w:proofErr w:type="spellStart"/>
      <w:r w:rsidRPr="00FA377A">
        <w:rPr>
          <w:rFonts w:ascii="Times New Roman" w:hAnsi="Times New Roman" w:cs="Times New Roman"/>
          <w:i/>
        </w:rPr>
        <w:t>en</w:t>
      </w:r>
      <w:proofErr w:type="spellEnd"/>
      <w:r w:rsidRPr="00FA377A">
        <w:rPr>
          <w:rFonts w:ascii="Times New Roman" w:hAnsi="Times New Roman" w:cs="Times New Roman"/>
          <w:i/>
        </w:rPr>
        <w:t xml:space="preserve"> guerre</w:t>
      </w:r>
      <w:r w:rsidRPr="00FA377A">
        <w:rPr>
          <w:rFonts w:ascii="Times New Roman" w:hAnsi="Times New Roman" w:cs="Times New Roman"/>
        </w:rPr>
        <w:t>. . . . He knew she had almost kissed him on the lips. . . . And that his lips had almost responded. . .</w:t>
      </w:r>
      <w:r w:rsidRPr="00FA377A">
        <w:rPr>
          <w:rStyle w:val="EndnoteReference"/>
          <w:rFonts w:ascii="Times New Roman" w:hAnsi="Times New Roman" w:cs="Times New Roman"/>
        </w:rPr>
        <w:endnoteReference w:id="54"/>
      </w:r>
    </w:p>
    <w:p w14:paraId="5E5F96CF" w14:textId="77777777" w:rsidR="00B74C46" w:rsidRPr="00FA377A" w:rsidRDefault="00B74C46" w:rsidP="00B352AA">
      <w:pPr>
        <w:spacing w:line="360" w:lineRule="auto"/>
        <w:rPr>
          <w:rFonts w:ascii="Times New Roman" w:hAnsi="Times New Roman" w:cs="Times New Roman"/>
        </w:rPr>
      </w:pPr>
    </w:p>
    <w:p w14:paraId="746ABDB8" w14:textId="7B1E22ED" w:rsidR="00AB7605" w:rsidRDefault="00B74C46" w:rsidP="00B352AA">
      <w:pPr>
        <w:spacing w:line="360" w:lineRule="auto"/>
        <w:rPr>
          <w:rFonts w:ascii="Times New Roman" w:hAnsi="Times New Roman" w:cs="Times New Roman"/>
        </w:rPr>
      </w:pPr>
      <w:r w:rsidRPr="00FA377A">
        <w:rPr>
          <w:rFonts w:ascii="Times New Roman" w:hAnsi="Times New Roman" w:cs="Times New Roman"/>
        </w:rPr>
        <w:t>The ‘</w:t>
      </w:r>
      <w:proofErr w:type="spellStart"/>
      <w:r w:rsidRPr="00FA377A">
        <w:rPr>
          <w:rFonts w:ascii="Times New Roman" w:hAnsi="Times New Roman" w:cs="Times New Roman"/>
        </w:rPr>
        <w:t>Venusburg</w:t>
      </w:r>
      <w:proofErr w:type="spellEnd"/>
      <w:r w:rsidRPr="00FA377A">
        <w:rPr>
          <w:rFonts w:ascii="Times New Roman" w:hAnsi="Times New Roman" w:cs="Times New Roman"/>
        </w:rPr>
        <w:t xml:space="preserve">’ is where Sylvia suspects Valentine is hiding, so Sylvia initially positions herself as </w:t>
      </w:r>
      <w:r w:rsidR="00D74F4D">
        <w:rPr>
          <w:rFonts w:ascii="Times New Roman" w:hAnsi="Times New Roman" w:cs="Times New Roman"/>
        </w:rPr>
        <w:t>Christopher’s rightful lover</w:t>
      </w:r>
      <w:r w:rsidRPr="00FA377A">
        <w:rPr>
          <w:rFonts w:ascii="Times New Roman" w:hAnsi="Times New Roman" w:cs="Times New Roman"/>
        </w:rPr>
        <w:t>, asking him to ‘Think of poor Elisabeth!’ But she also thinks of herself as Venus, the goddess-temptress, saying Venus is in fact Christopher’s ‘own’ wife. Thus, at another moment she thinks of Valentine as Christopher’s human</w:t>
      </w:r>
      <w:r w:rsidR="003C5C8C">
        <w:rPr>
          <w:rFonts w:ascii="Times New Roman" w:hAnsi="Times New Roman" w:cs="Times New Roman"/>
        </w:rPr>
        <w:t xml:space="preserve"> lover: ‘Oh, poor Valentine-Elis</w:t>
      </w:r>
      <w:r w:rsidRPr="00FA377A">
        <w:rPr>
          <w:rFonts w:ascii="Times New Roman" w:hAnsi="Times New Roman" w:cs="Times New Roman"/>
        </w:rPr>
        <w:t>abeth. . . . ’. She contemplates the intrigue that she and Valentine can occupy each other’s roles: ‘What a funny position</w:t>
      </w:r>
      <w:proofErr w:type="gramStart"/>
      <w:r w:rsidRPr="00FA377A">
        <w:rPr>
          <w:rFonts w:ascii="Times New Roman" w:hAnsi="Times New Roman" w:cs="Times New Roman"/>
        </w:rPr>
        <w:t>!. . .</w:t>
      </w:r>
      <w:proofErr w:type="gramEnd"/>
      <w:r w:rsidRPr="00FA377A">
        <w:rPr>
          <w:rFonts w:ascii="Times New Roman" w:hAnsi="Times New Roman" w:cs="Times New Roman"/>
        </w:rPr>
        <w:t xml:space="preserve">’.  In Sylvia’s fragmented interior monologue, both she and </w:t>
      </w:r>
      <w:r w:rsidR="00845C9A">
        <w:rPr>
          <w:rFonts w:ascii="Times New Roman" w:hAnsi="Times New Roman" w:cs="Times New Roman"/>
        </w:rPr>
        <w:t>Valentine are ‘poor Elisabeth’.</w:t>
      </w:r>
    </w:p>
    <w:p w14:paraId="0F61DFF6" w14:textId="0FBB0C14" w:rsidR="00845C9A" w:rsidRDefault="00845C9A" w:rsidP="004C6FC2">
      <w:pPr>
        <w:spacing w:line="360" w:lineRule="auto"/>
        <w:rPr>
          <w:rFonts w:ascii="Times New Roman" w:hAnsi="Times New Roman" w:cs="Times New Roman"/>
        </w:rPr>
      </w:pPr>
      <w:r>
        <w:rPr>
          <w:rFonts w:ascii="Times New Roman" w:hAnsi="Times New Roman" w:cs="Times New Roman"/>
        </w:rPr>
        <w:tab/>
        <w:t xml:space="preserve">While Sylvia tries to position herself as a character, she </w:t>
      </w:r>
      <w:r w:rsidR="009C68B7">
        <w:rPr>
          <w:rFonts w:ascii="Times New Roman" w:hAnsi="Times New Roman" w:cs="Times New Roman"/>
        </w:rPr>
        <w:t xml:space="preserve">does not see </w:t>
      </w:r>
      <w:r w:rsidR="00C86676">
        <w:rPr>
          <w:rFonts w:ascii="Times New Roman" w:hAnsi="Times New Roman" w:cs="Times New Roman"/>
        </w:rPr>
        <w:t xml:space="preserve">the deeper level on which </w:t>
      </w:r>
      <w:proofErr w:type="spellStart"/>
      <w:r w:rsidR="00C86676">
        <w:rPr>
          <w:rFonts w:ascii="Times New Roman" w:hAnsi="Times New Roman" w:cs="Times New Roman"/>
          <w:i/>
        </w:rPr>
        <w:t>Tannhäuser</w:t>
      </w:r>
      <w:proofErr w:type="spellEnd"/>
      <w:r w:rsidR="00C86676">
        <w:rPr>
          <w:rFonts w:ascii="Times New Roman" w:hAnsi="Times New Roman" w:cs="Times New Roman"/>
          <w:i/>
        </w:rPr>
        <w:t xml:space="preserve"> </w:t>
      </w:r>
      <w:r w:rsidR="00C86676">
        <w:rPr>
          <w:rFonts w:ascii="Times New Roman" w:hAnsi="Times New Roman" w:cs="Times New Roman"/>
        </w:rPr>
        <w:t xml:space="preserve">is relevant </w:t>
      </w:r>
      <w:r>
        <w:rPr>
          <w:rFonts w:ascii="Times New Roman" w:hAnsi="Times New Roman" w:cs="Times New Roman"/>
        </w:rPr>
        <w:t xml:space="preserve">to her situation. </w:t>
      </w:r>
      <w:r w:rsidRPr="00FA377A">
        <w:rPr>
          <w:rFonts w:ascii="Times New Roman" w:hAnsi="Times New Roman" w:cs="Times New Roman"/>
        </w:rPr>
        <w:t xml:space="preserve">Her oscillation between rebellious flirtatiousness and piety relates to the subject matter of the opera, where </w:t>
      </w:r>
      <w:proofErr w:type="spellStart"/>
      <w:r w:rsidRPr="00FA377A">
        <w:rPr>
          <w:rFonts w:ascii="Times New Roman" w:hAnsi="Times New Roman" w:cs="Times New Roman"/>
        </w:rPr>
        <w:t>Tannhäuser</w:t>
      </w:r>
      <w:proofErr w:type="spellEnd"/>
      <w:r w:rsidRPr="00FA377A">
        <w:rPr>
          <w:rFonts w:ascii="Times New Roman" w:hAnsi="Times New Roman" w:cs="Times New Roman"/>
        </w:rPr>
        <w:t xml:space="preserve"> struggles to decide between sexual pleasure with </w:t>
      </w:r>
      <w:proofErr w:type="spellStart"/>
      <w:r w:rsidRPr="00FA377A">
        <w:rPr>
          <w:rFonts w:ascii="Times New Roman" w:hAnsi="Times New Roman" w:cs="Times New Roman"/>
        </w:rPr>
        <w:t>Venusburg</w:t>
      </w:r>
      <w:proofErr w:type="spellEnd"/>
      <w:r w:rsidRPr="00FA377A">
        <w:rPr>
          <w:rFonts w:ascii="Times New Roman" w:hAnsi="Times New Roman" w:cs="Times New Roman"/>
        </w:rPr>
        <w:t xml:space="preserve"> or social morality and acceptance with Elisabeth. In Act 2, as Simon Williams notes, ‘it becomes apparent that </w:t>
      </w:r>
      <w:proofErr w:type="spellStart"/>
      <w:r w:rsidRPr="00FA377A">
        <w:rPr>
          <w:rFonts w:ascii="Times New Roman" w:hAnsi="Times New Roman" w:cs="Times New Roman"/>
        </w:rPr>
        <w:t>Tannhäuser</w:t>
      </w:r>
      <w:proofErr w:type="spellEnd"/>
      <w:r w:rsidRPr="00FA377A">
        <w:rPr>
          <w:rFonts w:ascii="Times New Roman" w:hAnsi="Times New Roman" w:cs="Times New Roman"/>
        </w:rPr>
        <w:t xml:space="preserve"> is torn between two ideals of love, the sexually promiscuous and the chaste, and between two realms of experience: sensual indulgence, symbolised in the </w:t>
      </w:r>
      <w:proofErr w:type="spellStart"/>
      <w:r w:rsidRPr="00FA377A">
        <w:rPr>
          <w:rFonts w:ascii="Times New Roman" w:hAnsi="Times New Roman" w:cs="Times New Roman"/>
        </w:rPr>
        <w:t>Venusberg</w:t>
      </w:r>
      <w:proofErr w:type="spellEnd"/>
      <w:r w:rsidRPr="00FA377A">
        <w:rPr>
          <w:rFonts w:ascii="Times New Roman" w:hAnsi="Times New Roman" w:cs="Times New Roman"/>
        </w:rPr>
        <w:t>, and the moralistic world of social convention, materialised in the Wartburg.’</w:t>
      </w:r>
      <w:r w:rsidRPr="00FA377A">
        <w:rPr>
          <w:rStyle w:val="EndnoteReference"/>
          <w:rFonts w:ascii="Times New Roman" w:hAnsi="Times New Roman" w:cs="Times New Roman"/>
        </w:rPr>
        <w:endnoteReference w:id="55"/>
      </w:r>
      <w:r w:rsidRPr="00FA377A">
        <w:rPr>
          <w:rFonts w:ascii="Times New Roman" w:hAnsi="Times New Roman" w:cs="Times New Roman"/>
        </w:rPr>
        <w:t xml:space="preserve"> </w:t>
      </w:r>
      <w:r w:rsidR="004C6FC2">
        <w:rPr>
          <w:rFonts w:ascii="Times New Roman" w:hAnsi="Times New Roman" w:cs="Times New Roman"/>
        </w:rPr>
        <w:t>Sylvia’s sexuality, too, is complex. S</w:t>
      </w:r>
      <w:r w:rsidR="004C6FC2" w:rsidRPr="00FA377A">
        <w:rPr>
          <w:rFonts w:ascii="Times New Roman" w:hAnsi="Times New Roman" w:cs="Times New Roman"/>
        </w:rPr>
        <w:t>he is</w:t>
      </w:r>
      <w:r w:rsidR="004C6FC2">
        <w:rPr>
          <w:rFonts w:ascii="Times New Roman" w:hAnsi="Times New Roman" w:cs="Times New Roman"/>
        </w:rPr>
        <w:t xml:space="preserve"> </w:t>
      </w:r>
      <w:r w:rsidR="004C6FC2" w:rsidRPr="00FA377A">
        <w:rPr>
          <w:rFonts w:ascii="Times New Roman" w:hAnsi="Times New Roman" w:cs="Times New Roman"/>
        </w:rPr>
        <w:t>s</w:t>
      </w:r>
      <w:r w:rsidR="004C6FC2">
        <w:rPr>
          <w:rFonts w:ascii="Times New Roman" w:hAnsi="Times New Roman" w:cs="Times New Roman"/>
        </w:rPr>
        <w:t>ometimes sexually motivated, some</w:t>
      </w:r>
      <w:r w:rsidR="004C6FC2" w:rsidRPr="00FA377A">
        <w:rPr>
          <w:rFonts w:ascii="Times New Roman" w:hAnsi="Times New Roman" w:cs="Times New Roman"/>
        </w:rPr>
        <w:t xml:space="preserve">times reticent about sex, experiences intense feelings of </w:t>
      </w:r>
      <w:r w:rsidR="00C86676">
        <w:rPr>
          <w:rFonts w:ascii="Times New Roman" w:hAnsi="Times New Roman" w:cs="Times New Roman"/>
        </w:rPr>
        <w:lastRenderedPageBreak/>
        <w:t xml:space="preserve">jealousy, and much </w:t>
      </w:r>
      <w:r w:rsidR="004C6FC2" w:rsidRPr="00FA377A">
        <w:rPr>
          <w:rFonts w:ascii="Times New Roman" w:hAnsi="Times New Roman" w:cs="Times New Roman"/>
        </w:rPr>
        <w:t>guilt and remorse</w:t>
      </w:r>
      <w:r w:rsidR="004C6FC2">
        <w:rPr>
          <w:rFonts w:ascii="Times New Roman" w:hAnsi="Times New Roman" w:cs="Times New Roman"/>
        </w:rPr>
        <w:t xml:space="preserve"> connected to her Catholicism</w:t>
      </w:r>
      <w:r w:rsidR="004C6FC2" w:rsidRPr="00FA377A">
        <w:rPr>
          <w:rFonts w:ascii="Times New Roman" w:hAnsi="Times New Roman" w:cs="Times New Roman"/>
        </w:rPr>
        <w:t xml:space="preserve">. </w:t>
      </w:r>
      <w:r w:rsidR="004C6FC2">
        <w:rPr>
          <w:rFonts w:ascii="Times New Roman" w:hAnsi="Times New Roman" w:cs="Times New Roman"/>
        </w:rPr>
        <w:t>(</w:t>
      </w:r>
      <w:r w:rsidR="004C6FC2" w:rsidRPr="00FA377A">
        <w:rPr>
          <w:rFonts w:ascii="Times New Roman" w:hAnsi="Times New Roman" w:cs="Times New Roman"/>
        </w:rPr>
        <w:t xml:space="preserve">After her elopement and affair during her marriage to Christopher, she removes herself to a convent and takes advice from Father </w:t>
      </w:r>
      <w:proofErr w:type="spellStart"/>
      <w:r w:rsidR="004C6FC2" w:rsidRPr="00FA377A">
        <w:rPr>
          <w:rFonts w:ascii="Times New Roman" w:hAnsi="Times New Roman" w:cs="Times New Roman"/>
        </w:rPr>
        <w:t>Consett</w:t>
      </w:r>
      <w:proofErr w:type="spellEnd"/>
      <w:r w:rsidR="004C6FC2" w:rsidRPr="00FA377A">
        <w:rPr>
          <w:rFonts w:ascii="Times New Roman" w:hAnsi="Times New Roman" w:cs="Times New Roman"/>
        </w:rPr>
        <w:t>, who advises her to reconcile</w:t>
      </w:r>
      <w:r w:rsidR="004C6FC2">
        <w:rPr>
          <w:rFonts w:ascii="Times New Roman" w:hAnsi="Times New Roman" w:cs="Times New Roman"/>
        </w:rPr>
        <w:t>. He</w:t>
      </w:r>
      <w:r w:rsidR="004C6FC2" w:rsidRPr="00FA377A">
        <w:rPr>
          <w:rFonts w:ascii="Times New Roman" w:hAnsi="Times New Roman" w:cs="Times New Roman"/>
        </w:rPr>
        <w:t xml:space="preserve"> is obliquely in her thoughts</w:t>
      </w:r>
      <w:r w:rsidR="004C6FC2">
        <w:rPr>
          <w:rFonts w:ascii="Times New Roman" w:hAnsi="Times New Roman" w:cs="Times New Roman"/>
        </w:rPr>
        <w:t xml:space="preserve"> at Rouen</w:t>
      </w:r>
      <w:r w:rsidR="004C6FC2" w:rsidRPr="00FA377A">
        <w:rPr>
          <w:rFonts w:ascii="Times New Roman" w:hAnsi="Times New Roman" w:cs="Times New Roman"/>
        </w:rPr>
        <w:t>. She inwardly demonstrates her attempts to reconcile with Christopher to him, thinking ‘You s</w:t>
      </w:r>
      <w:r w:rsidR="004C6FC2">
        <w:rPr>
          <w:rFonts w:ascii="Times New Roman" w:hAnsi="Times New Roman" w:cs="Times New Roman"/>
        </w:rPr>
        <w:t xml:space="preserve">ee father! . . . In his arms!’) </w:t>
      </w:r>
      <w:r w:rsidRPr="00FA377A">
        <w:rPr>
          <w:rFonts w:ascii="Times New Roman" w:hAnsi="Times New Roman" w:cs="Times New Roman"/>
        </w:rPr>
        <w:t xml:space="preserve">Ultimately, as Williams identifies, ‘Because </w:t>
      </w:r>
      <w:proofErr w:type="spellStart"/>
      <w:r w:rsidRPr="00FA377A">
        <w:rPr>
          <w:rFonts w:ascii="Times New Roman" w:hAnsi="Times New Roman" w:cs="Times New Roman"/>
        </w:rPr>
        <w:t>Tannhäuser</w:t>
      </w:r>
      <w:proofErr w:type="spellEnd"/>
      <w:r w:rsidRPr="00FA377A">
        <w:rPr>
          <w:rFonts w:ascii="Times New Roman" w:hAnsi="Times New Roman" w:cs="Times New Roman"/>
        </w:rPr>
        <w:t xml:space="preserve"> is unable to resolve his inner conflicts and his relationship with the social world, his life ends in apparent devastation.’</w:t>
      </w:r>
      <w:r w:rsidRPr="00FA377A">
        <w:rPr>
          <w:rStyle w:val="EndnoteReference"/>
          <w:rFonts w:ascii="Times New Roman" w:hAnsi="Times New Roman" w:cs="Times New Roman"/>
        </w:rPr>
        <w:endnoteReference w:id="56"/>
      </w:r>
      <w:r w:rsidRPr="00FA377A">
        <w:rPr>
          <w:rFonts w:ascii="Times New Roman" w:hAnsi="Times New Roman" w:cs="Times New Roman"/>
        </w:rPr>
        <w:t xml:space="preserve"> </w:t>
      </w:r>
      <w:r w:rsidR="004C6FC2">
        <w:rPr>
          <w:rFonts w:ascii="Times New Roman" w:hAnsi="Times New Roman" w:cs="Times New Roman"/>
        </w:rPr>
        <w:t>Sylvia’s</w:t>
      </w:r>
      <w:r w:rsidRPr="00FA377A">
        <w:rPr>
          <w:rFonts w:ascii="Times New Roman" w:hAnsi="Times New Roman" w:cs="Times New Roman"/>
        </w:rPr>
        <w:t xml:space="preserve"> cruel treatment of Christopher is designed to attract his attention, but it shows </w:t>
      </w:r>
      <w:r w:rsidR="004C6FC2">
        <w:rPr>
          <w:rFonts w:ascii="Times New Roman" w:hAnsi="Times New Roman" w:cs="Times New Roman"/>
        </w:rPr>
        <w:t xml:space="preserve">how </w:t>
      </w:r>
      <w:r w:rsidRPr="00FA377A">
        <w:rPr>
          <w:rFonts w:ascii="Times New Roman" w:hAnsi="Times New Roman" w:cs="Times New Roman"/>
        </w:rPr>
        <w:t xml:space="preserve">her desire is </w:t>
      </w:r>
      <w:r w:rsidR="004C6FC2">
        <w:rPr>
          <w:rFonts w:ascii="Times New Roman" w:hAnsi="Times New Roman" w:cs="Times New Roman"/>
        </w:rPr>
        <w:t xml:space="preserve">also unstable. She </w:t>
      </w:r>
      <w:r w:rsidRPr="00FA377A">
        <w:rPr>
          <w:rFonts w:ascii="Times New Roman" w:hAnsi="Times New Roman" w:cs="Times New Roman"/>
        </w:rPr>
        <w:t xml:space="preserve">makes a skewed value judgement about the relationship between her life and Wagner’s </w:t>
      </w:r>
      <w:proofErr w:type="spellStart"/>
      <w:r w:rsidRPr="00FA377A">
        <w:rPr>
          <w:rFonts w:ascii="Times New Roman" w:hAnsi="Times New Roman" w:cs="Times New Roman"/>
          <w:i/>
        </w:rPr>
        <w:t>Tannhäuser</w:t>
      </w:r>
      <w:proofErr w:type="spellEnd"/>
      <w:r w:rsidRPr="00FA377A">
        <w:rPr>
          <w:rFonts w:ascii="Times New Roman" w:hAnsi="Times New Roman" w:cs="Times New Roman"/>
        </w:rPr>
        <w:t>.</w:t>
      </w:r>
      <w:r w:rsidR="004C6FC2">
        <w:rPr>
          <w:rFonts w:ascii="Times New Roman" w:hAnsi="Times New Roman" w:cs="Times New Roman"/>
        </w:rPr>
        <w:t xml:space="preserve"> She</w:t>
      </w:r>
      <w:r w:rsidRPr="00FA377A">
        <w:rPr>
          <w:rFonts w:ascii="Times New Roman" w:hAnsi="Times New Roman" w:cs="Times New Roman"/>
        </w:rPr>
        <w:t xml:space="preserve"> misses the significance of the dichotomy and separate spheres of life that result in </w:t>
      </w:r>
      <w:proofErr w:type="spellStart"/>
      <w:r w:rsidRPr="00FA377A">
        <w:rPr>
          <w:rFonts w:ascii="Times New Roman" w:hAnsi="Times New Roman" w:cs="Times New Roman"/>
        </w:rPr>
        <w:t>Tannhäuser</w:t>
      </w:r>
      <w:proofErr w:type="spellEnd"/>
      <w:r w:rsidRPr="00FA377A">
        <w:rPr>
          <w:rFonts w:ascii="Times New Roman" w:hAnsi="Times New Roman" w:cs="Times New Roman"/>
        </w:rPr>
        <w:t xml:space="preserve"> being left entirely alone, and unsuccessfully tries to place herself as either Venus or Elisabeth. (This also </w:t>
      </w:r>
      <w:r>
        <w:rPr>
          <w:rFonts w:ascii="Times New Roman" w:hAnsi="Times New Roman" w:cs="Times New Roman"/>
        </w:rPr>
        <w:t>encourages critique of</w:t>
      </w:r>
      <w:r w:rsidRPr="00FA377A">
        <w:rPr>
          <w:rFonts w:ascii="Times New Roman" w:hAnsi="Times New Roman" w:cs="Times New Roman"/>
        </w:rPr>
        <w:t xml:space="preserve"> the limited range of female roles available in the opera: abandoned temptress-goddess or dead, pious mortal is a poor choice of characters with whom to identify.) </w:t>
      </w:r>
      <w:r w:rsidR="004C6FC2">
        <w:rPr>
          <w:rFonts w:ascii="Times New Roman" w:hAnsi="Times New Roman" w:cs="Times New Roman"/>
        </w:rPr>
        <w:t>As</w:t>
      </w:r>
      <w:r w:rsidR="004C6FC2" w:rsidRPr="00FA377A">
        <w:rPr>
          <w:rFonts w:ascii="Times New Roman" w:hAnsi="Times New Roman" w:cs="Times New Roman"/>
        </w:rPr>
        <w:t xml:space="preserve"> Koss notes, the kind of ‘psychological and emotional intoxication’ that Wagner aimed for could produce either positive or negative results</w:t>
      </w:r>
      <w:r w:rsidR="004C6FC2" w:rsidRPr="00FC4917">
        <w:rPr>
          <w:rFonts w:ascii="Times New Roman" w:hAnsi="Times New Roman" w:cs="Times New Roman"/>
        </w:rPr>
        <w:t>.</w:t>
      </w:r>
      <w:r w:rsidR="004C6FC2" w:rsidRPr="00FC4917">
        <w:rPr>
          <w:rStyle w:val="EndnoteReference"/>
          <w:rFonts w:ascii="Times New Roman" w:hAnsi="Times New Roman" w:cs="Times New Roman"/>
        </w:rPr>
        <w:endnoteReference w:id="57"/>
      </w:r>
      <w:r w:rsidR="004C6FC2">
        <w:rPr>
          <w:rFonts w:ascii="Times New Roman" w:hAnsi="Times New Roman" w:cs="Times New Roman"/>
        </w:rPr>
        <w:t xml:space="preserve"> </w:t>
      </w:r>
      <w:r w:rsidR="00C86676">
        <w:rPr>
          <w:rFonts w:ascii="Times New Roman" w:hAnsi="Times New Roman" w:cs="Times New Roman"/>
        </w:rPr>
        <w:t>Sylvia</w:t>
      </w:r>
      <w:r w:rsidRPr="00FA377A">
        <w:rPr>
          <w:rFonts w:ascii="Times New Roman" w:hAnsi="Times New Roman" w:cs="Times New Roman"/>
        </w:rPr>
        <w:t xml:space="preserve"> replicates </w:t>
      </w:r>
      <w:proofErr w:type="spellStart"/>
      <w:r w:rsidRPr="00FA377A">
        <w:rPr>
          <w:rFonts w:ascii="Times New Roman" w:hAnsi="Times New Roman" w:cs="Times New Roman"/>
        </w:rPr>
        <w:t>Tannhäuser’s</w:t>
      </w:r>
      <w:proofErr w:type="spellEnd"/>
      <w:r w:rsidRPr="00FA377A">
        <w:rPr>
          <w:rFonts w:ascii="Times New Roman" w:hAnsi="Times New Roman" w:cs="Times New Roman"/>
        </w:rPr>
        <w:t xml:space="preserve"> lack of self-knowledge, rather than coming to a greater understanding of herself through the music, so that the effect of her engagement with the music does not fulfil Wagner’s ambitions for opera’s positive social functions.</w:t>
      </w:r>
      <w:r w:rsidR="004C6FC2">
        <w:rPr>
          <w:rFonts w:ascii="Times New Roman" w:hAnsi="Times New Roman" w:cs="Times New Roman"/>
        </w:rPr>
        <w:t xml:space="preserve"> </w:t>
      </w:r>
      <w:r w:rsidR="00C86676">
        <w:rPr>
          <w:rFonts w:ascii="Times New Roman" w:hAnsi="Times New Roman" w:cs="Times New Roman"/>
        </w:rPr>
        <w:t xml:space="preserve">She </w:t>
      </w:r>
      <w:r w:rsidR="00C86676" w:rsidRPr="00FA377A">
        <w:rPr>
          <w:rFonts w:ascii="Times New Roman" w:hAnsi="Times New Roman" w:cs="Times New Roman"/>
        </w:rPr>
        <w:t xml:space="preserve">continues to be unable to express her love as love, and remains unhappy. </w:t>
      </w:r>
    </w:p>
    <w:p w14:paraId="6643378F" w14:textId="674643ED" w:rsidR="00B74C46" w:rsidRDefault="00B74C46" w:rsidP="00B352AA">
      <w:pPr>
        <w:spacing w:line="360" w:lineRule="auto"/>
        <w:rPr>
          <w:rFonts w:ascii="Times New Roman" w:hAnsi="Times New Roman" w:cs="Times New Roman"/>
        </w:rPr>
      </w:pPr>
      <w:r w:rsidRPr="00FA377A">
        <w:rPr>
          <w:rFonts w:ascii="Times New Roman" w:hAnsi="Times New Roman" w:cs="Times New Roman"/>
        </w:rPr>
        <w:tab/>
        <w:t>There is material from Ford’s own experiences to suggest that before the First World War, he registered the need for a change: either in music itself, or critical approaches to it. He enrolled on a course at ‘one of the British royal institutions for education in music’ but quickly abandoned his studies.</w:t>
      </w:r>
      <w:r w:rsidRPr="00FA377A">
        <w:rPr>
          <w:rStyle w:val="EndnoteReference"/>
          <w:rFonts w:ascii="Times New Roman" w:hAnsi="Times New Roman" w:cs="Times New Roman"/>
        </w:rPr>
        <w:endnoteReference w:id="58"/>
      </w:r>
      <w:r w:rsidRPr="00FA377A">
        <w:rPr>
          <w:rFonts w:ascii="Times New Roman" w:hAnsi="Times New Roman" w:cs="Times New Roman"/>
        </w:rPr>
        <w:t xml:space="preserve"> There were two reasons for this. Firstly, he only wanted to study composition, but he was also expected to study the piano, which he described as ‘the most soulless of instruments’ pointing further to an emotional distance from the piano.</w:t>
      </w:r>
      <w:r w:rsidRPr="00FA377A">
        <w:rPr>
          <w:rStyle w:val="EndnoteReference"/>
          <w:rFonts w:ascii="Times New Roman" w:hAnsi="Times New Roman" w:cs="Times New Roman"/>
        </w:rPr>
        <w:endnoteReference w:id="59"/>
      </w:r>
      <w:r w:rsidRPr="00FA377A">
        <w:rPr>
          <w:rFonts w:ascii="Times New Roman" w:hAnsi="Times New Roman" w:cs="Times New Roman"/>
        </w:rPr>
        <w:t xml:space="preserve"> Secondly, after witnessing the ‘acridities’ of musicians he had met through his father, he decided that there must be something ‘so unbalancing in a musical career’ that he could not pursue it.</w:t>
      </w:r>
      <w:r w:rsidRPr="00FA377A">
        <w:rPr>
          <w:rStyle w:val="EndnoteReference"/>
          <w:rFonts w:ascii="Times New Roman" w:hAnsi="Times New Roman" w:cs="Times New Roman"/>
        </w:rPr>
        <w:endnoteReference w:id="60"/>
      </w:r>
      <w:r w:rsidRPr="00FA377A">
        <w:rPr>
          <w:rFonts w:ascii="Times New Roman" w:hAnsi="Times New Roman" w:cs="Times New Roman"/>
        </w:rPr>
        <w:t xml:space="preserve"> Still, Ford thought music very important: in the ‘Music and Masters’ chapter of </w:t>
      </w:r>
      <w:r w:rsidRPr="00FA377A">
        <w:rPr>
          <w:rFonts w:ascii="Times New Roman" w:hAnsi="Times New Roman" w:cs="Times New Roman"/>
          <w:i/>
        </w:rPr>
        <w:t>Ancient Lights</w:t>
      </w:r>
      <w:r w:rsidRPr="00FA377A">
        <w:rPr>
          <w:rFonts w:ascii="Times New Roman" w:hAnsi="Times New Roman" w:cs="Times New Roman"/>
        </w:rPr>
        <w:t xml:space="preserve"> Ford expresses disappointment at the diminishing passion for and understanding of music among the general public. The significance of this diminis</w:t>
      </w:r>
      <w:r w:rsidR="006912E3">
        <w:rPr>
          <w:rFonts w:ascii="Times New Roman" w:hAnsi="Times New Roman" w:cs="Times New Roman"/>
        </w:rPr>
        <w:t>hing understanding of music is</w:t>
      </w:r>
      <w:r w:rsidRPr="00FA377A">
        <w:rPr>
          <w:rFonts w:ascii="Times New Roman" w:hAnsi="Times New Roman" w:cs="Times New Roman"/>
        </w:rPr>
        <w:t xml:space="preserve"> demonstrated in Sylvia’s limited surface engagement with </w:t>
      </w:r>
      <w:proofErr w:type="spellStart"/>
      <w:r w:rsidRPr="00FA377A">
        <w:rPr>
          <w:rFonts w:ascii="Times New Roman" w:hAnsi="Times New Roman" w:cs="Times New Roman"/>
          <w:i/>
        </w:rPr>
        <w:t>Tannhäuser</w:t>
      </w:r>
      <w:proofErr w:type="spellEnd"/>
      <w:r w:rsidRPr="00FA377A">
        <w:rPr>
          <w:rFonts w:ascii="Times New Roman" w:hAnsi="Times New Roman" w:cs="Times New Roman"/>
        </w:rPr>
        <w:t>.</w:t>
      </w:r>
      <w:r w:rsidR="00C86676">
        <w:rPr>
          <w:rFonts w:ascii="Times New Roman" w:hAnsi="Times New Roman" w:cs="Times New Roman"/>
        </w:rPr>
        <w:t xml:space="preserve"> Like</w:t>
      </w:r>
      <w:r w:rsidR="00C86676" w:rsidRPr="007C36AE">
        <w:rPr>
          <w:rFonts w:ascii="Times New Roman" w:hAnsi="Times New Roman" w:cs="Times New Roman"/>
        </w:rPr>
        <w:t xml:space="preserve"> </w:t>
      </w:r>
      <w:proofErr w:type="spellStart"/>
      <w:r w:rsidR="00C86676" w:rsidRPr="007C36AE">
        <w:rPr>
          <w:rFonts w:ascii="Times New Roman" w:hAnsi="Times New Roman" w:cs="Times New Roman"/>
        </w:rPr>
        <w:t>Tietjens</w:t>
      </w:r>
      <w:proofErr w:type="spellEnd"/>
      <w:r w:rsidR="00C86676" w:rsidRPr="007C36AE">
        <w:rPr>
          <w:rFonts w:ascii="Times New Roman" w:hAnsi="Times New Roman" w:cs="Times New Roman"/>
        </w:rPr>
        <w:t xml:space="preserve">, </w:t>
      </w:r>
      <w:r w:rsidR="00C86676">
        <w:rPr>
          <w:rFonts w:ascii="Times New Roman" w:hAnsi="Times New Roman" w:cs="Times New Roman"/>
        </w:rPr>
        <w:t xml:space="preserve">Sylvia </w:t>
      </w:r>
      <w:r w:rsidR="00C86676" w:rsidRPr="007C36AE">
        <w:rPr>
          <w:rFonts w:ascii="Times New Roman" w:hAnsi="Times New Roman" w:cs="Times New Roman"/>
        </w:rPr>
        <w:t xml:space="preserve">belongs to an era that is disappearing: her aristocratic elegance is associated with an older form of beauty compared with Valentine, who (although from an ancient family) is more modern: she is a suffragette and instead of a domestic or </w:t>
      </w:r>
      <w:r w:rsidR="00C86676" w:rsidRPr="007C36AE">
        <w:rPr>
          <w:rFonts w:ascii="Times New Roman" w:hAnsi="Times New Roman" w:cs="Times New Roman"/>
        </w:rPr>
        <w:lastRenderedPageBreak/>
        <w:t>sedentary lifestyle she is physically active and works as a sports teacher.</w:t>
      </w:r>
      <w:r w:rsidR="00C86676" w:rsidRPr="00495DF3">
        <w:rPr>
          <w:rStyle w:val="EndnoteReference"/>
          <w:rFonts w:cs="Times New Roman"/>
        </w:rPr>
        <w:t xml:space="preserve"> </w:t>
      </w:r>
      <w:r w:rsidR="00C86676">
        <w:rPr>
          <w:rStyle w:val="EndnoteReference"/>
          <w:rFonts w:cs="Times New Roman"/>
        </w:rPr>
        <w:endnoteReference w:id="61"/>
      </w:r>
      <w:r w:rsidR="00C86676" w:rsidRPr="007C36AE">
        <w:rPr>
          <w:rFonts w:ascii="Times New Roman" w:hAnsi="Times New Roman" w:cs="Times New Roman"/>
        </w:rPr>
        <w:t xml:space="preserve"> Sylvia’s</w:t>
      </w:r>
      <w:r w:rsidR="00C86676" w:rsidRPr="00FA377A">
        <w:rPr>
          <w:rFonts w:ascii="Times New Roman" w:hAnsi="Times New Roman" w:cs="Times New Roman"/>
        </w:rPr>
        <w:t xml:space="preserve"> inability to decipher </w:t>
      </w:r>
      <w:proofErr w:type="spellStart"/>
      <w:r w:rsidR="00C86676" w:rsidRPr="00FA377A">
        <w:rPr>
          <w:rFonts w:ascii="Times New Roman" w:hAnsi="Times New Roman" w:cs="Times New Roman"/>
          <w:i/>
        </w:rPr>
        <w:t>Tannhäuser</w:t>
      </w:r>
      <w:proofErr w:type="spellEnd"/>
      <w:r w:rsidR="00C86676" w:rsidRPr="00FA377A">
        <w:rPr>
          <w:rFonts w:ascii="Times New Roman" w:hAnsi="Times New Roman" w:cs="Times New Roman"/>
        </w:rPr>
        <w:t xml:space="preserve"> in a way that provides her with a better understanding of her situation says much about the capacity of the late nineteenth-century subject, whom for Ford is complicit in the problems of the early twentieth century.</w:t>
      </w:r>
      <w:r w:rsidR="00C86676">
        <w:rPr>
          <w:rFonts w:ascii="Times New Roman" w:hAnsi="Times New Roman" w:cs="Times New Roman"/>
        </w:rPr>
        <w:t xml:space="preserve"> </w:t>
      </w:r>
    </w:p>
    <w:p w14:paraId="4FC34CA7" w14:textId="77777777" w:rsidR="00946063" w:rsidRDefault="00946063" w:rsidP="00B352AA">
      <w:pPr>
        <w:spacing w:line="360" w:lineRule="auto"/>
        <w:rPr>
          <w:rFonts w:ascii="Times New Roman" w:hAnsi="Times New Roman" w:cs="Times New Roman"/>
        </w:rPr>
      </w:pPr>
    </w:p>
    <w:p w14:paraId="451EF5AA" w14:textId="77777777" w:rsidR="00946063" w:rsidRPr="00FA377A" w:rsidRDefault="00946063" w:rsidP="00946063">
      <w:pPr>
        <w:spacing w:line="360" w:lineRule="auto"/>
        <w:jc w:val="center"/>
        <w:rPr>
          <w:rFonts w:ascii="Times New Roman" w:hAnsi="Times New Roman" w:cs="Times New Roman"/>
          <w:lang w:val="en-US"/>
        </w:rPr>
      </w:pPr>
      <w:r w:rsidRPr="00FA377A">
        <w:rPr>
          <w:rFonts w:ascii="Times New Roman" w:hAnsi="Times New Roman" w:cs="Times New Roman"/>
          <w:lang w:val="en-US"/>
        </w:rPr>
        <w:t>***</w:t>
      </w:r>
    </w:p>
    <w:p w14:paraId="7808E576" w14:textId="77777777" w:rsidR="00946063" w:rsidRPr="00C86676" w:rsidRDefault="00946063" w:rsidP="00B352AA">
      <w:pPr>
        <w:spacing w:line="360" w:lineRule="auto"/>
        <w:rPr>
          <w:rFonts w:ascii="Times New Roman" w:hAnsi="Times New Roman" w:cs="Times New Roman"/>
        </w:rPr>
      </w:pPr>
    </w:p>
    <w:p w14:paraId="3BB75692" w14:textId="11EA5853"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t xml:space="preserve">Ford’s writing can and should be linked with a shift in musical culture occurring at start of the twentieth century. This shift has been comprehensively noted by Epstein’s </w:t>
      </w:r>
      <w:r w:rsidRPr="00FA377A">
        <w:rPr>
          <w:rFonts w:ascii="Times New Roman" w:hAnsi="Times New Roman" w:cs="Times New Roman"/>
          <w:i/>
        </w:rPr>
        <w:t>Sublime Noise</w:t>
      </w:r>
      <w:r w:rsidRPr="00FA377A">
        <w:rPr>
          <w:rFonts w:ascii="Times New Roman" w:hAnsi="Times New Roman" w:cs="Times New Roman"/>
        </w:rPr>
        <w:t xml:space="preserve">. Citing composers such as Arnold Schoenberg, Alban Berg, Igor Stravinsky, and the appearance of ‘noise’ in Dadaist sound poetry, as well as Luigi </w:t>
      </w:r>
      <w:proofErr w:type="spellStart"/>
      <w:r w:rsidRPr="00FA377A">
        <w:rPr>
          <w:rFonts w:ascii="Times New Roman" w:hAnsi="Times New Roman" w:cs="Times New Roman"/>
        </w:rPr>
        <w:t>Russolo’s</w:t>
      </w:r>
      <w:proofErr w:type="spellEnd"/>
      <w:r w:rsidRPr="00FA377A">
        <w:rPr>
          <w:rFonts w:ascii="Times New Roman" w:hAnsi="Times New Roman" w:cs="Times New Roman"/>
        </w:rPr>
        <w:t xml:space="preserve"> </w:t>
      </w:r>
      <w:r w:rsidRPr="00FA377A">
        <w:rPr>
          <w:rFonts w:ascii="Times New Roman" w:hAnsi="Times New Roman" w:cs="Times New Roman"/>
          <w:i/>
        </w:rPr>
        <w:t>Art of Noises</w:t>
      </w:r>
      <w:r w:rsidRPr="00FA377A">
        <w:rPr>
          <w:rFonts w:ascii="Times New Roman" w:hAnsi="Times New Roman" w:cs="Times New Roman"/>
        </w:rPr>
        <w:t xml:space="preserve">, and the reproduction of mechanical sounds in George Antheil’s ‘Ballet </w:t>
      </w:r>
      <w:proofErr w:type="spellStart"/>
      <w:r w:rsidRPr="00FA377A">
        <w:rPr>
          <w:rFonts w:ascii="Times New Roman" w:hAnsi="Times New Roman" w:cs="Times New Roman"/>
        </w:rPr>
        <w:t>Mechanique</w:t>
      </w:r>
      <w:proofErr w:type="spellEnd"/>
      <w:r w:rsidRPr="00FA377A">
        <w:rPr>
          <w:rFonts w:ascii="Times New Roman" w:hAnsi="Times New Roman" w:cs="Times New Roman"/>
        </w:rPr>
        <w:t>’, Epstein comments that ‘For these composers, and for the writers listening to them, it became a principal project of modern art to figure out what would “count” as music or noise, and what was aesthetically or culturally at stak</w:t>
      </w:r>
      <w:r w:rsidR="00A20220">
        <w:rPr>
          <w:rFonts w:ascii="Times New Roman" w:hAnsi="Times New Roman" w:cs="Times New Roman"/>
        </w:rPr>
        <w:t>e in pressing that question.</w:t>
      </w:r>
      <w:r w:rsidRPr="00FA377A">
        <w:rPr>
          <w:rFonts w:ascii="Times New Roman" w:hAnsi="Times New Roman" w:cs="Times New Roman"/>
        </w:rPr>
        <w:t>’</w:t>
      </w:r>
      <w:r w:rsidRPr="00FA377A">
        <w:rPr>
          <w:rStyle w:val="EndnoteReference"/>
          <w:rFonts w:ascii="Times New Roman" w:hAnsi="Times New Roman" w:cs="Times New Roman"/>
        </w:rPr>
        <w:endnoteReference w:id="62"/>
      </w:r>
      <w:r w:rsidRPr="00FA377A">
        <w:rPr>
          <w:rFonts w:ascii="Times New Roman" w:hAnsi="Times New Roman" w:cs="Times New Roman"/>
        </w:rPr>
        <w:t xml:space="preserve"> </w:t>
      </w:r>
      <w:r w:rsidR="00C9172D">
        <w:rPr>
          <w:rFonts w:ascii="Times New Roman" w:hAnsi="Times New Roman" w:cs="Times New Roman"/>
        </w:rPr>
        <w:t xml:space="preserve">Understandings of music were shifting, and </w:t>
      </w:r>
      <w:r w:rsidRPr="00FA377A">
        <w:rPr>
          <w:rFonts w:ascii="Times New Roman" w:hAnsi="Times New Roman" w:cs="Times New Roman"/>
        </w:rPr>
        <w:t>Ford</w:t>
      </w:r>
      <w:r w:rsidR="00A20220">
        <w:rPr>
          <w:rFonts w:ascii="Times New Roman" w:hAnsi="Times New Roman" w:cs="Times New Roman"/>
        </w:rPr>
        <w:t xml:space="preserve"> </w:t>
      </w:r>
      <w:r w:rsidR="00C9172D">
        <w:rPr>
          <w:rFonts w:ascii="Times New Roman" w:hAnsi="Times New Roman" w:cs="Times New Roman"/>
        </w:rPr>
        <w:t>takes part in this discussion by showing</w:t>
      </w:r>
      <w:r w:rsidR="00A20220">
        <w:rPr>
          <w:rFonts w:ascii="Times New Roman" w:hAnsi="Times New Roman" w:cs="Times New Roman"/>
        </w:rPr>
        <w:t xml:space="preserve"> that Sylvia cannot usefull</w:t>
      </w:r>
      <w:r w:rsidR="001E4525">
        <w:rPr>
          <w:rFonts w:ascii="Times New Roman" w:hAnsi="Times New Roman" w:cs="Times New Roman"/>
        </w:rPr>
        <w:t>y</w:t>
      </w:r>
      <w:r w:rsidR="00A20220">
        <w:rPr>
          <w:rFonts w:ascii="Times New Roman" w:hAnsi="Times New Roman" w:cs="Times New Roman"/>
        </w:rPr>
        <w:t xml:space="preserve"> engage with the music of the previous century,</w:t>
      </w:r>
      <w:r w:rsidR="00C9172D">
        <w:rPr>
          <w:rFonts w:ascii="Times New Roman" w:hAnsi="Times New Roman" w:cs="Times New Roman"/>
        </w:rPr>
        <w:t xml:space="preserve"> echoing </w:t>
      </w:r>
      <w:proofErr w:type="spellStart"/>
      <w:r w:rsidR="00C9172D">
        <w:rPr>
          <w:rFonts w:ascii="Times New Roman" w:hAnsi="Times New Roman" w:cs="Times New Roman"/>
        </w:rPr>
        <w:t>Seigfried</w:t>
      </w:r>
      <w:proofErr w:type="spellEnd"/>
      <w:r w:rsidR="00C9172D">
        <w:rPr>
          <w:rFonts w:ascii="Times New Roman" w:hAnsi="Times New Roman" w:cs="Times New Roman"/>
        </w:rPr>
        <w:t xml:space="preserve"> Sassoon’s poem</w:t>
      </w:r>
      <w:r w:rsidR="00A20220">
        <w:rPr>
          <w:rFonts w:ascii="Times New Roman" w:hAnsi="Times New Roman" w:cs="Times New Roman"/>
        </w:rPr>
        <w:t xml:space="preserve"> </w:t>
      </w:r>
      <w:r w:rsidR="00D86887">
        <w:rPr>
          <w:rFonts w:ascii="Times New Roman" w:hAnsi="Times New Roman" w:cs="Times New Roman"/>
        </w:rPr>
        <w:t>‘Dead Musicia</w:t>
      </w:r>
      <w:r w:rsidR="00C9172D">
        <w:rPr>
          <w:rFonts w:ascii="Times New Roman" w:hAnsi="Times New Roman" w:cs="Times New Roman"/>
        </w:rPr>
        <w:t xml:space="preserve">ns’ in which he laments </w:t>
      </w:r>
      <w:r w:rsidR="00E13890">
        <w:rPr>
          <w:rFonts w:ascii="Times New Roman" w:hAnsi="Times New Roman" w:cs="Times New Roman"/>
        </w:rPr>
        <w:t>that the music</w:t>
      </w:r>
      <w:r w:rsidR="00C9172D">
        <w:rPr>
          <w:rFonts w:ascii="Times New Roman" w:hAnsi="Times New Roman" w:cs="Times New Roman"/>
        </w:rPr>
        <w:t xml:space="preserve"> ‘Beethoven, Mozart, Bach’ no longer speaks to him: ‘Your fugues and symphonies have brought / No memory of my friends who died.’</w:t>
      </w:r>
      <w:r w:rsidR="00C9172D">
        <w:rPr>
          <w:rStyle w:val="EndnoteReference"/>
          <w:rFonts w:cs="Times New Roman"/>
        </w:rPr>
        <w:endnoteReference w:id="63"/>
      </w:r>
      <w:r w:rsidR="00C9172D">
        <w:rPr>
          <w:rFonts w:ascii="Times New Roman" w:hAnsi="Times New Roman" w:cs="Times New Roman"/>
        </w:rPr>
        <w:t xml:space="preserve"> </w:t>
      </w:r>
      <w:r w:rsidR="00EB6EB8">
        <w:rPr>
          <w:rFonts w:ascii="Times New Roman" w:hAnsi="Times New Roman" w:cs="Times New Roman"/>
        </w:rPr>
        <w:t>By</w:t>
      </w:r>
      <w:r w:rsidR="00A20220">
        <w:rPr>
          <w:rFonts w:ascii="Times New Roman" w:hAnsi="Times New Roman" w:cs="Times New Roman"/>
        </w:rPr>
        <w:t xml:space="preserve"> placing </w:t>
      </w:r>
      <w:r w:rsidR="00E0451A">
        <w:rPr>
          <w:rFonts w:ascii="Times New Roman" w:hAnsi="Times New Roman" w:cs="Times New Roman"/>
        </w:rPr>
        <w:t>Sylvia’s</w:t>
      </w:r>
      <w:r w:rsidR="00A20220">
        <w:rPr>
          <w:rFonts w:ascii="Times New Roman" w:hAnsi="Times New Roman" w:cs="Times New Roman"/>
        </w:rPr>
        <w:t xml:space="preserve"> </w:t>
      </w:r>
      <w:r w:rsidR="00E0451A">
        <w:rPr>
          <w:rFonts w:ascii="Times New Roman" w:hAnsi="Times New Roman" w:cs="Times New Roman"/>
        </w:rPr>
        <w:t>(</w:t>
      </w:r>
      <w:proofErr w:type="spellStart"/>
      <w:r w:rsidR="00A20220">
        <w:rPr>
          <w:rFonts w:ascii="Times New Roman" w:hAnsi="Times New Roman" w:cs="Times New Roman"/>
        </w:rPr>
        <w:t>mis</w:t>
      </w:r>
      <w:proofErr w:type="spellEnd"/>
      <w:r w:rsidR="00E0451A">
        <w:rPr>
          <w:rFonts w:ascii="Times New Roman" w:hAnsi="Times New Roman" w:cs="Times New Roman"/>
        </w:rPr>
        <w:t>)</w:t>
      </w:r>
      <w:r w:rsidR="00A20220">
        <w:rPr>
          <w:rFonts w:ascii="Times New Roman" w:hAnsi="Times New Roman" w:cs="Times New Roman"/>
        </w:rPr>
        <w:t>interpretation</w:t>
      </w:r>
      <w:r w:rsidR="001E4525">
        <w:rPr>
          <w:rFonts w:ascii="Times New Roman" w:hAnsi="Times New Roman" w:cs="Times New Roman"/>
        </w:rPr>
        <w:t xml:space="preserve"> of </w:t>
      </w:r>
      <w:proofErr w:type="spellStart"/>
      <w:r w:rsidR="001E4525">
        <w:rPr>
          <w:rFonts w:ascii="Times New Roman" w:hAnsi="Times New Roman" w:cs="Times New Roman"/>
          <w:i/>
        </w:rPr>
        <w:t>Tannhäuser</w:t>
      </w:r>
      <w:proofErr w:type="spellEnd"/>
      <w:r w:rsidR="00A20220">
        <w:rPr>
          <w:rFonts w:ascii="Times New Roman" w:hAnsi="Times New Roman" w:cs="Times New Roman"/>
        </w:rPr>
        <w:t xml:space="preserve"> in close proximity to the </w:t>
      </w:r>
      <w:r w:rsidR="00EB6EB8">
        <w:rPr>
          <w:rFonts w:ascii="Times New Roman" w:hAnsi="Times New Roman" w:cs="Times New Roman"/>
        </w:rPr>
        <w:t>front line</w:t>
      </w:r>
      <w:r w:rsidR="00A20220">
        <w:rPr>
          <w:rFonts w:ascii="Times New Roman" w:hAnsi="Times New Roman" w:cs="Times New Roman"/>
        </w:rPr>
        <w:t xml:space="preserve">, </w:t>
      </w:r>
      <w:r w:rsidR="00EB6EB8">
        <w:rPr>
          <w:rFonts w:ascii="Times New Roman" w:hAnsi="Times New Roman" w:cs="Times New Roman"/>
        </w:rPr>
        <w:t>Ford</w:t>
      </w:r>
      <w:r w:rsidR="00A20220">
        <w:rPr>
          <w:rFonts w:ascii="Times New Roman" w:hAnsi="Times New Roman" w:cs="Times New Roman"/>
        </w:rPr>
        <w:t xml:space="preserve"> </w:t>
      </w:r>
      <w:r w:rsidR="00EB6EB8">
        <w:rPr>
          <w:rFonts w:ascii="Times New Roman" w:hAnsi="Times New Roman" w:cs="Times New Roman"/>
        </w:rPr>
        <w:t xml:space="preserve">puts music and the war </w:t>
      </w:r>
      <w:r w:rsidR="00C9172D">
        <w:rPr>
          <w:rFonts w:ascii="Times New Roman" w:hAnsi="Times New Roman" w:cs="Times New Roman"/>
        </w:rPr>
        <w:t>in dialogue and highlights</w:t>
      </w:r>
      <w:r w:rsidR="00A20220">
        <w:rPr>
          <w:rFonts w:ascii="Times New Roman" w:hAnsi="Times New Roman" w:cs="Times New Roman"/>
        </w:rPr>
        <w:t xml:space="preserve"> that th</w:t>
      </w:r>
      <w:r w:rsidR="000A18E4">
        <w:rPr>
          <w:rFonts w:ascii="Times New Roman" w:hAnsi="Times New Roman" w:cs="Times New Roman"/>
        </w:rPr>
        <w:t>e art of the ninete</w:t>
      </w:r>
      <w:r w:rsidR="00A20220">
        <w:rPr>
          <w:rFonts w:ascii="Times New Roman" w:hAnsi="Times New Roman" w:cs="Times New Roman"/>
        </w:rPr>
        <w:t xml:space="preserve">enth-century </w:t>
      </w:r>
      <w:r w:rsidR="00EB6EB8">
        <w:rPr>
          <w:rFonts w:ascii="Times New Roman" w:hAnsi="Times New Roman" w:cs="Times New Roman"/>
        </w:rPr>
        <w:t xml:space="preserve">no longer speaks to contemporary experience, and </w:t>
      </w:r>
      <w:r w:rsidR="00A20220">
        <w:rPr>
          <w:rFonts w:ascii="Times New Roman" w:hAnsi="Times New Roman" w:cs="Times New Roman"/>
        </w:rPr>
        <w:t>has failed to produce in a world in which people can understand each other</w:t>
      </w:r>
      <w:r w:rsidR="001E4525">
        <w:rPr>
          <w:rFonts w:ascii="Times New Roman" w:hAnsi="Times New Roman" w:cs="Times New Roman"/>
        </w:rPr>
        <w:t>:</w:t>
      </w:r>
      <w:r w:rsidR="00A20220">
        <w:rPr>
          <w:rFonts w:ascii="Times New Roman" w:hAnsi="Times New Roman" w:cs="Times New Roman"/>
        </w:rPr>
        <w:t xml:space="preserve"> instead</w:t>
      </w:r>
      <w:r w:rsidR="001E4525">
        <w:rPr>
          <w:rFonts w:ascii="Times New Roman" w:hAnsi="Times New Roman" w:cs="Times New Roman"/>
        </w:rPr>
        <w:t xml:space="preserve">, the nineteenth-century’s legacy is </w:t>
      </w:r>
      <w:r w:rsidR="00A20220">
        <w:rPr>
          <w:rFonts w:ascii="Times New Roman" w:hAnsi="Times New Roman" w:cs="Times New Roman"/>
        </w:rPr>
        <w:t>violence, misunderstanding and inadequate communication. Ford</w:t>
      </w:r>
      <w:r w:rsidRPr="00FA377A">
        <w:rPr>
          <w:rFonts w:ascii="Times New Roman" w:hAnsi="Times New Roman" w:cs="Times New Roman"/>
        </w:rPr>
        <w:t xml:space="preserve">’s writing </w:t>
      </w:r>
      <w:r w:rsidR="00A20220">
        <w:rPr>
          <w:rFonts w:ascii="Times New Roman" w:hAnsi="Times New Roman" w:cs="Times New Roman"/>
        </w:rPr>
        <w:t xml:space="preserve">also </w:t>
      </w:r>
      <w:r w:rsidRPr="00FA377A">
        <w:rPr>
          <w:rFonts w:ascii="Times New Roman" w:hAnsi="Times New Roman" w:cs="Times New Roman"/>
        </w:rPr>
        <w:t xml:space="preserve">extends Epstein’s argument about how artistic production is registering the impact of modernity by exploring how the war forces a reconsideration of the demarcation line between sound and music. </w:t>
      </w:r>
    </w:p>
    <w:p w14:paraId="20EF3507" w14:textId="75E1B480" w:rsidR="00B74C46" w:rsidRPr="00FA377A" w:rsidRDefault="00B74C46" w:rsidP="00946063">
      <w:pPr>
        <w:spacing w:line="360" w:lineRule="auto"/>
        <w:ind w:firstLine="720"/>
        <w:rPr>
          <w:rFonts w:ascii="Times New Roman" w:hAnsi="Times New Roman" w:cs="Times New Roman"/>
        </w:rPr>
      </w:pPr>
      <w:r w:rsidRPr="00FA377A">
        <w:rPr>
          <w:rFonts w:ascii="Times New Roman" w:hAnsi="Times New Roman" w:cs="Times New Roman"/>
        </w:rPr>
        <w:t xml:space="preserve">Ford’s first-hand experience of the First World War informed </w:t>
      </w:r>
      <w:r w:rsidRPr="00FA377A">
        <w:rPr>
          <w:rFonts w:ascii="Times New Roman" w:hAnsi="Times New Roman" w:cs="Times New Roman"/>
          <w:i/>
        </w:rPr>
        <w:t>Parade’s End</w:t>
      </w:r>
      <w:r w:rsidRPr="00FA377A">
        <w:rPr>
          <w:rFonts w:ascii="Times New Roman" w:hAnsi="Times New Roman" w:cs="Times New Roman"/>
        </w:rPr>
        <w:t>.</w:t>
      </w:r>
      <w:r w:rsidRPr="00FA377A">
        <w:rPr>
          <w:rStyle w:val="EndnoteReference"/>
          <w:rFonts w:ascii="Times New Roman" w:hAnsi="Times New Roman" w:cs="Times New Roman"/>
        </w:rPr>
        <w:endnoteReference w:id="64"/>
      </w:r>
      <w:r w:rsidRPr="00FA377A">
        <w:rPr>
          <w:rFonts w:ascii="Times New Roman" w:hAnsi="Times New Roman" w:cs="Times New Roman"/>
        </w:rPr>
        <w:t xml:space="preserve"> The centrality of sound to his wartime experiences is clear from his letters and post-war writing, where references to sound appear alongside the more frequently investigated themes of sight and memory. In </w:t>
      </w:r>
      <w:r w:rsidRPr="00FA377A">
        <w:rPr>
          <w:rFonts w:ascii="Times New Roman" w:hAnsi="Times New Roman" w:cs="Times New Roman"/>
          <w:i/>
        </w:rPr>
        <w:t>The Marsden Case</w:t>
      </w:r>
      <w:r w:rsidRPr="00FA377A">
        <w:rPr>
          <w:rFonts w:ascii="Times New Roman" w:hAnsi="Times New Roman" w:cs="Times New Roman"/>
        </w:rPr>
        <w:t xml:space="preserve"> (1923) Ford writes of the desire to ‘wipe out of my mind every sight that I saw, every sound that I heard, every memory in my brain’: ‘the eyes, the ears, the brain and the fibres of every soul […] have been profoundly seared by those dreadful </w:t>
      </w:r>
      <w:proofErr w:type="spellStart"/>
      <w:r w:rsidRPr="00FA377A">
        <w:rPr>
          <w:rFonts w:ascii="Times New Roman" w:hAnsi="Times New Roman" w:cs="Times New Roman"/>
        </w:rPr>
        <w:t>wickednesses</w:t>
      </w:r>
      <w:proofErr w:type="spellEnd"/>
      <w:r w:rsidRPr="00FA377A">
        <w:rPr>
          <w:rFonts w:ascii="Times New Roman" w:hAnsi="Times New Roman" w:cs="Times New Roman"/>
        </w:rPr>
        <w:t xml:space="preserve"> of embattled humanity.’</w:t>
      </w:r>
      <w:r w:rsidRPr="00FA377A">
        <w:rPr>
          <w:rStyle w:val="EndnoteReference"/>
          <w:rFonts w:ascii="Times New Roman" w:hAnsi="Times New Roman" w:cs="Times New Roman"/>
        </w:rPr>
        <w:endnoteReference w:id="65"/>
      </w:r>
      <w:r w:rsidRPr="00FA377A">
        <w:rPr>
          <w:rFonts w:ascii="Times New Roman" w:hAnsi="Times New Roman" w:cs="Times New Roman"/>
        </w:rPr>
        <w:t xml:space="preserve"> Sound is as central here as the visual and mental impact of war. The ears are listed with the eyes and brain as the key receptors of </w:t>
      </w:r>
      <w:r w:rsidRPr="00FA377A">
        <w:rPr>
          <w:rFonts w:ascii="Times New Roman" w:hAnsi="Times New Roman" w:cs="Times New Roman"/>
        </w:rPr>
        <w:lastRenderedPageBreak/>
        <w:t>sensory onslaughts during the war.</w:t>
      </w:r>
      <w:r w:rsidR="00973038">
        <w:rPr>
          <w:rFonts w:ascii="Times New Roman" w:hAnsi="Times New Roman" w:cs="Times New Roman"/>
        </w:rPr>
        <w:t xml:space="preserve"> For Sara Haslam, this means that ‘we need to refocus attention on the ways that the experience of war, and therefore the development of modernism, were mediated through sound.’</w:t>
      </w:r>
      <w:r w:rsidR="00973038">
        <w:rPr>
          <w:rStyle w:val="EndnoteReference"/>
          <w:rFonts w:cs="Times New Roman"/>
        </w:rPr>
        <w:endnoteReference w:id="66"/>
      </w:r>
      <w:r w:rsidR="00973038">
        <w:rPr>
          <w:rFonts w:ascii="Times New Roman" w:hAnsi="Times New Roman" w:cs="Times New Roman"/>
        </w:rPr>
        <w:t xml:space="preserve"> </w:t>
      </w:r>
    </w:p>
    <w:p w14:paraId="13D22151" w14:textId="77777777"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t xml:space="preserve">During a strafe in </w:t>
      </w:r>
      <w:r w:rsidRPr="00FA377A">
        <w:rPr>
          <w:rFonts w:ascii="Times New Roman" w:hAnsi="Times New Roman" w:cs="Times New Roman"/>
          <w:i/>
        </w:rPr>
        <w:t>A Man Could Stand Up–,</w:t>
      </w:r>
      <w:r w:rsidRPr="00FA377A">
        <w:rPr>
          <w:rFonts w:ascii="Times New Roman" w:hAnsi="Times New Roman" w:cs="Times New Roman"/>
        </w:rPr>
        <w:t xml:space="preserve">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interprets the noise of the battlefield as orchestral music. In this scene, Ford’s writing participates in the same line of enquiry that Epstein identifies: it questions what ‘counts’ as music or noise, and what is at stake in this interpretation.</w:t>
      </w:r>
    </w:p>
    <w:p w14:paraId="7F54D6BF" w14:textId="77777777" w:rsidR="00B74C46" w:rsidRPr="00FA377A" w:rsidRDefault="00B74C46" w:rsidP="00B352AA">
      <w:pPr>
        <w:spacing w:line="360" w:lineRule="auto"/>
        <w:ind w:left="720"/>
        <w:rPr>
          <w:rFonts w:ascii="Times New Roman" w:hAnsi="Times New Roman" w:cs="Times New Roman"/>
        </w:rPr>
      </w:pPr>
    </w:p>
    <w:p w14:paraId="74BF51AC" w14:textId="77777777" w:rsidR="00B74C46" w:rsidRPr="00FA377A" w:rsidRDefault="00B74C46" w:rsidP="00B352AA">
      <w:pPr>
        <w:spacing w:line="360" w:lineRule="auto"/>
        <w:ind w:left="720"/>
        <w:rPr>
          <w:rFonts w:ascii="Times New Roman" w:hAnsi="Times New Roman" w:cs="Times New Roman"/>
        </w:rPr>
      </w:pPr>
      <w:r w:rsidRPr="00FA377A">
        <w:rPr>
          <w:rFonts w:ascii="Times New Roman" w:hAnsi="Times New Roman" w:cs="Times New Roman"/>
        </w:rPr>
        <w:t xml:space="preserve">Noise increased. The orchestra was bringing in all the brass, all the strings, all the wood-wind, all the percussion instruments. The performers threw about biscuit tins filled with horse-shoes; they emptied sacks of coal on cracked gongs, they threw down forty-story iron houses. It was comic to the extent that an operatic orchestra’s crescendo is comic. Crescendo! . . . C r e s c e n d o!   C R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E S C. . . . The Hero must be coming! He didn’t!</w:t>
      </w:r>
      <w:r w:rsidRPr="00FA377A">
        <w:rPr>
          <w:rStyle w:val="EndnoteReference"/>
          <w:rFonts w:ascii="Times New Roman" w:hAnsi="Times New Roman" w:cs="Times New Roman"/>
        </w:rPr>
        <w:endnoteReference w:id="67"/>
      </w:r>
    </w:p>
    <w:p w14:paraId="6AAD3016" w14:textId="77777777" w:rsidR="00B74C46" w:rsidRPr="00FA377A" w:rsidRDefault="00B74C46" w:rsidP="00B352AA">
      <w:pPr>
        <w:tabs>
          <w:tab w:val="left" w:pos="2367"/>
        </w:tabs>
        <w:spacing w:line="360" w:lineRule="auto"/>
        <w:rPr>
          <w:rFonts w:ascii="Times New Roman" w:hAnsi="Times New Roman" w:cs="Times New Roman"/>
        </w:rPr>
      </w:pPr>
    </w:p>
    <w:p w14:paraId="107EED29" w14:textId="77777777" w:rsidR="00896F4C" w:rsidRDefault="00B74C46" w:rsidP="00B352AA">
      <w:pPr>
        <w:spacing w:line="360" w:lineRule="auto"/>
        <w:rPr>
          <w:rFonts w:ascii="Times New Roman" w:hAnsi="Times New Roman" w:cs="Times New Roman"/>
        </w:rPr>
      </w:pP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is unable to comprehend the experience raw, and </w:t>
      </w:r>
      <w:r w:rsidR="00127C20">
        <w:rPr>
          <w:rFonts w:ascii="Times New Roman" w:hAnsi="Times New Roman" w:cs="Times New Roman"/>
        </w:rPr>
        <w:t>interprets the</w:t>
      </w:r>
      <w:r w:rsidRPr="00FA377A">
        <w:rPr>
          <w:rFonts w:ascii="Times New Roman" w:hAnsi="Times New Roman" w:cs="Times New Roman"/>
        </w:rPr>
        <w:t xml:space="preserve"> noise </w:t>
      </w:r>
      <w:r w:rsidR="00127C20">
        <w:rPr>
          <w:rFonts w:ascii="Times New Roman" w:hAnsi="Times New Roman" w:cs="Times New Roman"/>
        </w:rPr>
        <w:t>with</w:t>
      </w:r>
      <w:r w:rsidRPr="00FA377A">
        <w:rPr>
          <w:rFonts w:ascii="Times New Roman" w:hAnsi="Times New Roman" w:cs="Times New Roman"/>
        </w:rPr>
        <w:t xml:space="preserve"> </w:t>
      </w:r>
      <w:r w:rsidR="00127C20">
        <w:rPr>
          <w:rFonts w:ascii="Times New Roman" w:hAnsi="Times New Roman" w:cs="Times New Roman"/>
        </w:rPr>
        <w:t>an</w:t>
      </w:r>
      <w:r w:rsidRPr="00FA377A">
        <w:rPr>
          <w:rFonts w:ascii="Times New Roman" w:hAnsi="Times New Roman" w:cs="Times New Roman"/>
        </w:rPr>
        <w:t xml:space="preserve"> orchestral metaphor. The sounds of warfare and music are placed in close proximity: the terseness of the sentence ‘Noise increased’ accentuates its emphasis, and straight after the description shifts to the metaphor of ‘The orchestra’. The capitalisation of ‘C R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w:t>
      </w:r>
      <w:proofErr w:type="spellStart"/>
      <w:r w:rsidRPr="00FA377A">
        <w:rPr>
          <w:rFonts w:ascii="Times New Roman" w:hAnsi="Times New Roman" w:cs="Times New Roman"/>
        </w:rPr>
        <w:t>R</w:t>
      </w:r>
      <w:proofErr w:type="spellEnd"/>
      <w:r w:rsidRPr="00FA377A">
        <w:rPr>
          <w:rFonts w:ascii="Times New Roman" w:hAnsi="Times New Roman" w:cs="Times New Roman"/>
        </w:rPr>
        <w:t xml:space="preserve"> E S C. . . .’ denotes loudness, and also largeness of scale: this is an experience too extreme to be put into words, so that the word being used to describe the sound disintegrates into an ellipsis. Words also start to have a visual function in this passage, which is part of the attempt to communicate sonic extremity. The scene that is being communicated is enormous on an acoustic, spatial and physical scale, which is reflected by the spaces between the letters in the second ‘C r e s c e n d o!’ that increase the physical presence of the word.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is unable to make sense of the situation. He cannot easily register the profundity of the experience, and the insufficiency of the frames of reference on which he can draw are revealed. </w:t>
      </w:r>
    </w:p>
    <w:p w14:paraId="46258328" w14:textId="74D86D73" w:rsidR="0081393E" w:rsidRDefault="00B74C46" w:rsidP="0081393E">
      <w:pPr>
        <w:spacing w:line="360" w:lineRule="auto"/>
        <w:ind w:firstLine="720"/>
        <w:rPr>
          <w:rFonts w:ascii="Times New Roman" w:hAnsi="Times New Roman" w:cs="Times New Roman"/>
        </w:rPr>
      </w:pP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then uses a more specific musical framework to map the increasing sound, appearing to refer to Wagnerian opera, specifically the arrival of the Hero at the climactic moment of the music, thinking ‘The Hero music be</w:t>
      </w:r>
      <w:r w:rsidR="0038021C">
        <w:rPr>
          <w:rFonts w:ascii="Times New Roman" w:hAnsi="Times New Roman" w:cs="Times New Roman"/>
        </w:rPr>
        <w:t xml:space="preserve"> coming!’ and yet, ‘He didn’t!’</w:t>
      </w:r>
      <w:r w:rsidRPr="00FA377A">
        <w:rPr>
          <w:rFonts w:ascii="Times New Roman" w:hAnsi="Times New Roman" w:cs="Times New Roman"/>
        </w:rPr>
        <w:t xml:space="preserve"> Judging by the increasing tension and loudness he experiences,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anticipates the arrival of the Wagnerian ‘Hero’, who does not arrive at the expected moment. Lockyer has convincingly explained why the hero-figure here is the Wagnerian hero.</w:t>
      </w:r>
      <w:r w:rsidRPr="00FA377A">
        <w:rPr>
          <w:rStyle w:val="EndnoteReference"/>
          <w:rFonts w:ascii="Times New Roman" w:hAnsi="Times New Roman" w:cs="Times New Roman"/>
        </w:rPr>
        <w:endnoteReference w:id="68"/>
      </w:r>
      <w:r w:rsidRPr="00FA377A">
        <w:rPr>
          <w:rFonts w:ascii="Times New Roman" w:hAnsi="Times New Roman" w:cs="Times New Roman"/>
        </w:rPr>
        <w:t xml:space="preserve"> She goes on to extend </w:t>
      </w:r>
      <w:proofErr w:type="spellStart"/>
      <w:r w:rsidRPr="00FA377A">
        <w:rPr>
          <w:rFonts w:ascii="Times New Roman" w:hAnsi="Times New Roman" w:cs="Times New Roman"/>
        </w:rPr>
        <w:t>Tietjens’s</w:t>
      </w:r>
      <w:proofErr w:type="spellEnd"/>
      <w:r w:rsidRPr="00FA377A">
        <w:rPr>
          <w:rFonts w:ascii="Times New Roman" w:hAnsi="Times New Roman" w:cs="Times New Roman"/>
        </w:rPr>
        <w:t xml:space="preserve"> interpretation of the noise as music by treating the literature like music, and examining the </w:t>
      </w:r>
      <w:r w:rsidRPr="00FA377A">
        <w:rPr>
          <w:rFonts w:ascii="Times New Roman" w:hAnsi="Times New Roman" w:cs="Times New Roman"/>
        </w:rPr>
        <w:lastRenderedPageBreak/>
        <w:t>connection between the two: ‘The concept of the Wagnerian ‘Hero’ figure, anticipated at the height of the dynamic level of the music, fits with an operatic world in which the lines between literature and music are blurred, and are preferably to be obliterated together’.</w:t>
      </w:r>
      <w:r w:rsidRPr="00FA377A">
        <w:rPr>
          <w:rStyle w:val="EndnoteReference"/>
          <w:rFonts w:ascii="Times New Roman" w:hAnsi="Times New Roman" w:cs="Times New Roman"/>
        </w:rPr>
        <w:t xml:space="preserve"> </w:t>
      </w:r>
      <w:r w:rsidRPr="00FA377A">
        <w:rPr>
          <w:rStyle w:val="EndnoteReference"/>
          <w:rFonts w:ascii="Times New Roman" w:hAnsi="Times New Roman" w:cs="Times New Roman"/>
        </w:rPr>
        <w:endnoteReference w:id="69"/>
      </w:r>
      <w:r w:rsidRPr="00FA377A">
        <w:rPr>
          <w:rFonts w:ascii="Times New Roman" w:hAnsi="Times New Roman" w:cs="Times New Roman"/>
        </w:rPr>
        <w:t xml:space="preserve"> For Lockyer, this association between the composer and Ford’s experimental writing, means that Ford, too, was trying to blur the lines between music and literature: that Ford refers ‘to music united with and communicated through words hints at the tradition of the total art work which the young Ford’s musical hero espoused.’</w:t>
      </w:r>
      <w:r w:rsidRPr="00FA377A">
        <w:rPr>
          <w:rStyle w:val="EndnoteReference"/>
          <w:rFonts w:ascii="Times New Roman" w:hAnsi="Times New Roman" w:cs="Times New Roman"/>
        </w:rPr>
        <w:endnoteReference w:id="70"/>
      </w:r>
      <w:r w:rsidRPr="00FA377A">
        <w:rPr>
          <w:rFonts w:ascii="Times New Roman" w:hAnsi="Times New Roman" w:cs="Times New Roman"/>
        </w:rPr>
        <w:t xml:space="preserve"> </w:t>
      </w:r>
      <w:r w:rsidR="0081393E">
        <w:rPr>
          <w:rFonts w:ascii="Times New Roman" w:hAnsi="Times New Roman" w:cs="Times New Roman"/>
        </w:rPr>
        <w:t>Yet w</w:t>
      </w:r>
      <w:r w:rsidR="00B0471E">
        <w:rPr>
          <w:rFonts w:ascii="Times New Roman" w:hAnsi="Times New Roman" w:cs="Times New Roman"/>
        </w:rPr>
        <w:t xml:space="preserve">hat an increase in loudness means in the world of the music is not what it means in </w:t>
      </w:r>
      <w:proofErr w:type="spellStart"/>
      <w:r w:rsidR="00B0471E">
        <w:rPr>
          <w:rFonts w:ascii="Times New Roman" w:hAnsi="Times New Roman" w:cs="Times New Roman"/>
        </w:rPr>
        <w:t>Tietjens’s</w:t>
      </w:r>
      <w:proofErr w:type="spellEnd"/>
      <w:r w:rsidR="00B0471E">
        <w:rPr>
          <w:rFonts w:ascii="Times New Roman" w:hAnsi="Times New Roman" w:cs="Times New Roman"/>
        </w:rPr>
        <w:t xml:space="preserve"> world. The hero may well arrive in the music, his absence and his eventual arrival – as an enemy ‘Hun’</w:t>
      </w:r>
      <w:r w:rsidR="00B0471E">
        <w:rPr>
          <w:rStyle w:val="EndnoteReference"/>
          <w:rFonts w:cs="Times New Roman"/>
        </w:rPr>
        <w:endnoteReference w:id="71"/>
      </w:r>
      <w:r w:rsidR="00B0471E">
        <w:rPr>
          <w:rFonts w:ascii="Times New Roman" w:hAnsi="Times New Roman" w:cs="Times New Roman"/>
        </w:rPr>
        <w:t xml:space="preserve"> – shows the impossibility of heroism during the First World War. The music does not map onto the situation, and the difference rather than the unity between the two is emphasised. </w:t>
      </w:r>
    </w:p>
    <w:p w14:paraId="190EB1E8" w14:textId="28257A16" w:rsidR="00804B09" w:rsidRDefault="00B0471E" w:rsidP="00B0471E">
      <w:pPr>
        <w:spacing w:line="360" w:lineRule="auto"/>
        <w:ind w:firstLine="720"/>
        <w:rPr>
          <w:rFonts w:ascii="Times New Roman" w:hAnsi="Times New Roman" w:cs="Times New Roman"/>
        </w:rPr>
      </w:pPr>
      <w:r>
        <w:rPr>
          <w:rFonts w:ascii="Times New Roman" w:hAnsi="Times New Roman" w:cs="Times New Roman"/>
        </w:rPr>
        <w:t>Judging</w:t>
      </w:r>
      <w:r w:rsidR="009E53B1" w:rsidRPr="00FA377A">
        <w:rPr>
          <w:rFonts w:ascii="Times New Roman" w:hAnsi="Times New Roman" w:cs="Times New Roman"/>
        </w:rPr>
        <w:t xml:space="preserve"> a narrative text positively on the extent to which it manages to ‘be like music’ relies on the appropriateness of di</w:t>
      </w:r>
      <w:r w:rsidR="009E53B1">
        <w:rPr>
          <w:rFonts w:ascii="Times New Roman" w:hAnsi="Times New Roman" w:cs="Times New Roman"/>
        </w:rPr>
        <w:t xml:space="preserve">scourses of wholeness and unity, but the </w:t>
      </w:r>
      <w:r w:rsidR="009E53B1" w:rsidRPr="00FA377A">
        <w:rPr>
          <w:rFonts w:ascii="Times New Roman" w:hAnsi="Times New Roman" w:cs="Times New Roman"/>
        </w:rPr>
        <w:t>aesthetic ideal i</w:t>
      </w:r>
      <w:r w:rsidR="009E53B1">
        <w:rPr>
          <w:rFonts w:ascii="Times New Roman" w:hAnsi="Times New Roman" w:cs="Times New Roman"/>
        </w:rPr>
        <w:t xml:space="preserve">s not reinforced in this scene: it </w:t>
      </w:r>
      <w:r w:rsidR="009E53B1" w:rsidRPr="00FA377A">
        <w:rPr>
          <w:rFonts w:ascii="Times New Roman" w:hAnsi="Times New Roman" w:cs="Times New Roman"/>
        </w:rPr>
        <w:t>is placed in a context whereby its analysis and examination is required.</w:t>
      </w:r>
      <w:r w:rsidR="009E53B1">
        <w:rPr>
          <w:rFonts w:ascii="Times New Roman" w:hAnsi="Times New Roman" w:cs="Times New Roman"/>
        </w:rPr>
        <w:t xml:space="preserve"> Further,</w:t>
      </w:r>
      <w:r w:rsidR="00B96F34">
        <w:rPr>
          <w:rFonts w:ascii="Times New Roman" w:hAnsi="Times New Roman" w:cs="Times New Roman"/>
        </w:rPr>
        <w:t xml:space="preserve"> </w:t>
      </w:r>
      <w:r w:rsidR="00804B09">
        <w:rPr>
          <w:rFonts w:ascii="Times New Roman" w:hAnsi="Times New Roman" w:cs="Times New Roman"/>
        </w:rPr>
        <w:t>i</w:t>
      </w:r>
      <w:r w:rsidR="00B74C46" w:rsidRPr="00FA377A">
        <w:rPr>
          <w:rFonts w:ascii="Times New Roman" w:hAnsi="Times New Roman" w:cs="Times New Roman"/>
        </w:rPr>
        <w:t xml:space="preserve">t is not (or not only) the demarcation line between music and literature that is blurred here, but also the boundary between music and noise. The literature does not only try to communicate music, but a horrendous experience of ear-splitting sound, which </w:t>
      </w:r>
      <w:proofErr w:type="spellStart"/>
      <w:r w:rsidR="00B74C46" w:rsidRPr="00FA377A">
        <w:rPr>
          <w:rFonts w:ascii="Times New Roman" w:hAnsi="Times New Roman" w:cs="Times New Roman"/>
        </w:rPr>
        <w:t>Tietjens</w:t>
      </w:r>
      <w:proofErr w:type="spellEnd"/>
      <w:r w:rsidR="00B74C46" w:rsidRPr="00FA377A">
        <w:rPr>
          <w:rFonts w:ascii="Times New Roman" w:hAnsi="Times New Roman" w:cs="Times New Roman"/>
        </w:rPr>
        <w:t xml:space="preserve"> attempts to make sense of through music. The tension between the two can be seen in Lockyer’s phrasing: she notes the lengthening of ‘the associated ellipsis to attempt the communication of noise’ and calls the same point the ‘height of the dynamic level of the music’.</w:t>
      </w:r>
      <w:r w:rsidR="00B74C46" w:rsidRPr="00FA377A">
        <w:rPr>
          <w:rStyle w:val="EndnoteReference"/>
          <w:rFonts w:ascii="Times New Roman" w:hAnsi="Times New Roman" w:cs="Times New Roman"/>
        </w:rPr>
        <w:endnoteReference w:id="72"/>
      </w:r>
      <w:r w:rsidR="00B74C46" w:rsidRPr="00FA377A">
        <w:rPr>
          <w:rFonts w:ascii="Times New Roman" w:hAnsi="Times New Roman" w:cs="Times New Roman"/>
        </w:rPr>
        <w:t xml:space="preserve"> Is this part about noise, or is it about music? The scene encourages contemplation of what is at stake in how music is conceptualised, and why it is called upon as a frame of reference.</w:t>
      </w:r>
      <w:r w:rsidR="00B96F34">
        <w:rPr>
          <w:rFonts w:ascii="Times New Roman" w:hAnsi="Times New Roman" w:cs="Times New Roman"/>
        </w:rPr>
        <w:t xml:space="preserve"> </w:t>
      </w:r>
      <w:r w:rsidR="00B74C46" w:rsidRPr="00FA377A">
        <w:rPr>
          <w:rFonts w:ascii="Times New Roman" w:hAnsi="Times New Roman" w:cs="Times New Roman"/>
        </w:rPr>
        <w:t>Wagnerian opera</w:t>
      </w:r>
      <w:r w:rsidR="00B74C46" w:rsidRPr="00FA377A">
        <w:rPr>
          <w:rStyle w:val="CommentReference"/>
          <w:rFonts w:ascii="Times New Roman" w:hAnsi="Times New Roman" w:cs="Times New Roman"/>
        </w:rPr>
        <w:t xml:space="preserve"> </w:t>
      </w:r>
      <w:r w:rsidR="00B74C46" w:rsidRPr="00FA377A">
        <w:rPr>
          <w:rFonts w:ascii="Times New Roman" w:hAnsi="Times New Roman" w:cs="Times New Roman"/>
        </w:rPr>
        <w:t>is put into direct conflict with a new experience, and the association between music as a totalising artwork or aesthetic paradigm, and the contrasting violent materiality of war means that both things are altered by t</w:t>
      </w:r>
      <w:r w:rsidR="003F434D">
        <w:rPr>
          <w:rFonts w:ascii="Times New Roman" w:hAnsi="Times New Roman" w:cs="Times New Roman"/>
        </w:rPr>
        <w:t>heir connection with each other, being provided with new extremes of opposition to define themselves against.</w:t>
      </w:r>
      <w:r w:rsidR="00804B09">
        <w:rPr>
          <w:rFonts w:ascii="Times New Roman" w:hAnsi="Times New Roman" w:cs="Times New Roman"/>
        </w:rPr>
        <w:t xml:space="preserve">    </w:t>
      </w:r>
    </w:p>
    <w:p w14:paraId="7AAB3FDF" w14:textId="007C690E" w:rsidR="00B74C46" w:rsidRPr="00FA377A" w:rsidRDefault="00B74C46" w:rsidP="00804B09">
      <w:pPr>
        <w:spacing w:line="360" w:lineRule="auto"/>
        <w:ind w:firstLine="720"/>
        <w:rPr>
          <w:rFonts w:ascii="Times New Roman" w:hAnsi="Times New Roman" w:cs="Times New Roman"/>
        </w:rPr>
      </w:pPr>
      <w:r w:rsidRPr="00FA377A">
        <w:rPr>
          <w:rFonts w:ascii="Times New Roman" w:hAnsi="Times New Roman" w:cs="Times New Roman"/>
        </w:rPr>
        <w:t xml:space="preserve">Wagner’s </w:t>
      </w:r>
      <w:r w:rsidRPr="00FA377A">
        <w:rPr>
          <w:rFonts w:ascii="Times New Roman" w:hAnsi="Times New Roman" w:cs="Times New Roman"/>
          <w:i/>
        </w:rPr>
        <w:t>The</w:t>
      </w:r>
      <w:r w:rsidRPr="00FA377A">
        <w:rPr>
          <w:rFonts w:ascii="Times New Roman" w:hAnsi="Times New Roman" w:cs="Times New Roman"/>
        </w:rPr>
        <w:t xml:space="preserve"> </w:t>
      </w:r>
      <w:r w:rsidRPr="00FA377A">
        <w:rPr>
          <w:rFonts w:ascii="Times New Roman" w:hAnsi="Times New Roman" w:cs="Times New Roman"/>
          <w:i/>
        </w:rPr>
        <w:t>Art-Work of the Future</w:t>
      </w:r>
      <w:r w:rsidRPr="00FA377A">
        <w:rPr>
          <w:rFonts w:ascii="Times New Roman" w:hAnsi="Times New Roman" w:cs="Times New Roman"/>
        </w:rPr>
        <w:t xml:space="preserve"> declares the end of Hegelian philosophy – in other words, philosophies that look for synthe</w:t>
      </w:r>
      <w:r w:rsidR="00896F4C">
        <w:rPr>
          <w:rFonts w:ascii="Times New Roman" w:hAnsi="Times New Roman" w:cs="Times New Roman"/>
        </w:rPr>
        <w:t>sis – in that he anticipates the</w:t>
      </w:r>
      <w:r w:rsidRPr="00FA377A">
        <w:rPr>
          <w:rFonts w:ascii="Times New Roman" w:hAnsi="Times New Roman" w:cs="Times New Roman"/>
        </w:rPr>
        <w:t xml:space="preserve"> ultimate, unifying and redeeming work of art, </w:t>
      </w:r>
      <w:r w:rsidR="00881A5C">
        <w:rPr>
          <w:rFonts w:ascii="Times New Roman" w:hAnsi="Times New Roman" w:cs="Times New Roman"/>
        </w:rPr>
        <w:t>after which philosophies of synthesis will be redundant</w:t>
      </w:r>
      <w:r w:rsidRPr="00FA377A">
        <w:rPr>
          <w:rFonts w:ascii="Times New Roman" w:hAnsi="Times New Roman" w:cs="Times New Roman"/>
        </w:rPr>
        <w:t>.</w:t>
      </w:r>
      <w:r w:rsidRPr="00FA377A">
        <w:rPr>
          <w:rStyle w:val="EndnoteReference"/>
          <w:rFonts w:ascii="Times New Roman" w:hAnsi="Times New Roman" w:cs="Times New Roman"/>
        </w:rPr>
        <w:endnoteReference w:id="73"/>
      </w:r>
      <w:r w:rsidRPr="00FA377A">
        <w:rPr>
          <w:rFonts w:ascii="Times New Roman" w:hAnsi="Times New Roman" w:cs="Times New Roman"/>
        </w:rPr>
        <w:t xml:space="preserve"> As Roberts puts it, Wagner anticipates ‘philosophy’s coming redemption in human emancipation, crowned by the unitary work of art’.</w:t>
      </w:r>
      <w:r w:rsidRPr="00FA377A">
        <w:rPr>
          <w:rStyle w:val="EndnoteReference"/>
          <w:rFonts w:ascii="Times New Roman" w:hAnsi="Times New Roman" w:cs="Times New Roman"/>
        </w:rPr>
        <w:endnoteReference w:id="74"/>
      </w:r>
      <w:r w:rsidRPr="00FA377A">
        <w:rPr>
          <w:rFonts w:ascii="Times New Roman" w:hAnsi="Times New Roman" w:cs="Times New Roman"/>
        </w:rPr>
        <w:t xml:space="preserve"> Wagner began to think of all forms of life as alienated, because of the </w:t>
      </w:r>
      <w:r w:rsidR="009B4FAD" w:rsidRPr="00FA377A">
        <w:rPr>
          <w:rFonts w:ascii="Times New Roman" w:hAnsi="Times New Roman" w:cs="Times New Roman"/>
        </w:rPr>
        <w:t>estranging</w:t>
      </w:r>
      <w:r w:rsidRPr="00FA377A">
        <w:rPr>
          <w:rFonts w:ascii="Times New Roman" w:hAnsi="Times New Roman" w:cs="Times New Roman"/>
        </w:rPr>
        <w:t xml:space="preserve"> capacities of separate social spheres. Art</w:t>
      </w:r>
      <w:r w:rsidR="0078680A">
        <w:rPr>
          <w:rFonts w:ascii="Times New Roman" w:hAnsi="Times New Roman" w:cs="Times New Roman"/>
        </w:rPr>
        <w:t xml:space="preserve">, </w:t>
      </w:r>
      <w:r w:rsidRPr="00FA377A">
        <w:rPr>
          <w:rFonts w:ascii="Times New Roman" w:hAnsi="Times New Roman" w:cs="Times New Roman"/>
        </w:rPr>
        <w:t xml:space="preserve">confined to one sphere, </w:t>
      </w:r>
      <w:r w:rsidR="0078680A">
        <w:rPr>
          <w:rFonts w:ascii="Times New Roman" w:hAnsi="Times New Roman" w:cs="Times New Roman"/>
        </w:rPr>
        <w:t>could</w:t>
      </w:r>
      <w:r w:rsidRPr="00FA377A">
        <w:rPr>
          <w:rFonts w:ascii="Times New Roman" w:hAnsi="Times New Roman" w:cs="Times New Roman"/>
        </w:rPr>
        <w:t xml:space="preserve"> only reflected </w:t>
      </w:r>
      <w:r w:rsidR="0081393E">
        <w:rPr>
          <w:rFonts w:ascii="Times New Roman" w:hAnsi="Times New Roman" w:cs="Times New Roman"/>
        </w:rPr>
        <w:t xml:space="preserve">an </w:t>
      </w:r>
      <w:r w:rsidRPr="00FA377A">
        <w:rPr>
          <w:rFonts w:ascii="Times New Roman" w:hAnsi="Times New Roman" w:cs="Times New Roman"/>
        </w:rPr>
        <w:t>alienated society.</w:t>
      </w:r>
      <w:r w:rsidRPr="00FA377A">
        <w:rPr>
          <w:rStyle w:val="EndnoteReference"/>
          <w:rFonts w:ascii="Times New Roman" w:hAnsi="Times New Roman" w:cs="Times New Roman"/>
        </w:rPr>
        <w:endnoteReference w:id="75"/>
      </w:r>
      <w:r w:rsidRPr="00FA377A">
        <w:rPr>
          <w:rFonts w:ascii="Times New Roman" w:hAnsi="Times New Roman" w:cs="Times New Roman"/>
        </w:rPr>
        <w:t xml:space="preserve"> </w:t>
      </w:r>
      <w:r w:rsidR="00E35C97">
        <w:rPr>
          <w:rFonts w:ascii="Times New Roman" w:hAnsi="Times New Roman" w:cs="Times New Roman"/>
        </w:rPr>
        <w:t>Uniting</w:t>
      </w:r>
      <w:r w:rsidRPr="00FA377A">
        <w:rPr>
          <w:rFonts w:ascii="Times New Roman" w:hAnsi="Times New Roman" w:cs="Times New Roman"/>
        </w:rPr>
        <w:t xml:space="preserve"> different aesthetic forms </w:t>
      </w:r>
      <w:r w:rsidR="00E35C97">
        <w:rPr>
          <w:rFonts w:ascii="Times New Roman" w:hAnsi="Times New Roman" w:cs="Times New Roman"/>
        </w:rPr>
        <w:t>would</w:t>
      </w:r>
      <w:r w:rsidRPr="00FA377A">
        <w:rPr>
          <w:rFonts w:ascii="Times New Roman" w:hAnsi="Times New Roman" w:cs="Times New Roman"/>
        </w:rPr>
        <w:t xml:space="preserve"> provide an immersive experience that in turn unified the disparate spheres of life: ‘the </w:t>
      </w:r>
      <w:r w:rsidRPr="00FA377A">
        <w:rPr>
          <w:rFonts w:ascii="Times New Roman" w:hAnsi="Times New Roman" w:cs="Times New Roman"/>
        </w:rPr>
        <w:lastRenderedPageBreak/>
        <w:t>public, that representative of daily life, forgets the confines of the auditorium, and lives and breathes now only in the artwork which seems to it as Life itself, and on the stage which seems the wide expanse of the whole World.’</w:t>
      </w:r>
      <w:r w:rsidRPr="00FA377A">
        <w:rPr>
          <w:rStyle w:val="EndnoteReference"/>
          <w:rFonts w:ascii="Times New Roman" w:hAnsi="Times New Roman" w:cs="Times New Roman"/>
        </w:rPr>
        <w:t xml:space="preserve"> </w:t>
      </w:r>
      <w:r w:rsidRPr="00FA377A">
        <w:rPr>
          <w:rStyle w:val="EndnoteReference"/>
          <w:rFonts w:ascii="Times New Roman" w:hAnsi="Times New Roman" w:cs="Times New Roman"/>
        </w:rPr>
        <w:endnoteReference w:id="76"/>
      </w:r>
      <w:r w:rsidRPr="00FA377A">
        <w:rPr>
          <w:rFonts w:ascii="Times New Roman" w:hAnsi="Times New Roman" w:cs="Times New Roman"/>
        </w:rPr>
        <w:t xml:space="preserve"> </w:t>
      </w:r>
      <w:r w:rsidR="009B4FAD">
        <w:rPr>
          <w:rFonts w:ascii="Times New Roman" w:hAnsi="Times New Roman" w:cs="Times New Roman"/>
        </w:rPr>
        <w:t>Art as we know it will end,</w:t>
      </w:r>
      <w:r w:rsidRPr="00FA377A">
        <w:rPr>
          <w:rFonts w:ascii="Times New Roman" w:hAnsi="Times New Roman" w:cs="Times New Roman"/>
        </w:rPr>
        <w:t xml:space="preserve"> </w:t>
      </w:r>
      <w:r w:rsidR="009B4FAD">
        <w:rPr>
          <w:rFonts w:ascii="Times New Roman" w:hAnsi="Times New Roman" w:cs="Times New Roman"/>
        </w:rPr>
        <w:t xml:space="preserve">he says, </w:t>
      </w:r>
      <w:r w:rsidRPr="00FA377A">
        <w:rPr>
          <w:rFonts w:ascii="Times New Roman" w:hAnsi="Times New Roman" w:cs="Times New Roman"/>
        </w:rPr>
        <w:t xml:space="preserve">because it will reunite with politics and also serve as religion, rather than acting in the services of the existing social order and the market. Thus, in Wagner’s redeemed future there should be no distinction between life and art. </w:t>
      </w:r>
    </w:p>
    <w:p w14:paraId="16BE5ACE" w14:textId="77777777" w:rsidR="00B74C46"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t xml:space="preserve">During the strafe, Ford shows the opposite of this because the separation between art and politics is emphasised. When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tries to use music to understand the present, art intrudes into war and the political sphere. But art is overcome and becomes everyday noises. The sound turns into an orchestral swell, but this quickly appears an insufficient analogy, since another is required: ‘The performers threw about biscuit tins filled with horse-shoes; the emptied sacks of coal on cracked gongs, they threw down forty-storey iron houses’.</w:t>
      </w:r>
      <w:r w:rsidRPr="00FA377A">
        <w:rPr>
          <w:rStyle w:val="EndnoteReference"/>
          <w:rFonts w:ascii="Times New Roman" w:hAnsi="Times New Roman" w:cs="Times New Roman"/>
        </w:rPr>
        <w:endnoteReference w:id="77"/>
      </w:r>
      <w:r w:rsidRPr="00FA377A">
        <w:rPr>
          <w:rFonts w:ascii="Times New Roman" w:hAnsi="Times New Roman" w:cs="Times New Roman"/>
        </w:rPr>
        <w:t xml:space="preserve"> Music</w:t>
      </w:r>
      <w:r w:rsidR="00F027B8">
        <w:rPr>
          <w:rFonts w:ascii="Times New Roman" w:hAnsi="Times New Roman" w:cs="Times New Roman"/>
        </w:rPr>
        <w:t xml:space="preserve"> becomes every</w:t>
      </w:r>
      <w:r w:rsidRPr="00FA377A">
        <w:rPr>
          <w:rFonts w:ascii="Times New Roman" w:hAnsi="Times New Roman" w:cs="Times New Roman"/>
        </w:rPr>
        <w:t xml:space="preserve">day objects that are percussive, broken and non-functional. The distinction between different spheres is not obliterated by art here: art is obliterated by its association with the noise of the First World War. There is an absence of appropriate language and metaphor to describe the strafe, so music’s contrast illuminates the incomprehensibility of the noise. This is not the only instance in </w:t>
      </w:r>
      <w:r w:rsidRPr="00FA377A">
        <w:rPr>
          <w:rFonts w:ascii="Times New Roman" w:hAnsi="Times New Roman" w:cs="Times New Roman"/>
          <w:i/>
        </w:rPr>
        <w:t>Parade’s End</w:t>
      </w:r>
      <w:r w:rsidRPr="00FA377A">
        <w:rPr>
          <w:rFonts w:ascii="Times New Roman" w:hAnsi="Times New Roman" w:cs="Times New Roman"/>
        </w:rPr>
        <w:t xml:space="preserve"> in which the extremity of noise is described by comparison with its opposite. After a bombardment, the ensuing silence takes on new proportions, sounding different due to a heightened awareness of the body owing to adrenaline, shock, and trauma: ‘An enormous crashing sound said things of an intolerable intimacy to each of those men, and to all of them as a body. After its mortal vomiting all the other sounds appeared a rushing silence, painful to ears in which the blood audibly coursed.’</w:t>
      </w:r>
      <w:r w:rsidRPr="00FA377A">
        <w:rPr>
          <w:rStyle w:val="EndnoteReference"/>
          <w:rFonts w:ascii="Times New Roman" w:hAnsi="Times New Roman" w:cs="Times New Roman"/>
        </w:rPr>
        <w:endnoteReference w:id="78"/>
      </w:r>
      <w:r w:rsidRPr="00FA377A">
        <w:rPr>
          <w:rFonts w:ascii="Times New Roman" w:hAnsi="Times New Roman" w:cs="Times New Roman"/>
        </w:rPr>
        <w:t xml:space="preserve"> Noise affects the silence that follows it by providing a new level of contrast for it to be defined against. The collective is also experienced not through a positive unifying experience, but through horror and pain. ‘[E]ach of those men’ becomes a collective ‘body’ whose ‘mortal vomiting’ is lethal.  The collective is coming apart here: sound annihilates bodies, and unites people in mutual experiences of noise, destruction, and pain. </w:t>
      </w:r>
      <w:proofErr w:type="spellStart"/>
      <w:r w:rsidRPr="00FA377A">
        <w:rPr>
          <w:rFonts w:ascii="Times New Roman" w:hAnsi="Times New Roman" w:cs="Times New Roman"/>
        </w:rPr>
        <w:t>Tietjens</w:t>
      </w:r>
      <w:proofErr w:type="spellEnd"/>
      <w:r w:rsidRPr="00FA377A">
        <w:rPr>
          <w:rFonts w:ascii="Times New Roman" w:hAnsi="Times New Roman" w:cs="Times New Roman"/>
        </w:rPr>
        <w:t xml:space="preserve"> tries to use art to cope with the situation, but only the incongruity of art and the strafe are emphasised. </w:t>
      </w:r>
    </w:p>
    <w:p w14:paraId="1FAE5001" w14:textId="3D65281F" w:rsidR="00B74C46" w:rsidRPr="008053DA" w:rsidRDefault="00B74C46" w:rsidP="00B352AA">
      <w:pPr>
        <w:spacing w:line="360" w:lineRule="auto"/>
        <w:rPr>
          <w:rFonts w:ascii="Times New Roman" w:hAnsi="Times New Roman" w:cs="Times New Roman"/>
        </w:rPr>
      </w:pPr>
      <w:r w:rsidRPr="00FA377A">
        <w:rPr>
          <w:rFonts w:ascii="Times New Roman" w:hAnsi="Times New Roman" w:cs="Times New Roman"/>
          <w:i/>
        </w:rPr>
        <w:tab/>
        <w:t>Parade’s End</w:t>
      </w:r>
      <w:r w:rsidRPr="00FA377A">
        <w:rPr>
          <w:rFonts w:ascii="Times New Roman" w:hAnsi="Times New Roman" w:cs="Times New Roman"/>
        </w:rPr>
        <w:t xml:space="preserve"> shows us that because of the First World War, heavenly and transcendent music no longer speaks to lived experience. Modernists, as Epstein argues, were beginning to recognise that music cannot express all experience</w:t>
      </w:r>
      <w:r w:rsidR="003F434D">
        <w:rPr>
          <w:rFonts w:ascii="Times New Roman" w:hAnsi="Times New Roman" w:cs="Times New Roman"/>
        </w:rPr>
        <w:t>s</w:t>
      </w:r>
      <w:r w:rsidRPr="00FA377A">
        <w:rPr>
          <w:rFonts w:ascii="Times New Roman" w:hAnsi="Times New Roman" w:cs="Times New Roman"/>
        </w:rPr>
        <w:t xml:space="preserve">: it is not universal, and cannot express the violence or loudness of this particular war. Epstein quotes musicologist Cecil Barber when arguing that in the twentieth century, artists begin to contemplate music as </w:t>
      </w:r>
      <w:r w:rsidRPr="00FA377A">
        <w:rPr>
          <w:rFonts w:ascii="Times New Roman" w:hAnsi="Times New Roman" w:cs="Times New Roman"/>
        </w:rPr>
        <w:lastRenderedPageBreak/>
        <w:t>expensive noise: ‘this intuitive knowledge—that music is just noise, except fancier—has been repressed in favour of the pure aesthetic ideal’.</w:t>
      </w:r>
      <w:r w:rsidRPr="00FA377A">
        <w:rPr>
          <w:rStyle w:val="EndnoteReference"/>
          <w:rFonts w:ascii="Times New Roman" w:hAnsi="Times New Roman" w:cs="Times New Roman"/>
        </w:rPr>
        <w:endnoteReference w:id="79"/>
      </w:r>
      <w:r w:rsidRPr="00FA377A">
        <w:rPr>
          <w:rFonts w:ascii="Times New Roman" w:hAnsi="Times New Roman" w:cs="Times New Roman"/>
        </w:rPr>
        <w:t xml:space="preserve"> </w:t>
      </w:r>
      <w:r w:rsidRPr="008053DA">
        <w:rPr>
          <w:rFonts w:ascii="Times New Roman" w:hAnsi="Times New Roman" w:cs="Times New Roman"/>
        </w:rPr>
        <w:t xml:space="preserve">Since Wagner is shown to be an unsuitable framework for </w:t>
      </w:r>
      <w:proofErr w:type="spellStart"/>
      <w:r w:rsidRPr="008053DA">
        <w:rPr>
          <w:rFonts w:ascii="Times New Roman" w:hAnsi="Times New Roman" w:cs="Times New Roman"/>
        </w:rPr>
        <w:t>Tietjens</w:t>
      </w:r>
      <w:proofErr w:type="spellEnd"/>
      <w:r w:rsidRPr="008053DA">
        <w:rPr>
          <w:rFonts w:ascii="Times New Roman" w:hAnsi="Times New Roman" w:cs="Times New Roman"/>
        </w:rPr>
        <w:t xml:space="preserve"> to map the strafe, what Epstein comments on is one aspect of what is </w:t>
      </w:r>
      <w:proofErr w:type="spellStart"/>
      <w:r w:rsidRPr="008053DA">
        <w:rPr>
          <w:rFonts w:ascii="Times New Roman" w:hAnsi="Times New Roman" w:cs="Times New Roman"/>
        </w:rPr>
        <w:t>dramatised</w:t>
      </w:r>
      <w:proofErr w:type="spellEnd"/>
      <w:r w:rsidRPr="008053DA">
        <w:rPr>
          <w:rFonts w:ascii="Times New Roman" w:hAnsi="Times New Roman" w:cs="Times New Roman"/>
        </w:rPr>
        <w:t xml:space="preserve"> in </w:t>
      </w:r>
      <w:r w:rsidRPr="008053DA">
        <w:rPr>
          <w:rFonts w:ascii="Times New Roman" w:hAnsi="Times New Roman" w:cs="Times New Roman"/>
          <w:i/>
        </w:rPr>
        <w:t>Parade’s End</w:t>
      </w:r>
      <w:r w:rsidRPr="008053DA">
        <w:rPr>
          <w:rFonts w:ascii="Times New Roman" w:hAnsi="Times New Roman" w:cs="Times New Roman"/>
        </w:rPr>
        <w:t xml:space="preserve">. But there is another side to this, since in </w:t>
      </w:r>
      <w:r w:rsidRPr="008053DA">
        <w:rPr>
          <w:rFonts w:ascii="Times New Roman" w:hAnsi="Times New Roman" w:cs="Times New Roman"/>
          <w:i/>
        </w:rPr>
        <w:t>Parade’s End</w:t>
      </w:r>
      <w:r w:rsidRPr="008053DA">
        <w:rPr>
          <w:rFonts w:ascii="Times New Roman" w:hAnsi="Times New Roman" w:cs="Times New Roman"/>
        </w:rPr>
        <w:t xml:space="preserve"> Wagner seems to help </w:t>
      </w:r>
      <w:proofErr w:type="spellStart"/>
      <w:r w:rsidRPr="008053DA">
        <w:rPr>
          <w:rFonts w:ascii="Times New Roman" w:hAnsi="Times New Roman" w:cs="Times New Roman"/>
        </w:rPr>
        <w:t>Tietjens</w:t>
      </w:r>
      <w:proofErr w:type="spellEnd"/>
      <w:r w:rsidRPr="008053DA">
        <w:rPr>
          <w:rFonts w:ascii="Times New Roman" w:hAnsi="Times New Roman" w:cs="Times New Roman"/>
        </w:rPr>
        <w:t xml:space="preserve"> to cope, even if that music represents an ideal that is becoming destabilised. Since </w:t>
      </w:r>
      <w:proofErr w:type="spellStart"/>
      <w:r w:rsidRPr="008053DA">
        <w:rPr>
          <w:rFonts w:ascii="Times New Roman" w:hAnsi="Times New Roman" w:cs="Times New Roman"/>
        </w:rPr>
        <w:t>Tietjens</w:t>
      </w:r>
      <w:proofErr w:type="spellEnd"/>
      <w:r w:rsidRPr="008053DA">
        <w:rPr>
          <w:rFonts w:ascii="Times New Roman" w:hAnsi="Times New Roman" w:cs="Times New Roman"/>
        </w:rPr>
        <w:t xml:space="preserve"> makes sense of the sound by relating it to music, it is not just that music is insufficient now that there is war. It provides a way of coping with the horror, irrationality, and the noise that it is impossible to fully comprehend. As Vincent Sherry and David Weir have shown, modernist artworks continue to draw on traditions associated with decadence and aestheticism at the same time as asserting their newness and difference.</w:t>
      </w:r>
      <w:r w:rsidRPr="008053DA">
        <w:rPr>
          <w:rStyle w:val="EndnoteReference"/>
          <w:rFonts w:ascii="Times New Roman" w:hAnsi="Times New Roman" w:cs="Times New Roman"/>
        </w:rPr>
        <w:endnoteReference w:id="80"/>
      </w:r>
      <w:r w:rsidRPr="008053DA">
        <w:rPr>
          <w:rFonts w:ascii="Times New Roman" w:hAnsi="Times New Roman" w:cs="Times New Roman"/>
        </w:rPr>
        <w:t xml:space="preserve"> It is not </w:t>
      </w:r>
      <w:r w:rsidR="00AD5015" w:rsidRPr="008053DA">
        <w:rPr>
          <w:rFonts w:ascii="Times New Roman" w:hAnsi="Times New Roman" w:cs="Times New Roman"/>
        </w:rPr>
        <w:t>only</w:t>
      </w:r>
      <w:r w:rsidRPr="008053DA">
        <w:rPr>
          <w:rFonts w:ascii="Times New Roman" w:hAnsi="Times New Roman" w:cs="Times New Roman"/>
        </w:rPr>
        <w:t xml:space="preserve"> that nineteenth-century art forms are losing their hold: artistic tradition and aesthetic experience take part in handling the horror of wartime experience. The Wagnerian references in </w:t>
      </w:r>
      <w:r w:rsidRPr="008053DA">
        <w:rPr>
          <w:rFonts w:ascii="Times New Roman" w:hAnsi="Times New Roman" w:cs="Times New Roman"/>
          <w:i/>
        </w:rPr>
        <w:t>Parade’s End</w:t>
      </w:r>
      <w:r w:rsidRPr="008053DA">
        <w:rPr>
          <w:rFonts w:ascii="Times New Roman" w:hAnsi="Times New Roman" w:cs="Times New Roman"/>
        </w:rPr>
        <w:t xml:space="preserve"> suggest something about the function of art: that in the face of the new, the awful, and the unintelligible, ways of thinking about the world informed by past aesthetic experiences can help to structure the unprecedented.</w:t>
      </w:r>
    </w:p>
    <w:p w14:paraId="7D3FEE8E" w14:textId="257F881D" w:rsidR="005911AF"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t>While Epstein has explored the move away from the transcendent and nineteenth-century aesthetic traditions by numerous writers and composers, Ford’s writing shares with these composers an emphasis on the necessity of thinking about music in relation to new sounds in the early twentieth century. Ford’s writing, like many modernist artworks, marks the beginning of a transition – rather than a complete break – in how music is conceptualised that has accelerated throughout the twentieth century.</w:t>
      </w:r>
      <w:r w:rsidRPr="00FA377A">
        <w:rPr>
          <w:rStyle w:val="EndnoteReference"/>
          <w:rFonts w:ascii="Times New Roman" w:hAnsi="Times New Roman" w:cs="Times New Roman"/>
        </w:rPr>
        <w:endnoteReference w:id="81"/>
      </w:r>
      <w:r w:rsidRPr="00FA377A">
        <w:rPr>
          <w:rFonts w:ascii="Times New Roman" w:hAnsi="Times New Roman" w:cs="Times New Roman"/>
        </w:rPr>
        <w:t xml:space="preserve"> The twentieth- and twenty-first centuries have seen an increase in approaches to music that are empirically grounded: often, musicians and scholars are interested in analysing affective and social responses to music that can be measured and quantified. This is distinct from </w:t>
      </w:r>
      <w:r w:rsidR="001E4A83" w:rsidRPr="001E4A83">
        <w:rPr>
          <w:rFonts w:ascii="Times New Roman" w:hAnsi="Times New Roman" w:cs="Times New Roman"/>
          <w:highlight w:val="yellow"/>
        </w:rPr>
        <w:t>some</w:t>
      </w:r>
      <w:r w:rsidR="001E4A83">
        <w:rPr>
          <w:rFonts w:ascii="Times New Roman" w:hAnsi="Times New Roman" w:cs="Times New Roman"/>
        </w:rPr>
        <w:t xml:space="preserve"> </w:t>
      </w:r>
      <w:r w:rsidRPr="00FA377A">
        <w:rPr>
          <w:rFonts w:ascii="Times New Roman" w:hAnsi="Times New Roman" w:cs="Times New Roman"/>
        </w:rPr>
        <w:t>nineteenth-century and earlier conceptualisations of music, where its value was often rooted in its capacity to reach beyond signifying language.</w:t>
      </w:r>
      <w:r w:rsidRPr="00FA377A">
        <w:rPr>
          <w:rStyle w:val="EndnoteReference"/>
          <w:rFonts w:ascii="Times New Roman" w:hAnsi="Times New Roman" w:cs="Times New Roman"/>
        </w:rPr>
        <w:endnoteReference w:id="82"/>
      </w:r>
      <w:r w:rsidRPr="00FA377A">
        <w:rPr>
          <w:rFonts w:ascii="Times New Roman" w:hAnsi="Times New Roman" w:cs="Times New Roman"/>
        </w:rPr>
        <w:t xml:space="preserve"> Since language begins the process of appearing to order nature’s incomprehensibility, there is a sense in which language’s system of signs and signifiers cuts off, or gets in the way of, access to the thing-in-itself. Notions of music’s ‘transcendence’ were rooted in its apparent capacity to sidestep this mediation, and achieve a pure form of communication, since its form and content are the same. Narratives of transcendence and their implication in notions of wholeness and unity came under </w:t>
      </w:r>
      <w:r w:rsidR="00CB6C36">
        <w:rPr>
          <w:rFonts w:ascii="Times New Roman" w:hAnsi="Times New Roman" w:cs="Times New Roman"/>
        </w:rPr>
        <w:t xml:space="preserve">new </w:t>
      </w:r>
      <w:r w:rsidRPr="00FA377A">
        <w:rPr>
          <w:rFonts w:ascii="Times New Roman" w:hAnsi="Times New Roman" w:cs="Times New Roman"/>
        </w:rPr>
        <w:t>pressure</w:t>
      </w:r>
      <w:r w:rsidR="00CB6C36">
        <w:rPr>
          <w:rFonts w:ascii="Times New Roman" w:hAnsi="Times New Roman" w:cs="Times New Roman"/>
        </w:rPr>
        <w:t>s</w:t>
      </w:r>
      <w:r w:rsidRPr="00FA377A">
        <w:rPr>
          <w:rFonts w:ascii="Times New Roman" w:hAnsi="Times New Roman" w:cs="Times New Roman"/>
        </w:rPr>
        <w:t xml:space="preserve"> from various fronts at the start of the twentieth century: from industrialisation, with the division of labour and atomisation of the workforce; from the spatial disjunction resulting from the scale of the British Empire;</w:t>
      </w:r>
      <w:r w:rsidRPr="00FA377A">
        <w:rPr>
          <w:rStyle w:val="EndnoteReference"/>
          <w:rFonts w:ascii="Times New Roman" w:hAnsi="Times New Roman" w:cs="Times New Roman"/>
        </w:rPr>
        <w:endnoteReference w:id="83"/>
      </w:r>
      <w:r w:rsidRPr="00FA377A">
        <w:rPr>
          <w:rFonts w:ascii="Times New Roman" w:hAnsi="Times New Roman" w:cs="Times New Roman"/>
        </w:rPr>
        <w:t xml:space="preserve"> from Freudian theories of consciousness that began to replace the idea of </w:t>
      </w:r>
      <w:r w:rsidRPr="00FA377A">
        <w:rPr>
          <w:rFonts w:ascii="Times New Roman" w:hAnsi="Times New Roman" w:cs="Times New Roman"/>
        </w:rPr>
        <w:lastRenderedPageBreak/>
        <w:t xml:space="preserve">unified, whole self that is fully knowable; and of course, the First World War, which not only dismantled the myth of a smoothly advancing and progressing society, but physically took apart matter, bodies, psyches, traditions, and nations. Philosophies of transcendence and unity began to be inappropriate for early twentieth century experience. </w:t>
      </w:r>
      <w:r w:rsidR="002E5841">
        <w:rPr>
          <w:rFonts w:ascii="Times New Roman" w:hAnsi="Times New Roman" w:cs="Times New Roman"/>
        </w:rPr>
        <w:t>These</w:t>
      </w:r>
      <w:r w:rsidRPr="00FA377A">
        <w:rPr>
          <w:rFonts w:ascii="Times New Roman" w:hAnsi="Times New Roman" w:cs="Times New Roman"/>
        </w:rPr>
        <w:t xml:space="preserve"> issues were theorised during the 1930s and 1940s, leading up to and in the wake of the Second World War, most directly by Frankfurt School philosophers who </w:t>
      </w:r>
      <w:bookmarkStart w:id="0" w:name="_GoBack"/>
      <w:bookmarkEnd w:id="0"/>
      <w:r w:rsidRPr="00FA377A">
        <w:rPr>
          <w:rFonts w:ascii="Times New Roman" w:hAnsi="Times New Roman" w:cs="Times New Roman"/>
        </w:rPr>
        <w:t>rewrote the legacies of Hegelian totality for a new, fragmented age.</w:t>
      </w:r>
      <w:r w:rsidRPr="00FA377A">
        <w:rPr>
          <w:rStyle w:val="EndnoteReference"/>
          <w:rFonts w:ascii="Times New Roman" w:hAnsi="Times New Roman" w:cs="Times New Roman"/>
        </w:rPr>
        <w:endnoteReference w:id="84"/>
      </w:r>
      <w:r w:rsidRPr="00FA377A">
        <w:rPr>
          <w:rFonts w:ascii="Times New Roman" w:hAnsi="Times New Roman" w:cs="Times New Roman"/>
        </w:rPr>
        <w:t xml:space="preserve"> </w:t>
      </w:r>
      <w:r w:rsidR="005911AF" w:rsidRPr="00FA377A">
        <w:rPr>
          <w:rFonts w:ascii="Times New Roman" w:hAnsi="Times New Roman" w:cs="Times New Roman"/>
        </w:rPr>
        <w:t xml:space="preserve"> </w:t>
      </w:r>
    </w:p>
    <w:p w14:paraId="18AFC6A2" w14:textId="77777777" w:rsidR="000B33E9" w:rsidRPr="00FA377A" w:rsidRDefault="00B74C46" w:rsidP="00B352AA">
      <w:pPr>
        <w:spacing w:line="360" w:lineRule="auto"/>
        <w:rPr>
          <w:rFonts w:ascii="Times New Roman" w:hAnsi="Times New Roman" w:cs="Times New Roman"/>
        </w:rPr>
      </w:pPr>
      <w:r w:rsidRPr="00FA377A">
        <w:rPr>
          <w:rFonts w:ascii="Times New Roman" w:hAnsi="Times New Roman" w:cs="Times New Roman"/>
        </w:rPr>
        <w:tab/>
      </w:r>
      <w:r w:rsidR="005911AF" w:rsidRPr="00FA377A">
        <w:rPr>
          <w:rFonts w:ascii="Times New Roman" w:hAnsi="Times New Roman" w:cs="Times New Roman"/>
        </w:rPr>
        <w:t xml:space="preserve">In </w:t>
      </w:r>
      <w:r w:rsidR="005911AF" w:rsidRPr="00FA377A">
        <w:rPr>
          <w:rFonts w:ascii="Times New Roman" w:hAnsi="Times New Roman" w:cs="Times New Roman"/>
          <w:i/>
        </w:rPr>
        <w:t>Parade’s End</w:t>
      </w:r>
      <w:r w:rsidR="005911AF" w:rsidRPr="00FA377A">
        <w:rPr>
          <w:rFonts w:ascii="Times New Roman" w:hAnsi="Times New Roman" w:cs="Times New Roman"/>
        </w:rPr>
        <w:t xml:space="preserve">, in </w:t>
      </w:r>
      <w:proofErr w:type="spellStart"/>
      <w:r w:rsidR="005911AF" w:rsidRPr="00FA377A">
        <w:rPr>
          <w:rFonts w:ascii="Times New Roman" w:hAnsi="Times New Roman" w:cs="Times New Roman"/>
        </w:rPr>
        <w:t>Tietjens</w:t>
      </w:r>
      <w:proofErr w:type="spellEnd"/>
      <w:r w:rsidR="005911AF" w:rsidRPr="00FA377A">
        <w:rPr>
          <w:rFonts w:ascii="Times New Roman" w:hAnsi="Times New Roman" w:cs="Times New Roman"/>
        </w:rPr>
        <w:t xml:space="preserve">’ negotiations with sound, music, and warfare, all these components are already in play. Nineteenth-century aesthetic traditions are coming under pressure and scrutiny: they are no longer entirely appropriate for early twentieth-century experience, but have not quite lost their hold. </w:t>
      </w:r>
      <w:r w:rsidR="005911AF" w:rsidRPr="00FA377A">
        <w:rPr>
          <w:rFonts w:ascii="Times New Roman" w:hAnsi="Times New Roman" w:cs="Times New Roman"/>
          <w:i/>
        </w:rPr>
        <w:t>Parade’s End</w:t>
      </w:r>
      <w:r w:rsidR="005911AF" w:rsidRPr="00FA377A">
        <w:rPr>
          <w:rFonts w:ascii="Times New Roman" w:hAnsi="Times New Roman" w:cs="Times New Roman"/>
        </w:rPr>
        <w:t xml:space="preserve"> registers that if music is to continue to relate to the human condition in modernity, it must find a way to acknowledge, express, or at least recognise its difference from, the sonic and mental impact of war.</w:t>
      </w:r>
    </w:p>
    <w:sectPr w:rsidR="000B33E9" w:rsidRPr="00FA377A" w:rsidSect="00B352AA">
      <w:footerReference w:type="even" r:id="rId7"/>
      <w:footerReference w:type="default" r:id="rId8"/>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43EFF" w14:textId="77777777" w:rsidR="000E7199" w:rsidRDefault="000E7199" w:rsidP="001E2E72">
      <w:r>
        <w:separator/>
      </w:r>
    </w:p>
  </w:endnote>
  <w:endnote w:type="continuationSeparator" w:id="0">
    <w:p w14:paraId="3156F96A" w14:textId="77777777" w:rsidR="000E7199" w:rsidRDefault="000E7199" w:rsidP="001E2E72">
      <w:r>
        <w:continuationSeparator/>
      </w:r>
    </w:p>
  </w:endnote>
  <w:endnote w:id="1">
    <w:p w14:paraId="7BEE7843" w14:textId="23131D7B"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Walter Pater, ‘The School of Giorgione’, in </w:t>
      </w:r>
      <w:r w:rsidRPr="00840F76">
        <w:rPr>
          <w:rFonts w:ascii="Times" w:hAnsi="Times" w:cs="Times New Roman"/>
          <w:i/>
          <w:lang w:val="en-US"/>
        </w:rPr>
        <w:t>Studies in the History of the Renaissance,</w:t>
      </w:r>
      <w:r w:rsidRPr="00840F76">
        <w:rPr>
          <w:rFonts w:ascii="Times" w:hAnsi="Times" w:cs="Times New Roman"/>
          <w:lang w:val="en-US"/>
        </w:rPr>
        <w:t xml:space="preserve"> ed. by Matthew Beaumont (New York: Oxford University Press, 2010), pp. 126-27.</w:t>
      </w:r>
    </w:p>
  </w:endnote>
  <w:endnote w:id="2">
    <w:p w14:paraId="068893B6"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Ford </w:t>
      </w:r>
      <w:proofErr w:type="spellStart"/>
      <w:r w:rsidRPr="00840F76">
        <w:rPr>
          <w:rFonts w:ascii="Times" w:hAnsi="Times" w:cs="Times New Roman"/>
          <w:lang w:val="en-US"/>
        </w:rPr>
        <w:t>Madox</w:t>
      </w:r>
      <w:proofErr w:type="spellEnd"/>
      <w:r w:rsidRPr="00840F76">
        <w:rPr>
          <w:rFonts w:ascii="Times" w:hAnsi="Times" w:cs="Times New Roman"/>
          <w:lang w:val="en-US"/>
        </w:rPr>
        <w:t xml:space="preserve"> Ford, </w:t>
      </w:r>
      <w:r w:rsidRPr="00840F76">
        <w:rPr>
          <w:rFonts w:ascii="Times" w:hAnsi="Times" w:cs="Times New Roman"/>
          <w:i/>
          <w:lang w:val="en-US"/>
        </w:rPr>
        <w:t>A Man Could Stand Up–</w:t>
      </w:r>
      <w:r w:rsidRPr="00840F76">
        <w:rPr>
          <w:rFonts w:ascii="Times" w:hAnsi="Times" w:cs="Times New Roman"/>
          <w:lang w:val="en-US"/>
        </w:rPr>
        <w:t xml:space="preserve">, ed. Sara Haslam (Manchester: </w:t>
      </w:r>
      <w:proofErr w:type="spellStart"/>
      <w:r w:rsidRPr="00840F76">
        <w:rPr>
          <w:rFonts w:ascii="Times" w:hAnsi="Times" w:cs="Times New Roman"/>
          <w:lang w:val="en-US"/>
        </w:rPr>
        <w:t>Carcanet</w:t>
      </w:r>
      <w:proofErr w:type="spellEnd"/>
      <w:r w:rsidRPr="00840F76">
        <w:rPr>
          <w:rFonts w:ascii="Times" w:hAnsi="Times" w:cs="Times New Roman"/>
          <w:lang w:val="en-US"/>
        </w:rPr>
        <w:t>, 2011), p. 76.</w:t>
      </w:r>
    </w:p>
  </w:endnote>
  <w:endnote w:id="3">
    <w:p w14:paraId="409759DA"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Max Saunders, </w:t>
      </w:r>
      <w:r w:rsidRPr="00840F76">
        <w:rPr>
          <w:rFonts w:ascii="Times" w:hAnsi="Times" w:cs="Times New Roman"/>
          <w:i/>
          <w:lang w:val="en-US"/>
        </w:rPr>
        <w:t xml:space="preserve">Ford </w:t>
      </w:r>
      <w:proofErr w:type="spellStart"/>
      <w:r w:rsidRPr="00840F76">
        <w:rPr>
          <w:rFonts w:ascii="Times" w:hAnsi="Times" w:cs="Times New Roman"/>
          <w:i/>
          <w:lang w:val="en-US"/>
        </w:rPr>
        <w:t>Madox</w:t>
      </w:r>
      <w:proofErr w:type="spellEnd"/>
      <w:r w:rsidRPr="00840F76">
        <w:rPr>
          <w:rFonts w:ascii="Times" w:hAnsi="Times" w:cs="Times New Roman"/>
          <w:i/>
          <w:lang w:val="en-US"/>
        </w:rPr>
        <w:t xml:space="preserve"> Ford: A Dual Life, Vol. 1 </w:t>
      </w:r>
      <w:r w:rsidRPr="00840F76">
        <w:rPr>
          <w:rFonts w:ascii="Times" w:hAnsi="Times" w:cs="Times New Roman"/>
          <w:lang w:val="en-US"/>
        </w:rPr>
        <w:t xml:space="preserve">(Oxford: Oxford University Press, 1996), pp. v, </w:t>
      </w:r>
      <w:proofErr w:type="gramStart"/>
      <w:r w:rsidRPr="00840F76">
        <w:rPr>
          <w:rFonts w:ascii="Times" w:hAnsi="Times" w:cs="Times New Roman"/>
          <w:lang w:val="en-US"/>
        </w:rPr>
        <w:t>vi</w:t>
      </w:r>
      <w:proofErr w:type="gramEnd"/>
      <w:r w:rsidRPr="00840F76">
        <w:rPr>
          <w:rFonts w:ascii="Times" w:hAnsi="Times" w:cs="Times New Roman"/>
          <w:lang w:val="en-US"/>
        </w:rPr>
        <w:t xml:space="preserve">. </w:t>
      </w:r>
    </w:p>
  </w:endnote>
  <w:endnote w:id="4">
    <w:p w14:paraId="095EC489" w14:textId="6E7B400F"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Eric </w:t>
      </w:r>
      <w:proofErr w:type="spellStart"/>
      <w:r w:rsidRPr="00840F76">
        <w:rPr>
          <w:rFonts w:ascii="Times" w:hAnsi="Times" w:cs="Times New Roman"/>
          <w:lang w:val="en-US"/>
        </w:rPr>
        <w:t>Homberger</w:t>
      </w:r>
      <w:proofErr w:type="spellEnd"/>
      <w:r w:rsidRPr="00840F76">
        <w:rPr>
          <w:rFonts w:ascii="Times" w:hAnsi="Times" w:cs="Times New Roman"/>
          <w:lang w:val="en-US"/>
        </w:rPr>
        <w:t xml:space="preserve">, ‘Ford’s </w:t>
      </w:r>
      <w:r w:rsidRPr="00840F76">
        <w:rPr>
          <w:rFonts w:ascii="Times" w:hAnsi="Times" w:cs="Times New Roman"/>
          <w:i/>
          <w:lang w:val="en-US"/>
        </w:rPr>
        <w:t>English Review</w:t>
      </w:r>
      <w:r w:rsidRPr="00840F76">
        <w:rPr>
          <w:rFonts w:ascii="Times" w:hAnsi="Times" w:cs="Times New Roman"/>
          <w:lang w:val="en-US"/>
        </w:rPr>
        <w:t xml:space="preserve">: Englishness and its Discontents’, </w:t>
      </w:r>
      <w:r w:rsidRPr="00840F76">
        <w:rPr>
          <w:rFonts w:ascii="Times" w:hAnsi="Times" w:cs="Times New Roman"/>
          <w:i/>
          <w:lang w:val="en-US"/>
        </w:rPr>
        <w:t xml:space="preserve">Agenda: Ford </w:t>
      </w:r>
      <w:proofErr w:type="spellStart"/>
      <w:r w:rsidRPr="00840F76">
        <w:rPr>
          <w:rFonts w:ascii="Times" w:hAnsi="Times" w:cs="Times New Roman"/>
          <w:i/>
          <w:lang w:val="en-US"/>
        </w:rPr>
        <w:t>Madox</w:t>
      </w:r>
      <w:proofErr w:type="spellEnd"/>
      <w:r w:rsidRPr="00840F76">
        <w:rPr>
          <w:rFonts w:ascii="Times" w:hAnsi="Times" w:cs="Times New Roman"/>
          <w:i/>
          <w:lang w:val="en-US"/>
        </w:rPr>
        <w:t xml:space="preserve"> Ford Special Double Issue</w:t>
      </w:r>
      <w:r w:rsidRPr="00840F76">
        <w:rPr>
          <w:rFonts w:ascii="Times" w:hAnsi="Times" w:cs="Times New Roman"/>
          <w:lang w:val="en-US"/>
        </w:rPr>
        <w:t>,</w:t>
      </w:r>
      <w:r w:rsidRPr="00840F76">
        <w:rPr>
          <w:rFonts w:ascii="Times" w:hAnsi="Times" w:cs="Times New Roman"/>
          <w:i/>
          <w:lang w:val="en-US"/>
        </w:rPr>
        <w:t xml:space="preserve"> </w:t>
      </w:r>
      <w:r w:rsidRPr="00840F76">
        <w:rPr>
          <w:rFonts w:ascii="Times" w:hAnsi="Times" w:cs="Times New Roman"/>
          <w:lang w:val="en-US"/>
        </w:rPr>
        <w:t>27.4/28.1 (1989/1990), pp. 61-66; Brita Lindberg-</w:t>
      </w:r>
      <w:proofErr w:type="spellStart"/>
      <w:r w:rsidRPr="00840F76">
        <w:rPr>
          <w:rFonts w:ascii="Times" w:hAnsi="Times" w:cs="Times New Roman"/>
          <w:lang w:val="en-US"/>
        </w:rPr>
        <w:t>Seyersted</w:t>
      </w:r>
      <w:proofErr w:type="spellEnd"/>
      <w:r w:rsidRPr="00840F76">
        <w:rPr>
          <w:rFonts w:ascii="Times" w:hAnsi="Times" w:cs="Times New Roman"/>
          <w:lang w:val="en-US"/>
        </w:rPr>
        <w:t xml:space="preserve">, ed. </w:t>
      </w:r>
      <w:r w:rsidRPr="00840F76">
        <w:rPr>
          <w:rFonts w:ascii="Times" w:hAnsi="Times" w:cs="Times New Roman"/>
          <w:i/>
          <w:lang w:val="en-US"/>
        </w:rPr>
        <w:t xml:space="preserve">Pound/Ford: The Story of a Literary Friendship </w:t>
      </w:r>
      <w:r w:rsidRPr="00840F76">
        <w:rPr>
          <w:rFonts w:ascii="Times" w:hAnsi="Times" w:cs="Times New Roman"/>
          <w:lang w:val="en-US"/>
        </w:rPr>
        <w:t xml:space="preserve">(London: Faber, 1982); Nicholas </w:t>
      </w:r>
      <w:proofErr w:type="spellStart"/>
      <w:r w:rsidRPr="00840F76">
        <w:rPr>
          <w:rFonts w:ascii="Times" w:hAnsi="Times" w:cs="Times New Roman"/>
          <w:lang w:val="en-US"/>
        </w:rPr>
        <w:t>Delblanco</w:t>
      </w:r>
      <w:proofErr w:type="spellEnd"/>
      <w:r w:rsidRPr="00840F76">
        <w:rPr>
          <w:rFonts w:ascii="Times" w:hAnsi="Times" w:cs="Times New Roman"/>
          <w:lang w:val="en-US"/>
        </w:rPr>
        <w:t xml:space="preserve">, </w:t>
      </w:r>
      <w:r w:rsidRPr="00840F76">
        <w:rPr>
          <w:rFonts w:ascii="Times" w:hAnsi="Times" w:cs="Times New Roman"/>
          <w:i/>
          <w:lang w:val="en-US"/>
        </w:rPr>
        <w:t xml:space="preserve">Group Portrait: Joseph Conrad, Steven Crane, Ford </w:t>
      </w:r>
      <w:proofErr w:type="spellStart"/>
      <w:r w:rsidRPr="00840F76">
        <w:rPr>
          <w:rFonts w:ascii="Times" w:hAnsi="Times" w:cs="Times New Roman"/>
          <w:i/>
          <w:lang w:val="en-US"/>
        </w:rPr>
        <w:t>Madox</w:t>
      </w:r>
      <w:proofErr w:type="spellEnd"/>
      <w:r w:rsidRPr="00840F76">
        <w:rPr>
          <w:rFonts w:ascii="Times" w:hAnsi="Times" w:cs="Times New Roman"/>
          <w:i/>
          <w:lang w:val="en-US"/>
        </w:rPr>
        <w:t xml:space="preserve"> Ford and H. G. Wells </w:t>
      </w:r>
      <w:r w:rsidRPr="00840F76">
        <w:rPr>
          <w:rFonts w:ascii="Times" w:hAnsi="Times" w:cs="Times New Roman"/>
          <w:lang w:val="en-US"/>
        </w:rPr>
        <w:t>(London: Faber, 1982).</w:t>
      </w:r>
    </w:p>
  </w:endnote>
  <w:endnote w:id="5">
    <w:p w14:paraId="13A66210" w14:textId="56C65CDC"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Andrzej </w:t>
      </w:r>
      <w:proofErr w:type="spellStart"/>
      <w:r w:rsidRPr="00840F76">
        <w:rPr>
          <w:rFonts w:ascii="Times" w:hAnsi="Times" w:cs="Times New Roman"/>
          <w:lang w:val="en-US"/>
        </w:rPr>
        <w:t>Gasiorek</w:t>
      </w:r>
      <w:proofErr w:type="spellEnd"/>
      <w:r w:rsidRPr="00840F76">
        <w:rPr>
          <w:rFonts w:ascii="Times" w:hAnsi="Times" w:cs="Times New Roman"/>
          <w:lang w:val="en-US"/>
        </w:rPr>
        <w:t xml:space="preserve">, ‘Ford </w:t>
      </w:r>
      <w:proofErr w:type="spellStart"/>
      <w:r w:rsidRPr="00840F76">
        <w:rPr>
          <w:rFonts w:ascii="Times" w:hAnsi="Times" w:cs="Times New Roman"/>
          <w:lang w:val="en-US"/>
        </w:rPr>
        <w:t>Madox</w:t>
      </w:r>
      <w:proofErr w:type="spellEnd"/>
      <w:r w:rsidRPr="00840F76">
        <w:rPr>
          <w:rFonts w:ascii="Times" w:hAnsi="Times" w:cs="Times New Roman"/>
          <w:lang w:val="en-US"/>
        </w:rPr>
        <w:t xml:space="preserve"> Ford’s Modernism and the Question of Tradition’, </w:t>
      </w:r>
      <w:r w:rsidRPr="00840F76">
        <w:rPr>
          <w:rFonts w:ascii="Times" w:hAnsi="Times" w:cs="Times New Roman"/>
          <w:i/>
          <w:lang w:val="en-US"/>
        </w:rPr>
        <w:t>English Literature in Transition</w:t>
      </w:r>
      <w:r w:rsidRPr="00840F76">
        <w:rPr>
          <w:rFonts w:ascii="Times" w:hAnsi="Times" w:cs="Times New Roman"/>
          <w:lang w:val="en-US"/>
        </w:rPr>
        <w:t xml:space="preserve">, 44.1 (2001), pp. 3-27 (pp. 3-4). </w:t>
      </w:r>
    </w:p>
  </w:endnote>
  <w:endnote w:id="6">
    <w:p w14:paraId="3B2132A3" w14:textId="0CE9F331"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Sondra J. </w:t>
      </w:r>
      <w:proofErr w:type="spellStart"/>
      <w:r w:rsidRPr="00840F76">
        <w:rPr>
          <w:rFonts w:ascii="Times" w:hAnsi="Times" w:cs="Times New Roman"/>
        </w:rPr>
        <w:t>Stang</w:t>
      </w:r>
      <w:proofErr w:type="spellEnd"/>
      <w:r w:rsidRPr="00840F76">
        <w:rPr>
          <w:rFonts w:ascii="Times" w:hAnsi="Times" w:cs="Times New Roman"/>
        </w:rPr>
        <w:t xml:space="preserve"> and Carl Smith, ‘“Music for a while”: Ford’s Compositions for Voice and Piano’, </w:t>
      </w:r>
      <w:r w:rsidRPr="00840F76">
        <w:rPr>
          <w:rFonts w:ascii="Times" w:hAnsi="Times" w:cs="Times New Roman"/>
          <w:i/>
        </w:rPr>
        <w:t>Contemporary Literature</w:t>
      </w:r>
      <w:r w:rsidRPr="00840F76">
        <w:rPr>
          <w:rFonts w:ascii="Times" w:hAnsi="Times" w:cs="Times New Roman"/>
        </w:rPr>
        <w:t>, 30.2 (1989), pp. 183-223.</w:t>
      </w:r>
    </w:p>
  </w:endnote>
  <w:endnote w:id="7">
    <w:p w14:paraId="0E3B9B96"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Franz </w:t>
      </w:r>
      <w:proofErr w:type="spellStart"/>
      <w:r w:rsidRPr="00840F76">
        <w:rPr>
          <w:rFonts w:ascii="Times" w:hAnsi="Times" w:cs="Times New Roman"/>
          <w:sz w:val="20"/>
          <w:szCs w:val="20"/>
          <w:lang w:val="en-US"/>
        </w:rPr>
        <w:t>Hueffer</w:t>
      </w:r>
      <w:proofErr w:type="spellEnd"/>
      <w:r w:rsidRPr="00840F76">
        <w:rPr>
          <w:rFonts w:ascii="Times" w:hAnsi="Times" w:cs="Times New Roman"/>
          <w:sz w:val="20"/>
          <w:szCs w:val="20"/>
          <w:lang w:val="en-US"/>
        </w:rPr>
        <w:t xml:space="preserve">, </w:t>
      </w:r>
      <w:r w:rsidRPr="00840F76">
        <w:rPr>
          <w:rFonts w:ascii="Times" w:hAnsi="Times" w:cs="Times New Roman"/>
          <w:i/>
          <w:sz w:val="20"/>
          <w:szCs w:val="20"/>
          <w:lang w:val="en-US"/>
        </w:rPr>
        <w:t xml:space="preserve">Richard Wagner and the Music of the Future </w:t>
      </w:r>
      <w:r w:rsidRPr="00840F76">
        <w:rPr>
          <w:rFonts w:ascii="Times" w:hAnsi="Times" w:cs="Times New Roman"/>
          <w:sz w:val="20"/>
          <w:szCs w:val="20"/>
          <w:lang w:val="en-US"/>
        </w:rPr>
        <w:t xml:space="preserve">(London: Chapman and Hall, 1874). </w:t>
      </w:r>
    </w:p>
  </w:endnote>
  <w:endnote w:id="8">
    <w:p w14:paraId="1FCC7C39" w14:textId="77777777" w:rsidR="00840F76" w:rsidRPr="00840F76" w:rsidRDefault="00840F76" w:rsidP="001B77DD">
      <w:pPr>
        <w:spacing w:line="276" w:lineRule="auto"/>
        <w:rPr>
          <w:rFonts w:ascii="Times" w:hAnsi="Times" w:cs="Times New Roman"/>
          <w:sz w:val="20"/>
          <w:szCs w:val="20"/>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Daniel Albright, </w:t>
      </w:r>
      <w:r w:rsidRPr="00840F76">
        <w:rPr>
          <w:rFonts w:ascii="Times" w:hAnsi="Times" w:cs="Times New Roman"/>
          <w:i/>
          <w:sz w:val="20"/>
          <w:szCs w:val="20"/>
        </w:rPr>
        <w:t>Untwisting the Serpent: Modernism in Music, Literature, and Other Arts</w:t>
      </w:r>
      <w:r w:rsidRPr="00840F76">
        <w:rPr>
          <w:rFonts w:ascii="Times" w:hAnsi="Times" w:cs="Times New Roman"/>
          <w:sz w:val="20"/>
          <w:szCs w:val="20"/>
        </w:rPr>
        <w:t xml:space="preserve"> (London: University of Chicago Press, 2000). Brad </w:t>
      </w:r>
      <w:proofErr w:type="spellStart"/>
      <w:r w:rsidRPr="00840F76">
        <w:rPr>
          <w:rFonts w:ascii="Times" w:hAnsi="Times" w:cs="Times New Roman"/>
          <w:sz w:val="20"/>
          <w:szCs w:val="20"/>
        </w:rPr>
        <w:t>Bucknell</w:t>
      </w:r>
      <w:proofErr w:type="spellEnd"/>
      <w:r w:rsidRPr="00840F76">
        <w:rPr>
          <w:rFonts w:ascii="Times" w:hAnsi="Times" w:cs="Times New Roman"/>
          <w:sz w:val="20"/>
          <w:szCs w:val="20"/>
        </w:rPr>
        <w:t xml:space="preserve">, </w:t>
      </w:r>
      <w:r w:rsidRPr="00840F76">
        <w:rPr>
          <w:rFonts w:ascii="Times" w:hAnsi="Times" w:cs="Times New Roman"/>
          <w:i/>
          <w:iCs/>
          <w:sz w:val="20"/>
          <w:szCs w:val="20"/>
        </w:rPr>
        <w:t>Literary Modernism and Musical Aesthetics: Pater, Pound, Joyce and Stein</w:t>
      </w:r>
      <w:r w:rsidRPr="00840F76">
        <w:rPr>
          <w:rFonts w:ascii="Times" w:hAnsi="Times" w:cs="Times New Roman"/>
          <w:i/>
          <w:sz w:val="20"/>
          <w:szCs w:val="20"/>
        </w:rPr>
        <w:t xml:space="preserve"> </w:t>
      </w:r>
      <w:r w:rsidRPr="00840F76">
        <w:rPr>
          <w:rFonts w:ascii="Times" w:hAnsi="Times" w:cs="Times New Roman"/>
          <w:sz w:val="20"/>
          <w:szCs w:val="20"/>
        </w:rPr>
        <w:t xml:space="preserve">(Cambridge: Cambridge University Press, 2001). Peter Dayan, </w:t>
      </w:r>
      <w:r w:rsidRPr="00840F76">
        <w:rPr>
          <w:rFonts w:ascii="Times" w:hAnsi="Times" w:cs="Times New Roman"/>
          <w:i/>
          <w:sz w:val="20"/>
          <w:szCs w:val="20"/>
        </w:rPr>
        <w:t xml:space="preserve">Music Writing Literature: from Sand via Debussy to Derrida </w:t>
      </w:r>
      <w:r w:rsidRPr="00840F76">
        <w:rPr>
          <w:rFonts w:ascii="Times" w:hAnsi="Times" w:cs="Times New Roman"/>
          <w:sz w:val="20"/>
          <w:szCs w:val="20"/>
        </w:rPr>
        <w:t xml:space="preserve">(Aldershot: </w:t>
      </w:r>
      <w:proofErr w:type="spellStart"/>
      <w:r w:rsidRPr="00840F76">
        <w:rPr>
          <w:rFonts w:ascii="Times" w:hAnsi="Times" w:cs="Times New Roman"/>
          <w:sz w:val="20"/>
          <w:szCs w:val="20"/>
        </w:rPr>
        <w:t>Ashgate</w:t>
      </w:r>
      <w:proofErr w:type="spellEnd"/>
      <w:r w:rsidRPr="00840F76">
        <w:rPr>
          <w:rFonts w:ascii="Times" w:hAnsi="Times" w:cs="Times New Roman"/>
          <w:sz w:val="20"/>
          <w:szCs w:val="20"/>
        </w:rPr>
        <w:t xml:space="preserve">, 2006). Emma Sutton, </w:t>
      </w:r>
      <w:r w:rsidRPr="00840F76">
        <w:rPr>
          <w:rFonts w:ascii="Times" w:hAnsi="Times" w:cs="Times New Roman"/>
          <w:i/>
          <w:sz w:val="20"/>
          <w:szCs w:val="20"/>
        </w:rPr>
        <w:t xml:space="preserve">Virginia Woolf and Classical Music: Aesthetics, Politics, Form </w:t>
      </w:r>
      <w:r w:rsidRPr="00840F76">
        <w:rPr>
          <w:rFonts w:ascii="Times" w:hAnsi="Times" w:cs="Times New Roman"/>
          <w:sz w:val="20"/>
          <w:szCs w:val="20"/>
        </w:rPr>
        <w:t xml:space="preserve">(Edinburgh: Edinburgh University Press, 2013). </w:t>
      </w:r>
    </w:p>
  </w:endnote>
  <w:endnote w:id="9">
    <w:p w14:paraId="02C64910" w14:textId="77777777" w:rsidR="00840F76" w:rsidRPr="00840F76" w:rsidRDefault="00840F76" w:rsidP="001B77DD">
      <w:pPr>
        <w:spacing w:line="276" w:lineRule="auto"/>
        <w:rPr>
          <w:rFonts w:ascii="Times" w:hAnsi="Times" w:cs="Times New Roman"/>
          <w:sz w:val="20"/>
          <w:szCs w:val="20"/>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Eric Prieto, </w:t>
      </w:r>
      <w:r w:rsidRPr="00840F76">
        <w:rPr>
          <w:rFonts w:ascii="Times" w:hAnsi="Times" w:cs="Times New Roman"/>
          <w:i/>
          <w:sz w:val="20"/>
          <w:szCs w:val="20"/>
        </w:rPr>
        <w:t>Listening In: Music, Mind and the Modernist Narrative</w:t>
      </w:r>
      <w:r w:rsidRPr="00840F76">
        <w:rPr>
          <w:rFonts w:ascii="Times" w:hAnsi="Times" w:cs="Times New Roman"/>
          <w:sz w:val="20"/>
          <w:szCs w:val="20"/>
        </w:rPr>
        <w:t xml:space="preserve"> (London: University of Nebraska Press, 2002). Werner Wolff, </w:t>
      </w:r>
      <w:r w:rsidRPr="00840F76">
        <w:rPr>
          <w:rFonts w:ascii="Times" w:hAnsi="Times" w:cs="Times New Roman"/>
          <w:i/>
          <w:sz w:val="20"/>
          <w:szCs w:val="20"/>
        </w:rPr>
        <w:t xml:space="preserve">The </w:t>
      </w:r>
      <w:proofErr w:type="spellStart"/>
      <w:r w:rsidRPr="00840F76">
        <w:rPr>
          <w:rFonts w:ascii="Times" w:hAnsi="Times" w:cs="Times New Roman"/>
          <w:i/>
          <w:sz w:val="20"/>
          <w:szCs w:val="20"/>
        </w:rPr>
        <w:t>Musicalizataion</w:t>
      </w:r>
      <w:proofErr w:type="spellEnd"/>
      <w:r w:rsidRPr="00840F76">
        <w:rPr>
          <w:rFonts w:ascii="Times" w:hAnsi="Times" w:cs="Times New Roman"/>
          <w:i/>
          <w:sz w:val="20"/>
          <w:szCs w:val="20"/>
        </w:rPr>
        <w:t xml:space="preserve"> of Fiction: A Study in the Theory and History of </w:t>
      </w:r>
      <w:proofErr w:type="spellStart"/>
      <w:r w:rsidRPr="00840F76">
        <w:rPr>
          <w:rFonts w:ascii="Times" w:hAnsi="Times" w:cs="Times New Roman"/>
          <w:i/>
          <w:sz w:val="20"/>
          <w:szCs w:val="20"/>
        </w:rPr>
        <w:t>Intermediality</w:t>
      </w:r>
      <w:proofErr w:type="spellEnd"/>
      <w:r w:rsidRPr="00840F76">
        <w:rPr>
          <w:rFonts w:ascii="Times" w:hAnsi="Times" w:cs="Times New Roman"/>
          <w:i/>
          <w:sz w:val="20"/>
          <w:szCs w:val="20"/>
        </w:rPr>
        <w:t xml:space="preserve"> </w:t>
      </w:r>
      <w:r w:rsidRPr="00840F76">
        <w:rPr>
          <w:rFonts w:ascii="Times" w:hAnsi="Times" w:cs="Times New Roman"/>
          <w:sz w:val="20"/>
          <w:szCs w:val="20"/>
        </w:rPr>
        <w:t xml:space="preserve">(Amsterdam: </w:t>
      </w:r>
      <w:proofErr w:type="spellStart"/>
      <w:r w:rsidRPr="00840F76">
        <w:rPr>
          <w:rFonts w:ascii="Times" w:hAnsi="Times" w:cs="Times New Roman"/>
          <w:sz w:val="20"/>
          <w:szCs w:val="20"/>
        </w:rPr>
        <w:t>Rodopi</w:t>
      </w:r>
      <w:proofErr w:type="spellEnd"/>
      <w:r w:rsidRPr="00840F76">
        <w:rPr>
          <w:rFonts w:ascii="Times" w:hAnsi="Times" w:cs="Times New Roman"/>
          <w:sz w:val="20"/>
          <w:szCs w:val="20"/>
        </w:rPr>
        <w:t>, 1999).</w:t>
      </w:r>
    </w:p>
  </w:endnote>
  <w:endnote w:id="10">
    <w:p w14:paraId="363A4A6B"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Prieto, </w:t>
      </w:r>
      <w:r w:rsidRPr="00840F76">
        <w:rPr>
          <w:rFonts w:ascii="Times" w:hAnsi="Times" w:cs="Times New Roman"/>
          <w:i/>
        </w:rPr>
        <w:t>Listening In</w:t>
      </w:r>
      <w:r w:rsidRPr="00840F76">
        <w:rPr>
          <w:rFonts w:ascii="Times" w:hAnsi="Times" w:cs="Times New Roman"/>
        </w:rPr>
        <w:t>, p. x.</w:t>
      </w:r>
    </w:p>
  </w:endnote>
  <w:endnote w:id="11">
    <w:p w14:paraId="7545CA78"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proofErr w:type="spellStart"/>
      <w:r w:rsidRPr="00840F76">
        <w:rPr>
          <w:rFonts w:ascii="Times" w:hAnsi="Times" w:cs="Times New Roman"/>
          <w:lang w:val="en-US"/>
        </w:rPr>
        <w:t>Bucknell</w:t>
      </w:r>
      <w:proofErr w:type="spellEnd"/>
      <w:r w:rsidRPr="00840F76">
        <w:rPr>
          <w:rFonts w:ascii="Times" w:hAnsi="Times" w:cs="Times New Roman"/>
          <w:lang w:val="en-US"/>
        </w:rPr>
        <w:t xml:space="preserve">, </w:t>
      </w:r>
      <w:r w:rsidRPr="00840F76">
        <w:rPr>
          <w:rFonts w:ascii="Times" w:hAnsi="Times" w:cs="Times New Roman"/>
          <w:i/>
          <w:lang w:val="en-US"/>
        </w:rPr>
        <w:t>Literary Modernism and Musical Aesthetics</w:t>
      </w:r>
      <w:r w:rsidRPr="00840F76">
        <w:rPr>
          <w:rFonts w:ascii="Times" w:hAnsi="Times" w:cs="Times New Roman"/>
          <w:lang w:val="en-US"/>
        </w:rPr>
        <w:t>, pp. 2, 1.</w:t>
      </w:r>
    </w:p>
  </w:endnote>
  <w:endnote w:id="12">
    <w:p w14:paraId="117545D2" w14:textId="77777777" w:rsidR="00840F76" w:rsidRPr="00840F76" w:rsidRDefault="00840F76" w:rsidP="001B77DD">
      <w:pPr>
        <w:pStyle w:val="EndnoteText"/>
        <w:spacing w:line="276" w:lineRule="auto"/>
        <w:jc w:val="both"/>
        <w:rPr>
          <w:rFonts w:ascii="Times" w:hAnsi="Times" w:cs="Times New Roman"/>
        </w:rPr>
      </w:pPr>
      <w:r w:rsidRPr="00840F76">
        <w:rPr>
          <w:rStyle w:val="EndnoteReference"/>
          <w:rFonts w:ascii="Times" w:hAnsi="Times" w:cs="Times New Roman"/>
          <w:sz w:val="20"/>
        </w:rPr>
        <w:endnoteRef/>
      </w:r>
      <w:r w:rsidRPr="00840F76">
        <w:rPr>
          <w:rFonts w:ascii="Times" w:hAnsi="Times" w:cs="Times New Roman"/>
        </w:rPr>
        <w:t xml:space="preserve"> Pater, ‘The School of Giorgione’, p. 126. </w:t>
      </w:r>
    </w:p>
  </w:endnote>
  <w:endnote w:id="13">
    <w:p w14:paraId="13A2105F" w14:textId="34853C3A"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William F. </w:t>
      </w:r>
      <w:proofErr w:type="spellStart"/>
      <w:r w:rsidRPr="00840F76">
        <w:rPr>
          <w:rFonts w:ascii="Times" w:hAnsi="Times" w:cs="Times New Roman"/>
        </w:rPr>
        <w:t>Shuter</w:t>
      </w:r>
      <w:proofErr w:type="spellEnd"/>
      <w:r w:rsidRPr="00840F76">
        <w:rPr>
          <w:rFonts w:ascii="Times" w:hAnsi="Times" w:cs="Times New Roman"/>
        </w:rPr>
        <w:t xml:space="preserve">, </w:t>
      </w:r>
      <w:r w:rsidRPr="00840F76">
        <w:rPr>
          <w:rFonts w:ascii="Times" w:hAnsi="Times" w:cs="Times New Roman"/>
          <w:i/>
        </w:rPr>
        <w:t>Rereading Walter Pater</w:t>
      </w:r>
      <w:r w:rsidRPr="00840F76">
        <w:rPr>
          <w:rFonts w:ascii="Times" w:hAnsi="Times" w:cs="Times New Roman"/>
        </w:rPr>
        <w:t xml:space="preserve"> (Cambridge: Cambridge University Press, 1997), pp. 61-77.</w:t>
      </w:r>
    </w:p>
  </w:endnote>
  <w:endnote w:id="14">
    <w:p w14:paraId="31B0157C" w14:textId="09368B32" w:rsidR="00840F76" w:rsidRPr="00840F76" w:rsidRDefault="00840F76" w:rsidP="00B531AB">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Arthur Schopenhauer, </w:t>
      </w:r>
      <w:r w:rsidRPr="00840F76">
        <w:rPr>
          <w:rFonts w:ascii="Times" w:hAnsi="Times" w:cs="Times New Roman"/>
          <w:i/>
        </w:rPr>
        <w:t>The World as Will and Representation</w:t>
      </w:r>
      <w:r w:rsidRPr="00840F76">
        <w:rPr>
          <w:rFonts w:ascii="Times" w:hAnsi="Times" w:cs="Times New Roman"/>
        </w:rPr>
        <w:t xml:space="preserve">, vol. 1, ed. by Judith Norman, Alistair </w:t>
      </w:r>
      <w:proofErr w:type="spellStart"/>
      <w:r w:rsidRPr="00840F76">
        <w:rPr>
          <w:rFonts w:ascii="Times" w:hAnsi="Times" w:cs="Times New Roman"/>
        </w:rPr>
        <w:t>Welchman</w:t>
      </w:r>
      <w:proofErr w:type="spellEnd"/>
      <w:r w:rsidRPr="00840F76">
        <w:rPr>
          <w:rFonts w:ascii="Times" w:hAnsi="Times" w:cs="Times New Roman"/>
        </w:rPr>
        <w:t xml:space="preserve">, and Christopher </w:t>
      </w:r>
      <w:proofErr w:type="spellStart"/>
      <w:r w:rsidRPr="00840F76">
        <w:rPr>
          <w:rFonts w:ascii="Times" w:hAnsi="Times" w:cs="Times New Roman"/>
        </w:rPr>
        <w:t>Janaway</w:t>
      </w:r>
      <w:proofErr w:type="spellEnd"/>
      <w:r w:rsidRPr="00840F76">
        <w:rPr>
          <w:rFonts w:ascii="Times" w:hAnsi="Times" w:cs="Times New Roman"/>
        </w:rPr>
        <w:t xml:space="preserve"> (Cambridge: Cambridge University Press, 2011), p. 289.</w:t>
      </w:r>
    </w:p>
  </w:endnote>
  <w:endnote w:id="15">
    <w:p w14:paraId="1521E00B" w14:textId="77777777" w:rsidR="00840F76" w:rsidRPr="00840F76" w:rsidRDefault="00840F76" w:rsidP="00B531AB">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Lydia </w:t>
      </w:r>
      <w:proofErr w:type="spellStart"/>
      <w:r w:rsidRPr="00840F76">
        <w:rPr>
          <w:rFonts w:ascii="Times" w:hAnsi="Times" w:cs="Times New Roman"/>
        </w:rPr>
        <w:t>Goehr</w:t>
      </w:r>
      <w:proofErr w:type="spellEnd"/>
      <w:r w:rsidRPr="00840F76">
        <w:rPr>
          <w:rFonts w:ascii="Times" w:hAnsi="Times" w:cs="Times New Roman"/>
        </w:rPr>
        <w:t xml:space="preserve">, ‘Schopenhauer and the musicians’, in </w:t>
      </w:r>
      <w:r w:rsidRPr="00840F76">
        <w:rPr>
          <w:rFonts w:ascii="Times" w:hAnsi="Times" w:cs="Times New Roman"/>
          <w:i/>
        </w:rPr>
        <w:t>Schopenhauer, Philosophy and the Arts</w:t>
      </w:r>
      <w:r w:rsidRPr="00840F76">
        <w:rPr>
          <w:rFonts w:ascii="Times" w:hAnsi="Times" w:cs="Times New Roman"/>
        </w:rPr>
        <w:t xml:space="preserve">, ed. by Dale </w:t>
      </w:r>
      <w:proofErr w:type="spellStart"/>
      <w:r w:rsidRPr="00840F76">
        <w:rPr>
          <w:rFonts w:ascii="Times" w:hAnsi="Times" w:cs="Times New Roman"/>
        </w:rPr>
        <w:t>Jacquette</w:t>
      </w:r>
      <w:proofErr w:type="spellEnd"/>
      <w:r w:rsidRPr="00840F76">
        <w:rPr>
          <w:rFonts w:ascii="Times" w:hAnsi="Times" w:cs="Times New Roman"/>
        </w:rPr>
        <w:t xml:space="preserve"> (Cambridge: Cambridge University Press, 1996), pp. 200-08. Bryan Magee, </w:t>
      </w:r>
      <w:r w:rsidRPr="00840F76">
        <w:rPr>
          <w:rFonts w:ascii="Times" w:hAnsi="Times" w:cs="Times New Roman"/>
          <w:i/>
        </w:rPr>
        <w:t>The Philosophy of Schopenhauer</w:t>
      </w:r>
      <w:r w:rsidRPr="00840F76">
        <w:rPr>
          <w:rFonts w:ascii="Times" w:hAnsi="Times" w:cs="Times New Roman"/>
        </w:rPr>
        <w:t xml:space="preserve"> (Oxford: Oxford University Press, 1997), pp. 350-402.</w:t>
      </w:r>
    </w:p>
  </w:endnote>
  <w:endnote w:id="16">
    <w:p w14:paraId="255D6A2B" w14:textId="77777777" w:rsidR="00840F76" w:rsidRPr="00840F76" w:rsidRDefault="00840F76" w:rsidP="00B531AB">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For Peter Dayan, Baudelaire and </w:t>
      </w:r>
      <w:proofErr w:type="spellStart"/>
      <w:r w:rsidRPr="00840F76">
        <w:rPr>
          <w:rFonts w:ascii="Times" w:hAnsi="Times" w:cs="Times New Roman"/>
        </w:rPr>
        <w:t>Mallarmé</w:t>
      </w:r>
      <w:proofErr w:type="spellEnd"/>
      <w:r w:rsidRPr="00840F76">
        <w:rPr>
          <w:rFonts w:ascii="Times" w:hAnsi="Times" w:cs="Times New Roman"/>
        </w:rPr>
        <w:t xml:space="preserve"> exemplify ‘a style of writing that refused to recognise clear boundaries between the literary, the critical, and the musical’ that continues to inform twentieth century writing. Dayan, </w:t>
      </w:r>
      <w:r w:rsidRPr="00840F76">
        <w:rPr>
          <w:rFonts w:ascii="Times" w:hAnsi="Times" w:cs="Times New Roman"/>
          <w:i/>
        </w:rPr>
        <w:t>Music Writing Literature</w:t>
      </w:r>
      <w:r w:rsidRPr="00840F76">
        <w:rPr>
          <w:rFonts w:ascii="Times" w:hAnsi="Times" w:cs="Times New Roman"/>
        </w:rPr>
        <w:t>, p. ix.</w:t>
      </w:r>
    </w:p>
  </w:endnote>
  <w:endnote w:id="17">
    <w:p w14:paraId="2560B7F0" w14:textId="77777777" w:rsidR="00840F76" w:rsidRPr="00840F76" w:rsidRDefault="00840F76" w:rsidP="00B531AB">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Raymond Furness, </w:t>
      </w:r>
      <w:r w:rsidRPr="00840F76">
        <w:rPr>
          <w:rFonts w:ascii="Times" w:hAnsi="Times" w:cs="Times New Roman"/>
          <w:i/>
          <w:lang w:val="en-US"/>
        </w:rPr>
        <w:t xml:space="preserve">Wagner and Literature </w:t>
      </w:r>
      <w:r w:rsidRPr="00840F76">
        <w:rPr>
          <w:rFonts w:ascii="Times" w:hAnsi="Times" w:cs="Times New Roman"/>
          <w:lang w:val="en-US"/>
        </w:rPr>
        <w:t>(Manchester: Manchester University Press, 1982), pp. 16-17.</w:t>
      </w:r>
    </w:p>
  </w:endnote>
  <w:endnote w:id="18">
    <w:p w14:paraId="4B5AD02C"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proofErr w:type="spellStart"/>
      <w:r w:rsidRPr="00840F76">
        <w:rPr>
          <w:rFonts w:ascii="Times" w:hAnsi="Times" w:cs="Times New Roman"/>
        </w:rPr>
        <w:t>Bucknell</w:t>
      </w:r>
      <w:proofErr w:type="spellEnd"/>
      <w:r w:rsidRPr="00840F76">
        <w:rPr>
          <w:rFonts w:ascii="Times" w:hAnsi="Times" w:cs="Times New Roman"/>
        </w:rPr>
        <w:t>,</w:t>
      </w:r>
      <w:r w:rsidRPr="00840F76">
        <w:rPr>
          <w:rFonts w:ascii="Times" w:hAnsi="Times" w:cs="Times New Roman"/>
          <w:i/>
        </w:rPr>
        <w:t xml:space="preserve"> Literary Modernism and Musical Aesthetics</w:t>
      </w:r>
      <w:r w:rsidRPr="00840F76">
        <w:rPr>
          <w:rFonts w:ascii="Times" w:hAnsi="Times" w:cs="Times New Roman"/>
        </w:rPr>
        <w:t xml:space="preserve">, p. 17. Dayan, </w:t>
      </w:r>
      <w:r w:rsidRPr="00840F76">
        <w:rPr>
          <w:rFonts w:ascii="Times" w:hAnsi="Times" w:cs="Times New Roman"/>
          <w:i/>
        </w:rPr>
        <w:t xml:space="preserve">Music Writing Literature, </w:t>
      </w:r>
      <w:r w:rsidRPr="00840F76">
        <w:rPr>
          <w:rFonts w:ascii="Times" w:hAnsi="Times" w:cs="Times New Roman"/>
        </w:rPr>
        <w:t>p. ix.</w:t>
      </w:r>
    </w:p>
  </w:endnote>
  <w:endnote w:id="19">
    <w:p w14:paraId="75F102A5" w14:textId="12E5555E" w:rsidR="00840F76" w:rsidRPr="00840F76" w:rsidRDefault="00840F76" w:rsidP="001B77DD">
      <w:pPr>
        <w:spacing w:line="276" w:lineRule="auto"/>
        <w:rPr>
          <w:rFonts w:ascii="Times" w:hAnsi="Times" w:cs="Times New Roman"/>
          <w:b/>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Ezra Pound, ‘A Retrospect’, in </w:t>
      </w:r>
      <w:r w:rsidRPr="00840F76">
        <w:rPr>
          <w:rFonts w:ascii="Times" w:hAnsi="Times" w:cs="Times New Roman"/>
          <w:i/>
          <w:sz w:val="20"/>
          <w:szCs w:val="20"/>
        </w:rPr>
        <w:t>The Literary Essays of Ezra Pound</w:t>
      </w:r>
      <w:r w:rsidRPr="00840F76">
        <w:rPr>
          <w:rFonts w:ascii="Times" w:hAnsi="Times" w:cs="Times New Roman"/>
          <w:sz w:val="20"/>
          <w:szCs w:val="20"/>
        </w:rPr>
        <w:t xml:space="preserve">, ed. by T.S. Eliot (London: Faber, 1954), pp. 3-14 (p. 3). </w:t>
      </w:r>
    </w:p>
  </w:endnote>
  <w:endnote w:id="20">
    <w:p w14:paraId="39FF6BE7" w14:textId="5DEB4DA1" w:rsidR="00840F76" w:rsidRPr="00840F76" w:rsidRDefault="00840F76" w:rsidP="001B77DD">
      <w:pPr>
        <w:pStyle w:val="EndnoteText"/>
        <w:spacing w:line="276" w:lineRule="auto"/>
        <w:jc w:val="both"/>
        <w:rPr>
          <w:rFonts w:ascii="Times" w:hAnsi="Times" w:cs="Times New Roman"/>
        </w:rPr>
      </w:pPr>
      <w:r w:rsidRPr="00840F76">
        <w:rPr>
          <w:rStyle w:val="EndnoteReference"/>
          <w:rFonts w:ascii="Times" w:hAnsi="Times" w:cs="Times New Roman"/>
          <w:sz w:val="20"/>
        </w:rPr>
        <w:endnoteRef/>
      </w:r>
      <w:r w:rsidRPr="00840F76">
        <w:rPr>
          <w:rFonts w:ascii="Times" w:hAnsi="Times" w:cs="Times New Roman"/>
        </w:rPr>
        <w:t xml:space="preserve"> </w:t>
      </w:r>
      <w:proofErr w:type="spellStart"/>
      <w:r w:rsidRPr="00840F76">
        <w:rPr>
          <w:rFonts w:ascii="Times" w:hAnsi="Times" w:cs="Times New Roman"/>
        </w:rPr>
        <w:t>Pauliina</w:t>
      </w:r>
      <w:proofErr w:type="spellEnd"/>
      <w:r w:rsidRPr="00840F76">
        <w:rPr>
          <w:rFonts w:ascii="Times" w:hAnsi="Times" w:cs="Times New Roman"/>
        </w:rPr>
        <w:t xml:space="preserve"> </w:t>
      </w:r>
      <w:proofErr w:type="spellStart"/>
      <w:r w:rsidRPr="00840F76">
        <w:rPr>
          <w:rFonts w:ascii="Times" w:hAnsi="Times" w:cs="Times New Roman"/>
        </w:rPr>
        <w:t>Remes</w:t>
      </w:r>
      <w:proofErr w:type="spellEnd"/>
      <w:r w:rsidRPr="00840F76">
        <w:rPr>
          <w:rFonts w:ascii="Times" w:hAnsi="Times" w:cs="Times New Roman"/>
        </w:rPr>
        <w:t xml:space="preserve">, </w:t>
      </w:r>
      <w:r w:rsidRPr="00840F76">
        <w:rPr>
          <w:rFonts w:ascii="Times" w:hAnsi="Times" w:cs="Times New Roman"/>
          <w:i/>
        </w:rPr>
        <w:t>Neoplatonism</w:t>
      </w:r>
      <w:r w:rsidRPr="00840F76">
        <w:rPr>
          <w:rFonts w:ascii="Times" w:hAnsi="Times" w:cs="Times New Roman"/>
        </w:rPr>
        <w:t xml:space="preserve"> (Berkeley: University of California Press, 2008), p. 2. Eli </w:t>
      </w:r>
      <w:proofErr w:type="spellStart"/>
      <w:r w:rsidRPr="00840F76">
        <w:rPr>
          <w:rFonts w:ascii="Times" w:hAnsi="Times" w:cs="Times New Roman"/>
        </w:rPr>
        <w:t>Maor</w:t>
      </w:r>
      <w:proofErr w:type="spellEnd"/>
      <w:r w:rsidRPr="00840F76">
        <w:rPr>
          <w:rFonts w:ascii="Times" w:hAnsi="Times" w:cs="Times New Roman"/>
        </w:rPr>
        <w:t xml:space="preserve">, </w:t>
      </w:r>
      <w:r w:rsidRPr="00840F76">
        <w:rPr>
          <w:rFonts w:ascii="Times" w:hAnsi="Times" w:cs="Times New Roman"/>
          <w:i/>
        </w:rPr>
        <w:t>The</w:t>
      </w:r>
      <w:r w:rsidRPr="00840F76">
        <w:rPr>
          <w:rFonts w:ascii="Times" w:hAnsi="Times" w:cs="Times New Roman"/>
        </w:rPr>
        <w:t xml:space="preserve"> </w:t>
      </w:r>
      <w:proofErr w:type="spellStart"/>
      <w:r w:rsidRPr="00840F76">
        <w:rPr>
          <w:rFonts w:ascii="Times" w:hAnsi="Times" w:cs="Times New Roman"/>
          <w:i/>
        </w:rPr>
        <w:t>Pythagoerean</w:t>
      </w:r>
      <w:proofErr w:type="spellEnd"/>
      <w:r w:rsidRPr="00840F76">
        <w:rPr>
          <w:rFonts w:ascii="Times" w:hAnsi="Times" w:cs="Times New Roman"/>
          <w:i/>
        </w:rPr>
        <w:t xml:space="preserve"> Theorem: A 4,000-year History </w:t>
      </w:r>
      <w:r w:rsidRPr="00840F76">
        <w:rPr>
          <w:rFonts w:ascii="Times" w:hAnsi="Times" w:cs="Times New Roman"/>
        </w:rPr>
        <w:t>(Princeton: Princeton University Press, 2007), p. 19.</w:t>
      </w:r>
    </w:p>
  </w:endnote>
  <w:endnote w:id="21">
    <w:p w14:paraId="16DB4F6B" w14:textId="066EE6D9"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Ford,</w:t>
      </w:r>
      <w:r w:rsidRPr="00840F76">
        <w:rPr>
          <w:rFonts w:ascii="Times" w:hAnsi="Times" w:cs="Times New Roman"/>
          <w:lang w:val="en-US"/>
        </w:rPr>
        <w:t xml:space="preserve"> </w:t>
      </w:r>
      <w:r w:rsidRPr="00840F76">
        <w:rPr>
          <w:rFonts w:ascii="Times" w:hAnsi="Times" w:cs="Times New Roman"/>
          <w:i/>
          <w:lang w:val="en-US"/>
        </w:rPr>
        <w:t>A Man Could Stand Up</w:t>
      </w:r>
      <w:r w:rsidRPr="00840F76">
        <w:rPr>
          <w:rFonts w:ascii="Times" w:hAnsi="Times" w:cs="Times New Roman"/>
          <w:lang w:val="en-US"/>
        </w:rPr>
        <w:t>–, p. 77.</w:t>
      </w:r>
    </w:p>
  </w:endnote>
  <w:endnote w:id="22">
    <w:p w14:paraId="76826ED2" w14:textId="55F6F68A"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Josh </w:t>
      </w:r>
      <w:r w:rsidRPr="00840F76">
        <w:rPr>
          <w:rFonts w:ascii="Times" w:hAnsi="Times" w:cs="Times New Roman"/>
          <w:lang w:val="en-US"/>
        </w:rPr>
        <w:t xml:space="preserve">Epstein, </w:t>
      </w:r>
      <w:r w:rsidRPr="00840F76">
        <w:rPr>
          <w:rFonts w:ascii="Times" w:hAnsi="Times" w:cs="Times New Roman"/>
          <w:i/>
        </w:rPr>
        <w:t>Sublime Noise: Musical Culture and the Modernist Writer</w:t>
      </w:r>
      <w:r w:rsidRPr="00840F76">
        <w:rPr>
          <w:rFonts w:ascii="Times" w:hAnsi="Times" w:cs="Times New Roman"/>
        </w:rPr>
        <w:t xml:space="preserve"> (Baltimore, MD: Johns Hopkins University Press, 2014), p</w:t>
      </w:r>
      <w:r w:rsidRPr="00840F76">
        <w:rPr>
          <w:rFonts w:ascii="Times" w:hAnsi="Times" w:cs="Times New Roman"/>
          <w:i/>
        </w:rPr>
        <w:t xml:space="preserve">. </w:t>
      </w:r>
      <w:r w:rsidRPr="00840F76">
        <w:rPr>
          <w:rFonts w:ascii="Times" w:hAnsi="Times" w:cs="Times New Roman"/>
        </w:rPr>
        <w:t>xiii, xiv.</w:t>
      </w:r>
    </w:p>
  </w:endnote>
  <w:endnote w:id="23">
    <w:p w14:paraId="04E25BEA" w14:textId="50AE086D"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Ibid, p. </w:t>
      </w:r>
      <w:r w:rsidRPr="00840F76">
        <w:rPr>
          <w:rFonts w:ascii="Times" w:hAnsi="Times" w:cs="Times New Roman"/>
          <w:sz w:val="20"/>
          <w:szCs w:val="20"/>
          <w:lang w:val="en-US"/>
        </w:rPr>
        <w:t>xv.</w:t>
      </w:r>
    </w:p>
  </w:endnote>
  <w:endnote w:id="24">
    <w:p w14:paraId="68FE9ECA" w14:textId="06B170E0"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Jacques </w:t>
      </w:r>
      <w:proofErr w:type="spellStart"/>
      <w:r w:rsidRPr="00840F76">
        <w:rPr>
          <w:rFonts w:ascii="Times" w:hAnsi="Times" w:cs="Times New Roman"/>
          <w:lang w:val="en-US"/>
        </w:rPr>
        <w:t>Attali</w:t>
      </w:r>
      <w:proofErr w:type="spellEnd"/>
      <w:r w:rsidRPr="00840F76">
        <w:rPr>
          <w:rFonts w:ascii="Times" w:hAnsi="Times" w:cs="Times New Roman"/>
          <w:lang w:val="en-US"/>
        </w:rPr>
        <w:t xml:space="preserve">, </w:t>
      </w:r>
      <w:r w:rsidRPr="00840F76">
        <w:rPr>
          <w:rFonts w:ascii="Times" w:hAnsi="Times" w:cs="Times New Roman"/>
          <w:i/>
          <w:lang w:val="en-US"/>
        </w:rPr>
        <w:t>Noise: The Political Economy of Music</w:t>
      </w:r>
      <w:r w:rsidRPr="00840F76">
        <w:rPr>
          <w:rFonts w:ascii="Times" w:hAnsi="Times" w:cs="Times New Roman"/>
          <w:lang w:val="en-US"/>
        </w:rPr>
        <w:t xml:space="preserve">, trans. Brian </w:t>
      </w:r>
      <w:proofErr w:type="spellStart"/>
      <w:r w:rsidRPr="00840F76">
        <w:rPr>
          <w:rFonts w:ascii="Times" w:hAnsi="Times" w:cs="Times New Roman"/>
          <w:lang w:val="en-US"/>
        </w:rPr>
        <w:t>Massumi</w:t>
      </w:r>
      <w:proofErr w:type="spellEnd"/>
      <w:r w:rsidRPr="00840F76">
        <w:rPr>
          <w:rFonts w:ascii="Times" w:hAnsi="Times" w:cs="Times New Roman"/>
          <w:lang w:val="en-US"/>
        </w:rPr>
        <w:t xml:space="preserve"> (Minneapolis: University of Minnesota Press, 1985), p. 136.</w:t>
      </w:r>
    </w:p>
  </w:endnote>
  <w:endnote w:id="25">
    <w:p w14:paraId="7A9ACC96" w14:textId="7FB7D99E" w:rsidR="00840F76" w:rsidRPr="00840F76" w:rsidRDefault="00840F76" w:rsidP="001B77DD">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Aldous Huxley, </w:t>
      </w:r>
      <w:r w:rsidRPr="00840F76">
        <w:rPr>
          <w:rFonts w:ascii="Times" w:hAnsi="Times"/>
          <w:i/>
          <w:lang w:val="en-US"/>
        </w:rPr>
        <w:t>The Perennial Philosophy</w:t>
      </w:r>
      <w:r w:rsidRPr="00840F76">
        <w:rPr>
          <w:rFonts w:ascii="Times" w:hAnsi="Times"/>
          <w:lang w:val="en-US"/>
        </w:rPr>
        <w:t xml:space="preserve"> (London: </w:t>
      </w:r>
      <w:proofErr w:type="spellStart"/>
      <w:r w:rsidRPr="00840F76">
        <w:rPr>
          <w:rFonts w:ascii="Times" w:hAnsi="Times"/>
          <w:lang w:val="en-US"/>
        </w:rPr>
        <w:t>Chatto</w:t>
      </w:r>
      <w:proofErr w:type="spellEnd"/>
      <w:r w:rsidRPr="00840F76">
        <w:rPr>
          <w:rFonts w:ascii="Times" w:hAnsi="Times"/>
          <w:lang w:val="en-US"/>
        </w:rPr>
        <w:t xml:space="preserve"> &amp; </w:t>
      </w:r>
      <w:proofErr w:type="spellStart"/>
      <w:r w:rsidRPr="00840F76">
        <w:rPr>
          <w:rFonts w:ascii="Times" w:hAnsi="Times"/>
          <w:lang w:val="en-US"/>
        </w:rPr>
        <w:t>Windus</w:t>
      </w:r>
      <w:proofErr w:type="spellEnd"/>
      <w:r w:rsidRPr="00840F76">
        <w:rPr>
          <w:rFonts w:ascii="Times" w:hAnsi="Times"/>
          <w:lang w:val="en-US"/>
        </w:rPr>
        <w:t>, 1974), p. 249.</w:t>
      </w:r>
    </w:p>
  </w:endnote>
  <w:endnote w:id="26">
    <w:p w14:paraId="0B162C92" w14:textId="3149C130"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Wagner, as Emma Sutton notes, developed ‘two of the most important formal innovations of late nineteenth-century music – namely the leitmotiv […] and the Gesamtkunstwerk (the union of music, words, dance and gesture into one ‘total artwork’). </w:t>
      </w:r>
      <w:r w:rsidRPr="00840F76">
        <w:rPr>
          <w:rFonts w:ascii="Times" w:hAnsi="Times" w:cs="Times New Roman"/>
          <w:lang w:val="en-US"/>
        </w:rPr>
        <w:t xml:space="preserve">Emma Sutton, </w:t>
      </w:r>
      <w:r w:rsidRPr="00840F76">
        <w:rPr>
          <w:rFonts w:ascii="Times" w:hAnsi="Times" w:cs="Times New Roman"/>
          <w:i/>
        </w:rPr>
        <w:t>Virginia Woolf and Classical Music: Aesthetics, Politics</w:t>
      </w:r>
      <w:r w:rsidRPr="00840F76">
        <w:rPr>
          <w:rFonts w:ascii="Times" w:hAnsi="Times" w:cs="Times New Roman"/>
        </w:rPr>
        <w:t xml:space="preserve">, </w:t>
      </w:r>
      <w:r w:rsidRPr="00840F76">
        <w:rPr>
          <w:rFonts w:ascii="Times" w:hAnsi="Times" w:cs="Times New Roman"/>
          <w:i/>
        </w:rPr>
        <w:t>Form</w:t>
      </w:r>
      <w:r w:rsidRPr="00840F76">
        <w:rPr>
          <w:rFonts w:ascii="Times" w:hAnsi="Times" w:cs="Times New Roman"/>
        </w:rPr>
        <w:t xml:space="preserve"> (Edinburgh: Edinburgh University Press, 2013),</w:t>
      </w:r>
      <w:r w:rsidRPr="00840F76">
        <w:rPr>
          <w:rFonts w:ascii="Times" w:hAnsi="Times" w:cs="Times New Roman"/>
          <w:lang w:val="en-US"/>
        </w:rPr>
        <w:t xml:space="preserve"> p. 27.</w:t>
      </w:r>
    </w:p>
  </w:endnote>
  <w:endnote w:id="27">
    <w:p w14:paraId="0B1E8BD2" w14:textId="6FBC1C41" w:rsidR="00840F76" w:rsidRPr="00840F76" w:rsidRDefault="00840F76" w:rsidP="001B77DD">
      <w:pPr>
        <w:pStyle w:val="EndnoteText"/>
        <w:spacing w:line="276" w:lineRule="auto"/>
        <w:rPr>
          <w:rFonts w:ascii="Times" w:hAnsi="Times" w:cs="Times New Roman"/>
          <w:b/>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Nietzsche dedicated </w:t>
      </w:r>
      <w:r w:rsidRPr="00840F76">
        <w:rPr>
          <w:rFonts w:ascii="Times" w:hAnsi="Times" w:cs="Times New Roman"/>
          <w:i/>
          <w:lang w:val="en-US"/>
        </w:rPr>
        <w:t xml:space="preserve">The Birth of Tragedy out of the Spirit of Music </w:t>
      </w:r>
      <w:r w:rsidRPr="00840F76">
        <w:rPr>
          <w:rFonts w:ascii="Times" w:hAnsi="Times" w:cs="Times New Roman"/>
          <w:lang w:val="en-US"/>
        </w:rPr>
        <w:t xml:space="preserve">to Wagner in 1872, but later revised his praise of the Gesamtkunstwerk and its philosophy, claiming that Wagner exemplified an intoxicating type of decadence: ‘I am, no less than Wagner, a child of this time; that is, a decadent: but I comprehended this; I resisted it. The philosopher in me resisted.’ Friedrich Nietzsche, </w:t>
      </w:r>
      <w:r w:rsidRPr="00840F76">
        <w:rPr>
          <w:rFonts w:ascii="Times" w:hAnsi="Times" w:cs="Times New Roman"/>
          <w:i/>
          <w:lang w:val="en-US"/>
        </w:rPr>
        <w:t>The Case of Wagner</w:t>
      </w:r>
      <w:r w:rsidRPr="00840F76">
        <w:rPr>
          <w:rFonts w:ascii="Times" w:hAnsi="Times" w:cs="Times New Roman"/>
          <w:lang w:val="en-US"/>
        </w:rPr>
        <w:t xml:space="preserve"> (1888) in </w:t>
      </w:r>
      <w:r w:rsidRPr="00840F76">
        <w:rPr>
          <w:rFonts w:ascii="Times" w:hAnsi="Times" w:cs="Times New Roman"/>
          <w:i/>
          <w:lang w:val="en-US"/>
        </w:rPr>
        <w:t>The Birth of Tragedy and the Case of Wagner</w:t>
      </w:r>
      <w:r w:rsidRPr="00840F76">
        <w:rPr>
          <w:rFonts w:ascii="Times" w:hAnsi="Times" w:cs="Times New Roman"/>
          <w:lang w:val="en-US"/>
        </w:rPr>
        <w:t xml:space="preserve">, trans. by Walter Kaufmann (New York: Vintage, 1967), p. 155. Such readings of Wagner persisted for a century or so, with Susan Sontag declaring that Wagner is ‘just enjoyed as a drug’. Susan Sontag, ‘Wagner’s Fluids’, quoted in John </w:t>
      </w:r>
      <w:proofErr w:type="spellStart"/>
      <w:r w:rsidRPr="00840F76">
        <w:rPr>
          <w:rFonts w:ascii="Times" w:hAnsi="Times" w:cs="Times New Roman"/>
          <w:lang w:val="en-US"/>
        </w:rPr>
        <w:t>Deathridge</w:t>
      </w:r>
      <w:proofErr w:type="spellEnd"/>
      <w:r w:rsidRPr="00840F76">
        <w:rPr>
          <w:rFonts w:ascii="Times" w:hAnsi="Times" w:cs="Times New Roman"/>
          <w:lang w:val="en-US"/>
        </w:rPr>
        <w:t xml:space="preserve">, ‘A Brief History of Wagner Research’, in </w:t>
      </w:r>
      <w:r w:rsidRPr="00840F76">
        <w:rPr>
          <w:rFonts w:ascii="Times" w:hAnsi="Times" w:cs="Times New Roman"/>
          <w:i/>
          <w:lang w:val="en-US"/>
        </w:rPr>
        <w:t>Wagner Handbook</w:t>
      </w:r>
      <w:r w:rsidRPr="00840F76">
        <w:rPr>
          <w:rFonts w:ascii="Times" w:hAnsi="Times" w:cs="Times New Roman"/>
          <w:lang w:val="en-US"/>
        </w:rPr>
        <w:t xml:space="preserve">, ed. by Ulrich Müller and Peter </w:t>
      </w:r>
      <w:proofErr w:type="spellStart"/>
      <w:r w:rsidRPr="00840F76">
        <w:rPr>
          <w:rFonts w:ascii="Times" w:hAnsi="Times" w:cs="Times New Roman"/>
          <w:lang w:val="en-US"/>
        </w:rPr>
        <w:t>Wapnewski</w:t>
      </w:r>
      <w:proofErr w:type="spellEnd"/>
      <w:r w:rsidRPr="00840F76">
        <w:rPr>
          <w:rFonts w:ascii="Times" w:hAnsi="Times" w:cs="Times New Roman"/>
          <w:lang w:val="en-US"/>
        </w:rPr>
        <w:t xml:space="preserve"> (Cambridge, MA: Harvard University Press, 1992), pp. 202-23 (p. 216). </w:t>
      </w:r>
    </w:p>
  </w:endnote>
  <w:endnote w:id="28">
    <w:p w14:paraId="2DE6A200" w14:textId="142DE7DD" w:rsidR="00840F76" w:rsidRPr="00840F76" w:rsidRDefault="00840F76" w:rsidP="001B77DD">
      <w:pPr>
        <w:pStyle w:val="EndnoteText"/>
        <w:spacing w:line="276" w:lineRule="auto"/>
        <w:rPr>
          <w:rFonts w:ascii="Times" w:hAnsi="Times" w:cs="Times New Roman"/>
        </w:rPr>
      </w:pPr>
      <w:r w:rsidRPr="00840F76">
        <w:rPr>
          <w:rStyle w:val="EndnoteReference"/>
          <w:rFonts w:ascii="Times" w:hAnsi="Times" w:cs="Times New Roman"/>
          <w:sz w:val="20"/>
        </w:rPr>
        <w:endnoteRef/>
      </w:r>
      <w:r w:rsidRPr="00840F76">
        <w:rPr>
          <w:rFonts w:ascii="Times" w:hAnsi="Times" w:cs="Times New Roman"/>
        </w:rPr>
        <w:t xml:space="preserve"> Juliet</w:t>
      </w:r>
      <w:r w:rsidRPr="00840F76">
        <w:rPr>
          <w:rFonts w:ascii="Times" w:hAnsi="Times" w:cs="Times New Roman"/>
          <w:b/>
        </w:rPr>
        <w:t xml:space="preserve"> </w:t>
      </w:r>
      <w:r w:rsidRPr="00840F76">
        <w:rPr>
          <w:rFonts w:ascii="Times" w:hAnsi="Times" w:cs="Times New Roman"/>
        </w:rPr>
        <w:t xml:space="preserve">Koss, </w:t>
      </w:r>
      <w:r w:rsidRPr="00840F76">
        <w:rPr>
          <w:rFonts w:ascii="Times" w:hAnsi="Times" w:cs="Times New Roman"/>
          <w:i/>
          <w:lang w:val="en-US"/>
        </w:rPr>
        <w:t xml:space="preserve">Modernism After Wagner </w:t>
      </w:r>
      <w:r w:rsidRPr="00840F76">
        <w:rPr>
          <w:rFonts w:ascii="Times" w:hAnsi="Times" w:cs="Times New Roman"/>
          <w:lang w:val="en-US"/>
        </w:rPr>
        <w:t>(Minneapolis: University of Minnesota Press, 2010), p. xiv</w:t>
      </w:r>
      <w:r w:rsidRPr="00840F76">
        <w:rPr>
          <w:rFonts w:ascii="Times" w:hAnsi="Times" w:cs="Times New Roman"/>
          <w:i/>
          <w:lang w:val="en-US"/>
        </w:rPr>
        <w:t xml:space="preserve">. </w:t>
      </w:r>
      <w:r w:rsidRPr="00840F76">
        <w:rPr>
          <w:rFonts w:ascii="Times" w:hAnsi="Times" w:cs="Times New Roman"/>
          <w:lang w:val="en-US"/>
        </w:rPr>
        <w:t xml:space="preserve">David Roberts, </w:t>
      </w:r>
      <w:r w:rsidRPr="00840F76">
        <w:rPr>
          <w:rFonts w:ascii="Times" w:hAnsi="Times" w:cs="Times New Roman"/>
          <w:i/>
          <w:lang w:val="en-US"/>
        </w:rPr>
        <w:t xml:space="preserve">The Total Work of Art in European Modernism </w:t>
      </w:r>
      <w:r w:rsidRPr="00840F76">
        <w:rPr>
          <w:rFonts w:ascii="Times" w:hAnsi="Times" w:cs="Times New Roman"/>
          <w:lang w:val="en-US"/>
        </w:rPr>
        <w:t xml:space="preserve">(Ithaca, NY: Cornell University Press, 2011), p. 11. </w:t>
      </w:r>
      <w:r w:rsidRPr="00840F76">
        <w:rPr>
          <w:rFonts w:ascii="Times" w:hAnsi="Times" w:cs="Times New Roman"/>
        </w:rPr>
        <w:t xml:space="preserve">Juliet Koss identifies that the term ‘Gesamtkunstwerk’ did not originate with Wagner and his shifting theorisation of it had many influences. The term itself has been traced back to the 1827 writing of Berlin philosopher Karl Friedrich Eusebius </w:t>
      </w:r>
      <w:proofErr w:type="spellStart"/>
      <w:r w:rsidRPr="00840F76">
        <w:rPr>
          <w:rFonts w:ascii="Times" w:hAnsi="Times" w:cs="Times New Roman"/>
        </w:rPr>
        <w:t>Trahndorff</w:t>
      </w:r>
      <w:proofErr w:type="spellEnd"/>
      <w:r w:rsidRPr="00840F76">
        <w:rPr>
          <w:rFonts w:ascii="Times" w:hAnsi="Times" w:cs="Times New Roman"/>
        </w:rPr>
        <w:t xml:space="preserve">. She shows that Wagner’s particular conception of the Gesamtkunstwerk shares a number of elements in common with those from whom he developed his ideas, and provides examples of writing – by Georg Wilhelm </w:t>
      </w:r>
      <w:proofErr w:type="spellStart"/>
      <w:r w:rsidRPr="00840F76">
        <w:rPr>
          <w:rFonts w:ascii="Times" w:hAnsi="Times" w:cs="Times New Roman"/>
        </w:rPr>
        <w:t>Freidrich</w:t>
      </w:r>
      <w:proofErr w:type="spellEnd"/>
      <w:r w:rsidRPr="00840F76">
        <w:rPr>
          <w:rFonts w:ascii="Times" w:hAnsi="Times" w:cs="Times New Roman"/>
        </w:rPr>
        <w:t xml:space="preserve"> Hegel, Friedrich </w:t>
      </w:r>
      <w:proofErr w:type="spellStart"/>
      <w:r w:rsidRPr="00840F76">
        <w:rPr>
          <w:rFonts w:ascii="Times" w:hAnsi="Times" w:cs="Times New Roman"/>
        </w:rPr>
        <w:t>Wilhlem</w:t>
      </w:r>
      <w:proofErr w:type="spellEnd"/>
      <w:r w:rsidRPr="00840F76">
        <w:rPr>
          <w:rFonts w:ascii="Times" w:hAnsi="Times" w:cs="Times New Roman"/>
        </w:rPr>
        <w:t xml:space="preserve"> Joseph Schelling and Arthur Schopenhauer, and composer (and Wagner’s predecessor as composer to the Dresden court) Carl Maria von Weber – that contains markedly similar formulations of the value of uniting words, poetry and dance through a return to concepts associated with Greek tragic drama. Koss, </w:t>
      </w:r>
      <w:r w:rsidRPr="00840F76">
        <w:rPr>
          <w:rFonts w:ascii="Times" w:hAnsi="Times" w:cs="Times New Roman"/>
          <w:i/>
          <w:lang w:val="en-US"/>
        </w:rPr>
        <w:t>Modernism After Wagner</w:t>
      </w:r>
      <w:r w:rsidRPr="00840F76">
        <w:rPr>
          <w:rFonts w:ascii="Times" w:hAnsi="Times" w:cs="Times New Roman"/>
          <w:lang w:val="en-US"/>
        </w:rPr>
        <w:t xml:space="preserve">, </w:t>
      </w:r>
      <w:r w:rsidRPr="00840F76">
        <w:rPr>
          <w:rFonts w:ascii="Times" w:hAnsi="Times" w:cs="Times New Roman"/>
        </w:rPr>
        <w:t>pp. 13, 11, 12.</w:t>
      </w:r>
    </w:p>
  </w:endnote>
  <w:endnote w:id="29">
    <w:p w14:paraId="5EC309B4" w14:textId="04F61F39"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Wagner refers to the ‘common art of Greece’ as the pinnacle of artistic and social cohesion, claiming that after ‘the shattering of the Greek religion, from the wreck of the Grecian Nature-State, and its resolution into the Political State-, from the splintering of the common Tragic Artwork</w:t>
      </w:r>
      <w:proofErr w:type="gramStart"/>
      <w:r w:rsidRPr="00840F76">
        <w:rPr>
          <w:rFonts w:ascii="Times" w:hAnsi="Times" w:cs="Times New Roman"/>
          <w:lang w:val="en-US"/>
        </w:rPr>
        <w:t>,-</w:t>
      </w:r>
      <w:proofErr w:type="gramEnd"/>
      <w:r w:rsidRPr="00840F76">
        <w:rPr>
          <w:rFonts w:ascii="Times" w:hAnsi="Times" w:cs="Times New Roman"/>
          <w:lang w:val="en-US"/>
        </w:rPr>
        <w:t xml:space="preserve"> the manhood of world-history begins with measured tread its new gigantic march of evolution, from the fallen natural </w:t>
      </w:r>
      <w:proofErr w:type="spellStart"/>
      <w:r w:rsidRPr="00840F76">
        <w:rPr>
          <w:rFonts w:ascii="Times" w:hAnsi="Times" w:cs="Times New Roman"/>
          <w:lang w:val="en-US"/>
        </w:rPr>
        <w:t>kinsmanship</w:t>
      </w:r>
      <w:proofErr w:type="spellEnd"/>
      <w:r w:rsidRPr="00840F76">
        <w:rPr>
          <w:rFonts w:ascii="Times" w:hAnsi="Times" w:cs="Times New Roman"/>
          <w:lang w:val="en-US"/>
        </w:rPr>
        <w:t xml:space="preserve"> of national community to the universal fellowship of all mankind.’ Richard Wagner, </w:t>
      </w:r>
      <w:r w:rsidRPr="00840F76">
        <w:rPr>
          <w:rFonts w:ascii="Times" w:hAnsi="Times" w:cs="Times New Roman"/>
          <w:i/>
          <w:lang w:val="en-US"/>
        </w:rPr>
        <w:t xml:space="preserve">The Art-Work of the Future, </w:t>
      </w:r>
      <w:r w:rsidRPr="00840F76">
        <w:rPr>
          <w:rFonts w:ascii="Times" w:hAnsi="Times" w:cs="Times New Roman"/>
          <w:lang w:val="en-US"/>
        </w:rPr>
        <w:t xml:space="preserve">in </w:t>
      </w:r>
      <w:r w:rsidRPr="00840F76">
        <w:rPr>
          <w:rFonts w:ascii="Times" w:hAnsi="Times" w:cs="Times New Roman"/>
          <w:i/>
          <w:lang w:val="en-US"/>
        </w:rPr>
        <w:t xml:space="preserve">Richard Wagner’s Prose Works, </w:t>
      </w:r>
      <w:r w:rsidRPr="00840F76">
        <w:rPr>
          <w:rFonts w:ascii="Times" w:hAnsi="Times" w:cs="Times New Roman"/>
          <w:lang w:val="en-US"/>
        </w:rPr>
        <w:t xml:space="preserve">vol. 1, </w:t>
      </w:r>
      <w:r w:rsidRPr="00840F76">
        <w:rPr>
          <w:rFonts w:ascii="Times" w:hAnsi="Times" w:cs="Times New Roman"/>
          <w:i/>
          <w:lang w:val="en-US"/>
        </w:rPr>
        <w:t>The Art-Work of the Future and other Works</w:t>
      </w:r>
      <w:r w:rsidRPr="00840F76">
        <w:rPr>
          <w:rFonts w:ascii="Times" w:hAnsi="Times" w:cs="Times New Roman"/>
          <w:lang w:val="en-US"/>
        </w:rPr>
        <w:t>, trans. by William Ashton Ellis (Lincoln: University of Nebraska Press, 1993), pp. 90, 166.</w:t>
      </w:r>
    </w:p>
  </w:endnote>
  <w:endnote w:id="30">
    <w:p w14:paraId="7B58268A"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Wagner, </w:t>
      </w:r>
      <w:proofErr w:type="gramStart"/>
      <w:r w:rsidRPr="00840F76">
        <w:rPr>
          <w:rFonts w:ascii="Times" w:hAnsi="Times" w:cs="Times New Roman"/>
          <w:i/>
          <w:lang w:val="en-US"/>
        </w:rPr>
        <w:t>The</w:t>
      </w:r>
      <w:proofErr w:type="gramEnd"/>
      <w:r w:rsidRPr="00840F76">
        <w:rPr>
          <w:rFonts w:ascii="Times" w:hAnsi="Times" w:cs="Times New Roman"/>
          <w:i/>
          <w:lang w:val="en-US"/>
        </w:rPr>
        <w:t xml:space="preserve"> Art-Work of the Future,</w:t>
      </w:r>
      <w:r w:rsidRPr="00840F76">
        <w:rPr>
          <w:rFonts w:ascii="Times" w:hAnsi="Times" w:cs="Times New Roman"/>
          <w:lang w:val="en-US"/>
        </w:rPr>
        <w:t xml:space="preserve"> pp. 84-85, 183.</w:t>
      </w:r>
    </w:p>
  </w:endnote>
  <w:endnote w:id="31">
    <w:p w14:paraId="7FCB7F67" w14:textId="6E250555"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Ibid, p. 90.</w:t>
      </w:r>
    </w:p>
  </w:endnote>
  <w:endnote w:id="32">
    <w:p w14:paraId="3CE39B9D"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Andrew Frayn, </w:t>
      </w:r>
      <w:r w:rsidRPr="00840F76">
        <w:rPr>
          <w:rFonts w:ascii="Times" w:hAnsi="Times" w:cs="Times New Roman"/>
          <w:i/>
          <w:sz w:val="20"/>
          <w:szCs w:val="20"/>
          <w:lang w:val="en-US"/>
        </w:rPr>
        <w:t xml:space="preserve">Writing Disenchantment: British First World War Prose, 1914–1930 </w:t>
      </w:r>
      <w:r w:rsidRPr="00840F76">
        <w:rPr>
          <w:rFonts w:ascii="Times" w:hAnsi="Times" w:cs="Times New Roman"/>
          <w:sz w:val="20"/>
          <w:szCs w:val="20"/>
          <w:lang w:val="en-US"/>
        </w:rPr>
        <w:t>(Manchester: Manchester University Press, 2014), p. 163.</w:t>
      </w:r>
    </w:p>
  </w:endnote>
  <w:endnote w:id="33">
    <w:p w14:paraId="02D59FFE" w14:textId="403FC71C"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Ford, </w:t>
      </w:r>
      <w:r w:rsidRPr="00840F76">
        <w:rPr>
          <w:rFonts w:ascii="Times" w:hAnsi="Times" w:cs="Times New Roman"/>
          <w:i/>
          <w:sz w:val="20"/>
          <w:szCs w:val="20"/>
          <w:lang w:val="en-US"/>
        </w:rPr>
        <w:t>No More Parades</w:t>
      </w:r>
      <w:r w:rsidRPr="00840F76">
        <w:rPr>
          <w:rFonts w:ascii="Times" w:hAnsi="Times" w:cs="Times New Roman"/>
          <w:sz w:val="20"/>
          <w:szCs w:val="20"/>
          <w:lang w:val="en-US"/>
        </w:rPr>
        <w:t xml:space="preserve">, ed. by Joseph </w:t>
      </w:r>
      <w:proofErr w:type="spellStart"/>
      <w:r w:rsidRPr="00840F76">
        <w:rPr>
          <w:rFonts w:ascii="Times" w:hAnsi="Times" w:cs="Times New Roman"/>
          <w:sz w:val="20"/>
          <w:szCs w:val="20"/>
          <w:lang w:val="en-US"/>
        </w:rPr>
        <w:t>Wiesenfarth</w:t>
      </w:r>
      <w:proofErr w:type="spellEnd"/>
      <w:r w:rsidRPr="00840F76">
        <w:rPr>
          <w:rFonts w:ascii="Times" w:hAnsi="Times" w:cs="Times New Roman"/>
          <w:sz w:val="20"/>
          <w:szCs w:val="20"/>
          <w:lang w:val="en-US"/>
        </w:rPr>
        <w:t xml:space="preserve"> (Manchester: </w:t>
      </w:r>
      <w:proofErr w:type="spellStart"/>
      <w:r w:rsidRPr="00840F76">
        <w:rPr>
          <w:rFonts w:ascii="Times" w:hAnsi="Times" w:cs="Times New Roman"/>
          <w:sz w:val="20"/>
          <w:szCs w:val="20"/>
          <w:lang w:val="en-US"/>
        </w:rPr>
        <w:t>Carcanet</w:t>
      </w:r>
      <w:proofErr w:type="spellEnd"/>
      <w:r w:rsidRPr="00840F76">
        <w:rPr>
          <w:rFonts w:ascii="Times" w:hAnsi="Times" w:cs="Times New Roman"/>
          <w:sz w:val="20"/>
          <w:szCs w:val="20"/>
          <w:lang w:val="en-US"/>
        </w:rPr>
        <w:t xml:space="preserve">, 2011), p. </w:t>
      </w:r>
      <w:r w:rsidRPr="00840F76">
        <w:rPr>
          <w:rFonts w:ascii="Times" w:hAnsi="Times" w:cs="Times New Roman"/>
          <w:sz w:val="20"/>
          <w:szCs w:val="20"/>
        </w:rPr>
        <w:t>25.</w:t>
      </w:r>
    </w:p>
  </w:endnote>
  <w:endnote w:id="34">
    <w:p w14:paraId="58679176"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proofErr w:type="spellStart"/>
      <w:r w:rsidRPr="00840F76">
        <w:rPr>
          <w:rFonts w:ascii="Times" w:hAnsi="Times" w:cs="Times New Roman"/>
          <w:lang w:val="en-US"/>
        </w:rPr>
        <w:t>Attali</w:t>
      </w:r>
      <w:proofErr w:type="spellEnd"/>
      <w:r w:rsidRPr="00840F76">
        <w:rPr>
          <w:rFonts w:ascii="Times" w:hAnsi="Times" w:cs="Times New Roman"/>
          <w:lang w:val="en-US"/>
        </w:rPr>
        <w:t xml:space="preserve">, </w:t>
      </w:r>
      <w:r w:rsidRPr="00840F76">
        <w:rPr>
          <w:rFonts w:ascii="Times" w:hAnsi="Times" w:cs="Times New Roman"/>
          <w:i/>
          <w:lang w:val="en-US"/>
        </w:rPr>
        <w:t>Noise</w:t>
      </w:r>
      <w:r w:rsidRPr="00840F76">
        <w:rPr>
          <w:rFonts w:ascii="Times" w:hAnsi="Times" w:cs="Times New Roman"/>
          <w:lang w:val="en-US"/>
        </w:rPr>
        <w:t>, p. 10.</w:t>
      </w:r>
    </w:p>
  </w:endnote>
  <w:endnote w:id="35">
    <w:p w14:paraId="184452EF" w14:textId="7ABE910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Angus </w:t>
      </w:r>
      <w:proofErr w:type="spellStart"/>
      <w:r w:rsidRPr="00840F76">
        <w:rPr>
          <w:rFonts w:ascii="Times" w:hAnsi="Times" w:cs="Times New Roman"/>
        </w:rPr>
        <w:t>Wrenn</w:t>
      </w:r>
      <w:proofErr w:type="spellEnd"/>
      <w:r w:rsidRPr="00840F76">
        <w:rPr>
          <w:rFonts w:ascii="Times" w:hAnsi="Times" w:cs="Times New Roman"/>
        </w:rPr>
        <w:t xml:space="preserve"> has demonstrated the many references to Wagner in ‘Wagner’s </w:t>
      </w:r>
      <w:r w:rsidRPr="00840F76">
        <w:rPr>
          <w:rFonts w:ascii="Times" w:hAnsi="Times" w:cs="Times New Roman"/>
          <w:i/>
        </w:rPr>
        <w:t xml:space="preserve">Ring </w:t>
      </w:r>
      <w:r w:rsidRPr="00840F76">
        <w:rPr>
          <w:rFonts w:ascii="Times" w:hAnsi="Times" w:cs="Times New Roman"/>
        </w:rPr>
        <w:t xml:space="preserve">Cycle and </w:t>
      </w:r>
      <w:r w:rsidRPr="00840F76">
        <w:rPr>
          <w:rFonts w:ascii="Times" w:hAnsi="Times" w:cs="Times New Roman"/>
          <w:i/>
        </w:rPr>
        <w:t>Parade’s End</w:t>
      </w:r>
      <w:r w:rsidRPr="00840F76">
        <w:rPr>
          <w:rFonts w:ascii="Times" w:hAnsi="Times" w:cs="Times New Roman"/>
        </w:rPr>
        <w:t xml:space="preserve">’, in </w:t>
      </w:r>
      <w:r w:rsidRPr="00840F76">
        <w:rPr>
          <w:rFonts w:ascii="Times" w:hAnsi="Times" w:cs="Times New Roman"/>
          <w:i/>
        </w:rPr>
        <w:t xml:space="preserve">Ford </w:t>
      </w:r>
      <w:proofErr w:type="spellStart"/>
      <w:r w:rsidRPr="00840F76">
        <w:rPr>
          <w:rFonts w:ascii="Times" w:hAnsi="Times" w:cs="Times New Roman"/>
          <w:i/>
        </w:rPr>
        <w:t>Madox</w:t>
      </w:r>
      <w:proofErr w:type="spellEnd"/>
      <w:r w:rsidRPr="00840F76">
        <w:rPr>
          <w:rFonts w:ascii="Times" w:hAnsi="Times" w:cs="Times New Roman"/>
          <w:i/>
        </w:rPr>
        <w:t xml:space="preserve"> Ford’s Parade’s End: The First World War, Culture, and Modernity</w:t>
      </w:r>
      <w:r w:rsidRPr="00840F76">
        <w:rPr>
          <w:rFonts w:ascii="Times" w:hAnsi="Times" w:cs="Times New Roman"/>
        </w:rPr>
        <w:t xml:space="preserve">, ed. Ashley </w:t>
      </w:r>
      <w:proofErr w:type="spellStart"/>
      <w:r w:rsidRPr="00840F76">
        <w:rPr>
          <w:rFonts w:ascii="Times" w:hAnsi="Times" w:cs="Times New Roman"/>
        </w:rPr>
        <w:t>Chantler</w:t>
      </w:r>
      <w:proofErr w:type="spellEnd"/>
      <w:r w:rsidRPr="00840F76">
        <w:rPr>
          <w:rFonts w:ascii="Times" w:hAnsi="Times" w:cs="Times New Roman"/>
        </w:rPr>
        <w:t xml:space="preserve"> and Rob Hawkes (Amsterdam: </w:t>
      </w:r>
      <w:proofErr w:type="spellStart"/>
      <w:r w:rsidRPr="00840F76">
        <w:rPr>
          <w:rFonts w:ascii="Times" w:hAnsi="Times" w:cs="Times New Roman"/>
        </w:rPr>
        <w:t>Rodpoi</w:t>
      </w:r>
      <w:proofErr w:type="spellEnd"/>
      <w:r w:rsidRPr="00840F76">
        <w:rPr>
          <w:rFonts w:ascii="Times" w:hAnsi="Times" w:cs="Times New Roman"/>
        </w:rPr>
        <w:t>, 2014), pp. 67-80.</w:t>
      </w:r>
      <w:r w:rsidRPr="00840F76">
        <w:rPr>
          <w:rFonts w:ascii="Times" w:hAnsi="Times" w:cs="Times New Roman"/>
          <w:i/>
        </w:rPr>
        <w:t xml:space="preserve"> </w:t>
      </w:r>
      <w:r w:rsidRPr="00840F76">
        <w:rPr>
          <w:rFonts w:ascii="Times" w:hAnsi="Times" w:cs="Times New Roman"/>
          <w:lang w:val="en-US"/>
        </w:rPr>
        <w:t xml:space="preserve">Laura </w:t>
      </w:r>
      <w:proofErr w:type="spellStart"/>
      <w:r w:rsidRPr="00840F76">
        <w:rPr>
          <w:rFonts w:ascii="Times" w:hAnsi="Times" w:cs="Times New Roman"/>
          <w:lang w:val="en-US"/>
        </w:rPr>
        <w:t>Colombino</w:t>
      </w:r>
      <w:proofErr w:type="spellEnd"/>
      <w:r w:rsidRPr="00840F76">
        <w:rPr>
          <w:rFonts w:ascii="Times" w:hAnsi="Times" w:cs="Times New Roman"/>
          <w:lang w:val="en-US"/>
        </w:rPr>
        <w:t xml:space="preserve"> has explored Ford’s interest in the gaze and how this is related to visual culture. Laura </w:t>
      </w:r>
      <w:proofErr w:type="spellStart"/>
      <w:r w:rsidRPr="00840F76">
        <w:rPr>
          <w:rFonts w:ascii="Times" w:hAnsi="Times" w:cs="Times New Roman"/>
          <w:lang w:val="en-US"/>
        </w:rPr>
        <w:t>Colombino</w:t>
      </w:r>
      <w:proofErr w:type="spellEnd"/>
      <w:r w:rsidRPr="00840F76">
        <w:rPr>
          <w:rFonts w:ascii="Times" w:hAnsi="Times" w:cs="Times New Roman"/>
          <w:lang w:val="en-US"/>
        </w:rPr>
        <w:t xml:space="preserve">, </w:t>
      </w:r>
      <w:r w:rsidRPr="00840F76">
        <w:rPr>
          <w:rFonts w:ascii="Times" w:hAnsi="Times" w:cs="Times New Roman"/>
          <w:i/>
          <w:lang w:val="en-US"/>
        </w:rPr>
        <w:t xml:space="preserve">Ford </w:t>
      </w:r>
      <w:proofErr w:type="spellStart"/>
      <w:r w:rsidRPr="00840F76">
        <w:rPr>
          <w:rFonts w:ascii="Times" w:hAnsi="Times" w:cs="Times New Roman"/>
          <w:i/>
          <w:lang w:val="en-US"/>
        </w:rPr>
        <w:t>Madox</w:t>
      </w:r>
      <w:proofErr w:type="spellEnd"/>
      <w:r w:rsidRPr="00840F76">
        <w:rPr>
          <w:rFonts w:ascii="Times" w:hAnsi="Times" w:cs="Times New Roman"/>
          <w:i/>
          <w:lang w:val="en-US"/>
        </w:rPr>
        <w:t xml:space="preserve"> Ford: Vision, </w:t>
      </w:r>
      <w:proofErr w:type="spellStart"/>
      <w:r w:rsidRPr="00840F76">
        <w:rPr>
          <w:rFonts w:ascii="Times" w:hAnsi="Times" w:cs="Times New Roman"/>
          <w:i/>
          <w:lang w:val="en-US"/>
        </w:rPr>
        <w:t>Visuality</w:t>
      </w:r>
      <w:proofErr w:type="spellEnd"/>
      <w:r w:rsidRPr="00840F76">
        <w:rPr>
          <w:rFonts w:ascii="Times" w:hAnsi="Times" w:cs="Times New Roman"/>
          <w:i/>
          <w:lang w:val="en-US"/>
        </w:rPr>
        <w:t xml:space="preserve"> and Writing</w:t>
      </w:r>
      <w:r w:rsidRPr="00840F76">
        <w:rPr>
          <w:rFonts w:ascii="Times" w:hAnsi="Times" w:cs="Times New Roman"/>
          <w:lang w:val="en-US"/>
        </w:rPr>
        <w:t xml:space="preserve"> (Bern: Peter Lang, 2008).</w:t>
      </w:r>
    </w:p>
  </w:endnote>
  <w:endnote w:id="36">
    <w:p w14:paraId="102E56FF" w14:textId="08A4823D"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Rebekah Lockyer, ‘Ford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Ford’s Musical Legacy: </w:t>
      </w:r>
      <w:r w:rsidRPr="00840F76">
        <w:rPr>
          <w:rFonts w:ascii="Times" w:hAnsi="Times" w:cs="Times New Roman"/>
          <w:i/>
          <w:sz w:val="20"/>
          <w:szCs w:val="20"/>
          <w:lang w:val="en-US"/>
        </w:rPr>
        <w:t>Parade’s End</w:t>
      </w:r>
      <w:r w:rsidRPr="00840F76">
        <w:rPr>
          <w:rFonts w:ascii="Times" w:hAnsi="Times" w:cs="Times New Roman"/>
          <w:sz w:val="20"/>
          <w:szCs w:val="20"/>
          <w:lang w:val="en-US"/>
        </w:rPr>
        <w:t xml:space="preserve"> and Wagner’, </w:t>
      </w:r>
      <w:r w:rsidRPr="00840F76">
        <w:rPr>
          <w:rFonts w:ascii="Times" w:hAnsi="Times" w:cs="Times New Roman"/>
          <w:i/>
          <w:sz w:val="20"/>
          <w:szCs w:val="20"/>
          <w:lang w:val="en-US"/>
        </w:rPr>
        <w:t>Forum for Modern Language Studies</w:t>
      </w:r>
      <w:r w:rsidRPr="00840F76">
        <w:rPr>
          <w:rFonts w:ascii="Times" w:hAnsi="Times" w:cs="Times New Roman"/>
          <w:sz w:val="20"/>
          <w:szCs w:val="20"/>
          <w:lang w:val="en-US"/>
        </w:rPr>
        <w:t>, 50.4 (2014), pp. 426-452 (p. 426).</w:t>
      </w:r>
    </w:p>
  </w:endnote>
  <w:endnote w:id="37">
    <w:p w14:paraId="5CCC22A4" w14:textId="299455A7" w:rsidR="00840F76" w:rsidRPr="00840F76" w:rsidRDefault="00840F76" w:rsidP="001B77DD">
      <w:pPr>
        <w:spacing w:line="276" w:lineRule="auto"/>
        <w:jc w:val="both"/>
        <w:rPr>
          <w:rFonts w:ascii="Times" w:hAnsi="Times" w:cs="Times New Roman"/>
          <w:sz w:val="20"/>
          <w:szCs w:val="20"/>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Alexandra </w:t>
      </w:r>
      <w:proofErr w:type="spellStart"/>
      <w:r w:rsidRPr="00840F76">
        <w:rPr>
          <w:rFonts w:ascii="Times" w:hAnsi="Times" w:cs="Times New Roman"/>
          <w:sz w:val="20"/>
          <w:szCs w:val="20"/>
          <w:lang w:val="en-US"/>
        </w:rPr>
        <w:t>Becquet</w:t>
      </w:r>
      <w:proofErr w:type="spellEnd"/>
      <w:r w:rsidRPr="00840F76">
        <w:rPr>
          <w:rFonts w:ascii="Times" w:hAnsi="Times" w:cs="Times New Roman"/>
          <w:sz w:val="20"/>
          <w:szCs w:val="20"/>
          <w:lang w:val="en-US"/>
        </w:rPr>
        <w:t xml:space="preserve">, ‘Composing the War and the Mind: Composing Parade’s End’, in </w:t>
      </w:r>
      <w:r w:rsidRPr="00840F76">
        <w:rPr>
          <w:rFonts w:ascii="Times" w:hAnsi="Times" w:cs="Times New Roman"/>
          <w:i/>
          <w:sz w:val="20"/>
          <w:szCs w:val="20"/>
          <w:lang w:val="en-US"/>
        </w:rPr>
        <w:t xml:space="preserve">War and the Mind: Ford </w:t>
      </w:r>
      <w:proofErr w:type="spellStart"/>
      <w:r w:rsidRPr="00840F76">
        <w:rPr>
          <w:rFonts w:ascii="Times" w:hAnsi="Times" w:cs="Times New Roman"/>
          <w:i/>
          <w:sz w:val="20"/>
          <w:szCs w:val="20"/>
          <w:lang w:val="en-US"/>
        </w:rPr>
        <w:t>Madox</w:t>
      </w:r>
      <w:proofErr w:type="spellEnd"/>
      <w:r w:rsidRPr="00840F76">
        <w:rPr>
          <w:rFonts w:ascii="Times" w:hAnsi="Times" w:cs="Times New Roman"/>
          <w:i/>
          <w:sz w:val="20"/>
          <w:szCs w:val="20"/>
          <w:lang w:val="en-US"/>
        </w:rPr>
        <w:t xml:space="preserve"> Ford’s Parade’s End, Modernism and Psychology</w:t>
      </w:r>
      <w:r w:rsidRPr="00840F76">
        <w:rPr>
          <w:rFonts w:ascii="Times" w:hAnsi="Times" w:cs="Times New Roman"/>
          <w:sz w:val="20"/>
          <w:szCs w:val="20"/>
          <w:lang w:val="en-US"/>
        </w:rPr>
        <w:t xml:space="preserve">, ed. by Ashley </w:t>
      </w:r>
      <w:proofErr w:type="spellStart"/>
      <w:r w:rsidRPr="00840F76">
        <w:rPr>
          <w:rFonts w:ascii="Times" w:hAnsi="Times" w:cs="Times New Roman"/>
          <w:sz w:val="20"/>
          <w:szCs w:val="20"/>
          <w:lang w:val="en-US"/>
        </w:rPr>
        <w:t>Chantler</w:t>
      </w:r>
      <w:proofErr w:type="spellEnd"/>
      <w:r w:rsidRPr="00840F76">
        <w:rPr>
          <w:rFonts w:ascii="Times" w:hAnsi="Times" w:cs="Times New Roman"/>
          <w:sz w:val="20"/>
          <w:szCs w:val="20"/>
          <w:lang w:val="en-US"/>
        </w:rPr>
        <w:t xml:space="preserve"> and Rob Hawkes (Edinburgh: Edinburgh University Press, 2015), pp. 93-111 (p. 93). See also </w:t>
      </w:r>
      <w:r w:rsidRPr="00840F76">
        <w:rPr>
          <w:rFonts w:ascii="Times" w:hAnsi="Times" w:cs="Times New Roman"/>
          <w:sz w:val="20"/>
          <w:szCs w:val="20"/>
        </w:rPr>
        <w:t xml:space="preserve">Helen </w:t>
      </w:r>
      <w:proofErr w:type="spellStart"/>
      <w:r w:rsidRPr="00840F76">
        <w:rPr>
          <w:rFonts w:ascii="Times" w:hAnsi="Times" w:cs="Times New Roman"/>
          <w:sz w:val="20"/>
          <w:szCs w:val="20"/>
        </w:rPr>
        <w:t>Borowitz</w:t>
      </w:r>
      <w:proofErr w:type="spellEnd"/>
      <w:r w:rsidRPr="00840F76">
        <w:rPr>
          <w:rFonts w:ascii="Times" w:hAnsi="Times" w:cs="Times New Roman"/>
          <w:sz w:val="20"/>
          <w:szCs w:val="20"/>
        </w:rPr>
        <w:t xml:space="preserve">, ‘The Paint beneath the Prose: Ford </w:t>
      </w:r>
      <w:proofErr w:type="spellStart"/>
      <w:r w:rsidRPr="00840F76">
        <w:rPr>
          <w:rFonts w:ascii="Times" w:hAnsi="Times" w:cs="Times New Roman"/>
          <w:sz w:val="20"/>
          <w:szCs w:val="20"/>
        </w:rPr>
        <w:t>Madox</w:t>
      </w:r>
      <w:proofErr w:type="spellEnd"/>
      <w:r w:rsidRPr="00840F76">
        <w:rPr>
          <w:rFonts w:ascii="Times" w:hAnsi="Times" w:cs="Times New Roman"/>
          <w:sz w:val="20"/>
          <w:szCs w:val="20"/>
        </w:rPr>
        <w:t xml:space="preserve"> Brown’s Pre-Raphaelite Ancestry’, </w:t>
      </w:r>
      <w:r w:rsidRPr="00840F76">
        <w:rPr>
          <w:rFonts w:ascii="Times" w:hAnsi="Times" w:cs="Times New Roman"/>
          <w:i/>
          <w:sz w:val="20"/>
          <w:szCs w:val="20"/>
        </w:rPr>
        <w:t>Modern Fiction Studies</w:t>
      </w:r>
      <w:r w:rsidRPr="00840F76">
        <w:rPr>
          <w:rFonts w:ascii="Times" w:hAnsi="Times" w:cs="Times New Roman"/>
          <w:sz w:val="20"/>
          <w:szCs w:val="20"/>
        </w:rPr>
        <w:t xml:space="preserve"> 21.4 (1975), pp. 483-98.</w:t>
      </w:r>
    </w:p>
  </w:endnote>
  <w:endnote w:id="38">
    <w:p w14:paraId="20A4CD5E" w14:textId="7130C83B"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proofErr w:type="spellStart"/>
      <w:r w:rsidRPr="00840F76">
        <w:rPr>
          <w:rFonts w:ascii="Times" w:hAnsi="Times" w:cs="Times New Roman"/>
          <w:lang w:val="en-US"/>
        </w:rPr>
        <w:t>Bucknell</w:t>
      </w:r>
      <w:proofErr w:type="spellEnd"/>
      <w:r w:rsidRPr="00840F76">
        <w:rPr>
          <w:rFonts w:ascii="Times" w:hAnsi="Times" w:cs="Times New Roman"/>
          <w:lang w:val="en-US"/>
        </w:rPr>
        <w:t>, p. 3.</w:t>
      </w:r>
    </w:p>
  </w:endnote>
  <w:endnote w:id="39">
    <w:p w14:paraId="28AB5C1C"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Lockyer, p. 433.</w:t>
      </w:r>
    </w:p>
  </w:endnote>
  <w:endnote w:id="40">
    <w:p w14:paraId="50F97683" w14:textId="4C56E952"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Pater, ‘The School of Giorgione’, pp. 126-27.</w:t>
      </w:r>
    </w:p>
  </w:endnote>
  <w:endnote w:id="41">
    <w:p w14:paraId="20E67AA2" w14:textId="0F53F649" w:rsidR="00840F76" w:rsidRPr="00840F76" w:rsidRDefault="00840F76" w:rsidP="001B77DD">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Sara Haslam, Introduction to </w:t>
      </w:r>
      <w:r w:rsidRPr="00840F76">
        <w:rPr>
          <w:rFonts w:ascii="Times" w:hAnsi="Times"/>
          <w:i/>
          <w:lang w:val="en-US"/>
        </w:rPr>
        <w:t>A Man Could Stand Up-</w:t>
      </w:r>
      <w:r w:rsidRPr="00840F76">
        <w:rPr>
          <w:rFonts w:ascii="Times" w:hAnsi="Times"/>
          <w:lang w:val="en-US"/>
        </w:rPr>
        <w:t xml:space="preserve">, pp.  </w:t>
      </w:r>
      <w:proofErr w:type="gramStart"/>
      <w:r w:rsidRPr="00840F76">
        <w:rPr>
          <w:rFonts w:ascii="Times" w:hAnsi="Times"/>
          <w:lang w:val="en-US"/>
        </w:rPr>
        <w:t>xviii-xxi</w:t>
      </w:r>
      <w:proofErr w:type="gramEnd"/>
      <w:r w:rsidRPr="00840F76">
        <w:rPr>
          <w:rFonts w:ascii="Times" w:hAnsi="Times"/>
          <w:lang w:val="en-US"/>
        </w:rPr>
        <w:t>.</w:t>
      </w:r>
    </w:p>
  </w:endnote>
  <w:endnote w:id="42">
    <w:p w14:paraId="6D674F82" w14:textId="4B3A7D3B"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Ford </w:t>
      </w:r>
      <w:proofErr w:type="spellStart"/>
      <w:r w:rsidRPr="00840F76">
        <w:rPr>
          <w:rFonts w:ascii="Times" w:hAnsi="Times" w:cs="Times New Roman"/>
        </w:rPr>
        <w:t>Madox</w:t>
      </w:r>
      <w:proofErr w:type="spellEnd"/>
      <w:r w:rsidRPr="00840F76">
        <w:rPr>
          <w:rFonts w:ascii="Times" w:hAnsi="Times" w:cs="Times New Roman"/>
        </w:rPr>
        <w:t xml:space="preserve"> </w:t>
      </w:r>
      <w:proofErr w:type="spellStart"/>
      <w:r w:rsidRPr="00840F76">
        <w:rPr>
          <w:rFonts w:ascii="Times" w:hAnsi="Times" w:cs="Times New Roman"/>
        </w:rPr>
        <w:t>Hueffer</w:t>
      </w:r>
      <w:proofErr w:type="spellEnd"/>
      <w:r w:rsidRPr="00840F76">
        <w:rPr>
          <w:rFonts w:ascii="Times" w:hAnsi="Times" w:cs="Times New Roman"/>
        </w:rPr>
        <w:t xml:space="preserve">, </w:t>
      </w:r>
      <w:r w:rsidRPr="00840F76">
        <w:rPr>
          <w:rFonts w:ascii="Times" w:hAnsi="Times" w:cs="Times New Roman"/>
          <w:i/>
        </w:rPr>
        <w:t>The Critical Attitude</w:t>
      </w:r>
      <w:r w:rsidRPr="00840F76">
        <w:rPr>
          <w:rFonts w:ascii="Times" w:hAnsi="Times" w:cs="Times New Roman"/>
        </w:rPr>
        <w:t xml:space="preserve"> (London: Duckworth, 1911), p. 9.  For consistency the author is referred to throughout as Ford </w:t>
      </w:r>
      <w:proofErr w:type="spellStart"/>
      <w:r w:rsidRPr="00840F76">
        <w:rPr>
          <w:rFonts w:ascii="Times" w:hAnsi="Times" w:cs="Times New Roman"/>
        </w:rPr>
        <w:t>Madox</w:t>
      </w:r>
      <w:proofErr w:type="spellEnd"/>
      <w:r w:rsidRPr="00840F76">
        <w:rPr>
          <w:rFonts w:ascii="Times" w:hAnsi="Times" w:cs="Times New Roman"/>
        </w:rPr>
        <w:t xml:space="preserve"> Ford, although this volume was published under his previous name, Ford </w:t>
      </w:r>
      <w:proofErr w:type="spellStart"/>
      <w:r w:rsidRPr="00840F76">
        <w:rPr>
          <w:rFonts w:ascii="Times" w:hAnsi="Times" w:cs="Times New Roman"/>
        </w:rPr>
        <w:t>Madox</w:t>
      </w:r>
      <w:proofErr w:type="spellEnd"/>
      <w:r w:rsidRPr="00840F76">
        <w:rPr>
          <w:rFonts w:ascii="Times" w:hAnsi="Times" w:cs="Times New Roman"/>
        </w:rPr>
        <w:t xml:space="preserve"> </w:t>
      </w:r>
      <w:proofErr w:type="spellStart"/>
      <w:r w:rsidRPr="00840F76">
        <w:rPr>
          <w:rFonts w:ascii="Times" w:hAnsi="Times" w:cs="Times New Roman"/>
        </w:rPr>
        <w:t>Hueffer</w:t>
      </w:r>
      <w:proofErr w:type="spellEnd"/>
      <w:r w:rsidRPr="00840F76">
        <w:rPr>
          <w:rFonts w:ascii="Times" w:hAnsi="Times" w:cs="Times New Roman"/>
        </w:rPr>
        <w:t>.</w:t>
      </w:r>
    </w:p>
  </w:endnote>
  <w:endnote w:id="43">
    <w:p w14:paraId="2F622F8E" w14:textId="1ED82E7E"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Andrzej </w:t>
      </w:r>
      <w:proofErr w:type="spellStart"/>
      <w:r w:rsidRPr="00840F76">
        <w:rPr>
          <w:rFonts w:ascii="Times" w:hAnsi="Times" w:cs="Times New Roman"/>
        </w:rPr>
        <w:t>Gasiorek</w:t>
      </w:r>
      <w:proofErr w:type="spellEnd"/>
      <w:r w:rsidRPr="00840F76">
        <w:rPr>
          <w:rFonts w:ascii="Times" w:hAnsi="Times" w:cs="Times New Roman"/>
        </w:rPr>
        <w:t xml:space="preserve">, ‘The Politics of Cultural Nostalgia: History and Tradition in Ford </w:t>
      </w:r>
      <w:proofErr w:type="spellStart"/>
      <w:r w:rsidRPr="00840F76">
        <w:rPr>
          <w:rFonts w:ascii="Times" w:hAnsi="Times" w:cs="Times New Roman"/>
        </w:rPr>
        <w:t>Madox</w:t>
      </w:r>
      <w:proofErr w:type="spellEnd"/>
      <w:r w:rsidRPr="00840F76">
        <w:rPr>
          <w:rFonts w:ascii="Times" w:hAnsi="Times" w:cs="Times New Roman"/>
        </w:rPr>
        <w:t xml:space="preserve"> Ford’s </w:t>
      </w:r>
      <w:r w:rsidRPr="00840F76">
        <w:rPr>
          <w:rFonts w:ascii="Times" w:hAnsi="Times" w:cs="Times New Roman"/>
          <w:i/>
          <w:iCs/>
        </w:rPr>
        <w:t>Parade’s End</w:t>
      </w:r>
      <w:r w:rsidRPr="00840F76">
        <w:rPr>
          <w:rFonts w:ascii="Times" w:hAnsi="Times" w:cs="Times New Roman"/>
        </w:rPr>
        <w:t>’, </w:t>
      </w:r>
      <w:r w:rsidRPr="00840F76">
        <w:rPr>
          <w:rFonts w:ascii="Times" w:hAnsi="Times" w:cs="Times New Roman"/>
          <w:i/>
          <w:iCs/>
        </w:rPr>
        <w:t>Literature and History</w:t>
      </w:r>
      <w:r w:rsidRPr="00840F76">
        <w:rPr>
          <w:rFonts w:ascii="Times" w:hAnsi="Times" w:cs="Times New Roman"/>
          <w:iCs/>
        </w:rPr>
        <w:t>,</w:t>
      </w:r>
      <w:r w:rsidRPr="00840F76">
        <w:rPr>
          <w:rFonts w:ascii="Times" w:hAnsi="Times" w:cs="Times New Roman"/>
        </w:rPr>
        <w:t xml:space="preserve"> 11.2 (2002), 52-77. </w:t>
      </w:r>
      <w:r w:rsidRPr="00840F76">
        <w:rPr>
          <w:rFonts w:ascii="Times" w:hAnsi="Times" w:cs="Times New Roman"/>
          <w:lang w:val="en-US"/>
        </w:rPr>
        <w:t xml:space="preserve">Andrzej </w:t>
      </w:r>
      <w:proofErr w:type="spellStart"/>
      <w:r w:rsidRPr="00840F76">
        <w:rPr>
          <w:rFonts w:ascii="Times" w:hAnsi="Times" w:cs="Times New Roman"/>
          <w:lang w:val="en-US"/>
        </w:rPr>
        <w:t>Gasiorek</w:t>
      </w:r>
      <w:proofErr w:type="spellEnd"/>
      <w:r w:rsidRPr="00840F76">
        <w:rPr>
          <w:rFonts w:ascii="Times" w:hAnsi="Times" w:cs="Times New Roman"/>
          <w:lang w:val="en-US"/>
        </w:rPr>
        <w:t xml:space="preserve">, ‘Ford </w:t>
      </w:r>
      <w:proofErr w:type="spellStart"/>
      <w:r w:rsidRPr="00840F76">
        <w:rPr>
          <w:rFonts w:ascii="Times" w:hAnsi="Times" w:cs="Times New Roman"/>
          <w:lang w:val="en-US"/>
        </w:rPr>
        <w:t>Madox</w:t>
      </w:r>
      <w:proofErr w:type="spellEnd"/>
      <w:r w:rsidRPr="00840F76">
        <w:rPr>
          <w:rFonts w:ascii="Times" w:hAnsi="Times" w:cs="Times New Roman"/>
          <w:lang w:val="en-US"/>
        </w:rPr>
        <w:t xml:space="preserve"> Ford’s Modernism and the Question of Tradition’.</w:t>
      </w:r>
    </w:p>
  </w:endnote>
  <w:endnote w:id="44">
    <w:p w14:paraId="64C721D7"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Ford, </w:t>
      </w:r>
      <w:r w:rsidRPr="00840F76">
        <w:rPr>
          <w:rFonts w:ascii="Times" w:hAnsi="Times" w:cs="Times New Roman"/>
          <w:i/>
          <w:lang w:val="en-US"/>
        </w:rPr>
        <w:t>A Man Could Stand Up–</w:t>
      </w:r>
      <w:r w:rsidRPr="00840F76">
        <w:rPr>
          <w:rFonts w:ascii="Times" w:hAnsi="Times" w:cs="Times New Roman"/>
          <w:lang w:val="en-US"/>
        </w:rPr>
        <w:t>, p. 186.</w:t>
      </w:r>
    </w:p>
  </w:endnote>
  <w:endnote w:id="45">
    <w:p w14:paraId="466A2B58" w14:textId="784A082A"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Ibid. p. 166.</w:t>
      </w:r>
    </w:p>
  </w:endnote>
  <w:endnote w:id="46">
    <w:p w14:paraId="720D9A92"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Mathilde Blind, ‘Love in Exile’, in </w:t>
      </w:r>
      <w:r w:rsidRPr="00840F76">
        <w:rPr>
          <w:rFonts w:ascii="Times" w:hAnsi="Times" w:cs="Times New Roman"/>
          <w:i/>
          <w:sz w:val="20"/>
          <w:szCs w:val="20"/>
          <w:lang w:val="en-US"/>
        </w:rPr>
        <w:t>The Poetical Works of Mathilde Blind</w:t>
      </w:r>
      <w:r w:rsidRPr="00840F76">
        <w:rPr>
          <w:rFonts w:ascii="Times" w:hAnsi="Times" w:cs="Times New Roman"/>
          <w:sz w:val="20"/>
          <w:szCs w:val="20"/>
          <w:lang w:val="en-US"/>
        </w:rPr>
        <w:t>, ed. by Arthur Symons (London: T. F. Unwin, 1900), p. 295.</w:t>
      </w:r>
    </w:p>
  </w:endnote>
  <w:endnote w:id="47">
    <w:p w14:paraId="1208213F" w14:textId="43808EAA" w:rsidR="00840F76" w:rsidRPr="00840F76" w:rsidRDefault="00840F76" w:rsidP="001B77DD">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See </w:t>
      </w:r>
      <w:r w:rsidRPr="00840F76">
        <w:rPr>
          <w:rFonts w:ascii="Times" w:hAnsi="Times"/>
          <w:lang w:val="en-US"/>
        </w:rPr>
        <w:t xml:space="preserve">Sara Haslam, Introduction to </w:t>
      </w:r>
      <w:r w:rsidRPr="00840F76">
        <w:rPr>
          <w:rFonts w:ascii="Times" w:hAnsi="Times"/>
          <w:i/>
          <w:lang w:val="en-US"/>
        </w:rPr>
        <w:t>A Man Could Stand Up</w:t>
      </w:r>
      <w:r w:rsidR="00B94F73">
        <w:rPr>
          <w:rFonts w:ascii="Times" w:hAnsi="Times"/>
          <w:i/>
          <w:lang w:val="en-US"/>
        </w:rPr>
        <w:t>–</w:t>
      </w:r>
      <w:r w:rsidRPr="00840F76">
        <w:rPr>
          <w:rFonts w:ascii="Times" w:hAnsi="Times"/>
          <w:lang w:val="en-US"/>
        </w:rPr>
        <w:t>, p. xxiv, n. 35.</w:t>
      </w:r>
    </w:p>
  </w:endnote>
  <w:endnote w:id="48">
    <w:p w14:paraId="66693EB7" w14:textId="4B283256" w:rsidR="00840F76" w:rsidRPr="00840F76" w:rsidRDefault="00840F76" w:rsidP="001B77DD">
      <w:pPr>
        <w:pStyle w:val="EndnoteText"/>
        <w:spacing w:line="276" w:lineRule="auto"/>
        <w:rPr>
          <w:rFonts w:ascii="Times" w:hAnsi="Times"/>
          <w:b/>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Willoughby Weaving, ‘Birds in the Trenches’, in </w:t>
      </w:r>
      <w:r w:rsidRPr="00840F76">
        <w:rPr>
          <w:rFonts w:ascii="Times" w:hAnsi="Times"/>
          <w:i/>
          <w:lang w:val="en-US"/>
        </w:rPr>
        <w:t>The Muse in Arms: A Collection of War Poems</w:t>
      </w:r>
      <w:r w:rsidRPr="00840F76">
        <w:rPr>
          <w:rFonts w:ascii="Times" w:hAnsi="Times"/>
          <w:lang w:val="en-US"/>
        </w:rPr>
        <w:t xml:space="preserve">, ed. by E. B. Osborn (London: John Murray: 1917), p. 64 </w:t>
      </w:r>
    </w:p>
  </w:endnote>
  <w:endnote w:id="49">
    <w:p w14:paraId="0EEFB772"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proofErr w:type="spellStart"/>
      <w:r w:rsidRPr="00840F76">
        <w:rPr>
          <w:rFonts w:ascii="Times" w:hAnsi="Times" w:cs="Times New Roman"/>
          <w:sz w:val="20"/>
          <w:szCs w:val="20"/>
          <w:lang w:val="en-US"/>
        </w:rPr>
        <w:t>Becquet</w:t>
      </w:r>
      <w:proofErr w:type="spellEnd"/>
      <w:r w:rsidRPr="00840F76">
        <w:rPr>
          <w:rFonts w:ascii="Times" w:hAnsi="Times" w:cs="Times New Roman"/>
          <w:sz w:val="20"/>
          <w:szCs w:val="20"/>
          <w:lang w:val="en-US"/>
        </w:rPr>
        <w:t>, ‘Composing the War and the Mind’, p. 93.</w:t>
      </w:r>
    </w:p>
  </w:endnote>
  <w:endnote w:id="50">
    <w:p w14:paraId="24119E69" w14:textId="09505302" w:rsidR="00840F76" w:rsidRPr="00840F76" w:rsidRDefault="00840F76">
      <w:pPr>
        <w:pStyle w:val="EndnoteText"/>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Ford, </w:t>
      </w:r>
      <w:r w:rsidRPr="00840F76">
        <w:rPr>
          <w:rFonts w:ascii="Times" w:hAnsi="Times"/>
          <w:i/>
          <w:lang w:val="en-US"/>
        </w:rPr>
        <w:t>No More Parades</w:t>
      </w:r>
      <w:r w:rsidRPr="00840F76">
        <w:rPr>
          <w:rFonts w:ascii="Times" w:hAnsi="Times"/>
          <w:lang w:val="en-US"/>
        </w:rPr>
        <w:t>, p. 184.</w:t>
      </w:r>
    </w:p>
  </w:endnote>
  <w:endnote w:id="51">
    <w:p w14:paraId="28D164FF" w14:textId="29CBEE26" w:rsidR="00840F76" w:rsidRPr="00840F76" w:rsidRDefault="00840F76" w:rsidP="008445A1">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Roberts, </w:t>
      </w:r>
      <w:r w:rsidRPr="00840F76">
        <w:rPr>
          <w:rFonts w:ascii="Times" w:hAnsi="Times" w:cs="Times New Roman"/>
          <w:i/>
        </w:rPr>
        <w:t>The Total Work of Art and European Modernism</w:t>
      </w:r>
      <w:r w:rsidRPr="00840F76">
        <w:rPr>
          <w:rFonts w:ascii="Times" w:hAnsi="Times" w:cs="Times New Roman"/>
        </w:rPr>
        <w:t xml:space="preserve">, p. 73. </w:t>
      </w:r>
      <w:proofErr w:type="spellStart"/>
      <w:r w:rsidRPr="00840F76">
        <w:rPr>
          <w:rFonts w:ascii="Times" w:hAnsi="Times" w:cs="Times New Roman"/>
          <w:i/>
        </w:rPr>
        <w:t>Tannhäuser</w:t>
      </w:r>
      <w:proofErr w:type="spellEnd"/>
      <w:r w:rsidRPr="00840F76">
        <w:rPr>
          <w:rFonts w:ascii="Times" w:hAnsi="Times" w:cs="Times New Roman"/>
        </w:rPr>
        <w:t xml:space="preserve"> was originally written in 1845, four years before the publication of </w:t>
      </w:r>
      <w:r w:rsidRPr="00840F76">
        <w:rPr>
          <w:rFonts w:ascii="Times" w:hAnsi="Times" w:cs="Times New Roman"/>
          <w:i/>
        </w:rPr>
        <w:t>The Art-Work of the Future</w:t>
      </w:r>
      <w:r w:rsidRPr="00840F76">
        <w:rPr>
          <w:rFonts w:ascii="Times" w:hAnsi="Times" w:cs="Times New Roman"/>
        </w:rPr>
        <w:t xml:space="preserve">, but Wagner considerably revised the opera for the Paris performances in 1861, and the later version incorporates the social, aesthetic and political aims in </w:t>
      </w:r>
      <w:r w:rsidRPr="00840F76">
        <w:rPr>
          <w:rFonts w:ascii="Times" w:hAnsi="Times" w:cs="Times New Roman"/>
          <w:i/>
        </w:rPr>
        <w:t>The Art-Work of the Future.</w:t>
      </w:r>
      <w:r w:rsidRPr="00840F76">
        <w:rPr>
          <w:rFonts w:ascii="Times" w:hAnsi="Times" w:cs="Times New Roman"/>
        </w:rPr>
        <w:t xml:space="preserve"> Simon Williams writes that ‘The changes that Wagner incorporated between the Dresden [1845] and Paris [1861] version of the music-drama suggest that only after the first performance of </w:t>
      </w:r>
      <w:proofErr w:type="spellStart"/>
      <w:r w:rsidRPr="00840F76">
        <w:rPr>
          <w:rFonts w:ascii="Times" w:hAnsi="Times" w:cs="Times New Roman"/>
          <w:i/>
        </w:rPr>
        <w:t>Tannhäuser</w:t>
      </w:r>
      <w:proofErr w:type="spellEnd"/>
      <w:r w:rsidRPr="00840F76">
        <w:rPr>
          <w:rFonts w:ascii="Times" w:hAnsi="Times" w:cs="Times New Roman"/>
        </w:rPr>
        <w:t xml:space="preserve"> in Dresden did he become fully aware of the implications of his dramaturgy.’ Simon Williams, </w:t>
      </w:r>
      <w:r w:rsidRPr="00840F76">
        <w:rPr>
          <w:rFonts w:ascii="Times" w:hAnsi="Times" w:cs="Times New Roman"/>
          <w:i/>
        </w:rPr>
        <w:t xml:space="preserve">Wagner and the Romantic Hero </w:t>
      </w:r>
      <w:r w:rsidRPr="00840F76">
        <w:rPr>
          <w:rFonts w:ascii="Times" w:hAnsi="Times" w:cs="Times New Roman"/>
        </w:rPr>
        <w:t xml:space="preserve">(Cambridge: Cambridge University Press, 2004), p. 51. See also </w:t>
      </w:r>
      <w:r w:rsidRPr="00840F76">
        <w:rPr>
          <w:rFonts w:ascii="Times" w:hAnsi="Times" w:cs="Times New Roman"/>
          <w:lang w:val="en-US"/>
        </w:rPr>
        <w:t xml:space="preserve">Koss, ‘The Utopian Gesamtkunstwerk’ in </w:t>
      </w:r>
      <w:r w:rsidRPr="00840F76">
        <w:rPr>
          <w:rFonts w:ascii="Times" w:hAnsi="Times" w:cs="Times New Roman"/>
          <w:i/>
          <w:lang w:val="en-US"/>
        </w:rPr>
        <w:t>Modernism After Wagner</w:t>
      </w:r>
      <w:r w:rsidRPr="00840F76">
        <w:rPr>
          <w:rFonts w:ascii="Times" w:hAnsi="Times" w:cs="Times New Roman"/>
          <w:lang w:val="en-US"/>
        </w:rPr>
        <w:t>, pp. 1-24.</w:t>
      </w:r>
    </w:p>
  </w:endnote>
  <w:endnote w:id="52">
    <w:p w14:paraId="3C1CF276" w14:textId="77777777" w:rsidR="00840F76" w:rsidRPr="00840F76" w:rsidRDefault="00840F76" w:rsidP="008445A1">
      <w:pPr>
        <w:pStyle w:val="EndnoteText"/>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Ford, </w:t>
      </w:r>
      <w:r w:rsidRPr="00840F76">
        <w:rPr>
          <w:rFonts w:ascii="Times" w:hAnsi="Times"/>
          <w:i/>
          <w:lang w:val="en-US"/>
        </w:rPr>
        <w:t>No More Parades</w:t>
      </w:r>
      <w:r w:rsidRPr="00840F76">
        <w:rPr>
          <w:rFonts w:ascii="Times" w:hAnsi="Times"/>
          <w:lang w:val="en-US"/>
        </w:rPr>
        <w:t>, p. 184.</w:t>
      </w:r>
    </w:p>
  </w:endnote>
  <w:endnote w:id="53">
    <w:p w14:paraId="1D5D532D"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For the extent to which ‘Wagner’s works were part of the furniture of British musical life’ at the beginning of the twentieth century, see Sutton, </w:t>
      </w:r>
      <w:r w:rsidRPr="00840F76">
        <w:rPr>
          <w:rFonts w:ascii="Times" w:hAnsi="Times" w:cs="Times New Roman"/>
          <w:i/>
          <w:lang w:val="en-US"/>
        </w:rPr>
        <w:t>Virginia Woolf and Classical Music</w:t>
      </w:r>
      <w:r w:rsidRPr="00840F76">
        <w:rPr>
          <w:rFonts w:ascii="Times" w:hAnsi="Times" w:cs="Times New Roman"/>
          <w:lang w:val="en-US"/>
        </w:rPr>
        <w:t>, pp. 27-28.</w:t>
      </w:r>
    </w:p>
  </w:endnote>
  <w:endnote w:id="54">
    <w:p w14:paraId="204CB91F" w14:textId="4BFAE4F6"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Ford, </w:t>
      </w:r>
      <w:r w:rsidRPr="00840F76">
        <w:rPr>
          <w:rFonts w:ascii="Times" w:hAnsi="Times" w:cs="Times New Roman"/>
          <w:i/>
          <w:sz w:val="20"/>
          <w:szCs w:val="20"/>
          <w:lang w:val="en-US"/>
        </w:rPr>
        <w:t>No More Parades</w:t>
      </w:r>
      <w:r w:rsidRPr="00840F76">
        <w:rPr>
          <w:rFonts w:ascii="Times" w:hAnsi="Times" w:cs="Times New Roman"/>
          <w:sz w:val="20"/>
          <w:szCs w:val="20"/>
          <w:lang w:val="en-US"/>
        </w:rPr>
        <w:t>, p. 184.</w:t>
      </w:r>
    </w:p>
  </w:endnote>
  <w:endnote w:id="55">
    <w:p w14:paraId="5ED9FC5F" w14:textId="77777777" w:rsidR="00840F76" w:rsidRPr="00840F76" w:rsidRDefault="00840F76" w:rsidP="00845C9A">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Williams, </w:t>
      </w:r>
      <w:r w:rsidRPr="00840F76">
        <w:rPr>
          <w:rFonts w:ascii="Times" w:hAnsi="Times" w:cs="Times New Roman"/>
          <w:i/>
          <w:lang w:val="en-US"/>
        </w:rPr>
        <w:t>Wagner and the Romantic Hero</w:t>
      </w:r>
      <w:r w:rsidRPr="00840F76">
        <w:rPr>
          <w:rFonts w:ascii="Times" w:hAnsi="Times" w:cs="Times New Roman"/>
          <w:lang w:val="en-US"/>
        </w:rPr>
        <w:t>, p. 51.</w:t>
      </w:r>
    </w:p>
  </w:endnote>
  <w:endnote w:id="56">
    <w:p w14:paraId="6BB3C38B" w14:textId="77777777" w:rsidR="00840F76" w:rsidRPr="00840F76" w:rsidRDefault="00840F76" w:rsidP="00845C9A">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Ibid.</w:t>
      </w:r>
    </w:p>
  </w:endnote>
  <w:endnote w:id="57">
    <w:p w14:paraId="2DD349B1" w14:textId="77777777" w:rsidR="00840F76" w:rsidRPr="00840F76" w:rsidRDefault="00840F76" w:rsidP="004C6FC2">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Koss, </w:t>
      </w:r>
      <w:r w:rsidRPr="00840F76">
        <w:rPr>
          <w:rFonts w:ascii="Times" w:hAnsi="Times" w:cs="Times New Roman"/>
          <w:i/>
          <w:lang w:val="en-US"/>
        </w:rPr>
        <w:t>Modernism After Wagner</w:t>
      </w:r>
      <w:r w:rsidRPr="00840F76">
        <w:rPr>
          <w:rFonts w:ascii="Times" w:hAnsi="Times" w:cs="Times New Roman"/>
          <w:lang w:val="en-US"/>
        </w:rPr>
        <w:t>, p. 203.</w:t>
      </w:r>
    </w:p>
  </w:endnote>
  <w:endnote w:id="58">
    <w:p w14:paraId="3745F593" w14:textId="6A71222C"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w:t>
      </w:r>
      <w:proofErr w:type="spellStart"/>
      <w:r w:rsidRPr="00840F76">
        <w:rPr>
          <w:rFonts w:ascii="Times" w:hAnsi="Times" w:cs="Times New Roman"/>
          <w:sz w:val="20"/>
          <w:szCs w:val="20"/>
          <w:lang w:val="en-US"/>
        </w:rPr>
        <w:t>Hueffer</w:t>
      </w:r>
      <w:proofErr w:type="spellEnd"/>
      <w:r w:rsidRPr="00840F76">
        <w:rPr>
          <w:rFonts w:ascii="Times" w:hAnsi="Times" w:cs="Times New Roman"/>
          <w:sz w:val="20"/>
          <w:szCs w:val="20"/>
          <w:lang w:val="en-US"/>
        </w:rPr>
        <w:t xml:space="preserve">, </w:t>
      </w:r>
      <w:r w:rsidRPr="00840F76">
        <w:rPr>
          <w:rFonts w:ascii="Times" w:hAnsi="Times" w:cs="Times New Roman"/>
          <w:i/>
          <w:sz w:val="20"/>
          <w:szCs w:val="20"/>
          <w:lang w:val="en-US"/>
        </w:rPr>
        <w:t xml:space="preserve">Ancient Lights and Certain New Reflections, being the Memories of a Young Man </w:t>
      </w:r>
      <w:r w:rsidRPr="00840F76">
        <w:rPr>
          <w:rFonts w:ascii="Times" w:hAnsi="Times" w:cs="Times New Roman"/>
          <w:sz w:val="20"/>
          <w:szCs w:val="20"/>
          <w:lang w:val="en-US"/>
        </w:rPr>
        <w:t>(London: Chapman &amp; Hall, 1911), p. 80.</w:t>
      </w:r>
    </w:p>
  </w:endnote>
  <w:endnote w:id="59">
    <w:p w14:paraId="11EACBFE"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Ibid.</w:t>
      </w:r>
    </w:p>
  </w:endnote>
  <w:endnote w:id="60">
    <w:p w14:paraId="77A07C9A"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Ibid. pp. </w:t>
      </w:r>
      <w:r w:rsidRPr="00840F76">
        <w:rPr>
          <w:rFonts w:ascii="Times" w:hAnsi="Times" w:cs="Times New Roman"/>
          <w:sz w:val="20"/>
          <w:szCs w:val="20"/>
        </w:rPr>
        <w:t>76, 80.</w:t>
      </w:r>
    </w:p>
  </w:endnote>
  <w:endnote w:id="61">
    <w:p w14:paraId="1D6FDB8C" w14:textId="5DEECB8C" w:rsidR="00840F76" w:rsidRPr="00840F76" w:rsidRDefault="00840F76" w:rsidP="00C86676">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There are many instances in </w:t>
      </w:r>
      <w:r w:rsidRPr="00840F76">
        <w:rPr>
          <w:rFonts w:ascii="Times" w:hAnsi="Times"/>
          <w:i/>
          <w:lang w:val="en-US"/>
        </w:rPr>
        <w:t xml:space="preserve">Parade’s End </w:t>
      </w:r>
      <w:r w:rsidRPr="00840F76">
        <w:rPr>
          <w:rFonts w:ascii="Times" w:hAnsi="Times"/>
          <w:lang w:val="en-US"/>
        </w:rPr>
        <w:t xml:space="preserve">where the nineteenth-century comes up against the twentieth, but another useful example in this context is one raised by Tom </w:t>
      </w:r>
      <w:proofErr w:type="spellStart"/>
      <w:r w:rsidRPr="00840F76">
        <w:rPr>
          <w:rFonts w:ascii="Times" w:hAnsi="Times"/>
          <w:lang w:val="en-US"/>
        </w:rPr>
        <w:t>Vandevelde</w:t>
      </w:r>
      <w:proofErr w:type="spellEnd"/>
      <w:r w:rsidRPr="00840F76">
        <w:rPr>
          <w:rFonts w:ascii="Times" w:hAnsi="Times"/>
          <w:lang w:val="en-US"/>
        </w:rPr>
        <w:t xml:space="preserve">: ‘[when] general Campion’s automobile crashes into the horse-cart Christopher and Valentine are driving. This is one of the pivotal scenes of the novel […] representing the – loud! – clash between different eras and their values: the nineteenth-century versus the twentieth, the Victorian against the modern.’ Tom </w:t>
      </w:r>
      <w:proofErr w:type="spellStart"/>
      <w:r w:rsidRPr="00840F76">
        <w:rPr>
          <w:rFonts w:ascii="Times" w:hAnsi="Times"/>
          <w:lang w:val="en-US"/>
        </w:rPr>
        <w:t>Vandevelde</w:t>
      </w:r>
      <w:proofErr w:type="spellEnd"/>
      <w:r w:rsidRPr="00840F76">
        <w:rPr>
          <w:rFonts w:ascii="Times" w:hAnsi="Times"/>
          <w:lang w:val="en-US"/>
        </w:rPr>
        <w:t xml:space="preserve">, ‘Mapping the Soundscapes of </w:t>
      </w:r>
      <w:r w:rsidRPr="00840F76">
        <w:rPr>
          <w:rFonts w:ascii="Times" w:hAnsi="Times"/>
          <w:i/>
          <w:lang w:val="en-US"/>
        </w:rPr>
        <w:t>Parade’s End</w:t>
      </w:r>
      <w:r w:rsidRPr="00840F76">
        <w:rPr>
          <w:rFonts w:ascii="Times" w:hAnsi="Times"/>
          <w:lang w:val="en-US"/>
        </w:rPr>
        <w:t xml:space="preserve">’, in </w:t>
      </w:r>
      <w:r w:rsidRPr="00840F76">
        <w:rPr>
          <w:rFonts w:ascii="Times" w:hAnsi="Times"/>
          <w:i/>
          <w:lang w:val="en-US"/>
        </w:rPr>
        <w:t xml:space="preserve">Ford </w:t>
      </w:r>
      <w:proofErr w:type="spellStart"/>
      <w:r w:rsidRPr="00840F76">
        <w:rPr>
          <w:rFonts w:ascii="Times" w:hAnsi="Times"/>
          <w:i/>
          <w:lang w:val="en-US"/>
        </w:rPr>
        <w:t>Madox</w:t>
      </w:r>
      <w:proofErr w:type="spellEnd"/>
      <w:r w:rsidRPr="00840F76">
        <w:rPr>
          <w:rFonts w:ascii="Times" w:hAnsi="Times"/>
          <w:i/>
          <w:lang w:val="en-US"/>
        </w:rPr>
        <w:t xml:space="preserve"> Ford’s Parade’s End: The First World War, Culture, and Modernity</w:t>
      </w:r>
      <w:r w:rsidRPr="00840F76">
        <w:rPr>
          <w:rFonts w:ascii="Times" w:hAnsi="Times"/>
          <w:lang w:val="en-US"/>
        </w:rPr>
        <w:t xml:space="preserve">, ed. by Ashley </w:t>
      </w:r>
      <w:proofErr w:type="spellStart"/>
      <w:r w:rsidRPr="00840F76">
        <w:rPr>
          <w:rFonts w:ascii="Times" w:hAnsi="Times"/>
          <w:lang w:val="en-US"/>
        </w:rPr>
        <w:t>Chantler</w:t>
      </w:r>
      <w:proofErr w:type="spellEnd"/>
      <w:r w:rsidRPr="00840F76">
        <w:rPr>
          <w:rFonts w:ascii="Times" w:hAnsi="Times"/>
          <w:lang w:val="en-US"/>
        </w:rPr>
        <w:t xml:space="preserve"> and Rob Hawkes (Amsterdam: </w:t>
      </w:r>
      <w:proofErr w:type="spellStart"/>
      <w:r w:rsidRPr="00840F76">
        <w:rPr>
          <w:rFonts w:ascii="Times" w:hAnsi="Times"/>
          <w:lang w:val="en-US"/>
        </w:rPr>
        <w:t>Rodopi</w:t>
      </w:r>
      <w:proofErr w:type="spellEnd"/>
      <w:r w:rsidRPr="00840F76">
        <w:rPr>
          <w:rFonts w:ascii="Times" w:hAnsi="Times"/>
          <w:lang w:val="en-US"/>
        </w:rPr>
        <w:t>, 2014), pp. 53-66 (p. 55).</w:t>
      </w:r>
    </w:p>
  </w:endnote>
  <w:endnote w:id="62">
    <w:p w14:paraId="62D91C06"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Epstein, </w:t>
      </w:r>
      <w:r w:rsidRPr="00840F76">
        <w:rPr>
          <w:rFonts w:ascii="Times" w:hAnsi="Times" w:cs="Times New Roman"/>
          <w:i/>
          <w:sz w:val="20"/>
          <w:szCs w:val="20"/>
          <w:lang w:val="en-US"/>
        </w:rPr>
        <w:t>Sublime Noise</w:t>
      </w:r>
      <w:r w:rsidRPr="00840F76">
        <w:rPr>
          <w:rFonts w:ascii="Times" w:hAnsi="Times" w:cs="Times New Roman"/>
          <w:sz w:val="20"/>
          <w:szCs w:val="20"/>
          <w:lang w:val="en-US"/>
        </w:rPr>
        <w:t>, p. xv.</w:t>
      </w:r>
    </w:p>
  </w:endnote>
  <w:endnote w:id="63">
    <w:p w14:paraId="440692F7" w14:textId="7B24E327" w:rsidR="00840F76" w:rsidRPr="00840F76" w:rsidRDefault="00840F76" w:rsidP="001B77DD">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Siegfried Sassoon, </w:t>
      </w:r>
      <w:r w:rsidRPr="00840F76">
        <w:rPr>
          <w:rFonts w:ascii="Times" w:hAnsi="Times"/>
          <w:i/>
        </w:rPr>
        <w:t xml:space="preserve">Poems 1916-1935 </w:t>
      </w:r>
      <w:r w:rsidRPr="00840F76">
        <w:rPr>
          <w:rFonts w:ascii="Times" w:hAnsi="Times"/>
        </w:rPr>
        <w:t xml:space="preserve">(London: Faber, 1940). </w:t>
      </w:r>
      <w:r w:rsidRPr="00840F76">
        <w:rPr>
          <w:rFonts w:ascii="Times" w:hAnsi="Times"/>
          <w:lang w:val="en-US"/>
        </w:rPr>
        <w:t xml:space="preserve">See also Kate Kennedy, ‘British Classical Music and the Armistice’, in </w:t>
      </w:r>
      <w:r w:rsidRPr="00840F76">
        <w:rPr>
          <w:rFonts w:ascii="Times" w:hAnsi="Times"/>
          <w:i/>
          <w:lang w:val="en-US"/>
        </w:rPr>
        <w:t>The Silent Morning: Culture and Memory after the Armistice</w:t>
      </w:r>
      <w:r w:rsidRPr="00840F76">
        <w:rPr>
          <w:rFonts w:ascii="Times" w:hAnsi="Times"/>
          <w:lang w:val="en-US"/>
        </w:rPr>
        <w:t>, ed. by Trudi Tate and Kate Kennedy (Oxford: Oxford University Press, 2015), pp. 211-234 (p. 231).</w:t>
      </w:r>
    </w:p>
  </w:endnote>
  <w:endnote w:id="64">
    <w:p w14:paraId="3E150A97" w14:textId="77E0290D"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Ashley </w:t>
      </w:r>
      <w:proofErr w:type="spellStart"/>
      <w:r w:rsidRPr="00840F76">
        <w:rPr>
          <w:rFonts w:ascii="Times" w:hAnsi="Times" w:cs="Times New Roman"/>
          <w:sz w:val="20"/>
          <w:szCs w:val="20"/>
        </w:rPr>
        <w:t>Chantler</w:t>
      </w:r>
      <w:proofErr w:type="spellEnd"/>
      <w:r w:rsidRPr="00840F76">
        <w:rPr>
          <w:rFonts w:ascii="Times" w:hAnsi="Times" w:cs="Times New Roman"/>
          <w:sz w:val="20"/>
          <w:szCs w:val="20"/>
        </w:rPr>
        <w:t xml:space="preserve"> and Rob Hawkes usefully summarise Ford’s military experience: ‘Having enlisted in the summer of 1915, Ford </w:t>
      </w:r>
      <w:proofErr w:type="spellStart"/>
      <w:r w:rsidRPr="00840F76">
        <w:rPr>
          <w:rFonts w:ascii="Times" w:hAnsi="Times" w:cs="Times New Roman"/>
          <w:sz w:val="20"/>
          <w:szCs w:val="20"/>
        </w:rPr>
        <w:t>Madox</w:t>
      </w:r>
      <w:proofErr w:type="spellEnd"/>
      <w:r w:rsidRPr="00840F76">
        <w:rPr>
          <w:rFonts w:ascii="Times" w:hAnsi="Times" w:cs="Times New Roman"/>
          <w:sz w:val="20"/>
          <w:szCs w:val="20"/>
        </w:rPr>
        <w:t xml:space="preserve"> Ford, aged forty-two, was sent to France on 13 July 1916 as a second lieutenant with the Welch Regiment (Special Reserve). Attached to the 9</w:t>
      </w:r>
      <w:r w:rsidRPr="00840F76">
        <w:rPr>
          <w:rFonts w:ascii="Times" w:hAnsi="Times" w:cs="Times New Roman"/>
          <w:sz w:val="20"/>
          <w:szCs w:val="20"/>
          <w:vertAlign w:val="superscript"/>
        </w:rPr>
        <w:t>th</w:t>
      </w:r>
      <w:r w:rsidRPr="00840F76">
        <w:rPr>
          <w:rFonts w:ascii="Times" w:hAnsi="Times" w:cs="Times New Roman"/>
          <w:sz w:val="20"/>
          <w:szCs w:val="20"/>
        </w:rPr>
        <w:t xml:space="preserve"> Battalion of the Regiment at Rouen, he was then sent to the Somme, just behind the Front Line.’ </w:t>
      </w:r>
      <w:r w:rsidRPr="00840F76">
        <w:rPr>
          <w:rFonts w:ascii="Times" w:hAnsi="Times" w:cs="Times New Roman"/>
          <w:sz w:val="20"/>
          <w:szCs w:val="20"/>
          <w:lang w:val="en-US"/>
        </w:rPr>
        <w:t xml:space="preserve">Ashley </w:t>
      </w:r>
      <w:proofErr w:type="spellStart"/>
      <w:r w:rsidRPr="00840F76">
        <w:rPr>
          <w:rFonts w:ascii="Times" w:hAnsi="Times" w:cs="Times New Roman"/>
          <w:sz w:val="20"/>
          <w:szCs w:val="20"/>
          <w:lang w:val="en-US"/>
        </w:rPr>
        <w:t>Chantler</w:t>
      </w:r>
      <w:proofErr w:type="spellEnd"/>
      <w:r w:rsidRPr="00840F76">
        <w:rPr>
          <w:rFonts w:ascii="Times" w:hAnsi="Times" w:cs="Times New Roman"/>
          <w:sz w:val="20"/>
          <w:szCs w:val="20"/>
          <w:lang w:val="en-US"/>
        </w:rPr>
        <w:t xml:space="preserve"> and Rob Hawkes, Introduction to </w:t>
      </w:r>
      <w:r w:rsidRPr="00840F76">
        <w:rPr>
          <w:rFonts w:ascii="Times" w:hAnsi="Times" w:cs="Times New Roman"/>
          <w:i/>
          <w:sz w:val="20"/>
          <w:szCs w:val="20"/>
          <w:lang w:val="en-US"/>
        </w:rPr>
        <w:t xml:space="preserve">War and the Mind: Ford </w:t>
      </w:r>
      <w:proofErr w:type="spellStart"/>
      <w:r w:rsidRPr="00840F76">
        <w:rPr>
          <w:rFonts w:ascii="Times" w:hAnsi="Times" w:cs="Times New Roman"/>
          <w:i/>
          <w:sz w:val="20"/>
          <w:szCs w:val="20"/>
          <w:lang w:val="en-US"/>
        </w:rPr>
        <w:t>Madox</w:t>
      </w:r>
      <w:proofErr w:type="spellEnd"/>
      <w:r w:rsidRPr="00840F76">
        <w:rPr>
          <w:rFonts w:ascii="Times" w:hAnsi="Times" w:cs="Times New Roman"/>
          <w:i/>
          <w:sz w:val="20"/>
          <w:szCs w:val="20"/>
          <w:lang w:val="en-US"/>
        </w:rPr>
        <w:t xml:space="preserve"> Ford’s Parade’s End, Modernism and Psychology</w:t>
      </w:r>
      <w:r w:rsidRPr="00840F76">
        <w:rPr>
          <w:rFonts w:ascii="Times" w:hAnsi="Times" w:cs="Times New Roman"/>
          <w:sz w:val="20"/>
          <w:szCs w:val="20"/>
          <w:lang w:val="en-US"/>
        </w:rPr>
        <w:t xml:space="preserve">, ed. by Ashley </w:t>
      </w:r>
      <w:proofErr w:type="spellStart"/>
      <w:r w:rsidRPr="00840F76">
        <w:rPr>
          <w:rFonts w:ascii="Times" w:hAnsi="Times" w:cs="Times New Roman"/>
          <w:sz w:val="20"/>
          <w:szCs w:val="20"/>
          <w:lang w:val="en-US"/>
        </w:rPr>
        <w:t>Chantler</w:t>
      </w:r>
      <w:proofErr w:type="spellEnd"/>
      <w:r w:rsidRPr="00840F76">
        <w:rPr>
          <w:rFonts w:ascii="Times" w:hAnsi="Times" w:cs="Times New Roman"/>
          <w:sz w:val="20"/>
          <w:szCs w:val="20"/>
          <w:lang w:val="en-US"/>
        </w:rPr>
        <w:t xml:space="preserve"> and Rob Hawkes (Edinburgh: Edinburgh University Press, 2015), p. 1. See Max Saunders, Introduction to 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Ford, </w:t>
      </w:r>
      <w:r w:rsidRPr="00840F76">
        <w:rPr>
          <w:rFonts w:ascii="Times" w:hAnsi="Times" w:cs="Times New Roman"/>
          <w:i/>
          <w:sz w:val="20"/>
          <w:szCs w:val="20"/>
          <w:lang w:val="en-US"/>
        </w:rPr>
        <w:t>War Prose</w:t>
      </w:r>
      <w:r w:rsidRPr="00840F76">
        <w:rPr>
          <w:rFonts w:ascii="Times" w:hAnsi="Times" w:cs="Times New Roman"/>
          <w:sz w:val="20"/>
          <w:szCs w:val="20"/>
          <w:lang w:val="en-US"/>
        </w:rPr>
        <w:t xml:space="preserve">, ed. Max Saunders (Manchester: </w:t>
      </w:r>
      <w:proofErr w:type="spellStart"/>
      <w:r w:rsidRPr="00840F76">
        <w:rPr>
          <w:rFonts w:ascii="Times" w:hAnsi="Times" w:cs="Times New Roman"/>
          <w:sz w:val="20"/>
          <w:szCs w:val="20"/>
          <w:lang w:val="en-US"/>
        </w:rPr>
        <w:t>Carcarnet</w:t>
      </w:r>
      <w:proofErr w:type="spellEnd"/>
      <w:r w:rsidRPr="00840F76">
        <w:rPr>
          <w:rFonts w:ascii="Times" w:hAnsi="Times" w:cs="Times New Roman"/>
          <w:sz w:val="20"/>
          <w:szCs w:val="20"/>
          <w:lang w:val="en-US"/>
        </w:rPr>
        <w:t xml:space="preserve">, 1999), p. 3; Max Saunders, </w:t>
      </w:r>
      <w:r w:rsidRPr="00840F76">
        <w:rPr>
          <w:rFonts w:ascii="Times" w:hAnsi="Times" w:cs="Times New Roman"/>
          <w:i/>
          <w:sz w:val="20"/>
          <w:szCs w:val="20"/>
          <w:lang w:val="en-US"/>
        </w:rPr>
        <w:t xml:space="preserve">Ford </w:t>
      </w:r>
      <w:proofErr w:type="spellStart"/>
      <w:r w:rsidRPr="00840F76">
        <w:rPr>
          <w:rFonts w:ascii="Times" w:hAnsi="Times" w:cs="Times New Roman"/>
          <w:i/>
          <w:sz w:val="20"/>
          <w:szCs w:val="20"/>
          <w:lang w:val="en-US"/>
        </w:rPr>
        <w:t>Madox</w:t>
      </w:r>
      <w:proofErr w:type="spellEnd"/>
      <w:r w:rsidRPr="00840F76">
        <w:rPr>
          <w:rFonts w:ascii="Times" w:hAnsi="Times" w:cs="Times New Roman"/>
          <w:i/>
          <w:sz w:val="20"/>
          <w:szCs w:val="20"/>
          <w:lang w:val="en-US"/>
        </w:rPr>
        <w:t xml:space="preserve"> Ford: A Dual Life, Vol. 1 </w:t>
      </w:r>
      <w:r w:rsidRPr="00840F76">
        <w:rPr>
          <w:rFonts w:ascii="Times" w:hAnsi="Times" w:cs="Times New Roman"/>
          <w:sz w:val="20"/>
          <w:szCs w:val="20"/>
          <w:lang w:val="en-US"/>
        </w:rPr>
        <w:t xml:space="preserve">and </w:t>
      </w:r>
      <w:r w:rsidRPr="00840F76">
        <w:rPr>
          <w:rFonts w:ascii="Times" w:hAnsi="Times" w:cs="Times New Roman"/>
          <w:i/>
          <w:sz w:val="20"/>
          <w:szCs w:val="20"/>
          <w:lang w:val="en-US"/>
        </w:rPr>
        <w:t>Vol. 2</w:t>
      </w:r>
      <w:r w:rsidRPr="00840F76">
        <w:rPr>
          <w:rFonts w:ascii="Times" w:hAnsi="Times" w:cs="Times New Roman"/>
          <w:sz w:val="20"/>
          <w:szCs w:val="20"/>
          <w:lang w:val="en-US"/>
        </w:rPr>
        <w:t xml:space="preserve"> (Oxford: Oxford University Press, 1996), 1: pp. 479-94; 2: pp. 1-15; 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Ford, </w:t>
      </w:r>
      <w:r w:rsidRPr="00840F76">
        <w:rPr>
          <w:rFonts w:ascii="Times" w:hAnsi="Times" w:cs="Times New Roman"/>
          <w:i/>
          <w:sz w:val="20"/>
          <w:szCs w:val="20"/>
          <w:lang w:val="en-US"/>
        </w:rPr>
        <w:t xml:space="preserve">Letters of Ford </w:t>
      </w:r>
      <w:proofErr w:type="spellStart"/>
      <w:r w:rsidRPr="00840F76">
        <w:rPr>
          <w:rFonts w:ascii="Times" w:hAnsi="Times" w:cs="Times New Roman"/>
          <w:i/>
          <w:sz w:val="20"/>
          <w:szCs w:val="20"/>
          <w:lang w:val="en-US"/>
        </w:rPr>
        <w:t>Madox</w:t>
      </w:r>
      <w:proofErr w:type="spellEnd"/>
      <w:r w:rsidRPr="00840F76">
        <w:rPr>
          <w:rFonts w:ascii="Times" w:hAnsi="Times" w:cs="Times New Roman"/>
          <w:i/>
          <w:sz w:val="20"/>
          <w:szCs w:val="20"/>
          <w:lang w:val="en-US"/>
        </w:rPr>
        <w:t xml:space="preserve"> Ford</w:t>
      </w:r>
      <w:r w:rsidRPr="00840F76">
        <w:rPr>
          <w:rFonts w:ascii="Times" w:hAnsi="Times" w:cs="Times New Roman"/>
          <w:sz w:val="20"/>
          <w:szCs w:val="20"/>
          <w:lang w:val="en-US"/>
        </w:rPr>
        <w:t xml:space="preserve">, ed. Richard M. Ludwig (Princeton: Princeton University Press, 1965), p. 66. </w:t>
      </w:r>
    </w:p>
  </w:endnote>
  <w:endnote w:id="65">
    <w:p w14:paraId="484418B9" w14:textId="67612FB9"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Ford </w:t>
      </w:r>
      <w:proofErr w:type="spellStart"/>
      <w:r w:rsidRPr="00840F76">
        <w:rPr>
          <w:rFonts w:ascii="Times" w:hAnsi="Times" w:cs="Times New Roman"/>
          <w:sz w:val="20"/>
          <w:szCs w:val="20"/>
          <w:lang w:val="en-US"/>
        </w:rPr>
        <w:t>Madox</w:t>
      </w:r>
      <w:proofErr w:type="spellEnd"/>
      <w:r w:rsidRPr="00840F76">
        <w:rPr>
          <w:rFonts w:ascii="Times" w:hAnsi="Times" w:cs="Times New Roman"/>
          <w:sz w:val="20"/>
          <w:szCs w:val="20"/>
          <w:lang w:val="en-US"/>
        </w:rPr>
        <w:t xml:space="preserve"> Ford, </w:t>
      </w:r>
      <w:r w:rsidRPr="00840F76">
        <w:rPr>
          <w:rFonts w:ascii="Times" w:hAnsi="Times" w:cs="Times New Roman"/>
          <w:i/>
          <w:sz w:val="20"/>
          <w:szCs w:val="20"/>
          <w:lang w:val="en-US"/>
        </w:rPr>
        <w:t>The Marsden Case</w:t>
      </w:r>
      <w:r w:rsidRPr="00840F76">
        <w:rPr>
          <w:rFonts w:ascii="Times" w:hAnsi="Times" w:cs="Times New Roman"/>
          <w:sz w:val="20"/>
          <w:szCs w:val="20"/>
          <w:lang w:val="en-US"/>
        </w:rPr>
        <w:t xml:space="preserve">, quoted in </w:t>
      </w:r>
      <w:r w:rsidRPr="00840F76">
        <w:rPr>
          <w:rFonts w:ascii="Times" w:hAnsi="Times" w:cs="Times New Roman"/>
          <w:i/>
          <w:sz w:val="20"/>
          <w:szCs w:val="20"/>
          <w:lang w:val="en-US"/>
        </w:rPr>
        <w:t>War Prose,</w:t>
      </w:r>
      <w:r w:rsidRPr="00840F76">
        <w:rPr>
          <w:rFonts w:ascii="Times" w:hAnsi="Times" w:cs="Times New Roman"/>
          <w:sz w:val="20"/>
          <w:szCs w:val="20"/>
          <w:lang w:val="en-US"/>
        </w:rPr>
        <w:t xml:space="preserve"> ed. </w:t>
      </w:r>
      <w:r>
        <w:rPr>
          <w:rFonts w:ascii="Times" w:hAnsi="Times" w:cs="Times New Roman"/>
          <w:sz w:val="20"/>
          <w:szCs w:val="20"/>
          <w:lang w:val="en-US"/>
        </w:rPr>
        <w:t xml:space="preserve">by </w:t>
      </w:r>
      <w:r w:rsidRPr="00840F76">
        <w:rPr>
          <w:rFonts w:ascii="Times" w:hAnsi="Times" w:cs="Times New Roman"/>
          <w:sz w:val="20"/>
          <w:szCs w:val="20"/>
          <w:lang w:val="en-US"/>
        </w:rPr>
        <w:t xml:space="preserve">Max Saunders (Manchester: </w:t>
      </w:r>
      <w:proofErr w:type="spellStart"/>
      <w:r w:rsidRPr="00840F76">
        <w:rPr>
          <w:rFonts w:ascii="Times" w:hAnsi="Times" w:cs="Times New Roman"/>
          <w:sz w:val="20"/>
          <w:szCs w:val="20"/>
          <w:lang w:val="en-US"/>
        </w:rPr>
        <w:t>Carcanet</w:t>
      </w:r>
      <w:proofErr w:type="spellEnd"/>
      <w:r w:rsidRPr="00840F76">
        <w:rPr>
          <w:rFonts w:ascii="Times" w:hAnsi="Times" w:cs="Times New Roman"/>
          <w:sz w:val="20"/>
          <w:szCs w:val="20"/>
          <w:lang w:val="en-US"/>
        </w:rPr>
        <w:t>, 1999), pp. 263, 144.</w:t>
      </w:r>
    </w:p>
  </w:endnote>
  <w:endnote w:id="66">
    <w:p w14:paraId="6ED68BF5" w14:textId="2A2E62D4" w:rsidR="00840F76" w:rsidRPr="00840F76" w:rsidRDefault="00840F76" w:rsidP="001B77DD">
      <w:pPr>
        <w:pStyle w:val="EndnoteText"/>
        <w:spacing w:line="276" w:lineRule="auto"/>
        <w:rPr>
          <w:rFonts w:ascii="Times" w:hAnsi="Times"/>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Sara Haslam, ‘“The moaning of the world” and the “words that bring me peace”: Modernism and the First World War’ in </w:t>
      </w:r>
      <w:r w:rsidRPr="00840F76">
        <w:rPr>
          <w:rFonts w:ascii="Times" w:hAnsi="Times"/>
          <w:i/>
          <w:lang w:val="en-US"/>
        </w:rPr>
        <w:t>The Edinburgh Companion to British and American War Literature</w:t>
      </w:r>
      <w:r w:rsidRPr="00840F76">
        <w:rPr>
          <w:rFonts w:ascii="Times" w:hAnsi="Times"/>
          <w:lang w:val="en-US"/>
        </w:rPr>
        <w:t xml:space="preserve">, ed. Adam </w:t>
      </w:r>
      <w:proofErr w:type="spellStart"/>
      <w:r w:rsidRPr="00840F76">
        <w:rPr>
          <w:rFonts w:ascii="Times" w:hAnsi="Times"/>
          <w:lang w:val="en-US"/>
        </w:rPr>
        <w:t>Piette</w:t>
      </w:r>
      <w:proofErr w:type="spellEnd"/>
      <w:r w:rsidRPr="00840F76">
        <w:rPr>
          <w:rFonts w:ascii="Times" w:hAnsi="Times"/>
          <w:lang w:val="en-US"/>
        </w:rPr>
        <w:t xml:space="preserve"> and Mark Rawlinson (Edinburgh: Edinburgh University Press, 2012), pp. 47-57 (p. 50).</w:t>
      </w:r>
    </w:p>
  </w:endnote>
  <w:endnote w:id="67">
    <w:p w14:paraId="77755130" w14:textId="7BD2CC49"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Ford </w:t>
      </w:r>
      <w:proofErr w:type="spellStart"/>
      <w:r w:rsidRPr="00840F76">
        <w:rPr>
          <w:rFonts w:ascii="Times" w:hAnsi="Times" w:cs="Times New Roman"/>
        </w:rPr>
        <w:t>Madox</w:t>
      </w:r>
      <w:proofErr w:type="spellEnd"/>
      <w:r w:rsidRPr="00840F76">
        <w:rPr>
          <w:rFonts w:ascii="Times" w:hAnsi="Times" w:cs="Times New Roman"/>
        </w:rPr>
        <w:t xml:space="preserve"> Ford, </w:t>
      </w:r>
      <w:r w:rsidRPr="00840F76">
        <w:rPr>
          <w:rFonts w:ascii="Times" w:hAnsi="Times" w:cs="Times New Roman"/>
          <w:i/>
        </w:rPr>
        <w:t xml:space="preserve">Parades End </w:t>
      </w:r>
      <w:r w:rsidRPr="00840F76">
        <w:rPr>
          <w:rFonts w:ascii="Times" w:hAnsi="Times" w:cs="Times New Roman"/>
        </w:rPr>
        <w:t xml:space="preserve">(London: Penguin, 2002), p. 559. In this instance, I quote from the Penguin edition because it retains the spaces between each letter of the second ‘C r e s c e n d o’. These spaces are present in the original typescript of </w:t>
      </w:r>
      <w:r w:rsidRPr="00840F76">
        <w:rPr>
          <w:rFonts w:ascii="Times" w:hAnsi="Times" w:cs="Times New Roman"/>
          <w:i/>
        </w:rPr>
        <w:t xml:space="preserve">A Man Could Stand Up-, </w:t>
      </w:r>
      <w:r w:rsidRPr="00840F76">
        <w:rPr>
          <w:rFonts w:ascii="Times" w:hAnsi="Times" w:cs="Times New Roman"/>
        </w:rPr>
        <w:t xml:space="preserve">held in the Division of Rare and Manuscript Collections, Cornell University, p. 83. In the new </w:t>
      </w:r>
      <w:proofErr w:type="spellStart"/>
      <w:r w:rsidRPr="00840F76">
        <w:rPr>
          <w:rFonts w:ascii="Times" w:hAnsi="Times" w:cs="Times New Roman"/>
        </w:rPr>
        <w:t>Carcanet</w:t>
      </w:r>
      <w:proofErr w:type="spellEnd"/>
      <w:r w:rsidRPr="00840F76">
        <w:rPr>
          <w:rFonts w:ascii="Times" w:hAnsi="Times" w:cs="Times New Roman"/>
        </w:rPr>
        <w:t xml:space="preserve"> edition referred to in the rest of this article, the second ‘Crescendo’ appears without spaces. Ford, </w:t>
      </w:r>
      <w:r w:rsidRPr="00840F76">
        <w:rPr>
          <w:rFonts w:ascii="Times" w:hAnsi="Times" w:cs="Times New Roman"/>
          <w:i/>
        </w:rPr>
        <w:t>A Man Could Stand Up–</w:t>
      </w:r>
      <w:r w:rsidRPr="00840F76">
        <w:rPr>
          <w:rFonts w:ascii="Times" w:hAnsi="Times" w:cs="Times New Roman"/>
        </w:rPr>
        <w:t xml:space="preserve">, p. 79.   </w:t>
      </w:r>
    </w:p>
  </w:endnote>
  <w:endnote w:id="68">
    <w:p w14:paraId="6AB8926D"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Lockyer, p. 439.</w:t>
      </w:r>
    </w:p>
  </w:endnote>
  <w:endnote w:id="69">
    <w:p w14:paraId="45D64054" w14:textId="4876D181"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Ibid, pp. 439-440.</w:t>
      </w:r>
    </w:p>
  </w:endnote>
  <w:endnote w:id="70">
    <w:p w14:paraId="476EC376" w14:textId="48FE9D2B"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Ibid, p. 440.</w:t>
      </w:r>
    </w:p>
  </w:endnote>
  <w:endnote w:id="71">
    <w:p w14:paraId="021C9498" w14:textId="77777777" w:rsidR="00840F76" w:rsidRPr="00840F76" w:rsidRDefault="00840F76" w:rsidP="00B0471E">
      <w:pPr>
        <w:pStyle w:val="EndnoteText"/>
        <w:rPr>
          <w:rFonts w:ascii="Times" w:hAnsi="Times"/>
          <w:i/>
          <w:lang w:val="en-US"/>
        </w:rPr>
      </w:pPr>
      <w:r w:rsidRPr="00840F76">
        <w:rPr>
          <w:rStyle w:val="EndnoteReference"/>
          <w:rFonts w:ascii="Times" w:hAnsi="Times"/>
        </w:rPr>
        <w:endnoteRef/>
      </w:r>
      <w:r w:rsidRPr="00840F76">
        <w:rPr>
          <w:rFonts w:ascii="Times" w:hAnsi="Times"/>
        </w:rPr>
        <w:t xml:space="preserve"> </w:t>
      </w:r>
      <w:r w:rsidRPr="00840F76">
        <w:rPr>
          <w:rFonts w:ascii="Times" w:hAnsi="Times"/>
          <w:lang w:val="en-US"/>
        </w:rPr>
        <w:t xml:space="preserve">Ford, </w:t>
      </w:r>
      <w:r w:rsidRPr="00840F76">
        <w:rPr>
          <w:rFonts w:ascii="Times" w:hAnsi="Times"/>
          <w:i/>
          <w:lang w:val="en-US"/>
        </w:rPr>
        <w:t>A Man Could Stand Up–</w:t>
      </w:r>
      <w:r w:rsidRPr="00840F76">
        <w:rPr>
          <w:rFonts w:ascii="Times" w:hAnsi="Times"/>
          <w:lang w:val="en-US"/>
        </w:rPr>
        <w:t>, p. 79.</w:t>
      </w:r>
      <w:r w:rsidRPr="00840F76">
        <w:rPr>
          <w:rFonts w:ascii="Times" w:hAnsi="Times"/>
          <w:i/>
          <w:lang w:val="en-US"/>
        </w:rPr>
        <w:t xml:space="preserve"> </w:t>
      </w:r>
    </w:p>
  </w:endnote>
  <w:endnote w:id="72">
    <w:p w14:paraId="7F4D63C0"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Ibid.</w:t>
      </w:r>
    </w:p>
  </w:endnote>
  <w:endnote w:id="73">
    <w:p w14:paraId="56F8AD71" w14:textId="77F78604"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Wagner’s prose style is difficult and bombastic, but as an example he declares that ‘</w:t>
      </w:r>
      <w:r w:rsidRPr="00840F76">
        <w:rPr>
          <w:rFonts w:ascii="Times" w:hAnsi="Times" w:cs="Times New Roman"/>
          <w:lang w:val="en-US"/>
        </w:rPr>
        <w:t xml:space="preserve">The Art-work, thus conceived as an immediate vital act, is </w:t>
      </w:r>
      <w:proofErr w:type="spellStart"/>
      <w:r w:rsidRPr="00840F76">
        <w:rPr>
          <w:rFonts w:ascii="Times" w:hAnsi="Times" w:cs="Times New Roman"/>
          <w:lang w:val="en-US"/>
        </w:rPr>
        <w:t>therewith</w:t>
      </w:r>
      <w:proofErr w:type="spellEnd"/>
      <w:r w:rsidRPr="00840F76">
        <w:rPr>
          <w:rFonts w:ascii="Times" w:hAnsi="Times" w:cs="Times New Roman"/>
          <w:lang w:val="en-US"/>
        </w:rPr>
        <w:t xml:space="preserve"> the perfect reconcilement of Science with Life, the laurel-wreath which the vanquished, redeemed by her defeat, reaches in joyous homage to her acknowledged victor.’ </w:t>
      </w:r>
      <w:r w:rsidRPr="00840F76">
        <w:rPr>
          <w:rFonts w:ascii="Times" w:hAnsi="Times" w:cs="Times New Roman"/>
          <w:i/>
          <w:lang w:val="en-US"/>
        </w:rPr>
        <w:t>The Art-Work of the Future</w:t>
      </w:r>
      <w:r w:rsidRPr="00840F76">
        <w:rPr>
          <w:rFonts w:ascii="Times" w:hAnsi="Times" w:cs="Times New Roman"/>
          <w:lang w:val="en-US"/>
        </w:rPr>
        <w:t>, p. 73.</w:t>
      </w:r>
    </w:p>
  </w:endnote>
  <w:endnote w:id="74">
    <w:p w14:paraId="1D22A916"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Roberts, </w:t>
      </w:r>
      <w:r w:rsidRPr="00840F76">
        <w:rPr>
          <w:rFonts w:ascii="Times" w:hAnsi="Times" w:cs="Times New Roman"/>
          <w:i/>
          <w:lang w:val="en-US"/>
        </w:rPr>
        <w:t>The Total Work of Art in European Modernism</w:t>
      </w:r>
      <w:r w:rsidRPr="00840F76">
        <w:rPr>
          <w:rFonts w:ascii="Times" w:hAnsi="Times" w:cs="Times New Roman"/>
          <w:lang w:val="en-US"/>
        </w:rPr>
        <w:t>, p. 72.</w:t>
      </w:r>
    </w:p>
  </w:endnote>
  <w:endnote w:id="75">
    <w:p w14:paraId="55BD6D15" w14:textId="45DB823D" w:rsidR="00840F76" w:rsidRPr="00840F76" w:rsidRDefault="00840F76" w:rsidP="001B77DD">
      <w:pPr>
        <w:pStyle w:val="EndnoteText"/>
        <w:spacing w:line="276" w:lineRule="auto"/>
        <w:rPr>
          <w:rFonts w:ascii="Times" w:hAnsi="Times" w:cs="Times New Roman"/>
          <w:i/>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Wagner, </w:t>
      </w:r>
      <w:proofErr w:type="gramStart"/>
      <w:r w:rsidRPr="00840F76">
        <w:rPr>
          <w:rFonts w:ascii="Times" w:hAnsi="Times" w:cs="Times New Roman"/>
          <w:i/>
          <w:lang w:val="en-US"/>
        </w:rPr>
        <w:t>The</w:t>
      </w:r>
      <w:proofErr w:type="gramEnd"/>
      <w:r w:rsidRPr="00840F76">
        <w:rPr>
          <w:rFonts w:ascii="Times" w:hAnsi="Times" w:cs="Times New Roman"/>
          <w:i/>
          <w:lang w:val="en-US"/>
        </w:rPr>
        <w:t xml:space="preserve"> Art-Work of the Future</w:t>
      </w:r>
      <w:r w:rsidRPr="00840F76">
        <w:rPr>
          <w:rFonts w:ascii="Times" w:hAnsi="Times" w:cs="Times New Roman"/>
          <w:lang w:val="en-US"/>
        </w:rPr>
        <w:t>, pp.</w:t>
      </w:r>
      <w:r w:rsidRPr="00840F76">
        <w:rPr>
          <w:rFonts w:ascii="Times" w:hAnsi="Times" w:cs="Times New Roman"/>
          <w:i/>
          <w:lang w:val="en-US"/>
        </w:rPr>
        <w:t xml:space="preserve"> </w:t>
      </w:r>
      <w:r w:rsidRPr="00840F76">
        <w:rPr>
          <w:rFonts w:ascii="Times" w:hAnsi="Times" w:cs="Times New Roman"/>
          <w:lang w:val="en-US"/>
        </w:rPr>
        <w:t>84-85, 183.</w:t>
      </w:r>
    </w:p>
  </w:endnote>
  <w:endnote w:id="76">
    <w:p w14:paraId="5F0EB264" w14:textId="5B56DFDE"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004D4201">
        <w:rPr>
          <w:rFonts w:ascii="Times" w:hAnsi="Times" w:cs="Times New Roman"/>
          <w:lang w:val="en-US"/>
        </w:rPr>
        <w:t>Ibid.</w:t>
      </w:r>
      <w:r w:rsidRPr="00840F76">
        <w:rPr>
          <w:rFonts w:ascii="Times" w:hAnsi="Times" w:cs="Times New Roman"/>
          <w:lang w:val="en-US"/>
        </w:rPr>
        <w:t xml:space="preserve"> p. 186.</w:t>
      </w:r>
    </w:p>
  </w:endnote>
  <w:endnote w:id="77">
    <w:p w14:paraId="51DE9885" w14:textId="6266AA5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Ford, </w:t>
      </w:r>
      <w:r w:rsidRPr="00840F76">
        <w:rPr>
          <w:rFonts w:ascii="Times" w:hAnsi="Times" w:cs="Times New Roman"/>
          <w:i/>
          <w:lang w:val="en-US"/>
        </w:rPr>
        <w:t>A Man Could Stand Up–</w:t>
      </w:r>
      <w:r w:rsidRPr="00840F76">
        <w:rPr>
          <w:rFonts w:ascii="Times" w:hAnsi="Times" w:cs="Times New Roman"/>
          <w:lang w:val="en-US"/>
        </w:rPr>
        <w:t>, p. 79.</w:t>
      </w:r>
    </w:p>
  </w:endnote>
  <w:endnote w:id="78">
    <w:p w14:paraId="638DF943"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Ford, </w:t>
      </w:r>
      <w:r w:rsidRPr="00840F76">
        <w:rPr>
          <w:rFonts w:ascii="Times" w:hAnsi="Times" w:cs="Times New Roman"/>
          <w:i/>
          <w:sz w:val="20"/>
          <w:szCs w:val="20"/>
          <w:lang w:val="en-US"/>
        </w:rPr>
        <w:t>No More Parades</w:t>
      </w:r>
      <w:r w:rsidRPr="00840F76">
        <w:rPr>
          <w:rFonts w:ascii="Times" w:hAnsi="Times" w:cs="Times New Roman"/>
          <w:sz w:val="20"/>
          <w:szCs w:val="20"/>
          <w:lang w:val="en-US"/>
        </w:rPr>
        <w:t xml:space="preserve">, p. </w:t>
      </w:r>
      <w:r w:rsidRPr="00840F76">
        <w:rPr>
          <w:rFonts w:ascii="Times" w:hAnsi="Times" w:cs="Times New Roman"/>
          <w:sz w:val="20"/>
          <w:szCs w:val="20"/>
        </w:rPr>
        <w:t>11.</w:t>
      </w:r>
    </w:p>
  </w:endnote>
  <w:endnote w:id="79">
    <w:p w14:paraId="58A05C1A"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Epstein, </w:t>
      </w:r>
      <w:r w:rsidRPr="00840F76">
        <w:rPr>
          <w:rFonts w:ascii="Times" w:hAnsi="Times" w:cs="Times New Roman"/>
          <w:i/>
          <w:sz w:val="20"/>
          <w:szCs w:val="20"/>
          <w:lang w:val="en-US"/>
        </w:rPr>
        <w:t>Sublime Noise</w:t>
      </w:r>
      <w:r w:rsidRPr="00840F76">
        <w:rPr>
          <w:rFonts w:ascii="Times" w:hAnsi="Times" w:cs="Times New Roman"/>
          <w:sz w:val="20"/>
          <w:szCs w:val="20"/>
          <w:lang w:val="en-US"/>
        </w:rPr>
        <w:t xml:space="preserve">, p. </w:t>
      </w:r>
      <w:r w:rsidRPr="00840F76">
        <w:rPr>
          <w:rFonts w:ascii="Times" w:hAnsi="Times" w:cs="Times New Roman"/>
          <w:sz w:val="20"/>
          <w:szCs w:val="20"/>
        </w:rPr>
        <w:t>xvi.</w:t>
      </w:r>
    </w:p>
  </w:endnote>
  <w:endnote w:id="80">
    <w:p w14:paraId="1AFA2657" w14:textId="77777777"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Vincent Sherry, </w:t>
      </w:r>
      <w:r w:rsidRPr="00840F76">
        <w:rPr>
          <w:rFonts w:ascii="Times" w:hAnsi="Times" w:cs="Times New Roman"/>
          <w:i/>
          <w:sz w:val="20"/>
          <w:szCs w:val="20"/>
          <w:lang w:val="en-US"/>
        </w:rPr>
        <w:t>Modernism and the Reinvention of Decadence</w:t>
      </w:r>
      <w:r w:rsidRPr="00840F76">
        <w:rPr>
          <w:rFonts w:ascii="Times" w:hAnsi="Times" w:cs="Times New Roman"/>
          <w:sz w:val="20"/>
          <w:szCs w:val="20"/>
          <w:lang w:val="en-US"/>
        </w:rPr>
        <w:t xml:space="preserve"> (Cambridge: Cambridge University Press, 2015); David Weir, </w:t>
      </w:r>
      <w:r w:rsidRPr="00840F76">
        <w:rPr>
          <w:rFonts w:ascii="Times" w:hAnsi="Times" w:cs="Times New Roman"/>
          <w:i/>
          <w:sz w:val="20"/>
          <w:szCs w:val="20"/>
          <w:lang w:val="en-US"/>
        </w:rPr>
        <w:t>Decadence and the Making of Modernism</w:t>
      </w:r>
      <w:r w:rsidRPr="00840F76">
        <w:rPr>
          <w:rFonts w:ascii="Times" w:hAnsi="Times" w:cs="Times New Roman"/>
          <w:sz w:val="20"/>
          <w:szCs w:val="20"/>
          <w:lang w:val="en-US"/>
        </w:rPr>
        <w:t xml:space="preserve"> (Amherst: University of Massachusetts Press, 1995).</w:t>
      </w:r>
    </w:p>
  </w:endnote>
  <w:endnote w:id="81">
    <w:p w14:paraId="099DA9BB" w14:textId="77777777"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w:t>
      </w:r>
      <w:r w:rsidRPr="00840F76">
        <w:rPr>
          <w:rFonts w:ascii="Times" w:hAnsi="Times" w:cs="Times New Roman"/>
          <w:lang w:val="en-US"/>
        </w:rPr>
        <w:t xml:space="preserve">I do not mean to suggest here that Epstein sees this as a complete break. Indeed, he says that ‘new developments [in music] though startling, by no means came out of nowhere […] Schoenberg’s twelve-tone species of atonality was an extension of the intense chromaticism of Mahler, Wagner, and Strauss’. Epstein, </w:t>
      </w:r>
      <w:r w:rsidRPr="00840F76">
        <w:rPr>
          <w:rFonts w:ascii="Times" w:hAnsi="Times" w:cs="Times New Roman"/>
          <w:i/>
          <w:lang w:val="en-US"/>
        </w:rPr>
        <w:t>Sublime Noise</w:t>
      </w:r>
      <w:r w:rsidRPr="00840F76">
        <w:rPr>
          <w:rFonts w:ascii="Times" w:hAnsi="Times" w:cs="Times New Roman"/>
          <w:lang w:val="en-US"/>
        </w:rPr>
        <w:t>, p. xiii.</w:t>
      </w:r>
    </w:p>
  </w:endnote>
  <w:endnote w:id="82">
    <w:p w14:paraId="00852169" w14:textId="1D4CAD93" w:rsidR="00840F76" w:rsidRPr="00840F76" w:rsidRDefault="00840F76" w:rsidP="001B77DD">
      <w:pPr>
        <w:pStyle w:val="EndnoteText"/>
        <w:spacing w:line="276" w:lineRule="auto"/>
        <w:rPr>
          <w:rFonts w:ascii="Times" w:hAnsi="Times" w:cs="Times New Roman"/>
          <w:lang w:val="en-US"/>
        </w:rPr>
      </w:pPr>
      <w:r w:rsidRPr="00840F76">
        <w:rPr>
          <w:rStyle w:val="EndnoteReference"/>
          <w:rFonts w:ascii="Times" w:hAnsi="Times" w:cs="Times New Roman"/>
          <w:sz w:val="20"/>
        </w:rPr>
        <w:endnoteRef/>
      </w:r>
      <w:r w:rsidRPr="00840F76">
        <w:rPr>
          <w:rFonts w:ascii="Times" w:hAnsi="Times" w:cs="Times New Roman"/>
        </w:rPr>
        <w:t xml:space="preserve"> This idea does, as I inferred in the introduction to this essay, have a complex history and was not universally agreed upon. See Mark Evans Bonds, </w:t>
      </w:r>
      <w:r w:rsidRPr="00840F76">
        <w:rPr>
          <w:rFonts w:ascii="Times" w:hAnsi="Times" w:cs="Times New Roman"/>
          <w:i/>
        </w:rPr>
        <w:t>Absolute Music: The History of an Idea</w:t>
      </w:r>
      <w:r w:rsidRPr="00840F76">
        <w:rPr>
          <w:rFonts w:ascii="Times" w:hAnsi="Times" w:cs="Times New Roman"/>
        </w:rPr>
        <w:t xml:space="preserve"> (Oxford: Oxford University Press, 2014). Carl Dahlhaus, </w:t>
      </w:r>
      <w:r w:rsidRPr="00840F76">
        <w:rPr>
          <w:rFonts w:ascii="Times" w:hAnsi="Times" w:cs="Times New Roman"/>
          <w:i/>
        </w:rPr>
        <w:t>The Idea of Absolute Music</w:t>
      </w:r>
      <w:r w:rsidRPr="00840F76">
        <w:rPr>
          <w:rFonts w:ascii="Times" w:hAnsi="Times" w:cs="Times New Roman"/>
        </w:rPr>
        <w:t xml:space="preserve">, trans. by Roger </w:t>
      </w:r>
      <w:proofErr w:type="spellStart"/>
      <w:r w:rsidRPr="00840F76">
        <w:rPr>
          <w:rFonts w:ascii="Times" w:hAnsi="Times" w:cs="Times New Roman"/>
        </w:rPr>
        <w:t>Lustig</w:t>
      </w:r>
      <w:proofErr w:type="spellEnd"/>
      <w:r w:rsidRPr="00840F76">
        <w:rPr>
          <w:rFonts w:ascii="Times" w:hAnsi="Times" w:cs="Times New Roman"/>
        </w:rPr>
        <w:t xml:space="preserve"> (Chicago, IL: University of Chicago Press, 1991).</w:t>
      </w:r>
    </w:p>
  </w:endnote>
  <w:endnote w:id="83">
    <w:p w14:paraId="0E5F6EA6" w14:textId="5310EC5F"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For Fredric Jameson, ‘spatial disjunction’ is produced by the distance between the colonies and imperial “centre”, which makes it impossible ‘to grasp the way the system functions as a whole’. </w:t>
      </w:r>
      <w:r w:rsidRPr="00840F76">
        <w:rPr>
          <w:rFonts w:ascii="Times" w:hAnsi="Times" w:cs="Times New Roman"/>
          <w:sz w:val="20"/>
          <w:szCs w:val="20"/>
          <w:lang w:val="en-US"/>
        </w:rPr>
        <w:t xml:space="preserve">Fredric Jameson, </w:t>
      </w:r>
      <w:r w:rsidRPr="00840F76">
        <w:rPr>
          <w:rFonts w:ascii="Times" w:hAnsi="Times" w:cs="Times New Roman"/>
          <w:i/>
          <w:sz w:val="20"/>
          <w:szCs w:val="20"/>
          <w:lang w:val="en-US"/>
        </w:rPr>
        <w:t>The Modernist Papers</w:t>
      </w:r>
      <w:r w:rsidRPr="00840F76">
        <w:rPr>
          <w:rFonts w:ascii="Times" w:hAnsi="Times" w:cs="Times New Roman"/>
          <w:sz w:val="20"/>
          <w:szCs w:val="20"/>
          <w:lang w:val="en-US"/>
        </w:rPr>
        <w:t xml:space="preserve"> (London: Verso, 2007), p. 157.</w:t>
      </w:r>
    </w:p>
  </w:endnote>
  <w:endnote w:id="84">
    <w:p w14:paraId="7E247DF1" w14:textId="4A1E09E8" w:rsidR="00840F76" w:rsidRPr="00840F76" w:rsidRDefault="00840F76" w:rsidP="001B77DD">
      <w:pPr>
        <w:spacing w:line="276" w:lineRule="auto"/>
        <w:rPr>
          <w:rFonts w:ascii="Times" w:hAnsi="Times" w:cs="Times New Roman"/>
          <w:sz w:val="20"/>
          <w:szCs w:val="20"/>
          <w:lang w:val="en-US"/>
        </w:rPr>
      </w:pPr>
      <w:r w:rsidRPr="00840F76">
        <w:rPr>
          <w:rStyle w:val="EndnoteReference"/>
          <w:rFonts w:ascii="Times" w:hAnsi="Times" w:cs="Times New Roman"/>
          <w:sz w:val="20"/>
          <w:szCs w:val="20"/>
        </w:rPr>
        <w:endnoteRef/>
      </w:r>
      <w:r w:rsidRPr="00840F76">
        <w:rPr>
          <w:rFonts w:ascii="Times" w:hAnsi="Times" w:cs="Times New Roman"/>
          <w:sz w:val="20"/>
          <w:szCs w:val="20"/>
        </w:rPr>
        <w:t xml:space="preserve"> </w:t>
      </w:r>
      <w:r w:rsidRPr="00840F76">
        <w:rPr>
          <w:rFonts w:ascii="Times" w:hAnsi="Times" w:cs="Times New Roman"/>
          <w:sz w:val="20"/>
          <w:szCs w:val="20"/>
          <w:lang w:val="en-US"/>
        </w:rPr>
        <w:t xml:space="preserve">See T. W. Adorno and Max </w:t>
      </w:r>
      <w:proofErr w:type="spellStart"/>
      <w:r w:rsidRPr="00840F76">
        <w:rPr>
          <w:rFonts w:ascii="Times" w:hAnsi="Times" w:cs="Times New Roman"/>
          <w:sz w:val="20"/>
          <w:szCs w:val="20"/>
          <w:lang w:val="en-US"/>
        </w:rPr>
        <w:t>Horkheimer</w:t>
      </w:r>
      <w:proofErr w:type="spellEnd"/>
      <w:r w:rsidRPr="00840F76">
        <w:rPr>
          <w:rFonts w:ascii="Times" w:hAnsi="Times" w:cs="Times New Roman"/>
          <w:sz w:val="20"/>
          <w:szCs w:val="20"/>
          <w:lang w:val="en-US"/>
        </w:rPr>
        <w:t xml:space="preserve">, </w:t>
      </w:r>
      <w:r w:rsidRPr="00840F76">
        <w:rPr>
          <w:rFonts w:ascii="Times" w:hAnsi="Times" w:cs="Times New Roman"/>
          <w:i/>
          <w:sz w:val="20"/>
          <w:szCs w:val="20"/>
          <w:lang w:val="en-US"/>
        </w:rPr>
        <w:t>Dialectic of Enlightenment</w:t>
      </w:r>
      <w:r w:rsidRPr="00840F76">
        <w:rPr>
          <w:rFonts w:ascii="Times" w:hAnsi="Times" w:cs="Times New Roman"/>
          <w:sz w:val="20"/>
          <w:szCs w:val="20"/>
          <w:lang w:val="en-US"/>
        </w:rPr>
        <w:t xml:space="preserve">, trans. by John Cumming (1944; London: Verso, 1997). Herbert Marcuse, </w:t>
      </w:r>
      <w:r w:rsidRPr="00840F76">
        <w:rPr>
          <w:rFonts w:ascii="Times" w:hAnsi="Times" w:cs="Times New Roman"/>
          <w:i/>
          <w:sz w:val="20"/>
          <w:szCs w:val="20"/>
          <w:lang w:val="en-US"/>
        </w:rPr>
        <w:t>One Dimensional Man</w:t>
      </w:r>
      <w:r w:rsidRPr="00840F76">
        <w:rPr>
          <w:rFonts w:ascii="Times" w:hAnsi="Times" w:cs="Times New Roman"/>
          <w:sz w:val="20"/>
          <w:szCs w:val="20"/>
          <w:lang w:val="en-US"/>
        </w:rPr>
        <w:t xml:space="preserve">, trans. by Douglas Kellner (1964; London: Routledge, 2002).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7899" w14:textId="77777777" w:rsidR="00840F76" w:rsidRDefault="00840F76" w:rsidP="00320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14400" w14:textId="77777777" w:rsidR="00840F76" w:rsidRDefault="00840F76" w:rsidP="004805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D0B0" w14:textId="77777777" w:rsidR="00840F76" w:rsidRDefault="00840F76" w:rsidP="00320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4962">
      <w:rPr>
        <w:rStyle w:val="PageNumber"/>
        <w:noProof/>
      </w:rPr>
      <w:t>16</w:t>
    </w:r>
    <w:r>
      <w:rPr>
        <w:rStyle w:val="PageNumber"/>
      </w:rPr>
      <w:fldChar w:fldCharType="end"/>
    </w:r>
  </w:p>
  <w:p w14:paraId="02A9CE80" w14:textId="77777777" w:rsidR="00840F76" w:rsidRDefault="00840F76" w:rsidP="004805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30A41" w14:textId="77777777" w:rsidR="000E7199" w:rsidRDefault="000E7199" w:rsidP="001E2E72">
      <w:r>
        <w:separator/>
      </w:r>
    </w:p>
  </w:footnote>
  <w:footnote w:type="continuationSeparator" w:id="0">
    <w:p w14:paraId="760B6639" w14:textId="77777777" w:rsidR="000E7199" w:rsidRDefault="000E7199" w:rsidP="001E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72"/>
    <w:rsid w:val="00001CE1"/>
    <w:rsid w:val="0001307B"/>
    <w:rsid w:val="000168A1"/>
    <w:rsid w:val="000170D8"/>
    <w:rsid w:val="00020DF2"/>
    <w:rsid w:val="000228D2"/>
    <w:rsid w:val="000311E0"/>
    <w:rsid w:val="00041150"/>
    <w:rsid w:val="000437F8"/>
    <w:rsid w:val="00052FA6"/>
    <w:rsid w:val="00053EE8"/>
    <w:rsid w:val="00067589"/>
    <w:rsid w:val="00067D8E"/>
    <w:rsid w:val="000748ED"/>
    <w:rsid w:val="00083D07"/>
    <w:rsid w:val="0009115D"/>
    <w:rsid w:val="000A18E4"/>
    <w:rsid w:val="000A27AC"/>
    <w:rsid w:val="000A5C10"/>
    <w:rsid w:val="000A728C"/>
    <w:rsid w:val="000B08C0"/>
    <w:rsid w:val="000B1103"/>
    <w:rsid w:val="000B1A63"/>
    <w:rsid w:val="000B33E9"/>
    <w:rsid w:val="000C4E9E"/>
    <w:rsid w:val="000D0B53"/>
    <w:rsid w:val="000D223A"/>
    <w:rsid w:val="000D3FA6"/>
    <w:rsid w:val="000D5ACF"/>
    <w:rsid w:val="000E06F6"/>
    <w:rsid w:val="000E5DF2"/>
    <w:rsid w:val="000E7183"/>
    <w:rsid w:val="000E7199"/>
    <w:rsid w:val="000F27F0"/>
    <w:rsid w:val="00113F01"/>
    <w:rsid w:val="0011566C"/>
    <w:rsid w:val="00115714"/>
    <w:rsid w:val="00117204"/>
    <w:rsid w:val="00117251"/>
    <w:rsid w:val="00120970"/>
    <w:rsid w:val="001240FD"/>
    <w:rsid w:val="00124962"/>
    <w:rsid w:val="00127C20"/>
    <w:rsid w:val="001353F1"/>
    <w:rsid w:val="00137118"/>
    <w:rsid w:val="0014085B"/>
    <w:rsid w:val="001413B1"/>
    <w:rsid w:val="00143095"/>
    <w:rsid w:val="00152EC1"/>
    <w:rsid w:val="001571F5"/>
    <w:rsid w:val="00165D1D"/>
    <w:rsid w:val="001673AB"/>
    <w:rsid w:val="001717F8"/>
    <w:rsid w:val="00171988"/>
    <w:rsid w:val="00172A6B"/>
    <w:rsid w:val="00172DD0"/>
    <w:rsid w:val="00175FC1"/>
    <w:rsid w:val="001766B4"/>
    <w:rsid w:val="001774B0"/>
    <w:rsid w:val="00187351"/>
    <w:rsid w:val="001879EE"/>
    <w:rsid w:val="001921C5"/>
    <w:rsid w:val="00193309"/>
    <w:rsid w:val="0019396F"/>
    <w:rsid w:val="00197855"/>
    <w:rsid w:val="001A4F75"/>
    <w:rsid w:val="001B35D8"/>
    <w:rsid w:val="001B3685"/>
    <w:rsid w:val="001B6307"/>
    <w:rsid w:val="001B77DD"/>
    <w:rsid w:val="001C527D"/>
    <w:rsid w:val="001D1AF6"/>
    <w:rsid w:val="001D5612"/>
    <w:rsid w:val="001D7E8F"/>
    <w:rsid w:val="001E1690"/>
    <w:rsid w:val="001E29D2"/>
    <w:rsid w:val="001E2E72"/>
    <w:rsid w:val="001E4525"/>
    <w:rsid w:val="001E4A83"/>
    <w:rsid w:val="001E591B"/>
    <w:rsid w:val="001F416D"/>
    <w:rsid w:val="002169E6"/>
    <w:rsid w:val="002220B0"/>
    <w:rsid w:val="002227ED"/>
    <w:rsid w:val="00223B95"/>
    <w:rsid w:val="00223E1D"/>
    <w:rsid w:val="0023085E"/>
    <w:rsid w:val="00230E3B"/>
    <w:rsid w:val="00233709"/>
    <w:rsid w:val="00235946"/>
    <w:rsid w:val="002360AD"/>
    <w:rsid w:val="00237FC9"/>
    <w:rsid w:val="00242051"/>
    <w:rsid w:val="002420F6"/>
    <w:rsid w:val="00242C67"/>
    <w:rsid w:val="00250331"/>
    <w:rsid w:val="002651A6"/>
    <w:rsid w:val="00266687"/>
    <w:rsid w:val="00270AEC"/>
    <w:rsid w:val="00271273"/>
    <w:rsid w:val="00273FAE"/>
    <w:rsid w:val="002754A2"/>
    <w:rsid w:val="00275C80"/>
    <w:rsid w:val="00283E0F"/>
    <w:rsid w:val="0029235A"/>
    <w:rsid w:val="00292A3E"/>
    <w:rsid w:val="00297C99"/>
    <w:rsid w:val="002A0101"/>
    <w:rsid w:val="002A0A48"/>
    <w:rsid w:val="002A20C3"/>
    <w:rsid w:val="002A21BC"/>
    <w:rsid w:val="002A22AF"/>
    <w:rsid w:val="002A2EB5"/>
    <w:rsid w:val="002A32D4"/>
    <w:rsid w:val="002A4825"/>
    <w:rsid w:val="002A4C46"/>
    <w:rsid w:val="002A586A"/>
    <w:rsid w:val="002A6F75"/>
    <w:rsid w:val="002B4AE7"/>
    <w:rsid w:val="002C3AE0"/>
    <w:rsid w:val="002C3EF6"/>
    <w:rsid w:val="002D24DE"/>
    <w:rsid w:val="002E18A0"/>
    <w:rsid w:val="002E1F7A"/>
    <w:rsid w:val="002E5841"/>
    <w:rsid w:val="002E6875"/>
    <w:rsid w:val="003057B2"/>
    <w:rsid w:val="00307209"/>
    <w:rsid w:val="00310AF9"/>
    <w:rsid w:val="0031220E"/>
    <w:rsid w:val="00320E2E"/>
    <w:rsid w:val="00324A31"/>
    <w:rsid w:val="00333DD5"/>
    <w:rsid w:val="00336950"/>
    <w:rsid w:val="00337B56"/>
    <w:rsid w:val="00341706"/>
    <w:rsid w:val="00346114"/>
    <w:rsid w:val="0035362F"/>
    <w:rsid w:val="003573C1"/>
    <w:rsid w:val="003662EE"/>
    <w:rsid w:val="00373063"/>
    <w:rsid w:val="0038021C"/>
    <w:rsid w:val="00393FE3"/>
    <w:rsid w:val="003A21E8"/>
    <w:rsid w:val="003A3928"/>
    <w:rsid w:val="003A3BE7"/>
    <w:rsid w:val="003B4CD5"/>
    <w:rsid w:val="003C0BDE"/>
    <w:rsid w:val="003C11E4"/>
    <w:rsid w:val="003C5C8C"/>
    <w:rsid w:val="003D045C"/>
    <w:rsid w:val="003D09D2"/>
    <w:rsid w:val="003D4CA2"/>
    <w:rsid w:val="003E7CB7"/>
    <w:rsid w:val="003E7F97"/>
    <w:rsid w:val="003F23B8"/>
    <w:rsid w:val="003F2C84"/>
    <w:rsid w:val="003F434D"/>
    <w:rsid w:val="003F7A25"/>
    <w:rsid w:val="004022A8"/>
    <w:rsid w:val="00402BFF"/>
    <w:rsid w:val="00407400"/>
    <w:rsid w:val="00415C9A"/>
    <w:rsid w:val="00423C8F"/>
    <w:rsid w:val="00424137"/>
    <w:rsid w:val="00430010"/>
    <w:rsid w:val="00433168"/>
    <w:rsid w:val="00437D40"/>
    <w:rsid w:val="004413CC"/>
    <w:rsid w:val="00441DC8"/>
    <w:rsid w:val="00445ECC"/>
    <w:rsid w:val="00446095"/>
    <w:rsid w:val="00456526"/>
    <w:rsid w:val="0045783D"/>
    <w:rsid w:val="00461BBE"/>
    <w:rsid w:val="00464AE0"/>
    <w:rsid w:val="0046588E"/>
    <w:rsid w:val="0046693E"/>
    <w:rsid w:val="004733E9"/>
    <w:rsid w:val="004805D5"/>
    <w:rsid w:val="00480C35"/>
    <w:rsid w:val="004821BF"/>
    <w:rsid w:val="004956FC"/>
    <w:rsid w:val="00495DF3"/>
    <w:rsid w:val="004A29F3"/>
    <w:rsid w:val="004A57D2"/>
    <w:rsid w:val="004A6E17"/>
    <w:rsid w:val="004B2CFB"/>
    <w:rsid w:val="004B2DA8"/>
    <w:rsid w:val="004B34BE"/>
    <w:rsid w:val="004C31EF"/>
    <w:rsid w:val="004C6FC2"/>
    <w:rsid w:val="004D4201"/>
    <w:rsid w:val="004E23AB"/>
    <w:rsid w:val="004F167E"/>
    <w:rsid w:val="004F1941"/>
    <w:rsid w:val="004F4C70"/>
    <w:rsid w:val="00500030"/>
    <w:rsid w:val="00505316"/>
    <w:rsid w:val="005155FE"/>
    <w:rsid w:val="00516096"/>
    <w:rsid w:val="00520395"/>
    <w:rsid w:val="005230B8"/>
    <w:rsid w:val="005279A5"/>
    <w:rsid w:val="00536727"/>
    <w:rsid w:val="00542C62"/>
    <w:rsid w:val="00545D81"/>
    <w:rsid w:val="005507F0"/>
    <w:rsid w:val="00557B0C"/>
    <w:rsid w:val="005609A5"/>
    <w:rsid w:val="00563B9D"/>
    <w:rsid w:val="00567076"/>
    <w:rsid w:val="0056748C"/>
    <w:rsid w:val="0057252C"/>
    <w:rsid w:val="0057365A"/>
    <w:rsid w:val="00574064"/>
    <w:rsid w:val="0057436A"/>
    <w:rsid w:val="005745AE"/>
    <w:rsid w:val="00577BCF"/>
    <w:rsid w:val="005840BA"/>
    <w:rsid w:val="0058479D"/>
    <w:rsid w:val="00586769"/>
    <w:rsid w:val="005872F3"/>
    <w:rsid w:val="005911AF"/>
    <w:rsid w:val="005A3EF3"/>
    <w:rsid w:val="005A72FC"/>
    <w:rsid w:val="005B3580"/>
    <w:rsid w:val="005B6B0E"/>
    <w:rsid w:val="005B71AB"/>
    <w:rsid w:val="005C417C"/>
    <w:rsid w:val="005D14F7"/>
    <w:rsid w:val="005D1E5A"/>
    <w:rsid w:val="005E5399"/>
    <w:rsid w:val="006012E7"/>
    <w:rsid w:val="00601F3F"/>
    <w:rsid w:val="0060659A"/>
    <w:rsid w:val="00610E8F"/>
    <w:rsid w:val="00611ACA"/>
    <w:rsid w:val="00622552"/>
    <w:rsid w:val="006257B6"/>
    <w:rsid w:val="00626A52"/>
    <w:rsid w:val="00635D58"/>
    <w:rsid w:val="00644079"/>
    <w:rsid w:val="00644783"/>
    <w:rsid w:val="00644A6E"/>
    <w:rsid w:val="00645DE3"/>
    <w:rsid w:val="00651964"/>
    <w:rsid w:val="0065322B"/>
    <w:rsid w:val="00653777"/>
    <w:rsid w:val="00655281"/>
    <w:rsid w:val="00655F8C"/>
    <w:rsid w:val="00656209"/>
    <w:rsid w:val="00656B06"/>
    <w:rsid w:val="00657DB0"/>
    <w:rsid w:val="00662229"/>
    <w:rsid w:val="00662EED"/>
    <w:rsid w:val="006659F1"/>
    <w:rsid w:val="00672890"/>
    <w:rsid w:val="00680D50"/>
    <w:rsid w:val="006850C2"/>
    <w:rsid w:val="006912E3"/>
    <w:rsid w:val="00696427"/>
    <w:rsid w:val="00696C0D"/>
    <w:rsid w:val="006A1A2C"/>
    <w:rsid w:val="006A2FF6"/>
    <w:rsid w:val="006A48D7"/>
    <w:rsid w:val="006A7453"/>
    <w:rsid w:val="006C4275"/>
    <w:rsid w:val="006D148C"/>
    <w:rsid w:val="006E6CC2"/>
    <w:rsid w:val="006E70EE"/>
    <w:rsid w:val="006F1E47"/>
    <w:rsid w:val="006F3FB2"/>
    <w:rsid w:val="0070464A"/>
    <w:rsid w:val="00707D6F"/>
    <w:rsid w:val="00712500"/>
    <w:rsid w:val="007134A7"/>
    <w:rsid w:val="0072190A"/>
    <w:rsid w:val="00723268"/>
    <w:rsid w:val="00725DBD"/>
    <w:rsid w:val="00732084"/>
    <w:rsid w:val="00734344"/>
    <w:rsid w:val="00737102"/>
    <w:rsid w:val="007423C0"/>
    <w:rsid w:val="00752409"/>
    <w:rsid w:val="0076496F"/>
    <w:rsid w:val="0076668E"/>
    <w:rsid w:val="007675A8"/>
    <w:rsid w:val="00767D7A"/>
    <w:rsid w:val="007737B0"/>
    <w:rsid w:val="00774705"/>
    <w:rsid w:val="00782D92"/>
    <w:rsid w:val="0078680A"/>
    <w:rsid w:val="007873CE"/>
    <w:rsid w:val="007913DC"/>
    <w:rsid w:val="00792ABF"/>
    <w:rsid w:val="00797C41"/>
    <w:rsid w:val="007A2516"/>
    <w:rsid w:val="007A5735"/>
    <w:rsid w:val="007A7291"/>
    <w:rsid w:val="007B2488"/>
    <w:rsid w:val="007C1B6F"/>
    <w:rsid w:val="007C36AE"/>
    <w:rsid w:val="007C5535"/>
    <w:rsid w:val="007D3F5C"/>
    <w:rsid w:val="007D76CB"/>
    <w:rsid w:val="007E17E1"/>
    <w:rsid w:val="007E2A07"/>
    <w:rsid w:val="007E65A1"/>
    <w:rsid w:val="007F677F"/>
    <w:rsid w:val="00804B09"/>
    <w:rsid w:val="008053DA"/>
    <w:rsid w:val="008112C2"/>
    <w:rsid w:val="00813394"/>
    <w:rsid w:val="0081393E"/>
    <w:rsid w:val="0081571E"/>
    <w:rsid w:val="00816414"/>
    <w:rsid w:val="00820D71"/>
    <w:rsid w:val="00822000"/>
    <w:rsid w:val="00823A33"/>
    <w:rsid w:val="00824A60"/>
    <w:rsid w:val="008251C3"/>
    <w:rsid w:val="008333AE"/>
    <w:rsid w:val="00837C0F"/>
    <w:rsid w:val="00840F76"/>
    <w:rsid w:val="0084130B"/>
    <w:rsid w:val="00841DE0"/>
    <w:rsid w:val="008445A1"/>
    <w:rsid w:val="00845C9A"/>
    <w:rsid w:val="00846354"/>
    <w:rsid w:val="00853EB3"/>
    <w:rsid w:val="0086531D"/>
    <w:rsid w:val="00867D90"/>
    <w:rsid w:val="00872A3D"/>
    <w:rsid w:val="00873066"/>
    <w:rsid w:val="00881A5C"/>
    <w:rsid w:val="00883291"/>
    <w:rsid w:val="008847E4"/>
    <w:rsid w:val="00894001"/>
    <w:rsid w:val="00895050"/>
    <w:rsid w:val="00896054"/>
    <w:rsid w:val="00896F4C"/>
    <w:rsid w:val="00897674"/>
    <w:rsid w:val="008A1ADF"/>
    <w:rsid w:val="008A32E0"/>
    <w:rsid w:val="008A7DF5"/>
    <w:rsid w:val="008A7EA4"/>
    <w:rsid w:val="008B2113"/>
    <w:rsid w:val="008C26BD"/>
    <w:rsid w:val="008C358B"/>
    <w:rsid w:val="008C4FFC"/>
    <w:rsid w:val="008C710B"/>
    <w:rsid w:val="008E7AA6"/>
    <w:rsid w:val="008F0563"/>
    <w:rsid w:val="008F3C69"/>
    <w:rsid w:val="00900C77"/>
    <w:rsid w:val="0090150A"/>
    <w:rsid w:val="00901A9A"/>
    <w:rsid w:val="0090256A"/>
    <w:rsid w:val="00910BB0"/>
    <w:rsid w:val="00913A42"/>
    <w:rsid w:val="009173AB"/>
    <w:rsid w:val="009246DC"/>
    <w:rsid w:val="00924D9B"/>
    <w:rsid w:val="0092566A"/>
    <w:rsid w:val="009264C4"/>
    <w:rsid w:val="00945047"/>
    <w:rsid w:val="00946063"/>
    <w:rsid w:val="00947C35"/>
    <w:rsid w:val="00954737"/>
    <w:rsid w:val="009604D0"/>
    <w:rsid w:val="00960FE2"/>
    <w:rsid w:val="00973038"/>
    <w:rsid w:val="0097473A"/>
    <w:rsid w:val="00974EDC"/>
    <w:rsid w:val="009811C5"/>
    <w:rsid w:val="00985A68"/>
    <w:rsid w:val="0098768C"/>
    <w:rsid w:val="00992002"/>
    <w:rsid w:val="00993D4A"/>
    <w:rsid w:val="00994910"/>
    <w:rsid w:val="009A189B"/>
    <w:rsid w:val="009B21A8"/>
    <w:rsid w:val="009B22E3"/>
    <w:rsid w:val="009B339C"/>
    <w:rsid w:val="009B40E4"/>
    <w:rsid w:val="009B4FAD"/>
    <w:rsid w:val="009B7702"/>
    <w:rsid w:val="009B7B4E"/>
    <w:rsid w:val="009C68B7"/>
    <w:rsid w:val="009D4079"/>
    <w:rsid w:val="009D7B33"/>
    <w:rsid w:val="009E093E"/>
    <w:rsid w:val="009E53B1"/>
    <w:rsid w:val="009E588E"/>
    <w:rsid w:val="009F3104"/>
    <w:rsid w:val="009F4E53"/>
    <w:rsid w:val="009F57C9"/>
    <w:rsid w:val="009F5E9A"/>
    <w:rsid w:val="00A06721"/>
    <w:rsid w:val="00A111B1"/>
    <w:rsid w:val="00A13D12"/>
    <w:rsid w:val="00A20220"/>
    <w:rsid w:val="00A27667"/>
    <w:rsid w:val="00A315EE"/>
    <w:rsid w:val="00A3514F"/>
    <w:rsid w:val="00A71AB9"/>
    <w:rsid w:val="00A751E3"/>
    <w:rsid w:val="00A76729"/>
    <w:rsid w:val="00A8054E"/>
    <w:rsid w:val="00A82CFC"/>
    <w:rsid w:val="00AA1295"/>
    <w:rsid w:val="00AA18CA"/>
    <w:rsid w:val="00AA601C"/>
    <w:rsid w:val="00AA750F"/>
    <w:rsid w:val="00AB1212"/>
    <w:rsid w:val="00AB3995"/>
    <w:rsid w:val="00AB4DD3"/>
    <w:rsid w:val="00AB7074"/>
    <w:rsid w:val="00AB7605"/>
    <w:rsid w:val="00AC4A99"/>
    <w:rsid w:val="00AD012F"/>
    <w:rsid w:val="00AD5015"/>
    <w:rsid w:val="00AD67D3"/>
    <w:rsid w:val="00AE70FB"/>
    <w:rsid w:val="00AE78AA"/>
    <w:rsid w:val="00B0279F"/>
    <w:rsid w:val="00B04230"/>
    <w:rsid w:val="00B04389"/>
    <w:rsid w:val="00B0471E"/>
    <w:rsid w:val="00B0679B"/>
    <w:rsid w:val="00B309AA"/>
    <w:rsid w:val="00B319E7"/>
    <w:rsid w:val="00B352AA"/>
    <w:rsid w:val="00B47F92"/>
    <w:rsid w:val="00B5165E"/>
    <w:rsid w:val="00B531AB"/>
    <w:rsid w:val="00B606FA"/>
    <w:rsid w:val="00B63ADA"/>
    <w:rsid w:val="00B656E4"/>
    <w:rsid w:val="00B71FAF"/>
    <w:rsid w:val="00B74C46"/>
    <w:rsid w:val="00B80313"/>
    <w:rsid w:val="00B86AA9"/>
    <w:rsid w:val="00B90989"/>
    <w:rsid w:val="00B92296"/>
    <w:rsid w:val="00B93F78"/>
    <w:rsid w:val="00B94F73"/>
    <w:rsid w:val="00B96F34"/>
    <w:rsid w:val="00BB6041"/>
    <w:rsid w:val="00BC5FBD"/>
    <w:rsid w:val="00BD02EE"/>
    <w:rsid w:val="00BE136D"/>
    <w:rsid w:val="00BE6852"/>
    <w:rsid w:val="00BE7A44"/>
    <w:rsid w:val="00BF31DD"/>
    <w:rsid w:val="00BF38F9"/>
    <w:rsid w:val="00C016FD"/>
    <w:rsid w:val="00C03DD8"/>
    <w:rsid w:val="00C045F3"/>
    <w:rsid w:val="00C05B9C"/>
    <w:rsid w:val="00C060F1"/>
    <w:rsid w:val="00C11635"/>
    <w:rsid w:val="00C171AC"/>
    <w:rsid w:val="00C33631"/>
    <w:rsid w:val="00C41AA3"/>
    <w:rsid w:val="00C46832"/>
    <w:rsid w:val="00C550FA"/>
    <w:rsid w:val="00C572E6"/>
    <w:rsid w:val="00C57FD8"/>
    <w:rsid w:val="00C64DE7"/>
    <w:rsid w:val="00C672FA"/>
    <w:rsid w:val="00C6776F"/>
    <w:rsid w:val="00C7003D"/>
    <w:rsid w:val="00C703EA"/>
    <w:rsid w:val="00C82EDB"/>
    <w:rsid w:val="00C84B1B"/>
    <w:rsid w:val="00C85878"/>
    <w:rsid w:val="00C86676"/>
    <w:rsid w:val="00C9172D"/>
    <w:rsid w:val="00C9202E"/>
    <w:rsid w:val="00C96B00"/>
    <w:rsid w:val="00C96B4B"/>
    <w:rsid w:val="00C97E31"/>
    <w:rsid w:val="00CA2BE1"/>
    <w:rsid w:val="00CA2E28"/>
    <w:rsid w:val="00CB49DC"/>
    <w:rsid w:val="00CB4BDE"/>
    <w:rsid w:val="00CB6C36"/>
    <w:rsid w:val="00CC0D7F"/>
    <w:rsid w:val="00CD285E"/>
    <w:rsid w:val="00CD2C78"/>
    <w:rsid w:val="00CD43E3"/>
    <w:rsid w:val="00CD5894"/>
    <w:rsid w:val="00CD6819"/>
    <w:rsid w:val="00CD7048"/>
    <w:rsid w:val="00CE1018"/>
    <w:rsid w:val="00CE121C"/>
    <w:rsid w:val="00CE282E"/>
    <w:rsid w:val="00CE2F44"/>
    <w:rsid w:val="00CE7F09"/>
    <w:rsid w:val="00CF03A8"/>
    <w:rsid w:val="00CF2951"/>
    <w:rsid w:val="00CF5A32"/>
    <w:rsid w:val="00CF6071"/>
    <w:rsid w:val="00D01DCF"/>
    <w:rsid w:val="00D164B0"/>
    <w:rsid w:val="00D201A3"/>
    <w:rsid w:val="00D265A7"/>
    <w:rsid w:val="00D34AC2"/>
    <w:rsid w:val="00D35FC7"/>
    <w:rsid w:val="00D4096B"/>
    <w:rsid w:val="00D42E27"/>
    <w:rsid w:val="00D4446D"/>
    <w:rsid w:val="00D45D9B"/>
    <w:rsid w:val="00D4740F"/>
    <w:rsid w:val="00D47878"/>
    <w:rsid w:val="00D565B7"/>
    <w:rsid w:val="00D64FD9"/>
    <w:rsid w:val="00D71B4A"/>
    <w:rsid w:val="00D74F4D"/>
    <w:rsid w:val="00D75144"/>
    <w:rsid w:val="00D847F8"/>
    <w:rsid w:val="00D86887"/>
    <w:rsid w:val="00DA0563"/>
    <w:rsid w:val="00DA394F"/>
    <w:rsid w:val="00DB0293"/>
    <w:rsid w:val="00DB08EE"/>
    <w:rsid w:val="00DB3FA4"/>
    <w:rsid w:val="00DB671F"/>
    <w:rsid w:val="00DC01A5"/>
    <w:rsid w:val="00DC2EAE"/>
    <w:rsid w:val="00DC5E4B"/>
    <w:rsid w:val="00DD35AE"/>
    <w:rsid w:val="00DE321C"/>
    <w:rsid w:val="00DE702E"/>
    <w:rsid w:val="00DE7D53"/>
    <w:rsid w:val="00DF3896"/>
    <w:rsid w:val="00DF56B7"/>
    <w:rsid w:val="00E0451A"/>
    <w:rsid w:val="00E059B7"/>
    <w:rsid w:val="00E13890"/>
    <w:rsid w:val="00E14B54"/>
    <w:rsid w:val="00E176A1"/>
    <w:rsid w:val="00E35781"/>
    <w:rsid w:val="00E35C97"/>
    <w:rsid w:val="00E43936"/>
    <w:rsid w:val="00E5550F"/>
    <w:rsid w:val="00E570D3"/>
    <w:rsid w:val="00E62AF4"/>
    <w:rsid w:val="00E67419"/>
    <w:rsid w:val="00E7786D"/>
    <w:rsid w:val="00E93CDB"/>
    <w:rsid w:val="00E9690D"/>
    <w:rsid w:val="00EA4598"/>
    <w:rsid w:val="00EA5B26"/>
    <w:rsid w:val="00EB058E"/>
    <w:rsid w:val="00EB309B"/>
    <w:rsid w:val="00EB335A"/>
    <w:rsid w:val="00EB6570"/>
    <w:rsid w:val="00EB6EB8"/>
    <w:rsid w:val="00EC3D37"/>
    <w:rsid w:val="00ED3C95"/>
    <w:rsid w:val="00ED7B83"/>
    <w:rsid w:val="00EE7049"/>
    <w:rsid w:val="00F0054D"/>
    <w:rsid w:val="00F027B8"/>
    <w:rsid w:val="00F10E37"/>
    <w:rsid w:val="00F15A83"/>
    <w:rsid w:val="00F16615"/>
    <w:rsid w:val="00F20B20"/>
    <w:rsid w:val="00F2161D"/>
    <w:rsid w:val="00F220EC"/>
    <w:rsid w:val="00F25F85"/>
    <w:rsid w:val="00F27F2D"/>
    <w:rsid w:val="00F3017E"/>
    <w:rsid w:val="00F32DAC"/>
    <w:rsid w:val="00F42DC7"/>
    <w:rsid w:val="00F43C93"/>
    <w:rsid w:val="00F50010"/>
    <w:rsid w:val="00F64D0A"/>
    <w:rsid w:val="00F67BF7"/>
    <w:rsid w:val="00F67F17"/>
    <w:rsid w:val="00F71387"/>
    <w:rsid w:val="00F85C67"/>
    <w:rsid w:val="00F95334"/>
    <w:rsid w:val="00F962E3"/>
    <w:rsid w:val="00FA377A"/>
    <w:rsid w:val="00FA58CE"/>
    <w:rsid w:val="00FA73E4"/>
    <w:rsid w:val="00FB1018"/>
    <w:rsid w:val="00FB34B1"/>
    <w:rsid w:val="00FB3ED7"/>
    <w:rsid w:val="00FB5C58"/>
    <w:rsid w:val="00FB6BCC"/>
    <w:rsid w:val="00FB7741"/>
    <w:rsid w:val="00FC3B62"/>
    <w:rsid w:val="00FC45F8"/>
    <w:rsid w:val="00FC4917"/>
    <w:rsid w:val="00FC70B8"/>
    <w:rsid w:val="00FD7D6B"/>
    <w:rsid w:val="00FE4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09A9F"/>
  <w15:docId w15:val="{AA8DEEF0-F55D-47EB-BD4C-1B96E0C8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Char1,Char Char Char1,Char Char1,Char Char Char Char Char Char1,Char Char Char Char Char Char Char1,Char Char Char Char Char1,Char Char Char Char Char Char Char Char Char Char Char1"/>
    <w:basedOn w:val="Normal"/>
    <w:link w:val="FootnoteTextChar"/>
    <w:uiPriority w:val="99"/>
    <w:unhideWhenUsed/>
    <w:rsid w:val="001E2E72"/>
  </w:style>
  <w:style w:type="character" w:customStyle="1" w:styleId="FootnoteTextChar">
    <w:name w:val="Footnote Text Char"/>
    <w:aliases w:val="Footnote Text1 Char,Char1 Char,Char Char Char1 Char,Char Char1 Char,Char Char Char Char Char Char1 Char,Char Char Char Char Char Char Char1 Char,Char Char Char Char Char1 Char"/>
    <w:basedOn w:val="DefaultParagraphFont"/>
    <w:link w:val="FootnoteText"/>
    <w:uiPriority w:val="99"/>
    <w:rsid w:val="001E2E72"/>
  </w:style>
  <w:style w:type="character" w:styleId="FootnoteReference">
    <w:name w:val="footnote reference"/>
    <w:basedOn w:val="DefaultParagraphFont"/>
    <w:uiPriority w:val="99"/>
    <w:unhideWhenUsed/>
    <w:rsid w:val="001E2E72"/>
    <w:rPr>
      <w:vertAlign w:val="superscript"/>
    </w:rPr>
  </w:style>
  <w:style w:type="character" w:styleId="CommentReference">
    <w:name w:val="annotation reference"/>
    <w:basedOn w:val="DefaultParagraphFont"/>
    <w:uiPriority w:val="99"/>
    <w:semiHidden/>
    <w:unhideWhenUsed/>
    <w:rsid w:val="001E2E72"/>
    <w:rPr>
      <w:sz w:val="18"/>
      <w:szCs w:val="18"/>
    </w:rPr>
  </w:style>
  <w:style w:type="paragraph" w:styleId="CommentText">
    <w:name w:val="annotation text"/>
    <w:basedOn w:val="Normal"/>
    <w:link w:val="CommentTextChar"/>
    <w:uiPriority w:val="99"/>
    <w:semiHidden/>
    <w:unhideWhenUsed/>
    <w:rsid w:val="001E2E72"/>
  </w:style>
  <w:style w:type="character" w:customStyle="1" w:styleId="CommentTextChar">
    <w:name w:val="Comment Text Char"/>
    <w:basedOn w:val="DefaultParagraphFont"/>
    <w:link w:val="CommentText"/>
    <w:uiPriority w:val="99"/>
    <w:semiHidden/>
    <w:rsid w:val="001E2E72"/>
  </w:style>
  <w:style w:type="paragraph" w:styleId="BalloonText">
    <w:name w:val="Balloon Text"/>
    <w:basedOn w:val="Normal"/>
    <w:link w:val="BalloonTextChar"/>
    <w:uiPriority w:val="99"/>
    <w:semiHidden/>
    <w:unhideWhenUsed/>
    <w:rsid w:val="001E2E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2"/>
    <w:rPr>
      <w:rFonts w:ascii="Lucida Grande" w:hAnsi="Lucida Grande" w:cs="Lucida Grande"/>
      <w:sz w:val="18"/>
      <w:szCs w:val="18"/>
    </w:rPr>
  </w:style>
  <w:style w:type="character" w:styleId="EndnoteReference">
    <w:name w:val="endnote reference"/>
    <w:basedOn w:val="DefaultParagraphFont"/>
    <w:uiPriority w:val="99"/>
    <w:unhideWhenUsed/>
    <w:rsid w:val="00FC45F8"/>
    <w:rPr>
      <w:rFonts w:asciiTheme="minorHAnsi" w:hAnsiTheme="minorHAnsi"/>
      <w:sz w:val="24"/>
      <w:vertAlign w:val="superscript"/>
    </w:rPr>
  </w:style>
  <w:style w:type="paragraph" w:styleId="CommentSubject">
    <w:name w:val="annotation subject"/>
    <w:basedOn w:val="CommentText"/>
    <w:next w:val="CommentText"/>
    <w:link w:val="CommentSubjectChar"/>
    <w:uiPriority w:val="99"/>
    <w:semiHidden/>
    <w:unhideWhenUsed/>
    <w:rsid w:val="002B4AE7"/>
    <w:rPr>
      <w:b/>
      <w:bCs/>
      <w:sz w:val="20"/>
      <w:szCs w:val="20"/>
    </w:rPr>
  </w:style>
  <w:style w:type="character" w:customStyle="1" w:styleId="CommentSubjectChar">
    <w:name w:val="Comment Subject Char"/>
    <w:basedOn w:val="CommentTextChar"/>
    <w:link w:val="CommentSubject"/>
    <w:uiPriority w:val="99"/>
    <w:semiHidden/>
    <w:rsid w:val="002B4AE7"/>
    <w:rPr>
      <w:b/>
      <w:bCs/>
      <w:sz w:val="20"/>
      <w:szCs w:val="20"/>
    </w:rPr>
  </w:style>
  <w:style w:type="paragraph" w:styleId="Footer">
    <w:name w:val="footer"/>
    <w:basedOn w:val="Normal"/>
    <w:link w:val="FooterChar"/>
    <w:uiPriority w:val="99"/>
    <w:unhideWhenUsed/>
    <w:rsid w:val="004805D5"/>
    <w:pPr>
      <w:tabs>
        <w:tab w:val="center" w:pos="4320"/>
        <w:tab w:val="right" w:pos="8640"/>
      </w:tabs>
    </w:pPr>
  </w:style>
  <w:style w:type="character" w:customStyle="1" w:styleId="FooterChar">
    <w:name w:val="Footer Char"/>
    <w:basedOn w:val="DefaultParagraphFont"/>
    <w:link w:val="Footer"/>
    <w:uiPriority w:val="99"/>
    <w:rsid w:val="004805D5"/>
  </w:style>
  <w:style w:type="character" w:styleId="PageNumber">
    <w:name w:val="page number"/>
    <w:basedOn w:val="DefaultParagraphFont"/>
    <w:uiPriority w:val="99"/>
    <w:semiHidden/>
    <w:unhideWhenUsed/>
    <w:rsid w:val="004805D5"/>
  </w:style>
  <w:style w:type="paragraph" w:styleId="EndnoteText">
    <w:name w:val="endnote text"/>
    <w:basedOn w:val="Normal"/>
    <w:link w:val="EndnoteTextChar"/>
    <w:uiPriority w:val="99"/>
    <w:unhideWhenUsed/>
    <w:rsid w:val="00B74C46"/>
    <w:rPr>
      <w:sz w:val="20"/>
      <w:szCs w:val="20"/>
    </w:rPr>
  </w:style>
  <w:style w:type="character" w:customStyle="1" w:styleId="EndnoteTextChar">
    <w:name w:val="Endnote Text Char"/>
    <w:basedOn w:val="DefaultParagraphFont"/>
    <w:link w:val="EndnoteText"/>
    <w:uiPriority w:val="99"/>
    <w:rsid w:val="00B74C46"/>
    <w:rPr>
      <w:sz w:val="20"/>
      <w:szCs w:val="20"/>
    </w:rPr>
  </w:style>
  <w:style w:type="paragraph" w:styleId="Header">
    <w:name w:val="header"/>
    <w:basedOn w:val="Normal"/>
    <w:link w:val="HeaderChar"/>
    <w:uiPriority w:val="99"/>
    <w:unhideWhenUsed/>
    <w:rsid w:val="0046588E"/>
    <w:pPr>
      <w:tabs>
        <w:tab w:val="center" w:pos="4320"/>
        <w:tab w:val="right" w:pos="8640"/>
      </w:tabs>
    </w:pPr>
  </w:style>
  <w:style w:type="character" w:customStyle="1" w:styleId="HeaderChar">
    <w:name w:val="Header Char"/>
    <w:basedOn w:val="DefaultParagraphFont"/>
    <w:link w:val="Header"/>
    <w:uiPriority w:val="99"/>
    <w:rsid w:val="0046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8869A-A7B7-47DA-A5F9-5B31F7EE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6101</Words>
  <Characters>34781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Moss</dc:creator>
  <cp:lastModifiedBy>Gemma Moss</cp:lastModifiedBy>
  <cp:revision>6</cp:revision>
  <dcterms:created xsi:type="dcterms:W3CDTF">2016-11-09T12:42:00Z</dcterms:created>
  <dcterms:modified xsi:type="dcterms:W3CDTF">2016-11-09T12:59:00Z</dcterms:modified>
</cp:coreProperties>
</file>