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DBD" w14:textId="74ADDBF6" w:rsidR="00EB3E4C" w:rsidRPr="00D50DB8" w:rsidRDefault="00EB3E4C" w:rsidP="0078071D">
      <w:pPr>
        <w:spacing w:line="480" w:lineRule="auto"/>
        <w:jc w:val="center"/>
        <w:rPr>
          <w:rFonts w:ascii="Arial" w:hAnsi="Arial" w:cs="Arial"/>
        </w:rPr>
      </w:pPr>
      <w:bookmarkStart w:id="0" w:name="_Hlk529959462"/>
      <w:r w:rsidRPr="00D50DB8">
        <w:rPr>
          <w:rFonts w:ascii="Arial" w:hAnsi="Arial" w:cs="Arial"/>
        </w:rPr>
        <w:t xml:space="preserve">High Dose Nitrate Ingestion </w:t>
      </w:r>
      <w:r w:rsidR="003A0EAB">
        <w:rPr>
          <w:rFonts w:ascii="Arial" w:hAnsi="Arial" w:cs="Arial"/>
        </w:rPr>
        <w:t xml:space="preserve">Does Not Improve </w:t>
      </w:r>
      <w:r w:rsidRPr="00D50DB8">
        <w:rPr>
          <w:rFonts w:ascii="Arial" w:hAnsi="Arial" w:cs="Arial"/>
        </w:rPr>
        <w:t>40</w:t>
      </w:r>
      <w:r w:rsidR="00212786" w:rsidRPr="00D50DB8">
        <w:rPr>
          <w:rFonts w:ascii="Arial" w:hAnsi="Arial" w:cs="Arial"/>
        </w:rPr>
        <w:t xml:space="preserve"> </w:t>
      </w:r>
      <w:r w:rsidRPr="00D50DB8">
        <w:rPr>
          <w:rFonts w:ascii="Arial" w:hAnsi="Arial" w:cs="Arial"/>
        </w:rPr>
        <w:t>km Cycl</w:t>
      </w:r>
      <w:r w:rsidR="00212786" w:rsidRPr="00D50DB8">
        <w:rPr>
          <w:rFonts w:ascii="Arial" w:hAnsi="Arial" w:cs="Arial"/>
        </w:rPr>
        <w:t>ing</w:t>
      </w:r>
      <w:r w:rsidRPr="00D50DB8">
        <w:rPr>
          <w:rFonts w:ascii="Arial" w:hAnsi="Arial" w:cs="Arial"/>
        </w:rPr>
        <w:t xml:space="preserve"> Time Trial Performance</w:t>
      </w:r>
      <w:r w:rsidR="003A0EAB">
        <w:rPr>
          <w:rFonts w:ascii="Arial" w:hAnsi="Arial" w:cs="Arial"/>
        </w:rPr>
        <w:t xml:space="preserve"> in Trained Cyclists</w:t>
      </w:r>
      <w:bookmarkStart w:id="1" w:name="_GoBack"/>
      <w:bookmarkEnd w:id="1"/>
    </w:p>
    <w:bookmarkEnd w:id="0"/>
    <w:p w14:paraId="0D3D98EA" w14:textId="77777777" w:rsidR="00EB3E4C" w:rsidRPr="00D50DB8" w:rsidRDefault="00EB3E4C" w:rsidP="00D50DB8">
      <w:pPr>
        <w:spacing w:line="480" w:lineRule="auto"/>
        <w:jc w:val="both"/>
        <w:rPr>
          <w:rFonts w:ascii="Arial" w:hAnsi="Arial" w:cs="Arial"/>
        </w:rPr>
      </w:pPr>
    </w:p>
    <w:p w14:paraId="34359777" w14:textId="77777777" w:rsidR="0048343C" w:rsidRDefault="0048343C">
      <w:pPr>
        <w:rPr>
          <w:rFonts w:ascii="Arial" w:hAnsi="Arial" w:cs="Arial"/>
          <w:b/>
        </w:rPr>
      </w:pPr>
      <w:r>
        <w:rPr>
          <w:rFonts w:ascii="Arial" w:hAnsi="Arial" w:cs="Arial"/>
          <w:b/>
        </w:rPr>
        <w:br w:type="page"/>
      </w:r>
    </w:p>
    <w:p w14:paraId="7C1F7DB3" w14:textId="17DDD4B3" w:rsidR="00CA558A" w:rsidRPr="00D50DB8" w:rsidRDefault="00CA558A" w:rsidP="00D50DB8">
      <w:pPr>
        <w:spacing w:line="480" w:lineRule="auto"/>
        <w:jc w:val="both"/>
        <w:rPr>
          <w:rFonts w:ascii="Arial" w:hAnsi="Arial" w:cs="Arial"/>
          <w:b/>
        </w:rPr>
      </w:pPr>
      <w:r w:rsidRPr="00D50DB8">
        <w:rPr>
          <w:rFonts w:ascii="Arial" w:hAnsi="Arial" w:cs="Arial"/>
          <w:b/>
        </w:rPr>
        <w:lastRenderedPageBreak/>
        <w:t>Abstract</w:t>
      </w:r>
    </w:p>
    <w:p w14:paraId="550B1194" w14:textId="19A9B5B7" w:rsidR="00212786" w:rsidRPr="00125597" w:rsidRDefault="004F77F8" w:rsidP="00125597">
      <w:pPr>
        <w:spacing w:line="480" w:lineRule="auto"/>
        <w:jc w:val="both"/>
        <w:rPr>
          <w:rFonts w:ascii="Arial" w:hAnsi="Arial" w:cs="Arial"/>
        </w:rPr>
      </w:pPr>
      <w:r>
        <w:rPr>
          <w:rFonts w:ascii="Arial" w:hAnsi="Arial" w:cs="Arial"/>
        </w:rPr>
        <w:t>T</w:t>
      </w:r>
      <w:r w:rsidR="00EB3E4C" w:rsidRPr="00D50DB8">
        <w:rPr>
          <w:rFonts w:ascii="Arial" w:hAnsi="Arial" w:cs="Arial"/>
        </w:rPr>
        <w:t xml:space="preserve">his study </w:t>
      </w:r>
      <w:r>
        <w:rPr>
          <w:rFonts w:ascii="Arial" w:hAnsi="Arial" w:cs="Arial"/>
        </w:rPr>
        <w:t>evaluated</w:t>
      </w:r>
      <w:r w:rsidR="00EB3E4C" w:rsidRPr="00D50DB8">
        <w:rPr>
          <w:rFonts w:ascii="Arial" w:hAnsi="Arial" w:cs="Arial"/>
        </w:rPr>
        <w:t xml:space="preserve"> the chronic effects of </w:t>
      </w:r>
      <w:r w:rsidR="000978B2">
        <w:rPr>
          <w:rFonts w:ascii="Arial" w:hAnsi="Arial" w:cs="Arial"/>
        </w:rPr>
        <w:t>nitrate (</w:t>
      </w:r>
      <w:r w:rsidR="00C86243" w:rsidRPr="00D50DB8">
        <w:rPr>
          <w:rFonts w:ascii="Arial" w:hAnsi="Arial" w:cs="Arial"/>
        </w:rPr>
        <w:t>NO</w:t>
      </w:r>
      <w:r w:rsidR="00C86243" w:rsidRPr="00D50DB8">
        <w:rPr>
          <w:rFonts w:ascii="Arial" w:hAnsi="Arial" w:cs="Arial"/>
          <w:vertAlign w:val="subscript"/>
        </w:rPr>
        <w:t>3</w:t>
      </w:r>
      <w:r w:rsidR="00C86243" w:rsidRPr="00D50DB8">
        <w:rPr>
          <w:rFonts w:ascii="Arial" w:hAnsi="Arial" w:cs="Arial"/>
          <w:vertAlign w:val="superscript"/>
        </w:rPr>
        <w:t>-</w:t>
      </w:r>
      <w:r w:rsidR="000978B2">
        <w:rPr>
          <w:rFonts w:ascii="Arial" w:hAnsi="Arial" w:cs="Arial"/>
        </w:rPr>
        <w:t xml:space="preserve">) </w:t>
      </w:r>
      <w:r w:rsidR="00EB3E4C" w:rsidRPr="00D50DB8">
        <w:rPr>
          <w:rFonts w:ascii="Arial" w:hAnsi="Arial" w:cs="Arial"/>
        </w:rPr>
        <w:t>ingestion over three days, on  40</w:t>
      </w:r>
      <w:r w:rsidR="00212786" w:rsidRPr="00D50DB8">
        <w:rPr>
          <w:rFonts w:ascii="Arial" w:hAnsi="Arial" w:cs="Arial"/>
        </w:rPr>
        <w:t xml:space="preserve"> </w:t>
      </w:r>
      <w:r w:rsidR="00EB3E4C" w:rsidRPr="00D50DB8">
        <w:rPr>
          <w:rFonts w:ascii="Arial" w:hAnsi="Arial" w:cs="Arial"/>
        </w:rPr>
        <w:t xml:space="preserve">km TT performance in </w:t>
      </w:r>
      <w:r w:rsidR="00420D7D">
        <w:rPr>
          <w:rFonts w:ascii="Arial" w:hAnsi="Arial" w:cs="Arial"/>
        </w:rPr>
        <w:t>11</w:t>
      </w:r>
      <w:r w:rsidR="00212786" w:rsidRPr="00D50DB8">
        <w:rPr>
          <w:rFonts w:ascii="Arial" w:hAnsi="Arial" w:cs="Arial"/>
        </w:rPr>
        <w:t xml:space="preserve">trained </w:t>
      </w:r>
      <w:r w:rsidR="00EB3E4C" w:rsidRPr="00D50DB8">
        <w:rPr>
          <w:rFonts w:ascii="Arial" w:hAnsi="Arial" w:cs="Arial"/>
        </w:rPr>
        <w:t>cyclists (VO</w:t>
      </w:r>
      <w:r w:rsidR="00EB3E4C" w:rsidRPr="00D50DB8">
        <w:rPr>
          <w:rFonts w:ascii="Arial" w:hAnsi="Arial" w:cs="Arial"/>
          <w:vertAlign w:val="subscript"/>
        </w:rPr>
        <w:t>2</w:t>
      </w:r>
      <w:r w:rsidR="00212786" w:rsidRPr="00D50DB8">
        <w:rPr>
          <w:rFonts w:ascii="Arial" w:hAnsi="Arial" w:cs="Arial"/>
          <w:vertAlign w:val="subscript"/>
        </w:rPr>
        <w:t>max</w:t>
      </w:r>
      <w:r w:rsidR="00CA558A" w:rsidRPr="00D50DB8">
        <w:rPr>
          <w:rFonts w:ascii="Arial" w:hAnsi="Arial" w:cs="Arial"/>
        </w:rPr>
        <w:t xml:space="preserve">: </w:t>
      </w:r>
      <w:r w:rsidR="000C0A07">
        <w:rPr>
          <w:rFonts w:ascii="Arial" w:hAnsi="Arial" w:cs="Arial"/>
        </w:rPr>
        <w:t>60.8</w:t>
      </w:r>
      <w:r w:rsidR="00CA558A" w:rsidRPr="00D50DB8">
        <w:rPr>
          <w:rFonts w:ascii="Arial" w:hAnsi="Arial" w:cs="Arial"/>
        </w:rPr>
        <w:t xml:space="preserve"> ± </w:t>
      </w:r>
      <w:r w:rsidR="000C0A07">
        <w:rPr>
          <w:rFonts w:ascii="Arial" w:hAnsi="Arial" w:cs="Arial"/>
        </w:rPr>
        <w:t>7</w:t>
      </w:r>
      <w:r w:rsidR="00CA558A" w:rsidRPr="00D50DB8">
        <w:rPr>
          <w:rFonts w:ascii="Arial" w:hAnsi="Arial" w:cs="Arial"/>
        </w:rPr>
        <w:t>.4</w:t>
      </w:r>
      <w:r w:rsidR="00212786" w:rsidRPr="00D50DB8">
        <w:rPr>
          <w:rFonts w:ascii="Arial" w:hAnsi="Arial" w:cs="Arial"/>
        </w:rPr>
        <w:t xml:space="preserve"> </w:t>
      </w:r>
      <w:r w:rsidR="00CA558A" w:rsidRPr="00D50DB8">
        <w:rPr>
          <w:rFonts w:ascii="Arial" w:hAnsi="Arial" w:cs="Arial"/>
        </w:rPr>
        <w:t>ml</w:t>
      </w:r>
      <w:r w:rsidR="00212786" w:rsidRPr="00D50DB8">
        <w:rPr>
          <w:rFonts w:ascii="Arial" w:hAnsi="Arial" w:cs="Arial"/>
        </w:rPr>
        <w:t>.</w:t>
      </w:r>
      <w:r w:rsidR="00CA558A" w:rsidRPr="00D50DB8">
        <w:rPr>
          <w:rFonts w:ascii="Arial" w:hAnsi="Arial" w:cs="Arial"/>
        </w:rPr>
        <w:t>kg</w:t>
      </w:r>
      <w:r w:rsidR="00212786" w:rsidRPr="00D50DB8">
        <w:rPr>
          <w:rFonts w:ascii="Arial" w:hAnsi="Arial" w:cs="Arial"/>
          <w:vertAlign w:val="superscript"/>
        </w:rPr>
        <w:t>-1</w:t>
      </w:r>
      <w:r w:rsidR="00212786" w:rsidRPr="00D50DB8">
        <w:rPr>
          <w:rFonts w:ascii="Arial" w:hAnsi="Arial" w:cs="Arial"/>
        </w:rPr>
        <w:t>.</w:t>
      </w:r>
      <w:r w:rsidR="00CA558A" w:rsidRPr="00D50DB8">
        <w:rPr>
          <w:rFonts w:ascii="Arial" w:hAnsi="Arial" w:cs="Arial"/>
        </w:rPr>
        <w:t>min</w:t>
      </w:r>
      <w:r w:rsidR="00212786" w:rsidRPr="00D50DB8">
        <w:rPr>
          <w:rFonts w:ascii="Arial" w:hAnsi="Arial" w:cs="Arial"/>
          <w:vertAlign w:val="superscript"/>
        </w:rPr>
        <w:t>-1</w:t>
      </w:r>
      <w:r w:rsidR="00CA558A" w:rsidRPr="00D50DB8">
        <w:rPr>
          <w:rFonts w:ascii="Arial" w:hAnsi="Arial" w:cs="Arial"/>
        </w:rPr>
        <w:t xml:space="preserve">; age: </w:t>
      </w:r>
      <w:r w:rsidR="000C0A07">
        <w:rPr>
          <w:rFonts w:ascii="Arial" w:hAnsi="Arial" w:cs="Arial"/>
        </w:rPr>
        <w:t>36</w:t>
      </w:r>
      <w:r w:rsidR="00CA558A" w:rsidRPr="00D50DB8">
        <w:rPr>
          <w:rFonts w:ascii="Arial" w:hAnsi="Arial" w:cs="Arial"/>
        </w:rPr>
        <w:t xml:space="preserve"> ± </w:t>
      </w:r>
      <w:r w:rsidR="000C0A07">
        <w:rPr>
          <w:rFonts w:ascii="Arial" w:hAnsi="Arial" w:cs="Arial"/>
        </w:rPr>
        <w:t>9</w:t>
      </w:r>
      <w:r w:rsidR="00CA558A" w:rsidRPr="00D50DB8">
        <w:rPr>
          <w:rFonts w:ascii="Arial" w:hAnsi="Arial" w:cs="Arial"/>
        </w:rPr>
        <w:t xml:space="preserve"> years; h</w:t>
      </w:r>
      <w:r w:rsidR="00EB3E4C" w:rsidRPr="00D50DB8">
        <w:rPr>
          <w:rFonts w:ascii="Arial" w:hAnsi="Arial" w:cs="Arial"/>
        </w:rPr>
        <w:t>eight: 1</w:t>
      </w:r>
      <w:r w:rsidR="00212786" w:rsidRPr="00D50DB8">
        <w:rPr>
          <w:rFonts w:ascii="Arial" w:hAnsi="Arial" w:cs="Arial"/>
        </w:rPr>
        <w:t>.</w:t>
      </w:r>
      <w:r w:rsidR="000C0A07">
        <w:rPr>
          <w:rFonts w:ascii="Arial" w:hAnsi="Arial" w:cs="Arial"/>
        </w:rPr>
        <w:t>80</w:t>
      </w:r>
      <w:r w:rsidR="00EB3E4C" w:rsidRPr="00D50DB8">
        <w:rPr>
          <w:rFonts w:ascii="Arial" w:hAnsi="Arial" w:cs="Arial"/>
        </w:rPr>
        <w:t xml:space="preserve"> ± </w:t>
      </w:r>
      <w:r w:rsidR="00212786" w:rsidRPr="00D50DB8">
        <w:rPr>
          <w:rFonts w:ascii="Arial" w:hAnsi="Arial" w:cs="Arial"/>
        </w:rPr>
        <w:t>0.0</w:t>
      </w:r>
      <w:r w:rsidR="000C0A07">
        <w:rPr>
          <w:rFonts w:ascii="Arial" w:hAnsi="Arial" w:cs="Arial"/>
        </w:rPr>
        <w:t>6</w:t>
      </w:r>
      <w:r w:rsidR="00212786" w:rsidRPr="00D50DB8">
        <w:rPr>
          <w:rFonts w:ascii="Arial" w:hAnsi="Arial" w:cs="Arial"/>
        </w:rPr>
        <w:t xml:space="preserve"> </w:t>
      </w:r>
      <w:r w:rsidR="00EB3E4C" w:rsidRPr="00D50DB8">
        <w:rPr>
          <w:rFonts w:ascii="Arial" w:hAnsi="Arial" w:cs="Arial"/>
        </w:rPr>
        <w:t xml:space="preserve">m; </w:t>
      </w:r>
      <w:r w:rsidR="00CA558A" w:rsidRPr="00D50DB8">
        <w:rPr>
          <w:rFonts w:ascii="Arial" w:hAnsi="Arial" w:cs="Arial"/>
        </w:rPr>
        <w:t>body mass</w:t>
      </w:r>
      <w:r w:rsidR="00EB3E4C" w:rsidRPr="00D50DB8">
        <w:rPr>
          <w:rFonts w:ascii="Arial" w:hAnsi="Arial" w:cs="Arial"/>
        </w:rPr>
        <w:t>: 8</w:t>
      </w:r>
      <w:r w:rsidR="000C0A07">
        <w:rPr>
          <w:rFonts w:ascii="Arial" w:hAnsi="Arial" w:cs="Arial"/>
        </w:rPr>
        <w:t>7</w:t>
      </w:r>
      <w:r w:rsidR="00EB3E4C" w:rsidRPr="00D50DB8">
        <w:rPr>
          <w:rFonts w:ascii="Arial" w:hAnsi="Arial" w:cs="Arial"/>
        </w:rPr>
        <w:t>.</w:t>
      </w:r>
      <w:r w:rsidR="000C0A07">
        <w:rPr>
          <w:rFonts w:ascii="Arial" w:hAnsi="Arial" w:cs="Arial"/>
        </w:rPr>
        <w:t>2</w:t>
      </w:r>
      <w:r w:rsidR="00EB3E4C" w:rsidRPr="00D50DB8">
        <w:rPr>
          <w:rFonts w:ascii="Arial" w:hAnsi="Arial" w:cs="Arial"/>
        </w:rPr>
        <w:t xml:space="preserve"> ± 12.</w:t>
      </w:r>
      <w:r w:rsidR="000C0A07">
        <w:rPr>
          <w:rFonts w:ascii="Arial" w:hAnsi="Arial" w:cs="Arial"/>
        </w:rPr>
        <w:t>0</w:t>
      </w:r>
      <w:r w:rsidR="00212786" w:rsidRPr="00D50DB8">
        <w:rPr>
          <w:rFonts w:ascii="Arial" w:hAnsi="Arial" w:cs="Arial"/>
        </w:rPr>
        <w:t xml:space="preserve"> </w:t>
      </w:r>
      <w:r w:rsidR="00EB3E4C" w:rsidRPr="00D50DB8">
        <w:rPr>
          <w:rFonts w:ascii="Arial" w:hAnsi="Arial" w:cs="Arial"/>
        </w:rPr>
        <w:t>kg)</w:t>
      </w:r>
      <w:r w:rsidR="000978B2">
        <w:rPr>
          <w:rFonts w:ascii="Arial" w:hAnsi="Arial" w:cs="Arial"/>
        </w:rPr>
        <w:t>.</w:t>
      </w:r>
      <w:r w:rsidR="00EB3E4C" w:rsidRPr="00D50DB8">
        <w:rPr>
          <w:rFonts w:ascii="Arial" w:hAnsi="Arial" w:cs="Arial"/>
        </w:rPr>
        <w:t xml:space="preserve"> </w:t>
      </w:r>
      <w:r>
        <w:rPr>
          <w:rFonts w:ascii="Arial" w:hAnsi="Arial" w:cs="Arial"/>
        </w:rPr>
        <w:t>U</w:t>
      </w:r>
      <w:r w:rsidR="00EB3E4C" w:rsidRPr="00D50DB8">
        <w:rPr>
          <w:rFonts w:ascii="Arial" w:hAnsi="Arial" w:cs="Arial"/>
        </w:rPr>
        <w:t>tilis</w:t>
      </w:r>
      <w:r>
        <w:rPr>
          <w:rFonts w:ascii="Arial" w:hAnsi="Arial" w:cs="Arial"/>
        </w:rPr>
        <w:t>ing</w:t>
      </w:r>
      <w:r w:rsidR="00EB3E4C" w:rsidRPr="00D50DB8">
        <w:rPr>
          <w:rFonts w:ascii="Arial" w:hAnsi="Arial" w:cs="Arial"/>
        </w:rPr>
        <w:t xml:space="preserve"> a double blind randomised cross-over design</w:t>
      </w:r>
      <w:r>
        <w:rPr>
          <w:rFonts w:ascii="Arial" w:hAnsi="Arial" w:cs="Arial"/>
        </w:rPr>
        <w:t>,</w:t>
      </w:r>
      <w:r w:rsidR="00EB3E4C" w:rsidRPr="00D50DB8">
        <w:rPr>
          <w:rFonts w:ascii="Arial" w:hAnsi="Arial" w:cs="Arial"/>
        </w:rPr>
        <w:t xml:space="preserve"> </w:t>
      </w:r>
      <w:r>
        <w:rPr>
          <w:rFonts w:ascii="Arial" w:hAnsi="Arial" w:cs="Arial"/>
        </w:rPr>
        <w:t>p</w:t>
      </w:r>
      <w:r w:rsidR="00EB3E4C" w:rsidRPr="00D50DB8">
        <w:rPr>
          <w:rFonts w:ascii="Arial" w:hAnsi="Arial" w:cs="Arial"/>
        </w:rPr>
        <w:t>articipants</w:t>
      </w:r>
      <w:r w:rsidR="00D819B8" w:rsidRPr="00D50DB8">
        <w:rPr>
          <w:rFonts w:ascii="Arial" w:hAnsi="Arial" w:cs="Arial"/>
        </w:rPr>
        <w:t xml:space="preserve"> completed three 40 km TT on a Velotron® ergometer following the </w:t>
      </w:r>
      <w:r w:rsidR="00EB3E4C" w:rsidRPr="00D50DB8">
        <w:rPr>
          <w:rFonts w:ascii="Arial" w:hAnsi="Arial" w:cs="Arial"/>
        </w:rPr>
        <w:t>ingest</w:t>
      </w:r>
      <w:r w:rsidR="00D819B8" w:rsidRPr="00D50DB8">
        <w:rPr>
          <w:rFonts w:ascii="Arial" w:hAnsi="Arial" w:cs="Arial"/>
        </w:rPr>
        <w:t xml:space="preserve">ion of </w:t>
      </w:r>
      <w:r w:rsidR="00EB3E4C" w:rsidRPr="00D50DB8">
        <w:rPr>
          <w:rFonts w:ascii="Arial" w:hAnsi="Arial" w:cs="Arial"/>
        </w:rPr>
        <w:t xml:space="preserve">either </w:t>
      </w:r>
      <w:r w:rsidR="00D819B8" w:rsidRPr="00D50DB8">
        <w:rPr>
          <w:rFonts w:ascii="Arial" w:hAnsi="Arial" w:cs="Arial"/>
        </w:rPr>
        <w:t xml:space="preserve">a </w:t>
      </w:r>
      <w:r w:rsidR="00EB3E4C" w:rsidRPr="00D50DB8">
        <w:rPr>
          <w:rFonts w:ascii="Arial" w:hAnsi="Arial" w:cs="Arial"/>
        </w:rPr>
        <w:t>140</w:t>
      </w:r>
      <w:r w:rsidR="00212786" w:rsidRPr="00D50DB8">
        <w:rPr>
          <w:rFonts w:ascii="Arial" w:hAnsi="Arial" w:cs="Arial"/>
        </w:rPr>
        <w:t xml:space="preserve"> </w:t>
      </w:r>
      <w:r w:rsidR="00EB3E4C" w:rsidRPr="00D50DB8">
        <w:rPr>
          <w:rFonts w:ascii="Arial" w:hAnsi="Arial" w:cs="Arial"/>
        </w:rPr>
        <w:t xml:space="preserve">ml of “BEET It sport®” </w:t>
      </w:r>
      <w:r w:rsidR="00C86243" w:rsidRPr="00D50DB8">
        <w:rPr>
          <w:rFonts w:ascii="Arial" w:hAnsi="Arial" w:cs="Arial"/>
        </w:rPr>
        <w:t>NO</w:t>
      </w:r>
      <w:r w:rsidR="00C86243" w:rsidRPr="00D50DB8">
        <w:rPr>
          <w:rFonts w:ascii="Arial" w:hAnsi="Arial" w:cs="Arial"/>
          <w:vertAlign w:val="subscript"/>
        </w:rPr>
        <w:t>3</w:t>
      </w:r>
      <w:r w:rsidR="00C86243" w:rsidRPr="00D50DB8">
        <w:rPr>
          <w:rFonts w:ascii="Arial" w:hAnsi="Arial" w:cs="Arial"/>
          <w:vertAlign w:val="superscript"/>
        </w:rPr>
        <w:t>-</w:t>
      </w:r>
      <w:r w:rsidR="00EB3E4C" w:rsidRPr="00D50DB8">
        <w:rPr>
          <w:rFonts w:ascii="Arial" w:hAnsi="Arial" w:cs="Arial"/>
        </w:rPr>
        <w:t xml:space="preserve"> shot containing</w:t>
      </w:r>
      <w:r w:rsidR="00CA558A" w:rsidRPr="00D50DB8">
        <w:rPr>
          <w:rFonts w:ascii="Arial" w:hAnsi="Arial" w:cs="Arial"/>
        </w:rPr>
        <w:t xml:space="preserve"> 12.8</w:t>
      </w:r>
      <w:r w:rsidR="00212786" w:rsidRPr="00D50DB8">
        <w:rPr>
          <w:rFonts w:ascii="Arial" w:hAnsi="Arial" w:cs="Arial"/>
        </w:rPr>
        <w:t xml:space="preserve"> </w:t>
      </w:r>
      <w:r w:rsidR="00CA558A" w:rsidRPr="00D50DB8">
        <w:rPr>
          <w:rFonts w:ascii="Arial" w:hAnsi="Arial" w:cs="Arial"/>
        </w:rPr>
        <w:t>mmol or 800</w:t>
      </w:r>
      <w:r w:rsidR="00212786" w:rsidRPr="00D50DB8">
        <w:rPr>
          <w:rFonts w:ascii="Arial" w:hAnsi="Arial" w:cs="Arial"/>
        </w:rPr>
        <w:t xml:space="preserve"> </w:t>
      </w:r>
      <w:r w:rsidR="00CA558A" w:rsidRPr="00D50DB8">
        <w:rPr>
          <w:rFonts w:ascii="Arial" w:hAnsi="Arial" w:cs="Arial"/>
        </w:rPr>
        <w:t xml:space="preserve">mg of </w:t>
      </w:r>
      <w:r w:rsidR="00C86243" w:rsidRPr="00D50DB8">
        <w:rPr>
          <w:rFonts w:ascii="Arial" w:hAnsi="Arial" w:cs="Arial"/>
        </w:rPr>
        <w:t>NO</w:t>
      </w:r>
      <w:r w:rsidR="00C86243" w:rsidRPr="00D50DB8">
        <w:rPr>
          <w:rFonts w:ascii="Arial" w:hAnsi="Arial" w:cs="Arial"/>
          <w:vertAlign w:val="subscript"/>
        </w:rPr>
        <w:t>3</w:t>
      </w:r>
      <w:r w:rsidR="00C86243" w:rsidRPr="00D50DB8">
        <w:rPr>
          <w:rFonts w:ascii="Arial" w:hAnsi="Arial" w:cs="Arial"/>
          <w:vertAlign w:val="superscript"/>
        </w:rPr>
        <w:t>-</w:t>
      </w:r>
      <w:r w:rsidR="00CA558A" w:rsidRPr="00D50DB8">
        <w:rPr>
          <w:rFonts w:ascii="Arial" w:hAnsi="Arial" w:cs="Arial"/>
        </w:rPr>
        <w:t>, a placebo drink</w:t>
      </w:r>
      <w:r w:rsidR="00D819B8" w:rsidRPr="00D50DB8">
        <w:rPr>
          <w:rFonts w:ascii="Arial" w:hAnsi="Arial" w:cs="Arial"/>
        </w:rPr>
        <w:t xml:space="preserve"> or nothing (control)</w:t>
      </w:r>
      <w:r w:rsidR="00CA558A" w:rsidRPr="00D50DB8">
        <w:rPr>
          <w:rFonts w:ascii="Arial" w:hAnsi="Arial" w:cs="Arial"/>
        </w:rPr>
        <w:t>. P</w:t>
      </w:r>
      <w:r w:rsidR="00EB3E4C" w:rsidRPr="00D50DB8">
        <w:rPr>
          <w:rFonts w:ascii="Arial" w:hAnsi="Arial" w:cs="Arial"/>
        </w:rPr>
        <w:t xml:space="preserve">erformance, </w:t>
      </w:r>
      <w:r w:rsidR="0056118C" w:rsidRPr="00D50DB8">
        <w:rPr>
          <w:rFonts w:ascii="Arial" w:hAnsi="Arial" w:cs="Arial"/>
        </w:rPr>
        <w:t>oxygen consumption (VO</w:t>
      </w:r>
      <w:r w:rsidR="0056118C" w:rsidRPr="00D50DB8">
        <w:rPr>
          <w:rFonts w:ascii="Arial" w:hAnsi="Arial" w:cs="Arial"/>
          <w:vertAlign w:val="subscript"/>
        </w:rPr>
        <w:t>2</w:t>
      </w:r>
      <w:r w:rsidR="000978B2">
        <w:rPr>
          <w:rFonts w:ascii="Arial" w:hAnsi="Arial" w:cs="Arial"/>
        </w:rPr>
        <w:t>)</w:t>
      </w:r>
      <w:r>
        <w:rPr>
          <w:rFonts w:ascii="Arial" w:hAnsi="Arial" w:cs="Arial"/>
        </w:rPr>
        <w:t xml:space="preserve">, </w:t>
      </w:r>
      <w:r w:rsidR="000978B2">
        <w:rPr>
          <w:rFonts w:ascii="Arial" w:hAnsi="Arial" w:cs="Arial"/>
        </w:rPr>
        <w:t>blood bicarbonate (HCO3-), pH and lactate (</w:t>
      </w:r>
      <w:r>
        <w:rPr>
          <w:rFonts w:ascii="Arial" w:hAnsi="Arial" w:cs="Arial"/>
        </w:rPr>
        <w:t>BLa</w:t>
      </w:r>
      <w:r w:rsidR="000978B2">
        <w:rPr>
          <w:rFonts w:ascii="Arial" w:hAnsi="Arial" w:cs="Arial"/>
        </w:rPr>
        <w:t>)</w:t>
      </w:r>
      <w:r w:rsidR="0056118C" w:rsidRPr="00D50DB8">
        <w:rPr>
          <w:rFonts w:ascii="Arial" w:hAnsi="Arial" w:cs="Arial"/>
        </w:rPr>
        <w:t xml:space="preserve"> </w:t>
      </w:r>
      <w:r>
        <w:rPr>
          <w:rFonts w:ascii="Arial" w:hAnsi="Arial" w:cs="Arial"/>
        </w:rPr>
        <w:t xml:space="preserve">and ratings of perceived exertion (RPE) </w:t>
      </w:r>
      <w:r w:rsidR="0056118C" w:rsidRPr="00D50DB8">
        <w:rPr>
          <w:rFonts w:ascii="Arial" w:hAnsi="Arial" w:cs="Arial"/>
        </w:rPr>
        <w:t xml:space="preserve">were measured </w:t>
      </w:r>
      <w:r w:rsidR="00212786" w:rsidRPr="00D50DB8">
        <w:rPr>
          <w:rFonts w:ascii="Arial" w:hAnsi="Arial" w:cs="Arial"/>
        </w:rPr>
        <w:t xml:space="preserve">every 10 km </w:t>
      </w:r>
      <w:r w:rsidR="00EB3E4C" w:rsidRPr="00D50DB8">
        <w:rPr>
          <w:rFonts w:ascii="Arial" w:hAnsi="Arial" w:cs="Arial"/>
        </w:rPr>
        <w:t>throughout the TT</w:t>
      </w:r>
      <w:r w:rsidR="00EB3E4C" w:rsidRPr="00D50DB8">
        <w:rPr>
          <w:rFonts w:ascii="Arial" w:hAnsi="Arial" w:cs="Arial"/>
          <w:i/>
        </w:rPr>
        <w:t xml:space="preserve">. </w:t>
      </w:r>
      <w:r w:rsidR="00212786" w:rsidRPr="00D50DB8">
        <w:rPr>
          <w:rFonts w:ascii="Arial" w:hAnsi="Arial" w:cs="Arial"/>
        </w:rPr>
        <w:t>The present findings show that</w:t>
      </w:r>
      <w:r w:rsidR="00212786" w:rsidRPr="00D50DB8">
        <w:rPr>
          <w:rFonts w:ascii="Arial" w:hAnsi="Arial" w:cs="Arial"/>
          <w:i/>
        </w:rPr>
        <w:t xml:space="preserve"> </w:t>
      </w:r>
      <w:r w:rsidR="00C86243" w:rsidRPr="00D50DB8">
        <w:rPr>
          <w:rFonts w:ascii="Arial" w:hAnsi="Arial" w:cs="Arial"/>
        </w:rPr>
        <w:t>NO</w:t>
      </w:r>
      <w:r w:rsidR="00C86243" w:rsidRPr="00D50DB8">
        <w:rPr>
          <w:rFonts w:ascii="Arial" w:hAnsi="Arial" w:cs="Arial"/>
          <w:vertAlign w:val="subscript"/>
        </w:rPr>
        <w:t>3</w:t>
      </w:r>
      <w:r w:rsidR="00C86243" w:rsidRPr="00D50DB8">
        <w:rPr>
          <w:rFonts w:ascii="Arial" w:hAnsi="Arial" w:cs="Arial"/>
          <w:vertAlign w:val="superscript"/>
        </w:rPr>
        <w:t>-</w:t>
      </w:r>
      <w:r w:rsidR="00212786" w:rsidRPr="00D50DB8">
        <w:rPr>
          <w:rFonts w:ascii="Arial" w:hAnsi="Arial" w:cs="Arial"/>
        </w:rPr>
        <w:t xml:space="preserve"> ingestion had no effect on TT performance </w:t>
      </w:r>
      <w:r w:rsidR="004B3D1E" w:rsidRPr="00D50DB8">
        <w:rPr>
          <w:rFonts w:ascii="Arial" w:hAnsi="Arial" w:cs="Arial"/>
        </w:rPr>
        <w:t>(</w:t>
      </w:r>
      <w:r w:rsidR="00C86243" w:rsidRPr="00D50DB8">
        <w:rPr>
          <w:rFonts w:ascii="Arial" w:hAnsi="Arial" w:cs="Arial"/>
        </w:rPr>
        <w:t>NO</w:t>
      </w:r>
      <w:r w:rsidR="00C86243" w:rsidRPr="00D50DB8">
        <w:rPr>
          <w:rFonts w:ascii="Arial" w:hAnsi="Arial" w:cs="Arial"/>
          <w:vertAlign w:val="subscript"/>
        </w:rPr>
        <w:t>3</w:t>
      </w:r>
      <w:r w:rsidR="00C86243" w:rsidRPr="00D50DB8">
        <w:rPr>
          <w:rFonts w:ascii="Arial" w:hAnsi="Arial" w:cs="Arial"/>
          <w:vertAlign w:val="superscript"/>
        </w:rPr>
        <w:t>-</w:t>
      </w:r>
      <w:r w:rsidR="00212786" w:rsidRPr="00D50DB8">
        <w:rPr>
          <w:rFonts w:ascii="Arial" w:hAnsi="Arial" w:cs="Arial"/>
        </w:rPr>
        <w:t xml:space="preserve">: </w:t>
      </w:r>
      <w:r w:rsidR="000C0A07" w:rsidRPr="00041367">
        <w:rPr>
          <w:rFonts w:ascii="Arial" w:hAnsi="Arial" w:cs="Arial"/>
        </w:rPr>
        <w:t>4098</w:t>
      </w:r>
      <w:r w:rsidR="00212786" w:rsidRPr="00041367">
        <w:rPr>
          <w:rFonts w:ascii="Arial" w:hAnsi="Arial" w:cs="Arial"/>
        </w:rPr>
        <w:t>.</w:t>
      </w:r>
      <w:r w:rsidR="000C0A07" w:rsidRPr="00041367">
        <w:rPr>
          <w:rFonts w:ascii="Arial" w:hAnsi="Arial" w:cs="Arial"/>
        </w:rPr>
        <w:t>0</w:t>
      </w:r>
      <w:r w:rsidR="00212786" w:rsidRPr="00041367">
        <w:rPr>
          <w:rFonts w:ascii="Arial" w:hAnsi="Arial" w:cs="Arial"/>
        </w:rPr>
        <w:t xml:space="preserve"> ± </w:t>
      </w:r>
      <w:r w:rsidR="000C0A07" w:rsidRPr="00041367">
        <w:rPr>
          <w:rFonts w:ascii="Arial" w:hAnsi="Arial" w:cs="Arial"/>
        </w:rPr>
        <w:t>209.8</w:t>
      </w:r>
      <w:r w:rsidR="00212786" w:rsidRPr="00041367">
        <w:rPr>
          <w:rFonts w:ascii="Arial" w:hAnsi="Arial" w:cs="Arial"/>
        </w:rPr>
        <w:t xml:space="preserve"> vs. P</w:t>
      </w:r>
      <w:r w:rsidR="004B3D1E" w:rsidRPr="00041367">
        <w:rPr>
          <w:rFonts w:ascii="Arial" w:hAnsi="Arial" w:cs="Arial"/>
        </w:rPr>
        <w:t>lacebo</w:t>
      </w:r>
      <w:r w:rsidR="00212786" w:rsidRPr="00041367">
        <w:rPr>
          <w:rFonts w:ascii="Arial" w:hAnsi="Arial" w:cs="Arial"/>
        </w:rPr>
        <w:t xml:space="preserve">: </w:t>
      </w:r>
      <w:r w:rsidR="000C0A07" w:rsidRPr="00041367">
        <w:rPr>
          <w:rFonts w:ascii="Arial" w:hAnsi="Arial" w:cs="Arial"/>
        </w:rPr>
        <w:t>4161.9</w:t>
      </w:r>
      <w:r w:rsidR="00212786" w:rsidRPr="00041367">
        <w:rPr>
          <w:rFonts w:ascii="Arial" w:hAnsi="Arial" w:cs="Arial"/>
        </w:rPr>
        <w:t xml:space="preserve"> ± </w:t>
      </w:r>
      <w:r w:rsidR="000C0A07" w:rsidRPr="00041367">
        <w:rPr>
          <w:rFonts w:ascii="Arial" w:hAnsi="Arial" w:cs="Arial"/>
        </w:rPr>
        <w:t>263.3</w:t>
      </w:r>
      <w:r w:rsidR="00212786" w:rsidRPr="00041367">
        <w:rPr>
          <w:rFonts w:ascii="Arial" w:hAnsi="Arial" w:cs="Arial"/>
        </w:rPr>
        <w:t xml:space="preserve"> s</w:t>
      </w:r>
      <w:r w:rsidR="0056118C" w:rsidRPr="00041367">
        <w:rPr>
          <w:rFonts w:ascii="Arial" w:hAnsi="Arial" w:cs="Arial"/>
        </w:rPr>
        <w:t>,</w:t>
      </w:r>
      <w:r w:rsidR="004B3D1E" w:rsidRPr="00041367">
        <w:rPr>
          <w:rFonts w:ascii="Arial" w:hAnsi="Arial" w:cs="Arial"/>
        </w:rPr>
        <w:t xml:space="preserve"> p = </w:t>
      </w:r>
      <w:r w:rsidR="0056118C" w:rsidRPr="00041367">
        <w:rPr>
          <w:rFonts w:ascii="Arial" w:hAnsi="Arial" w:cs="Arial"/>
        </w:rPr>
        <w:t>0.</w:t>
      </w:r>
      <w:r w:rsidR="000C0A07" w:rsidRPr="00041367">
        <w:rPr>
          <w:rFonts w:ascii="Arial" w:hAnsi="Arial" w:cs="Arial"/>
        </w:rPr>
        <w:t>296</w:t>
      </w:r>
      <w:r w:rsidR="0056118C" w:rsidRPr="00041367">
        <w:rPr>
          <w:rFonts w:ascii="Arial" w:hAnsi="Arial" w:cs="Arial"/>
        </w:rPr>
        <w:t xml:space="preserve">, </w:t>
      </w:r>
      <w:r w:rsidR="004B3D1E" w:rsidRPr="00041367">
        <w:rPr>
          <w:rFonts w:ascii="Arial" w:hAnsi="Arial" w:cs="Arial"/>
        </w:rPr>
        <w:t>ES =</w:t>
      </w:r>
      <w:r w:rsidR="0056118C" w:rsidRPr="00041367">
        <w:rPr>
          <w:rFonts w:ascii="Arial" w:hAnsi="Arial" w:cs="Arial"/>
        </w:rPr>
        <w:t xml:space="preserve"> 0.</w:t>
      </w:r>
      <w:r w:rsidR="000C0A07" w:rsidRPr="00041367">
        <w:rPr>
          <w:rFonts w:ascii="Arial" w:hAnsi="Arial" w:cs="Arial"/>
        </w:rPr>
        <w:t>11</w:t>
      </w:r>
      <w:r w:rsidR="00212786" w:rsidRPr="00041367">
        <w:rPr>
          <w:rFonts w:ascii="Arial" w:hAnsi="Arial" w:cs="Arial"/>
        </w:rPr>
        <w:t>)</w:t>
      </w:r>
      <w:r w:rsidR="0056118C" w:rsidRPr="00041367">
        <w:rPr>
          <w:rFonts w:ascii="Arial" w:hAnsi="Arial" w:cs="Arial"/>
        </w:rPr>
        <w:t xml:space="preserve">, </w:t>
      </w:r>
      <w:r w:rsidR="000978B2" w:rsidRPr="00041367">
        <w:rPr>
          <w:rFonts w:ascii="Arial" w:hAnsi="Arial" w:cs="Arial"/>
        </w:rPr>
        <w:t xml:space="preserve">or </w:t>
      </w:r>
      <w:r w:rsidR="0056118C" w:rsidRPr="00041367">
        <w:rPr>
          <w:rFonts w:ascii="Arial" w:hAnsi="Arial" w:cs="Arial"/>
        </w:rPr>
        <w:t>VO</w:t>
      </w:r>
      <w:r w:rsidR="0056118C" w:rsidRPr="00041367">
        <w:rPr>
          <w:rFonts w:ascii="Arial" w:hAnsi="Arial" w:cs="Arial"/>
          <w:vertAlign w:val="subscript"/>
        </w:rPr>
        <w:t>2</w:t>
      </w:r>
      <w:r w:rsidR="0056118C" w:rsidRPr="00041367">
        <w:rPr>
          <w:rFonts w:ascii="Arial" w:hAnsi="Arial" w:cs="Arial"/>
        </w:rPr>
        <w:t xml:space="preserve"> </w:t>
      </w:r>
      <w:r w:rsidR="00AA2505" w:rsidRPr="00041367">
        <w:rPr>
          <w:rFonts w:ascii="Arial" w:hAnsi="Arial" w:cs="Arial"/>
        </w:rPr>
        <w:t>(p = 0.</w:t>
      </w:r>
      <w:r w:rsidR="000C0A07" w:rsidRPr="00041367">
        <w:rPr>
          <w:rFonts w:ascii="Arial" w:hAnsi="Arial" w:cs="Arial"/>
        </w:rPr>
        <w:t>253</w:t>
      </w:r>
      <w:r w:rsidR="00AA2505" w:rsidRPr="00041367">
        <w:rPr>
          <w:rFonts w:ascii="Arial" w:hAnsi="Arial" w:cs="Arial"/>
        </w:rPr>
        <w:t>, ES = 0.</w:t>
      </w:r>
      <w:r w:rsidR="000C0A07" w:rsidRPr="00041367">
        <w:rPr>
          <w:rFonts w:ascii="Arial" w:hAnsi="Arial" w:cs="Arial"/>
        </w:rPr>
        <w:t>13</w:t>
      </w:r>
      <w:r w:rsidR="00AA2505" w:rsidRPr="00041367">
        <w:rPr>
          <w:rFonts w:ascii="Arial" w:hAnsi="Arial" w:cs="Arial"/>
        </w:rPr>
        <w:t>). Similarly, blood lactate and RPE were also unaffected by the experimental conditions (p = 0.5</w:t>
      </w:r>
      <w:r w:rsidR="000C0A07" w:rsidRPr="00041367">
        <w:rPr>
          <w:rFonts w:ascii="Arial" w:hAnsi="Arial" w:cs="Arial"/>
        </w:rPr>
        <w:t>2</w:t>
      </w:r>
      <w:r w:rsidR="00356F2F" w:rsidRPr="00041367">
        <w:rPr>
          <w:rFonts w:ascii="Arial" w:hAnsi="Arial" w:cs="Arial"/>
        </w:rPr>
        <w:t>2</w:t>
      </w:r>
      <w:r w:rsidR="00AA2505" w:rsidRPr="00041367">
        <w:rPr>
          <w:rFonts w:ascii="Arial" w:hAnsi="Arial" w:cs="Arial"/>
        </w:rPr>
        <w:t>, ES = 0.0</w:t>
      </w:r>
      <w:r w:rsidR="000C0A07" w:rsidRPr="00041367">
        <w:rPr>
          <w:rFonts w:ascii="Arial" w:hAnsi="Arial" w:cs="Arial"/>
        </w:rPr>
        <w:t>6</w:t>
      </w:r>
      <w:r w:rsidR="00D7768D" w:rsidRPr="00041367">
        <w:rPr>
          <w:rFonts w:ascii="Arial" w:hAnsi="Arial" w:cs="Arial"/>
        </w:rPr>
        <w:t>;</w:t>
      </w:r>
      <w:r w:rsidR="00AA2505" w:rsidRPr="00041367">
        <w:rPr>
          <w:rFonts w:ascii="Arial" w:hAnsi="Arial" w:cs="Arial"/>
        </w:rPr>
        <w:t xml:space="preserve"> p = 0.</w:t>
      </w:r>
      <w:r w:rsidR="000C0A07" w:rsidRPr="00041367">
        <w:rPr>
          <w:rFonts w:ascii="Arial" w:hAnsi="Arial" w:cs="Arial"/>
        </w:rPr>
        <w:t>085</w:t>
      </w:r>
      <w:r w:rsidR="00AA2505" w:rsidRPr="00041367">
        <w:rPr>
          <w:rFonts w:ascii="Arial" w:hAnsi="Arial" w:cs="Arial"/>
        </w:rPr>
        <w:t>, ES = 0.</w:t>
      </w:r>
      <w:r w:rsidR="000C0A07" w:rsidRPr="00041367">
        <w:rPr>
          <w:rFonts w:ascii="Arial" w:hAnsi="Arial" w:cs="Arial"/>
        </w:rPr>
        <w:t>30</w:t>
      </w:r>
      <w:r w:rsidR="00356F2F" w:rsidRPr="00041367">
        <w:rPr>
          <w:rFonts w:ascii="Arial" w:hAnsi="Arial" w:cs="Arial"/>
        </w:rPr>
        <w:t>)</w:t>
      </w:r>
      <w:r w:rsidR="00AA2505" w:rsidRPr="00041367">
        <w:rPr>
          <w:rFonts w:ascii="Arial" w:hAnsi="Arial" w:cs="Arial"/>
        </w:rPr>
        <w:t xml:space="preserve"> respectively. Therefore, these</w:t>
      </w:r>
      <w:r w:rsidR="00EB3E4C" w:rsidRPr="00041367">
        <w:rPr>
          <w:rFonts w:ascii="Arial" w:hAnsi="Arial" w:cs="Arial"/>
        </w:rPr>
        <w:t xml:space="preserve"> results suggest th</w:t>
      </w:r>
      <w:r w:rsidR="004B3D1E" w:rsidRPr="00041367">
        <w:rPr>
          <w:rFonts w:ascii="Arial" w:hAnsi="Arial" w:cs="Arial"/>
        </w:rPr>
        <w:t>at a high dose of</w:t>
      </w:r>
      <w:r w:rsidR="004B3D1E" w:rsidRPr="00D50DB8">
        <w:rPr>
          <w:rFonts w:ascii="Arial" w:hAnsi="Arial" w:cs="Arial"/>
        </w:rPr>
        <w:t xml:space="preserve"> </w:t>
      </w:r>
      <w:r w:rsidR="00C86243" w:rsidRPr="00D50DB8">
        <w:rPr>
          <w:rFonts w:ascii="Arial" w:hAnsi="Arial" w:cs="Arial"/>
        </w:rPr>
        <w:t>NO</w:t>
      </w:r>
      <w:r w:rsidR="00C86243" w:rsidRPr="00D50DB8">
        <w:rPr>
          <w:rFonts w:ascii="Arial" w:hAnsi="Arial" w:cs="Arial"/>
          <w:vertAlign w:val="subscript"/>
        </w:rPr>
        <w:t>3</w:t>
      </w:r>
      <w:r w:rsidR="00C86243" w:rsidRPr="00D50DB8">
        <w:rPr>
          <w:rFonts w:ascii="Arial" w:hAnsi="Arial" w:cs="Arial"/>
          <w:vertAlign w:val="superscript"/>
        </w:rPr>
        <w:t>-</w:t>
      </w:r>
      <w:r w:rsidR="004B3D1E" w:rsidRPr="00D50DB8">
        <w:rPr>
          <w:rFonts w:ascii="Arial" w:hAnsi="Arial" w:cs="Arial"/>
        </w:rPr>
        <w:t xml:space="preserve"> over three</w:t>
      </w:r>
      <w:r w:rsidR="00EB3E4C" w:rsidRPr="00D50DB8">
        <w:rPr>
          <w:rFonts w:ascii="Arial" w:hAnsi="Arial" w:cs="Arial"/>
        </w:rPr>
        <w:t xml:space="preserve"> days </w:t>
      </w:r>
      <w:r w:rsidR="004B3D1E" w:rsidRPr="00D50DB8">
        <w:rPr>
          <w:rFonts w:ascii="Arial" w:hAnsi="Arial" w:cs="Arial"/>
        </w:rPr>
        <w:t xml:space="preserve">has limited efficacy as an ergogenic aid for 40 km TT cycling performance in trained cyclists. </w:t>
      </w:r>
      <w:r w:rsidR="00212786" w:rsidRPr="00D50DB8">
        <w:rPr>
          <w:rFonts w:ascii="Arial" w:hAnsi="Arial" w:cs="Arial"/>
          <w:b/>
        </w:rPr>
        <w:br w:type="page"/>
      </w:r>
    </w:p>
    <w:p w14:paraId="71F072E7" w14:textId="15EA354A" w:rsidR="00006348" w:rsidRPr="00D50DB8" w:rsidRDefault="00006348" w:rsidP="00D50DB8">
      <w:pPr>
        <w:pStyle w:val="NoSpacing"/>
        <w:spacing w:line="480" w:lineRule="auto"/>
        <w:jc w:val="both"/>
        <w:rPr>
          <w:rFonts w:cs="Arial"/>
          <w:b/>
          <w:sz w:val="22"/>
        </w:rPr>
      </w:pPr>
      <w:r w:rsidRPr="00D50DB8">
        <w:rPr>
          <w:rFonts w:cs="Arial"/>
          <w:b/>
          <w:sz w:val="22"/>
        </w:rPr>
        <w:lastRenderedPageBreak/>
        <w:t xml:space="preserve">Introduction </w:t>
      </w:r>
    </w:p>
    <w:p w14:paraId="68412DC1" w14:textId="4C21CB14" w:rsidR="00E30EB8" w:rsidRPr="0078071D" w:rsidRDefault="00D73C91" w:rsidP="00D50DB8">
      <w:pPr>
        <w:pStyle w:val="NoSpacing"/>
        <w:spacing w:line="480" w:lineRule="auto"/>
        <w:jc w:val="both"/>
        <w:rPr>
          <w:rFonts w:cs="Arial"/>
          <w:sz w:val="22"/>
        </w:rPr>
      </w:pPr>
      <w:r w:rsidRPr="0078071D">
        <w:rPr>
          <w:rFonts w:cs="Arial"/>
          <w:sz w:val="22"/>
        </w:rPr>
        <w:t>Intake of e</w:t>
      </w:r>
      <w:r w:rsidR="00711B48" w:rsidRPr="0078071D">
        <w:rPr>
          <w:rFonts w:cs="Arial"/>
          <w:sz w:val="22"/>
        </w:rPr>
        <w:t>xogenous dietary nitrate</w:t>
      </w:r>
      <w:r w:rsidR="000A3695" w:rsidRPr="0078071D">
        <w:rPr>
          <w:rFonts w:cs="Arial"/>
          <w:sz w:val="22"/>
        </w:rPr>
        <w:t>s</w:t>
      </w:r>
      <w:r w:rsidR="001715D2" w:rsidRPr="0078071D">
        <w:rPr>
          <w:rFonts w:cs="Arial"/>
          <w:sz w:val="22"/>
        </w:rPr>
        <w:t xml:space="preserve"> (NO</w:t>
      </w:r>
      <w:r w:rsidR="001715D2" w:rsidRPr="0078071D">
        <w:rPr>
          <w:rFonts w:cs="Arial"/>
          <w:sz w:val="22"/>
          <w:vertAlign w:val="subscript"/>
        </w:rPr>
        <w:t>3</w:t>
      </w:r>
      <w:r w:rsidR="001715D2" w:rsidRPr="0078071D">
        <w:rPr>
          <w:rFonts w:cs="Arial"/>
          <w:sz w:val="22"/>
          <w:vertAlign w:val="superscript"/>
        </w:rPr>
        <w:t>-</w:t>
      </w:r>
      <w:r w:rsidR="001715D2" w:rsidRPr="0078071D">
        <w:rPr>
          <w:rFonts w:cs="Arial"/>
          <w:sz w:val="22"/>
        </w:rPr>
        <w:t>)</w:t>
      </w:r>
      <w:r w:rsidR="00711B48" w:rsidRPr="0078071D">
        <w:rPr>
          <w:rFonts w:cs="Arial"/>
          <w:sz w:val="22"/>
        </w:rPr>
        <w:t xml:space="preserve"> through supplementation and whole foods are associated with beneficial </w:t>
      </w:r>
      <w:r w:rsidR="00995DA3" w:rsidRPr="0078071D">
        <w:rPr>
          <w:rFonts w:cs="Arial"/>
          <w:sz w:val="22"/>
        </w:rPr>
        <w:t xml:space="preserve">cardiovascular </w:t>
      </w:r>
      <w:r w:rsidR="00711B48" w:rsidRPr="0078071D">
        <w:rPr>
          <w:rFonts w:cs="Arial"/>
          <w:sz w:val="22"/>
        </w:rPr>
        <w:t xml:space="preserve">health outcomes </w:t>
      </w:r>
      <w:r w:rsidR="00177088" w:rsidRPr="0078071D">
        <w:rPr>
          <w:rFonts w:cs="Arial"/>
          <w:sz w:val="22"/>
        </w:rPr>
        <w:t>and</w:t>
      </w:r>
      <w:r w:rsidR="00C568D3" w:rsidRPr="0078071D">
        <w:rPr>
          <w:rFonts w:cs="Arial"/>
          <w:sz w:val="22"/>
        </w:rPr>
        <w:t xml:space="preserve"> </w:t>
      </w:r>
      <w:r w:rsidR="000A3695" w:rsidRPr="0078071D">
        <w:rPr>
          <w:rFonts w:cs="Arial"/>
          <w:sz w:val="22"/>
        </w:rPr>
        <w:t>are</w:t>
      </w:r>
      <w:r w:rsidR="0019006F" w:rsidRPr="0078071D">
        <w:rPr>
          <w:rFonts w:cs="Arial"/>
          <w:sz w:val="22"/>
        </w:rPr>
        <w:t xml:space="preserve"> used</w:t>
      </w:r>
      <w:r w:rsidR="00995DA3" w:rsidRPr="0078071D">
        <w:rPr>
          <w:rFonts w:cs="Arial"/>
          <w:sz w:val="22"/>
        </w:rPr>
        <w:t xml:space="preserve"> </w:t>
      </w:r>
      <w:r w:rsidR="008B4EED">
        <w:rPr>
          <w:rFonts w:cs="Arial"/>
          <w:sz w:val="22"/>
        </w:rPr>
        <w:t xml:space="preserve">as an </w:t>
      </w:r>
      <w:r w:rsidR="00177088" w:rsidRPr="0078071D">
        <w:rPr>
          <w:rFonts w:cs="Arial"/>
          <w:sz w:val="22"/>
        </w:rPr>
        <w:t>ergogenic</w:t>
      </w:r>
      <w:r w:rsidR="008B4EED">
        <w:rPr>
          <w:rFonts w:cs="Arial"/>
          <w:sz w:val="22"/>
        </w:rPr>
        <w:t xml:space="preserve"> aid</w:t>
      </w:r>
      <w:r w:rsidR="0019006F" w:rsidRPr="0078071D">
        <w:rPr>
          <w:rFonts w:cs="Arial"/>
          <w:sz w:val="22"/>
        </w:rPr>
        <w:t xml:space="preserve"> for athletic performance</w:t>
      </w:r>
      <w:r w:rsidR="00C568D3" w:rsidRPr="0078071D">
        <w:rPr>
          <w:rFonts w:cs="Arial"/>
          <w:sz w:val="22"/>
        </w:rPr>
        <w:t xml:space="preserve"> (</w:t>
      </w:r>
      <w:r w:rsidR="0078071D">
        <w:rPr>
          <w:rFonts w:cs="Arial"/>
          <w:sz w:val="22"/>
        </w:rPr>
        <w:t>Clements</w:t>
      </w:r>
      <w:r w:rsidR="00301162" w:rsidRPr="0078071D">
        <w:rPr>
          <w:rFonts w:cs="Arial"/>
          <w:sz w:val="22"/>
        </w:rPr>
        <w:t xml:space="preserve"> </w:t>
      </w:r>
      <w:r w:rsidR="0078071D">
        <w:rPr>
          <w:rFonts w:cs="Arial"/>
          <w:sz w:val="22"/>
        </w:rPr>
        <w:t>et al.,</w:t>
      </w:r>
      <w:r w:rsidR="00301162" w:rsidRPr="0078071D">
        <w:rPr>
          <w:rFonts w:cs="Arial"/>
          <w:sz w:val="22"/>
        </w:rPr>
        <w:t xml:space="preserve"> 2014</w:t>
      </w:r>
      <w:r w:rsidR="00C568D3" w:rsidRPr="0078071D">
        <w:rPr>
          <w:rFonts w:cs="Arial"/>
          <w:sz w:val="22"/>
        </w:rPr>
        <w:t xml:space="preserve">). </w:t>
      </w:r>
      <w:r w:rsidR="00177088" w:rsidRPr="0078071D">
        <w:rPr>
          <w:rFonts w:cs="Arial"/>
          <w:sz w:val="22"/>
        </w:rPr>
        <w:t>Green leafy vegetable</w:t>
      </w:r>
      <w:r w:rsidR="00936F8D" w:rsidRPr="0078071D">
        <w:rPr>
          <w:rFonts w:cs="Arial"/>
          <w:sz w:val="22"/>
        </w:rPr>
        <w:t>s</w:t>
      </w:r>
      <w:r w:rsidR="00177088" w:rsidRPr="0078071D">
        <w:rPr>
          <w:rFonts w:cs="Arial"/>
          <w:sz w:val="22"/>
        </w:rPr>
        <w:t xml:space="preserve"> and root vegetables</w:t>
      </w:r>
      <w:r w:rsidR="00936F8D" w:rsidRPr="0078071D">
        <w:rPr>
          <w:rFonts w:cs="Arial"/>
          <w:sz w:val="22"/>
        </w:rPr>
        <w:t xml:space="preserve"> </w:t>
      </w:r>
      <w:r w:rsidR="00177088" w:rsidRPr="0078071D">
        <w:rPr>
          <w:rFonts w:cs="Arial"/>
          <w:sz w:val="22"/>
        </w:rPr>
        <w:t>are example</w:t>
      </w:r>
      <w:r w:rsidR="000A3695" w:rsidRPr="0078071D">
        <w:rPr>
          <w:rFonts w:cs="Arial"/>
          <w:sz w:val="22"/>
        </w:rPr>
        <w:t>s</w:t>
      </w:r>
      <w:r w:rsidR="00177088" w:rsidRPr="0078071D">
        <w:rPr>
          <w:rFonts w:cs="Arial"/>
          <w:sz w:val="22"/>
        </w:rPr>
        <w:t xml:space="preserve"> of NO</w:t>
      </w:r>
      <w:r w:rsidR="00177088" w:rsidRPr="0078071D">
        <w:rPr>
          <w:rFonts w:cs="Arial"/>
          <w:sz w:val="22"/>
          <w:vertAlign w:val="subscript"/>
        </w:rPr>
        <w:t>3</w:t>
      </w:r>
      <w:r w:rsidR="00177088" w:rsidRPr="0078071D">
        <w:rPr>
          <w:rFonts w:cs="Arial"/>
          <w:sz w:val="22"/>
          <w:vertAlign w:val="superscript"/>
        </w:rPr>
        <w:t xml:space="preserve">- </w:t>
      </w:r>
      <w:r w:rsidR="00177088" w:rsidRPr="0078071D">
        <w:rPr>
          <w:rFonts w:cs="Arial"/>
          <w:sz w:val="22"/>
        </w:rPr>
        <w:t>rich dietary sources, while commercially available beetroot supplements provide a highly concentrated and practical method</w:t>
      </w:r>
      <w:r w:rsidR="000A3695" w:rsidRPr="0078071D">
        <w:rPr>
          <w:rFonts w:cs="Arial"/>
          <w:sz w:val="22"/>
        </w:rPr>
        <w:t xml:space="preserve"> to</w:t>
      </w:r>
      <w:r w:rsidR="00177088" w:rsidRPr="0078071D">
        <w:rPr>
          <w:rFonts w:cs="Arial"/>
          <w:sz w:val="22"/>
        </w:rPr>
        <w:t xml:space="preserve"> ingest NO</w:t>
      </w:r>
      <w:r w:rsidR="00177088" w:rsidRPr="0078071D">
        <w:rPr>
          <w:rFonts w:cs="Arial"/>
          <w:sz w:val="22"/>
          <w:vertAlign w:val="subscript"/>
        </w:rPr>
        <w:t>3</w:t>
      </w:r>
      <w:r w:rsidR="00177088" w:rsidRPr="0078071D">
        <w:rPr>
          <w:rFonts w:cs="Arial"/>
          <w:sz w:val="22"/>
          <w:vertAlign w:val="superscript"/>
        </w:rPr>
        <w:t xml:space="preserve">- </w:t>
      </w:r>
      <w:r w:rsidR="00177088" w:rsidRPr="0078071D">
        <w:rPr>
          <w:rFonts w:cs="Arial"/>
          <w:sz w:val="22"/>
        </w:rPr>
        <w:t xml:space="preserve">prior to exercise. </w:t>
      </w:r>
      <w:r w:rsidR="00A429BC" w:rsidRPr="0078071D">
        <w:rPr>
          <w:rFonts w:cs="Arial"/>
          <w:sz w:val="22"/>
        </w:rPr>
        <w:t>The underlying action</w:t>
      </w:r>
      <w:r w:rsidR="0019006F" w:rsidRPr="0078071D">
        <w:rPr>
          <w:rFonts w:cs="Arial"/>
          <w:sz w:val="22"/>
        </w:rPr>
        <w:t xml:space="preserve"> of NO</w:t>
      </w:r>
      <w:r w:rsidR="0019006F" w:rsidRPr="0078071D">
        <w:rPr>
          <w:rFonts w:cs="Arial"/>
          <w:sz w:val="22"/>
          <w:vertAlign w:val="subscript"/>
        </w:rPr>
        <w:t>3</w:t>
      </w:r>
      <w:r w:rsidR="0019006F" w:rsidRPr="0078071D">
        <w:rPr>
          <w:rFonts w:cs="Arial"/>
          <w:sz w:val="22"/>
          <w:vertAlign w:val="superscript"/>
        </w:rPr>
        <w:t>-</w:t>
      </w:r>
      <w:r w:rsidR="00A429BC" w:rsidRPr="0078071D">
        <w:rPr>
          <w:rFonts w:cs="Arial"/>
          <w:sz w:val="22"/>
        </w:rPr>
        <w:t xml:space="preserve"> is derived from the enhanced bioavailability of nitric oxide</w:t>
      </w:r>
      <w:r w:rsidR="00425BBB" w:rsidRPr="0078071D">
        <w:rPr>
          <w:rFonts w:cs="Arial"/>
          <w:sz w:val="22"/>
        </w:rPr>
        <w:t xml:space="preserve"> (NO)</w:t>
      </w:r>
      <w:r w:rsidR="00A429BC" w:rsidRPr="0078071D">
        <w:rPr>
          <w:rFonts w:cs="Arial"/>
          <w:sz w:val="22"/>
        </w:rPr>
        <w:t xml:space="preserve">, </w:t>
      </w:r>
      <w:r w:rsidR="00701F51" w:rsidRPr="0078071D">
        <w:rPr>
          <w:rFonts w:cs="Arial"/>
          <w:sz w:val="22"/>
        </w:rPr>
        <w:t xml:space="preserve">which </w:t>
      </w:r>
      <w:r w:rsidR="00377418" w:rsidRPr="0078071D">
        <w:rPr>
          <w:rFonts w:cs="Arial"/>
          <w:sz w:val="22"/>
        </w:rPr>
        <w:t xml:space="preserve">can be synthesised </w:t>
      </w:r>
      <w:r w:rsidR="00E24444" w:rsidRPr="0078071D">
        <w:rPr>
          <w:rFonts w:cs="Arial"/>
          <w:sz w:val="22"/>
        </w:rPr>
        <w:t xml:space="preserve">via </w:t>
      </w:r>
      <w:r w:rsidR="00177088" w:rsidRPr="0078071D">
        <w:rPr>
          <w:rFonts w:cs="Arial"/>
          <w:sz w:val="22"/>
        </w:rPr>
        <w:t>continuous</w:t>
      </w:r>
      <w:r w:rsidR="00E24444" w:rsidRPr="0078071D">
        <w:rPr>
          <w:rFonts w:cs="Arial"/>
          <w:sz w:val="22"/>
        </w:rPr>
        <w:t xml:space="preserve"> reactions in the</w:t>
      </w:r>
      <w:r w:rsidR="00377418" w:rsidRPr="0078071D">
        <w:rPr>
          <w:rFonts w:cs="Arial"/>
          <w:sz w:val="22"/>
        </w:rPr>
        <w:t xml:space="preserve"> L-arginine</w:t>
      </w:r>
      <w:r w:rsidR="00E24444" w:rsidRPr="0078071D">
        <w:rPr>
          <w:rFonts w:cs="Arial"/>
          <w:sz w:val="22"/>
        </w:rPr>
        <w:t>-NO pathway (Moncada and Higgs, 1993) or reduced from NO</w:t>
      </w:r>
      <w:r w:rsidR="00E24444" w:rsidRPr="0078071D">
        <w:rPr>
          <w:rFonts w:cs="Arial"/>
          <w:sz w:val="22"/>
          <w:vertAlign w:val="subscript"/>
        </w:rPr>
        <w:t>3</w:t>
      </w:r>
      <w:r w:rsidR="00E24444" w:rsidRPr="0078071D">
        <w:rPr>
          <w:rFonts w:cs="Arial"/>
          <w:sz w:val="22"/>
          <w:vertAlign w:val="superscript"/>
        </w:rPr>
        <w:t>-</w:t>
      </w:r>
      <w:r w:rsidR="00E24444" w:rsidRPr="0078071D">
        <w:rPr>
          <w:rFonts w:cs="Arial"/>
          <w:sz w:val="22"/>
        </w:rPr>
        <w:t xml:space="preserve"> (Lundberg et al</w:t>
      </w:r>
      <w:r w:rsidR="0078071D">
        <w:rPr>
          <w:rFonts w:cs="Arial"/>
          <w:sz w:val="22"/>
        </w:rPr>
        <w:t>.</w:t>
      </w:r>
      <w:r w:rsidR="00E24444" w:rsidRPr="0078071D">
        <w:rPr>
          <w:rFonts w:cs="Arial"/>
          <w:sz w:val="22"/>
        </w:rPr>
        <w:t xml:space="preserve">, 2004). The latter is prominent in deriving NO from dietary </w:t>
      </w:r>
      <w:r w:rsidR="009C6AE0" w:rsidRPr="0078071D">
        <w:rPr>
          <w:rFonts w:cs="Arial"/>
          <w:sz w:val="22"/>
        </w:rPr>
        <w:t>beetroot supplementation</w:t>
      </w:r>
      <w:r w:rsidR="001715D2" w:rsidRPr="0078071D">
        <w:rPr>
          <w:rFonts w:cs="Arial"/>
          <w:sz w:val="22"/>
        </w:rPr>
        <w:t>, with NO</w:t>
      </w:r>
      <w:r w:rsidR="001715D2" w:rsidRPr="0078071D">
        <w:rPr>
          <w:rFonts w:cs="Arial"/>
          <w:sz w:val="22"/>
          <w:vertAlign w:val="subscript"/>
        </w:rPr>
        <w:t>3</w:t>
      </w:r>
      <w:r w:rsidR="001715D2" w:rsidRPr="0078071D">
        <w:rPr>
          <w:rFonts w:cs="Arial"/>
          <w:sz w:val="22"/>
          <w:vertAlign w:val="superscript"/>
        </w:rPr>
        <w:t>-</w:t>
      </w:r>
      <w:r w:rsidR="001715D2" w:rsidRPr="0078071D">
        <w:rPr>
          <w:rFonts w:cs="Arial"/>
          <w:sz w:val="22"/>
        </w:rPr>
        <w:t xml:space="preserve"> reduced to nitrite</w:t>
      </w:r>
      <w:r w:rsidR="0064265F" w:rsidRPr="0078071D">
        <w:rPr>
          <w:rFonts w:cs="Arial"/>
          <w:sz w:val="22"/>
        </w:rPr>
        <w:t xml:space="preserve"> (NO</w:t>
      </w:r>
      <w:r w:rsidR="0064265F" w:rsidRPr="0078071D">
        <w:rPr>
          <w:rFonts w:cs="Arial"/>
          <w:sz w:val="22"/>
          <w:vertAlign w:val="subscript"/>
        </w:rPr>
        <w:t>2</w:t>
      </w:r>
      <w:r w:rsidR="0064265F" w:rsidRPr="0078071D">
        <w:rPr>
          <w:rFonts w:cs="Arial"/>
          <w:sz w:val="22"/>
        </w:rPr>
        <w:t>)</w:t>
      </w:r>
      <w:r w:rsidR="001715D2" w:rsidRPr="0078071D">
        <w:rPr>
          <w:rFonts w:cs="Arial"/>
          <w:sz w:val="22"/>
        </w:rPr>
        <w:t xml:space="preserve"> in the oral cavity (Duncan et al</w:t>
      </w:r>
      <w:r w:rsidR="0078071D">
        <w:rPr>
          <w:rFonts w:cs="Arial"/>
          <w:sz w:val="22"/>
        </w:rPr>
        <w:t>.</w:t>
      </w:r>
      <w:r w:rsidR="001715D2" w:rsidRPr="0078071D">
        <w:rPr>
          <w:rFonts w:cs="Arial"/>
          <w:sz w:val="22"/>
        </w:rPr>
        <w:t>, 1995)</w:t>
      </w:r>
      <w:r w:rsidR="008B4EED">
        <w:rPr>
          <w:rFonts w:cs="Arial"/>
          <w:sz w:val="22"/>
        </w:rPr>
        <w:t>. T</w:t>
      </w:r>
      <w:r w:rsidR="000A3695" w:rsidRPr="0078071D">
        <w:rPr>
          <w:rFonts w:cs="Arial"/>
          <w:sz w:val="22"/>
        </w:rPr>
        <w:t>here</w:t>
      </w:r>
      <w:r w:rsidR="00177088" w:rsidRPr="0078071D">
        <w:rPr>
          <w:rFonts w:cs="Arial"/>
          <w:sz w:val="22"/>
        </w:rPr>
        <w:t>after</w:t>
      </w:r>
      <w:r w:rsidR="001715D2" w:rsidRPr="0078071D">
        <w:rPr>
          <w:rFonts w:cs="Arial"/>
          <w:sz w:val="22"/>
        </w:rPr>
        <w:t xml:space="preserve"> </w:t>
      </w:r>
      <w:r w:rsidR="008B4EED">
        <w:rPr>
          <w:rFonts w:cs="Arial"/>
          <w:sz w:val="22"/>
        </w:rPr>
        <w:t xml:space="preserve">it is </w:t>
      </w:r>
      <w:r w:rsidR="00177088" w:rsidRPr="0078071D">
        <w:rPr>
          <w:rFonts w:cs="Arial"/>
          <w:sz w:val="22"/>
        </w:rPr>
        <w:t>reduced</w:t>
      </w:r>
      <w:r w:rsidR="00E67EF8" w:rsidRPr="0078071D">
        <w:rPr>
          <w:rFonts w:cs="Arial"/>
          <w:sz w:val="22"/>
        </w:rPr>
        <w:t xml:space="preserve"> to NO </w:t>
      </w:r>
      <w:r w:rsidR="008B4EED">
        <w:rPr>
          <w:rFonts w:cs="Arial"/>
          <w:sz w:val="22"/>
        </w:rPr>
        <w:t>during</w:t>
      </w:r>
      <w:r w:rsidR="00E67EF8" w:rsidRPr="0078071D">
        <w:rPr>
          <w:rFonts w:cs="Arial"/>
          <w:sz w:val="22"/>
        </w:rPr>
        <w:t xml:space="preserve"> downstream reactions </w:t>
      </w:r>
      <w:r w:rsidR="002267B1" w:rsidRPr="0078071D">
        <w:rPr>
          <w:rFonts w:cs="Arial"/>
          <w:sz w:val="22"/>
        </w:rPr>
        <w:t>and absorbed into circulating plasma</w:t>
      </w:r>
      <w:r w:rsidR="00E67EF8" w:rsidRPr="0078071D">
        <w:rPr>
          <w:rFonts w:cs="Arial"/>
          <w:sz w:val="22"/>
        </w:rPr>
        <w:t xml:space="preserve"> (Lundberg et al</w:t>
      </w:r>
      <w:r w:rsidR="0078071D">
        <w:rPr>
          <w:rFonts w:cs="Arial"/>
          <w:sz w:val="22"/>
        </w:rPr>
        <w:t>.</w:t>
      </w:r>
      <w:r w:rsidR="00E67EF8" w:rsidRPr="0078071D">
        <w:rPr>
          <w:rFonts w:cs="Arial"/>
          <w:sz w:val="22"/>
        </w:rPr>
        <w:t>, 2004).</w:t>
      </w:r>
      <w:r w:rsidR="00B56595" w:rsidRPr="0078071D">
        <w:rPr>
          <w:rFonts w:cs="Arial"/>
          <w:sz w:val="22"/>
        </w:rPr>
        <w:t xml:space="preserve"> Nitric oxide </w:t>
      </w:r>
      <w:r w:rsidR="00177088" w:rsidRPr="0078071D">
        <w:rPr>
          <w:rFonts w:cs="Arial"/>
          <w:sz w:val="22"/>
        </w:rPr>
        <w:t>consequently</w:t>
      </w:r>
      <w:r w:rsidR="00B56595" w:rsidRPr="0078071D">
        <w:rPr>
          <w:rFonts w:cs="Arial"/>
          <w:sz w:val="22"/>
        </w:rPr>
        <w:t xml:space="preserve"> diffuses into the vascular smooth muscle where it acts as a </w:t>
      </w:r>
      <w:r w:rsidR="00EE57E3" w:rsidRPr="0078071D">
        <w:rPr>
          <w:rFonts w:cs="Arial"/>
          <w:sz w:val="22"/>
        </w:rPr>
        <w:t xml:space="preserve">gaseous </w:t>
      </w:r>
      <w:r w:rsidR="00177088" w:rsidRPr="0078071D">
        <w:rPr>
          <w:rFonts w:cs="Arial"/>
          <w:sz w:val="22"/>
        </w:rPr>
        <w:t>signalling</w:t>
      </w:r>
      <w:r w:rsidR="00EE57E3" w:rsidRPr="0078071D">
        <w:rPr>
          <w:rFonts w:cs="Arial"/>
          <w:sz w:val="22"/>
        </w:rPr>
        <w:t xml:space="preserve"> molecule for numerous </w:t>
      </w:r>
      <w:r w:rsidR="00177088" w:rsidRPr="0078071D">
        <w:rPr>
          <w:rFonts w:cs="Arial"/>
          <w:sz w:val="22"/>
        </w:rPr>
        <w:t>physiological</w:t>
      </w:r>
      <w:r w:rsidR="00EE57E3" w:rsidRPr="0078071D">
        <w:rPr>
          <w:rFonts w:cs="Arial"/>
          <w:sz w:val="22"/>
        </w:rPr>
        <w:t xml:space="preserve"> processes. </w:t>
      </w:r>
    </w:p>
    <w:p w14:paraId="5D753AE6" w14:textId="77777777" w:rsidR="003960A8" w:rsidRPr="00D74D6E" w:rsidRDefault="003960A8" w:rsidP="00D50DB8">
      <w:pPr>
        <w:pStyle w:val="NoSpacing"/>
        <w:spacing w:line="480" w:lineRule="auto"/>
        <w:jc w:val="both"/>
        <w:rPr>
          <w:rFonts w:cs="Arial"/>
          <w:color w:val="FF0000"/>
          <w:sz w:val="22"/>
        </w:rPr>
      </w:pPr>
    </w:p>
    <w:p w14:paraId="5B1F3449" w14:textId="3A057F2F" w:rsidR="00A13059" w:rsidRPr="00C15768" w:rsidRDefault="003960A8" w:rsidP="00D50DB8">
      <w:pPr>
        <w:pStyle w:val="NoSpacing"/>
        <w:spacing w:line="480" w:lineRule="auto"/>
        <w:jc w:val="both"/>
        <w:rPr>
          <w:rFonts w:cs="Arial"/>
          <w:sz w:val="22"/>
        </w:rPr>
      </w:pPr>
      <w:r w:rsidRPr="0078071D">
        <w:rPr>
          <w:rFonts w:cs="Arial"/>
          <w:sz w:val="22"/>
        </w:rPr>
        <w:t xml:space="preserve">Nitric oxide </w:t>
      </w:r>
      <w:r w:rsidR="0078071D" w:rsidRPr="0078071D">
        <w:rPr>
          <w:rFonts w:cs="Arial"/>
          <w:sz w:val="22"/>
        </w:rPr>
        <w:t xml:space="preserve">is </w:t>
      </w:r>
      <w:r w:rsidRPr="0078071D">
        <w:rPr>
          <w:rFonts w:cs="Arial"/>
          <w:sz w:val="22"/>
        </w:rPr>
        <w:t>predominantly cited</w:t>
      </w:r>
      <w:r w:rsidR="00A429BC" w:rsidRPr="0078071D">
        <w:rPr>
          <w:rFonts w:cs="Arial"/>
          <w:sz w:val="22"/>
        </w:rPr>
        <w:t xml:space="preserve"> </w:t>
      </w:r>
      <w:r w:rsidRPr="0078071D">
        <w:rPr>
          <w:rFonts w:cs="Arial"/>
          <w:sz w:val="22"/>
        </w:rPr>
        <w:t xml:space="preserve">as </w:t>
      </w:r>
      <w:r w:rsidR="00A429BC" w:rsidRPr="0078071D">
        <w:rPr>
          <w:rFonts w:cs="Arial"/>
          <w:sz w:val="22"/>
        </w:rPr>
        <w:t>a potent vasodilator</w:t>
      </w:r>
      <w:r w:rsidR="00425BBB" w:rsidRPr="0078071D">
        <w:rPr>
          <w:rFonts w:cs="Arial"/>
          <w:sz w:val="22"/>
        </w:rPr>
        <w:t xml:space="preserve"> (Kelm and Schrader, 1990)</w:t>
      </w:r>
      <w:r w:rsidR="00A429BC" w:rsidRPr="0078071D">
        <w:rPr>
          <w:rFonts w:cs="Arial"/>
          <w:sz w:val="22"/>
        </w:rPr>
        <w:t xml:space="preserve">; </w:t>
      </w:r>
      <w:r w:rsidRPr="0078071D">
        <w:rPr>
          <w:rFonts w:cs="Arial"/>
          <w:sz w:val="22"/>
        </w:rPr>
        <w:t>but</w:t>
      </w:r>
      <w:r w:rsidR="00A429BC" w:rsidRPr="0078071D">
        <w:rPr>
          <w:rFonts w:cs="Arial"/>
          <w:sz w:val="22"/>
        </w:rPr>
        <w:t xml:space="preserve"> </w:t>
      </w:r>
      <w:r w:rsidRPr="0078071D">
        <w:rPr>
          <w:rFonts w:cs="Arial"/>
          <w:sz w:val="22"/>
        </w:rPr>
        <w:t xml:space="preserve">is </w:t>
      </w:r>
      <w:r w:rsidR="00A429BC" w:rsidRPr="0078071D">
        <w:rPr>
          <w:rFonts w:cs="Arial"/>
          <w:sz w:val="22"/>
        </w:rPr>
        <w:t>also central to th</w:t>
      </w:r>
      <w:r w:rsidR="00425BBB" w:rsidRPr="0078071D">
        <w:rPr>
          <w:rFonts w:cs="Arial"/>
          <w:sz w:val="22"/>
        </w:rPr>
        <w:t>e process</w:t>
      </w:r>
      <w:r w:rsidR="00C67734" w:rsidRPr="0078071D">
        <w:rPr>
          <w:rFonts w:cs="Arial"/>
          <w:sz w:val="22"/>
        </w:rPr>
        <w:t>es</w:t>
      </w:r>
      <w:r w:rsidR="00425BBB" w:rsidRPr="0078071D">
        <w:rPr>
          <w:rFonts w:cs="Arial"/>
          <w:sz w:val="22"/>
        </w:rPr>
        <w:t xml:space="preserve"> of muscle contraction (Reid, 2001), </w:t>
      </w:r>
      <w:r w:rsidR="00177088" w:rsidRPr="0078071D">
        <w:rPr>
          <w:rFonts w:cs="Arial"/>
          <w:sz w:val="22"/>
        </w:rPr>
        <w:t>mitochondrial</w:t>
      </w:r>
      <w:r w:rsidR="00425BBB" w:rsidRPr="0078071D">
        <w:rPr>
          <w:rFonts w:cs="Arial"/>
          <w:sz w:val="22"/>
        </w:rPr>
        <w:t xml:space="preserve"> respiration (Brown, 1999) and </w:t>
      </w:r>
      <w:r w:rsidR="0019006F" w:rsidRPr="0078071D">
        <w:rPr>
          <w:rFonts w:cs="Arial"/>
          <w:sz w:val="22"/>
        </w:rPr>
        <w:t>immuno</w:t>
      </w:r>
      <w:r w:rsidR="00425BBB" w:rsidRPr="0078071D">
        <w:rPr>
          <w:rFonts w:cs="Arial"/>
          <w:sz w:val="22"/>
        </w:rPr>
        <w:t>regulation (</w:t>
      </w:r>
      <w:r w:rsidR="00425BBB" w:rsidRPr="00125597">
        <w:rPr>
          <w:rFonts w:cs="Arial"/>
          <w:sz w:val="22"/>
        </w:rPr>
        <w:t>Bogdan, 2001).</w:t>
      </w:r>
      <w:r w:rsidRPr="00125597">
        <w:rPr>
          <w:rFonts w:cs="Arial"/>
          <w:sz w:val="22"/>
        </w:rPr>
        <w:t xml:space="preserve"> Indeed, the effect on these </w:t>
      </w:r>
      <w:r w:rsidR="005A52F4" w:rsidRPr="00125597">
        <w:rPr>
          <w:rFonts w:cs="Arial"/>
          <w:sz w:val="22"/>
        </w:rPr>
        <w:t>physiological</w:t>
      </w:r>
      <w:r w:rsidRPr="00125597">
        <w:rPr>
          <w:rFonts w:cs="Arial"/>
          <w:sz w:val="22"/>
        </w:rPr>
        <w:t xml:space="preserve"> </w:t>
      </w:r>
      <w:r w:rsidR="00177088" w:rsidRPr="00125597">
        <w:rPr>
          <w:rFonts w:cs="Arial"/>
          <w:sz w:val="22"/>
        </w:rPr>
        <w:t>systems</w:t>
      </w:r>
      <w:r w:rsidRPr="00125597">
        <w:rPr>
          <w:rFonts w:cs="Arial"/>
          <w:sz w:val="22"/>
        </w:rPr>
        <w:t xml:space="preserve"> has led to </w:t>
      </w:r>
      <w:r w:rsidR="0078071D" w:rsidRPr="00125597">
        <w:rPr>
          <w:rFonts w:cs="Arial"/>
          <w:sz w:val="22"/>
        </w:rPr>
        <w:t>NO</w:t>
      </w:r>
      <w:r w:rsidR="0078071D" w:rsidRPr="00125597">
        <w:rPr>
          <w:rFonts w:cs="Arial"/>
          <w:sz w:val="22"/>
          <w:vertAlign w:val="subscript"/>
        </w:rPr>
        <w:t>3</w:t>
      </w:r>
      <w:r w:rsidR="0078071D" w:rsidRPr="00125597">
        <w:rPr>
          <w:rFonts w:cs="Arial"/>
          <w:sz w:val="22"/>
          <w:vertAlign w:val="superscript"/>
        </w:rPr>
        <w:t>-</w:t>
      </w:r>
      <w:r w:rsidR="00425BBB" w:rsidRPr="00125597">
        <w:rPr>
          <w:rFonts w:cs="Arial"/>
          <w:sz w:val="22"/>
        </w:rPr>
        <w:t xml:space="preserve"> rich supplements</w:t>
      </w:r>
      <w:r w:rsidR="00006348" w:rsidRPr="00125597">
        <w:rPr>
          <w:rFonts w:cs="Arial"/>
          <w:sz w:val="22"/>
        </w:rPr>
        <w:t xml:space="preserve"> </w:t>
      </w:r>
      <w:r w:rsidR="00BC4D2A" w:rsidRPr="00125597">
        <w:rPr>
          <w:rFonts w:cs="Arial"/>
          <w:sz w:val="22"/>
        </w:rPr>
        <w:t>d</w:t>
      </w:r>
      <w:r w:rsidR="00C57601" w:rsidRPr="00125597">
        <w:rPr>
          <w:rFonts w:cs="Arial"/>
          <w:sz w:val="22"/>
        </w:rPr>
        <w:t>emonstrating</w:t>
      </w:r>
      <w:r w:rsidR="00BC4D2A" w:rsidRPr="00125597">
        <w:rPr>
          <w:rFonts w:cs="Arial"/>
          <w:sz w:val="22"/>
        </w:rPr>
        <w:t xml:space="preserve"> </w:t>
      </w:r>
      <w:r w:rsidR="00177088" w:rsidRPr="00125597">
        <w:rPr>
          <w:rFonts w:cs="Arial"/>
          <w:sz w:val="22"/>
        </w:rPr>
        <w:t>beneficial</w:t>
      </w:r>
      <w:r w:rsidR="00BC4D2A" w:rsidRPr="00125597">
        <w:rPr>
          <w:rFonts w:cs="Arial"/>
          <w:sz w:val="22"/>
        </w:rPr>
        <w:t xml:space="preserve"> effects on</w:t>
      </w:r>
      <w:r w:rsidR="00006348" w:rsidRPr="00125597">
        <w:rPr>
          <w:rFonts w:cs="Arial"/>
          <w:sz w:val="22"/>
        </w:rPr>
        <w:t xml:space="preserve"> </w:t>
      </w:r>
      <w:r w:rsidR="00BC4D2A" w:rsidRPr="00125597">
        <w:rPr>
          <w:rFonts w:cs="Arial"/>
          <w:sz w:val="22"/>
        </w:rPr>
        <w:t xml:space="preserve">the oxygen cost of </w:t>
      </w:r>
      <w:r w:rsidR="00607A9C" w:rsidRPr="00125597">
        <w:rPr>
          <w:rFonts w:cs="Arial"/>
          <w:sz w:val="22"/>
        </w:rPr>
        <w:t xml:space="preserve">moderate intensity </w:t>
      </w:r>
      <w:r w:rsidR="00BC4D2A" w:rsidRPr="00125597">
        <w:rPr>
          <w:rFonts w:cs="Arial"/>
          <w:sz w:val="22"/>
        </w:rPr>
        <w:t>exercise</w:t>
      </w:r>
      <w:r w:rsidR="00001D72" w:rsidRPr="00125597">
        <w:rPr>
          <w:rFonts w:cs="Arial"/>
          <w:sz w:val="22"/>
        </w:rPr>
        <w:t xml:space="preserve"> (Larsen et al</w:t>
      </w:r>
      <w:r w:rsidR="0078071D" w:rsidRPr="00125597">
        <w:rPr>
          <w:rFonts w:cs="Arial"/>
          <w:sz w:val="22"/>
        </w:rPr>
        <w:t>.</w:t>
      </w:r>
      <w:r w:rsidR="00001D72" w:rsidRPr="00125597">
        <w:rPr>
          <w:rFonts w:cs="Arial"/>
          <w:sz w:val="22"/>
        </w:rPr>
        <w:t>, 2010</w:t>
      </w:r>
      <w:r w:rsidR="00006348" w:rsidRPr="00125597">
        <w:rPr>
          <w:rFonts w:cs="Arial"/>
          <w:sz w:val="22"/>
        </w:rPr>
        <w:t>) and gross efficiency (Larsen et al</w:t>
      </w:r>
      <w:r w:rsidR="0078071D" w:rsidRPr="00125597">
        <w:rPr>
          <w:rFonts w:cs="Arial"/>
          <w:sz w:val="22"/>
        </w:rPr>
        <w:t>.</w:t>
      </w:r>
      <w:r w:rsidR="00006348" w:rsidRPr="00125597">
        <w:rPr>
          <w:rFonts w:cs="Arial"/>
          <w:sz w:val="22"/>
        </w:rPr>
        <w:t>, 2007)</w:t>
      </w:r>
      <w:r w:rsidR="000A0F94" w:rsidRPr="00125597">
        <w:rPr>
          <w:rFonts w:cs="Arial"/>
          <w:sz w:val="22"/>
        </w:rPr>
        <w:t xml:space="preserve">. </w:t>
      </w:r>
      <w:r w:rsidR="00607A9C" w:rsidRPr="00125597">
        <w:rPr>
          <w:rFonts w:cs="Arial"/>
          <w:sz w:val="22"/>
        </w:rPr>
        <w:t xml:space="preserve">Therefore, mediating </w:t>
      </w:r>
      <w:r w:rsidR="00535417" w:rsidRPr="00125597">
        <w:rPr>
          <w:rFonts w:cs="Arial"/>
          <w:sz w:val="22"/>
        </w:rPr>
        <w:t xml:space="preserve">an improvement in mitochondrial </w:t>
      </w:r>
      <w:r w:rsidR="00177088" w:rsidRPr="00125597">
        <w:rPr>
          <w:rFonts w:cs="Arial"/>
          <w:sz w:val="22"/>
        </w:rPr>
        <w:t>effic</w:t>
      </w:r>
      <w:r w:rsidR="0078071D" w:rsidRPr="00125597">
        <w:rPr>
          <w:rFonts w:cs="Arial"/>
          <w:sz w:val="22"/>
        </w:rPr>
        <w:t>iency</w:t>
      </w:r>
      <w:r w:rsidR="00F44A94" w:rsidRPr="00125597">
        <w:rPr>
          <w:rFonts w:cs="Arial"/>
          <w:sz w:val="22"/>
        </w:rPr>
        <w:t xml:space="preserve"> (Larsen et al</w:t>
      </w:r>
      <w:r w:rsidR="0078071D" w:rsidRPr="00125597">
        <w:rPr>
          <w:rFonts w:cs="Arial"/>
          <w:sz w:val="22"/>
        </w:rPr>
        <w:t>.</w:t>
      </w:r>
      <w:r w:rsidR="00F44A94" w:rsidRPr="00125597">
        <w:rPr>
          <w:rFonts w:cs="Arial"/>
          <w:sz w:val="22"/>
        </w:rPr>
        <w:t>, 2011)</w:t>
      </w:r>
      <w:r w:rsidR="008B4EED">
        <w:rPr>
          <w:rFonts w:cs="Arial"/>
          <w:sz w:val="22"/>
        </w:rPr>
        <w:t xml:space="preserve"> and reducing</w:t>
      </w:r>
      <w:r w:rsidR="00535417" w:rsidRPr="00125597">
        <w:rPr>
          <w:rFonts w:cs="Arial"/>
          <w:sz w:val="22"/>
        </w:rPr>
        <w:t xml:space="preserve"> the ATP demand of</w:t>
      </w:r>
      <w:r w:rsidR="0019006F" w:rsidRPr="00125597">
        <w:rPr>
          <w:rFonts w:cs="Arial"/>
          <w:sz w:val="22"/>
        </w:rPr>
        <w:t xml:space="preserve"> muscular</w:t>
      </w:r>
      <w:r w:rsidR="00535417" w:rsidRPr="00125597">
        <w:rPr>
          <w:rFonts w:cs="Arial"/>
          <w:sz w:val="22"/>
        </w:rPr>
        <w:t xml:space="preserve"> contractions during exercise (</w:t>
      </w:r>
      <w:r w:rsidR="00F44A94" w:rsidRPr="00125597">
        <w:rPr>
          <w:rFonts w:cs="Arial"/>
          <w:sz w:val="22"/>
        </w:rPr>
        <w:t>Bailey et al</w:t>
      </w:r>
      <w:r w:rsidR="0078071D" w:rsidRPr="00125597">
        <w:rPr>
          <w:rFonts w:cs="Arial"/>
          <w:sz w:val="22"/>
        </w:rPr>
        <w:t>.</w:t>
      </w:r>
      <w:r w:rsidR="00F44A94" w:rsidRPr="00125597">
        <w:rPr>
          <w:rFonts w:cs="Arial"/>
          <w:sz w:val="22"/>
        </w:rPr>
        <w:t>, 2010</w:t>
      </w:r>
      <w:r w:rsidR="00535417" w:rsidRPr="00125597">
        <w:rPr>
          <w:rFonts w:cs="Arial"/>
          <w:sz w:val="22"/>
        </w:rPr>
        <w:t xml:space="preserve">). </w:t>
      </w:r>
      <w:bookmarkStart w:id="2" w:name="_Hlk534202575"/>
      <w:r w:rsidR="00A05331">
        <w:rPr>
          <w:rFonts w:cs="Arial"/>
          <w:sz w:val="22"/>
        </w:rPr>
        <w:t xml:space="preserve">Cermak </w:t>
      </w:r>
      <w:r w:rsidR="0082258E">
        <w:rPr>
          <w:rFonts w:cs="Arial"/>
          <w:sz w:val="22"/>
        </w:rPr>
        <w:t xml:space="preserve">et al. (2012a) found a significantly </w:t>
      </w:r>
      <w:r w:rsidR="00A05331">
        <w:rPr>
          <w:rFonts w:cs="Arial"/>
          <w:sz w:val="22"/>
        </w:rPr>
        <w:t>improved 10 km TT performance (after 60 min of submaximal exercise</w:t>
      </w:r>
      <w:r w:rsidR="0082258E">
        <w:rPr>
          <w:rFonts w:cs="Arial"/>
          <w:sz w:val="22"/>
        </w:rPr>
        <w:t xml:space="preserve">) and power output compared to the placebo condition.  </w:t>
      </w:r>
      <w:r w:rsidR="00694A60" w:rsidRPr="00125597">
        <w:rPr>
          <w:rFonts w:cs="Arial"/>
          <w:sz w:val="22"/>
        </w:rPr>
        <w:t>Given th</w:t>
      </w:r>
      <w:r w:rsidR="0078071D" w:rsidRPr="00125597">
        <w:rPr>
          <w:rFonts w:cs="Arial"/>
          <w:sz w:val="22"/>
        </w:rPr>
        <w:t>ese</w:t>
      </w:r>
      <w:r w:rsidR="00694A60" w:rsidRPr="00125597">
        <w:rPr>
          <w:rFonts w:cs="Arial"/>
          <w:sz w:val="22"/>
        </w:rPr>
        <w:t xml:space="preserve"> promising physiological response</w:t>
      </w:r>
      <w:r w:rsidR="0078071D" w:rsidRPr="00125597">
        <w:rPr>
          <w:rFonts w:cs="Arial"/>
          <w:sz w:val="22"/>
        </w:rPr>
        <w:t>s</w:t>
      </w:r>
      <w:r w:rsidR="009C6AE0" w:rsidRPr="00125597">
        <w:rPr>
          <w:rFonts w:cs="Arial"/>
          <w:sz w:val="22"/>
        </w:rPr>
        <w:t xml:space="preserve"> </w:t>
      </w:r>
      <w:r w:rsidR="0078071D" w:rsidRPr="00125597">
        <w:rPr>
          <w:rFonts w:cs="Arial"/>
          <w:sz w:val="22"/>
        </w:rPr>
        <w:t>mediated by</w:t>
      </w:r>
      <w:r w:rsidR="009C6AE0" w:rsidRPr="00125597">
        <w:rPr>
          <w:rFonts w:cs="Arial"/>
          <w:sz w:val="22"/>
        </w:rPr>
        <w:t xml:space="preserve"> NO</w:t>
      </w:r>
      <w:r w:rsidR="009C6AE0" w:rsidRPr="00125597">
        <w:rPr>
          <w:rFonts w:cs="Arial"/>
          <w:sz w:val="22"/>
          <w:vertAlign w:val="subscript"/>
        </w:rPr>
        <w:t>3</w:t>
      </w:r>
      <w:r w:rsidR="009C6AE0" w:rsidRPr="00125597">
        <w:rPr>
          <w:rFonts w:cs="Arial"/>
          <w:sz w:val="22"/>
          <w:vertAlign w:val="superscript"/>
        </w:rPr>
        <w:t>-</w:t>
      </w:r>
      <w:r w:rsidR="00694A60" w:rsidRPr="00125597">
        <w:rPr>
          <w:rFonts w:cs="Arial"/>
          <w:sz w:val="22"/>
        </w:rPr>
        <w:t xml:space="preserve">, the </w:t>
      </w:r>
      <w:r w:rsidR="00A13059" w:rsidRPr="00125597">
        <w:rPr>
          <w:rFonts w:cs="Arial"/>
          <w:sz w:val="22"/>
        </w:rPr>
        <w:t xml:space="preserve">ergogenicity of </w:t>
      </w:r>
      <w:r w:rsidR="009C6AE0" w:rsidRPr="00125597">
        <w:rPr>
          <w:rFonts w:cs="Arial"/>
          <w:sz w:val="22"/>
        </w:rPr>
        <w:t>concentrated beetroot</w:t>
      </w:r>
      <w:r w:rsidR="00A13059" w:rsidRPr="00125597">
        <w:rPr>
          <w:rFonts w:cs="Arial"/>
          <w:sz w:val="22"/>
          <w:vertAlign w:val="superscript"/>
        </w:rPr>
        <w:t xml:space="preserve"> </w:t>
      </w:r>
      <w:r w:rsidR="006E3FA3" w:rsidRPr="00125597">
        <w:rPr>
          <w:rFonts w:cs="Arial"/>
          <w:sz w:val="22"/>
        </w:rPr>
        <w:t xml:space="preserve">supplementation is </w:t>
      </w:r>
      <w:r w:rsidR="00177088" w:rsidRPr="00125597">
        <w:rPr>
          <w:rFonts w:cs="Arial"/>
          <w:sz w:val="22"/>
        </w:rPr>
        <w:t>translated</w:t>
      </w:r>
      <w:r w:rsidR="006E3FA3" w:rsidRPr="00125597">
        <w:rPr>
          <w:rFonts w:cs="Arial"/>
          <w:sz w:val="22"/>
        </w:rPr>
        <w:t xml:space="preserve"> into</w:t>
      </w:r>
      <w:r w:rsidR="009C6AE0" w:rsidRPr="00125597">
        <w:rPr>
          <w:rFonts w:cs="Arial"/>
          <w:sz w:val="22"/>
        </w:rPr>
        <w:t xml:space="preserve"> improved</w:t>
      </w:r>
      <w:r w:rsidR="006E3FA3" w:rsidRPr="00125597">
        <w:rPr>
          <w:rFonts w:cs="Arial"/>
          <w:sz w:val="22"/>
        </w:rPr>
        <w:t xml:space="preserve"> time to exhaustion (TTE) and time trial (TT) </w:t>
      </w:r>
      <w:r w:rsidR="00177088" w:rsidRPr="00125597">
        <w:rPr>
          <w:rFonts w:cs="Arial"/>
          <w:sz w:val="22"/>
        </w:rPr>
        <w:t xml:space="preserve">performance </w:t>
      </w:r>
      <w:r w:rsidR="0082258E">
        <w:rPr>
          <w:rFonts w:cs="Arial"/>
          <w:sz w:val="22"/>
        </w:rPr>
        <w:t xml:space="preserve">by some authors </w:t>
      </w:r>
      <w:r w:rsidR="00177088" w:rsidRPr="00125597">
        <w:rPr>
          <w:rFonts w:cs="Arial"/>
          <w:sz w:val="22"/>
        </w:rPr>
        <w:t>(</w:t>
      </w:r>
      <w:r w:rsidR="002E06DF" w:rsidRPr="00125597">
        <w:rPr>
          <w:rFonts w:cs="Arial"/>
          <w:sz w:val="22"/>
        </w:rPr>
        <w:t>Lansley et al</w:t>
      </w:r>
      <w:r w:rsidR="0078071D" w:rsidRPr="00125597">
        <w:rPr>
          <w:rFonts w:cs="Arial"/>
          <w:sz w:val="22"/>
        </w:rPr>
        <w:t>.</w:t>
      </w:r>
      <w:r w:rsidR="002E06DF" w:rsidRPr="00125597">
        <w:rPr>
          <w:rFonts w:cs="Arial"/>
          <w:sz w:val="22"/>
        </w:rPr>
        <w:t xml:space="preserve">, 2011; </w:t>
      </w:r>
      <w:r w:rsidR="006E3FA3" w:rsidRPr="00125597">
        <w:rPr>
          <w:rFonts w:cs="Arial"/>
          <w:sz w:val="22"/>
        </w:rPr>
        <w:t>Bailey et al</w:t>
      </w:r>
      <w:r w:rsidR="0078071D" w:rsidRPr="00125597">
        <w:rPr>
          <w:rFonts w:cs="Arial"/>
          <w:sz w:val="22"/>
        </w:rPr>
        <w:t>.</w:t>
      </w:r>
      <w:r w:rsidR="006E3FA3" w:rsidRPr="00125597">
        <w:rPr>
          <w:rFonts w:cs="Arial"/>
          <w:sz w:val="22"/>
        </w:rPr>
        <w:t>, 2009; Larsen et al</w:t>
      </w:r>
      <w:r w:rsidR="0078071D" w:rsidRPr="00125597">
        <w:rPr>
          <w:rFonts w:cs="Arial"/>
          <w:sz w:val="22"/>
        </w:rPr>
        <w:t>.</w:t>
      </w:r>
      <w:r w:rsidR="006E3FA3" w:rsidRPr="00125597">
        <w:rPr>
          <w:rFonts w:cs="Arial"/>
          <w:sz w:val="22"/>
        </w:rPr>
        <w:t xml:space="preserve">, 2010; </w:t>
      </w:r>
      <w:r w:rsidR="001B55AD" w:rsidRPr="00125597">
        <w:rPr>
          <w:rFonts w:cs="Arial"/>
          <w:sz w:val="22"/>
        </w:rPr>
        <w:t>Cermak et al</w:t>
      </w:r>
      <w:r w:rsidR="0078071D" w:rsidRPr="00125597">
        <w:rPr>
          <w:rFonts w:cs="Arial"/>
          <w:sz w:val="22"/>
        </w:rPr>
        <w:t>.</w:t>
      </w:r>
      <w:r w:rsidR="002E06DF" w:rsidRPr="00125597">
        <w:rPr>
          <w:rFonts w:cs="Arial"/>
          <w:sz w:val="22"/>
        </w:rPr>
        <w:t>, 2012a</w:t>
      </w:r>
      <w:r w:rsidR="006E3FA3" w:rsidRPr="00125597">
        <w:rPr>
          <w:rFonts w:cs="Arial"/>
          <w:sz w:val="22"/>
        </w:rPr>
        <w:t>).</w:t>
      </w:r>
      <w:r w:rsidR="002E06DF" w:rsidRPr="00125597">
        <w:rPr>
          <w:rFonts w:cs="Arial"/>
          <w:sz w:val="22"/>
        </w:rPr>
        <w:t xml:space="preserve"> </w:t>
      </w:r>
      <w:bookmarkEnd w:id="2"/>
      <w:r w:rsidR="002E06DF" w:rsidRPr="00523F39">
        <w:rPr>
          <w:rFonts w:cs="Arial"/>
          <w:color w:val="FF0000"/>
          <w:sz w:val="22"/>
        </w:rPr>
        <w:t xml:space="preserve">This </w:t>
      </w:r>
      <w:r w:rsidR="00177088" w:rsidRPr="00523F39">
        <w:rPr>
          <w:rFonts w:cs="Arial"/>
          <w:color w:val="FF0000"/>
          <w:sz w:val="22"/>
        </w:rPr>
        <w:t>beneficial</w:t>
      </w:r>
      <w:r w:rsidR="002E06DF" w:rsidRPr="00523F39">
        <w:rPr>
          <w:rFonts w:cs="Arial"/>
          <w:color w:val="FF0000"/>
          <w:sz w:val="22"/>
        </w:rPr>
        <w:t xml:space="preserve"> effect is most </w:t>
      </w:r>
      <w:r w:rsidR="0019006F" w:rsidRPr="00523F39">
        <w:rPr>
          <w:rFonts w:cs="Arial"/>
          <w:color w:val="FF0000"/>
          <w:sz w:val="22"/>
        </w:rPr>
        <w:t>apparent</w:t>
      </w:r>
      <w:r w:rsidR="002E06DF" w:rsidRPr="00523F39">
        <w:rPr>
          <w:rFonts w:cs="Arial"/>
          <w:color w:val="FF0000"/>
          <w:sz w:val="22"/>
        </w:rPr>
        <w:t xml:space="preserve"> during sh</w:t>
      </w:r>
      <w:r w:rsidR="00830AD4" w:rsidRPr="00523F39">
        <w:rPr>
          <w:rFonts w:cs="Arial"/>
          <w:color w:val="FF0000"/>
          <w:sz w:val="22"/>
        </w:rPr>
        <w:t>orter duration performance bout</w:t>
      </w:r>
      <w:r w:rsidR="00181E57" w:rsidRPr="00523F39">
        <w:rPr>
          <w:rFonts w:cs="Arial"/>
          <w:color w:val="FF0000"/>
          <w:sz w:val="22"/>
        </w:rPr>
        <w:t xml:space="preserve">s, where an </w:t>
      </w:r>
      <w:r w:rsidR="009C6AE0" w:rsidRPr="00523F39">
        <w:rPr>
          <w:rFonts w:cs="Arial"/>
          <w:color w:val="FF0000"/>
          <w:sz w:val="22"/>
        </w:rPr>
        <w:t>intensity</w:t>
      </w:r>
      <w:r w:rsidR="00181E57" w:rsidRPr="00523F39">
        <w:rPr>
          <w:rFonts w:cs="Arial"/>
          <w:color w:val="FF0000"/>
          <w:sz w:val="22"/>
        </w:rPr>
        <w:t xml:space="preserve"> </w:t>
      </w:r>
      <w:r w:rsidR="0019006F" w:rsidRPr="00523F39">
        <w:rPr>
          <w:rFonts w:cs="Arial"/>
          <w:color w:val="FF0000"/>
          <w:sz w:val="22"/>
        </w:rPr>
        <w:t>equivalent to</w:t>
      </w:r>
      <w:r w:rsidR="00181E57" w:rsidRPr="00523F39">
        <w:rPr>
          <w:rFonts w:cs="Arial"/>
          <w:color w:val="FF0000"/>
          <w:sz w:val="22"/>
        </w:rPr>
        <w:t xml:space="preserve"> the severe </w:t>
      </w:r>
      <w:r w:rsidR="00177088" w:rsidRPr="00523F39">
        <w:rPr>
          <w:rFonts w:cs="Arial"/>
          <w:color w:val="FF0000"/>
          <w:sz w:val="22"/>
        </w:rPr>
        <w:t>intensity</w:t>
      </w:r>
      <w:r w:rsidR="00181E57" w:rsidRPr="00523F39">
        <w:rPr>
          <w:rFonts w:cs="Arial"/>
          <w:color w:val="FF0000"/>
          <w:sz w:val="22"/>
        </w:rPr>
        <w:t xml:space="preserve"> domain is undertaken (</w:t>
      </w:r>
      <w:r w:rsidR="00D3679D" w:rsidRPr="00523F39">
        <w:rPr>
          <w:rFonts w:cs="Arial"/>
          <w:color w:val="FF0000"/>
          <w:sz w:val="22"/>
        </w:rPr>
        <w:t xml:space="preserve">Bailey </w:t>
      </w:r>
      <w:r w:rsidR="00177088" w:rsidRPr="00523F39">
        <w:rPr>
          <w:rFonts w:cs="Arial"/>
          <w:color w:val="FF0000"/>
          <w:sz w:val="22"/>
        </w:rPr>
        <w:t>et al</w:t>
      </w:r>
      <w:r w:rsidR="00D3679D" w:rsidRPr="00523F39">
        <w:rPr>
          <w:rFonts w:cs="Arial"/>
          <w:color w:val="FF0000"/>
          <w:sz w:val="22"/>
        </w:rPr>
        <w:t>.</w:t>
      </w:r>
      <w:r w:rsidR="0078071D" w:rsidRPr="00523F39">
        <w:rPr>
          <w:rFonts w:cs="Arial"/>
          <w:color w:val="FF0000"/>
          <w:sz w:val="22"/>
        </w:rPr>
        <w:t>,</w:t>
      </w:r>
      <w:r w:rsidR="00D3679D" w:rsidRPr="00523F39">
        <w:rPr>
          <w:rFonts w:cs="Arial"/>
          <w:color w:val="FF0000"/>
          <w:sz w:val="22"/>
        </w:rPr>
        <w:t xml:space="preserve"> 2009; </w:t>
      </w:r>
      <w:r w:rsidR="00181E57" w:rsidRPr="00523F39">
        <w:rPr>
          <w:rFonts w:cs="Arial"/>
          <w:color w:val="FF0000"/>
          <w:sz w:val="22"/>
        </w:rPr>
        <w:t>Kelly et al.</w:t>
      </w:r>
      <w:r w:rsidR="0078071D" w:rsidRPr="00523F39">
        <w:rPr>
          <w:rFonts w:cs="Arial"/>
          <w:color w:val="FF0000"/>
          <w:sz w:val="22"/>
        </w:rPr>
        <w:t>,</w:t>
      </w:r>
      <w:r w:rsidR="00181E57" w:rsidRPr="00523F39">
        <w:rPr>
          <w:rFonts w:cs="Arial"/>
          <w:color w:val="FF0000"/>
          <w:sz w:val="22"/>
        </w:rPr>
        <w:t xml:space="preserve"> 201</w:t>
      </w:r>
      <w:r w:rsidR="000B70B9" w:rsidRPr="00523F39">
        <w:rPr>
          <w:rFonts w:cs="Arial"/>
          <w:color w:val="FF0000"/>
          <w:sz w:val="22"/>
        </w:rPr>
        <w:t>4</w:t>
      </w:r>
      <w:r w:rsidR="00125057" w:rsidRPr="00523F39">
        <w:rPr>
          <w:rFonts w:cs="Arial"/>
          <w:color w:val="FF0000"/>
          <w:sz w:val="22"/>
        </w:rPr>
        <w:t xml:space="preserve">). </w:t>
      </w:r>
      <w:r w:rsidR="00B13CDB" w:rsidRPr="00523F39">
        <w:rPr>
          <w:rFonts w:cs="Arial"/>
          <w:color w:val="FF0000"/>
          <w:sz w:val="22"/>
        </w:rPr>
        <w:t xml:space="preserve">Time trial </w:t>
      </w:r>
      <w:r w:rsidR="00C42FF5" w:rsidRPr="00523F39">
        <w:rPr>
          <w:rFonts w:cs="Arial"/>
          <w:color w:val="FF0000"/>
          <w:sz w:val="22"/>
        </w:rPr>
        <w:t>events of short duration</w:t>
      </w:r>
      <w:r w:rsidR="00523F39" w:rsidRPr="00523F39">
        <w:rPr>
          <w:rFonts w:cs="Arial"/>
          <w:color w:val="FF0000"/>
          <w:sz w:val="22"/>
        </w:rPr>
        <w:t>s</w:t>
      </w:r>
      <w:r w:rsidR="00C42FF5" w:rsidRPr="00523F39">
        <w:rPr>
          <w:rFonts w:cs="Arial"/>
          <w:color w:val="FF0000"/>
          <w:sz w:val="22"/>
        </w:rPr>
        <w:t xml:space="preserve"> (</w:t>
      </w:r>
      <w:r w:rsidR="00177088" w:rsidRPr="00523F39">
        <w:rPr>
          <w:rFonts w:cs="Arial"/>
          <w:color w:val="FF0000"/>
          <w:sz w:val="22"/>
        </w:rPr>
        <w:t>4 - 16 km</w:t>
      </w:r>
      <w:r w:rsidR="00C42FF5" w:rsidRPr="00523F39">
        <w:rPr>
          <w:rFonts w:cs="Arial"/>
          <w:color w:val="FF0000"/>
          <w:sz w:val="22"/>
        </w:rPr>
        <w:t>)</w:t>
      </w:r>
      <w:r w:rsidR="00177088" w:rsidRPr="00523F39">
        <w:rPr>
          <w:rFonts w:cs="Arial"/>
          <w:color w:val="FF0000"/>
          <w:sz w:val="22"/>
        </w:rPr>
        <w:t xml:space="preserve">, </w:t>
      </w:r>
      <w:r w:rsidR="00E053D1" w:rsidRPr="00523F39">
        <w:rPr>
          <w:rFonts w:cs="Arial"/>
          <w:color w:val="FF0000"/>
          <w:sz w:val="22"/>
        </w:rPr>
        <w:t>that</w:t>
      </w:r>
      <w:r w:rsidR="00177088" w:rsidRPr="00523F39">
        <w:rPr>
          <w:rFonts w:cs="Arial"/>
          <w:color w:val="FF0000"/>
          <w:sz w:val="22"/>
        </w:rPr>
        <w:t xml:space="preserve"> require a relatively high exercise intensity, have also reported an ergogenic benefit (Lansley et al</w:t>
      </w:r>
      <w:r w:rsidR="0078071D" w:rsidRPr="00523F39">
        <w:rPr>
          <w:rFonts w:cs="Arial"/>
          <w:color w:val="FF0000"/>
          <w:sz w:val="22"/>
        </w:rPr>
        <w:t>.</w:t>
      </w:r>
      <w:r w:rsidR="00177088" w:rsidRPr="00523F39">
        <w:rPr>
          <w:rFonts w:cs="Arial"/>
          <w:color w:val="FF0000"/>
          <w:sz w:val="22"/>
        </w:rPr>
        <w:t>, 2011 Cermak et al</w:t>
      </w:r>
      <w:r w:rsidR="0078071D" w:rsidRPr="00523F39">
        <w:rPr>
          <w:rFonts w:cs="Arial"/>
          <w:color w:val="FF0000"/>
          <w:sz w:val="22"/>
        </w:rPr>
        <w:t>.</w:t>
      </w:r>
      <w:r w:rsidR="00177088" w:rsidRPr="00523F39">
        <w:rPr>
          <w:rFonts w:cs="Arial"/>
          <w:color w:val="FF0000"/>
          <w:sz w:val="22"/>
        </w:rPr>
        <w:t>, 2012a)</w:t>
      </w:r>
      <w:r w:rsidR="00523F39" w:rsidRPr="00523F39">
        <w:rPr>
          <w:rFonts w:cs="Arial"/>
          <w:color w:val="FF0000"/>
          <w:sz w:val="22"/>
        </w:rPr>
        <w:t>; however</w:t>
      </w:r>
      <w:r w:rsidR="00523F39">
        <w:rPr>
          <w:rFonts w:cs="Arial"/>
          <w:color w:val="FF0000"/>
          <w:sz w:val="22"/>
        </w:rPr>
        <w:t>,</w:t>
      </w:r>
      <w:r w:rsidR="00E053D1" w:rsidRPr="00523F39">
        <w:rPr>
          <w:rFonts w:cs="Arial"/>
          <w:color w:val="FF0000"/>
          <w:sz w:val="22"/>
        </w:rPr>
        <w:t xml:space="preserve"> no studies have investigated the effects of this dietary supplement on 40 km TT performance.</w:t>
      </w:r>
    </w:p>
    <w:p w14:paraId="0F6B2D3E" w14:textId="77777777" w:rsidR="00694A60" w:rsidRPr="00C15768" w:rsidRDefault="00694A60" w:rsidP="00D50DB8">
      <w:pPr>
        <w:pStyle w:val="NoSpacing"/>
        <w:spacing w:line="480" w:lineRule="auto"/>
        <w:jc w:val="both"/>
        <w:rPr>
          <w:rFonts w:cs="Arial"/>
          <w:sz w:val="22"/>
        </w:rPr>
      </w:pPr>
    </w:p>
    <w:p w14:paraId="572D422E" w14:textId="4B7B4C00" w:rsidR="00006348" w:rsidRPr="00C15768" w:rsidRDefault="00711AFD" w:rsidP="0028275E">
      <w:pPr>
        <w:spacing w:after="0" w:line="480" w:lineRule="auto"/>
        <w:jc w:val="both"/>
        <w:rPr>
          <w:rFonts w:ascii="Arial" w:hAnsi="Arial" w:cs="Arial"/>
        </w:rPr>
      </w:pPr>
      <w:r w:rsidRPr="00C15768">
        <w:rPr>
          <w:rFonts w:ascii="Arial" w:hAnsi="Arial" w:cs="Arial"/>
        </w:rPr>
        <w:t xml:space="preserve">Despite the positive outcomes, </w:t>
      </w:r>
      <w:r w:rsidR="002D36E1" w:rsidRPr="00C15768">
        <w:rPr>
          <w:rFonts w:ascii="Arial" w:hAnsi="Arial" w:cs="Arial"/>
        </w:rPr>
        <w:t xml:space="preserve">the overall meta-analytic effect </w:t>
      </w:r>
      <w:r w:rsidR="0052269F" w:rsidRPr="00C15768">
        <w:rPr>
          <w:rFonts w:ascii="Arial" w:hAnsi="Arial" w:cs="Arial"/>
        </w:rPr>
        <w:t>of NO</w:t>
      </w:r>
      <w:r w:rsidR="0052269F" w:rsidRPr="00C15768">
        <w:rPr>
          <w:rFonts w:ascii="Arial" w:hAnsi="Arial" w:cs="Arial"/>
          <w:vertAlign w:val="subscript"/>
        </w:rPr>
        <w:t>3</w:t>
      </w:r>
      <w:r w:rsidR="0052269F" w:rsidRPr="00C15768">
        <w:rPr>
          <w:rFonts w:ascii="Arial" w:hAnsi="Arial" w:cs="Arial"/>
          <w:vertAlign w:val="superscript"/>
        </w:rPr>
        <w:t>-</w:t>
      </w:r>
      <w:r w:rsidR="0052269F" w:rsidRPr="00C15768">
        <w:rPr>
          <w:rFonts w:ascii="Arial" w:hAnsi="Arial" w:cs="Arial"/>
        </w:rPr>
        <w:t xml:space="preserve"> on TT </w:t>
      </w:r>
      <w:r w:rsidR="002D36E1" w:rsidRPr="00C15768">
        <w:rPr>
          <w:rFonts w:ascii="Arial" w:hAnsi="Arial" w:cs="Arial"/>
        </w:rPr>
        <w:t xml:space="preserve">performance </w:t>
      </w:r>
      <w:r w:rsidR="0052269F" w:rsidRPr="00C15768">
        <w:rPr>
          <w:rFonts w:ascii="Arial" w:hAnsi="Arial" w:cs="Arial"/>
        </w:rPr>
        <w:t xml:space="preserve">is </w:t>
      </w:r>
      <w:r w:rsidR="00177088" w:rsidRPr="00C15768">
        <w:rPr>
          <w:rFonts w:ascii="Arial" w:hAnsi="Arial" w:cs="Arial"/>
        </w:rPr>
        <w:t>considered</w:t>
      </w:r>
      <w:r w:rsidR="0052269F" w:rsidRPr="00C15768">
        <w:rPr>
          <w:rFonts w:ascii="Arial" w:hAnsi="Arial" w:cs="Arial"/>
        </w:rPr>
        <w:t xml:space="preserve"> </w:t>
      </w:r>
      <w:r w:rsidR="002D36E1" w:rsidRPr="00C15768">
        <w:rPr>
          <w:rFonts w:ascii="Arial" w:hAnsi="Arial" w:cs="Arial"/>
        </w:rPr>
        <w:t xml:space="preserve">to be unclear </w:t>
      </w:r>
      <w:r w:rsidR="0012611E" w:rsidRPr="00C15768">
        <w:rPr>
          <w:rFonts w:ascii="Arial" w:hAnsi="Arial" w:cs="Arial"/>
        </w:rPr>
        <w:t>(</w:t>
      </w:r>
      <w:r w:rsidR="00B440A4" w:rsidRPr="00C15768">
        <w:rPr>
          <w:rFonts w:ascii="Arial" w:hAnsi="Arial" w:cs="Arial"/>
        </w:rPr>
        <w:t xml:space="preserve">standardised mean difference ± </w:t>
      </w:r>
      <w:r w:rsidR="00177088" w:rsidRPr="00C15768">
        <w:rPr>
          <w:rFonts w:ascii="Arial" w:hAnsi="Arial" w:cs="Arial"/>
        </w:rPr>
        <w:t>confidence</w:t>
      </w:r>
      <w:r w:rsidR="00B440A4" w:rsidRPr="00C15768">
        <w:rPr>
          <w:rFonts w:ascii="Arial" w:hAnsi="Arial" w:cs="Arial"/>
        </w:rPr>
        <w:t xml:space="preserve"> interval: </w:t>
      </w:r>
      <w:r w:rsidR="00D1685D" w:rsidRPr="00C15768">
        <w:rPr>
          <w:rFonts w:ascii="Arial" w:hAnsi="Arial" w:cs="Arial"/>
        </w:rPr>
        <w:t>-0.1</w:t>
      </w:r>
      <w:r w:rsidR="0052269F" w:rsidRPr="00C15768">
        <w:rPr>
          <w:rFonts w:ascii="Arial" w:hAnsi="Arial" w:cs="Arial"/>
        </w:rPr>
        <w:t xml:space="preserve"> </w:t>
      </w:r>
      <w:r w:rsidR="00B440A4" w:rsidRPr="00C15768">
        <w:rPr>
          <w:rFonts w:ascii="Arial" w:hAnsi="Arial" w:cs="Arial"/>
        </w:rPr>
        <w:t>± 0.06</w:t>
      </w:r>
      <w:r w:rsidR="0078071D" w:rsidRPr="00C15768">
        <w:rPr>
          <w:rFonts w:ascii="Arial" w:hAnsi="Arial" w:cs="Arial"/>
        </w:rPr>
        <w:t xml:space="preserve">; </w:t>
      </w:r>
      <w:r w:rsidR="00B440A4" w:rsidRPr="00125597">
        <w:rPr>
          <w:rFonts w:ascii="Arial" w:hAnsi="Arial" w:cs="Arial"/>
        </w:rPr>
        <w:t>McMahon</w:t>
      </w:r>
      <w:r w:rsidR="0078071D" w:rsidRPr="00125597">
        <w:rPr>
          <w:rFonts w:ascii="Arial" w:hAnsi="Arial" w:cs="Arial"/>
        </w:rPr>
        <w:t xml:space="preserve"> et al.,</w:t>
      </w:r>
      <w:r w:rsidR="00B440A4" w:rsidRPr="00125597">
        <w:rPr>
          <w:rFonts w:ascii="Arial" w:hAnsi="Arial" w:cs="Arial"/>
        </w:rPr>
        <w:t xml:space="preserve"> 2016).</w:t>
      </w:r>
      <w:r w:rsidR="00B440A4" w:rsidRPr="00C15768">
        <w:rPr>
          <w:rFonts w:ascii="Arial" w:hAnsi="Arial" w:cs="Arial"/>
        </w:rPr>
        <w:t xml:space="preserve"> </w:t>
      </w:r>
      <w:r w:rsidR="00F70087" w:rsidRPr="00C15768">
        <w:rPr>
          <w:rFonts w:ascii="Arial" w:hAnsi="Arial" w:cs="Arial"/>
        </w:rPr>
        <w:t>This</w:t>
      </w:r>
      <w:r w:rsidR="006E62BB" w:rsidRPr="00C15768">
        <w:rPr>
          <w:rFonts w:ascii="Arial" w:hAnsi="Arial" w:cs="Arial"/>
        </w:rPr>
        <w:t xml:space="preserve"> differential effect could be attributed to the training status</w:t>
      </w:r>
      <w:r w:rsidR="00841689" w:rsidRPr="00C15768">
        <w:rPr>
          <w:rFonts w:ascii="Arial" w:hAnsi="Arial" w:cs="Arial"/>
        </w:rPr>
        <w:t xml:space="preserve"> of participants</w:t>
      </w:r>
      <w:r w:rsidR="008B4EED">
        <w:rPr>
          <w:rFonts w:ascii="Arial" w:hAnsi="Arial" w:cs="Arial"/>
        </w:rPr>
        <w:t xml:space="preserve"> and/</w:t>
      </w:r>
      <w:r w:rsidR="006E62BB" w:rsidRPr="00C15768">
        <w:rPr>
          <w:rFonts w:ascii="Arial" w:hAnsi="Arial" w:cs="Arial"/>
        </w:rPr>
        <w:t xml:space="preserve">or the </w:t>
      </w:r>
      <w:r w:rsidR="00177088" w:rsidRPr="00C15768">
        <w:rPr>
          <w:rFonts w:ascii="Arial" w:hAnsi="Arial" w:cs="Arial"/>
        </w:rPr>
        <w:t>intensity</w:t>
      </w:r>
      <w:r w:rsidR="006E62BB" w:rsidRPr="00C15768">
        <w:rPr>
          <w:rFonts w:ascii="Arial" w:hAnsi="Arial" w:cs="Arial"/>
        </w:rPr>
        <w:t xml:space="preserve"> of the bout not </w:t>
      </w:r>
      <w:r w:rsidR="00177088" w:rsidRPr="00C15768">
        <w:rPr>
          <w:rFonts w:ascii="Arial" w:hAnsi="Arial" w:cs="Arial"/>
        </w:rPr>
        <w:t>eliciting</w:t>
      </w:r>
      <w:r w:rsidR="00A2131B" w:rsidRPr="00C15768">
        <w:rPr>
          <w:rFonts w:ascii="Arial" w:hAnsi="Arial" w:cs="Arial"/>
        </w:rPr>
        <w:t xml:space="preserve"> a</w:t>
      </w:r>
      <w:r w:rsidR="006E62BB" w:rsidRPr="00C15768">
        <w:rPr>
          <w:rFonts w:ascii="Arial" w:hAnsi="Arial" w:cs="Arial"/>
        </w:rPr>
        <w:t xml:space="preserve"> sufficient </w:t>
      </w:r>
      <w:r w:rsidR="00A2131B" w:rsidRPr="00C15768">
        <w:rPr>
          <w:rFonts w:ascii="Arial" w:hAnsi="Arial" w:cs="Arial"/>
        </w:rPr>
        <w:t>physiological</w:t>
      </w:r>
      <w:r w:rsidR="006E62BB" w:rsidRPr="00C15768">
        <w:rPr>
          <w:rFonts w:ascii="Arial" w:hAnsi="Arial" w:cs="Arial"/>
        </w:rPr>
        <w:t xml:space="preserve"> </w:t>
      </w:r>
      <w:r w:rsidR="00A2131B" w:rsidRPr="00C15768">
        <w:rPr>
          <w:rFonts w:ascii="Arial" w:hAnsi="Arial" w:cs="Arial"/>
        </w:rPr>
        <w:t>demand</w:t>
      </w:r>
      <w:r w:rsidR="006E62BB" w:rsidRPr="00C15768">
        <w:rPr>
          <w:rFonts w:ascii="Arial" w:hAnsi="Arial" w:cs="Arial"/>
        </w:rPr>
        <w:t xml:space="preserve"> (</w:t>
      </w:r>
      <w:r w:rsidR="00A2131B" w:rsidRPr="00C15768">
        <w:rPr>
          <w:rFonts w:ascii="Arial" w:hAnsi="Arial" w:cs="Arial"/>
        </w:rPr>
        <w:t>Jones, 2014).</w:t>
      </w:r>
      <w:r w:rsidR="006E62BB" w:rsidRPr="00C15768">
        <w:rPr>
          <w:rFonts w:ascii="Arial" w:hAnsi="Arial" w:cs="Arial"/>
        </w:rPr>
        <w:t xml:space="preserve"> </w:t>
      </w:r>
      <w:r w:rsidR="009C6AE0" w:rsidRPr="00C15768">
        <w:rPr>
          <w:rFonts w:ascii="Arial" w:hAnsi="Arial" w:cs="Arial"/>
        </w:rPr>
        <w:t>Indeed, no effects ha</w:t>
      </w:r>
      <w:r w:rsidR="0078071D" w:rsidRPr="00C15768">
        <w:rPr>
          <w:rFonts w:ascii="Arial" w:hAnsi="Arial" w:cs="Arial"/>
        </w:rPr>
        <w:t>ve</w:t>
      </w:r>
      <w:r w:rsidR="009C6AE0" w:rsidRPr="00C15768">
        <w:rPr>
          <w:rFonts w:ascii="Arial" w:hAnsi="Arial" w:cs="Arial"/>
        </w:rPr>
        <w:t xml:space="preserve"> been observed during prolonged (&gt; 30 min) TT performance from beetroot juice supplementation within highly </w:t>
      </w:r>
      <w:r w:rsidR="00177088" w:rsidRPr="00C15768">
        <w:rPr>
          <w:rFonts w:ascii="Arial" w:hAnsi="Arial" w:cs="Arial"/>
        </w:rPr>
        <w:t>trained</w:t>
      </w:r>
      <w:r w:rsidR="0078071D" w:rsidRPr="00C15768">
        <w:rPr>
          <w:rFonts w:ascii="Arial" w:hAnsi="Arial" w:cs="Arial"/>
        </w:rPr>
        <w:t xml:space="preserve"> individuals with </w:t>
      </w:r>
      <w:r w:rsidR="00BA07E7" w:rsidRPr="00C15768">
        <w:rPr>
          <w:rFonts w:ascii="Arial" w:hAnsi="Arial" w:cs="Arial"/>
        </w:rPr>
        <w:t>VO</w:t>
      </w:r>
      <w:r w:rsidR="00BA07E7" w:rsidRPr="00C15768">
        <w:rPr>
          <w:rFonts w:ascii="Arial" w:hAnsi="Arial" w:cs="Arial"/>
          <w:vertAlign w:val="subscript"/>
        </w:rPr>
        <w:t>2max</w:t>
      </w:r>
      <w:r w:rsidR="0078071D" w:rsidRPr="00C15768">
        <w:rPr>
          <w:rFonts w:ascii="Arial" w:hAnsi="Arial" w:cs="Arial"/>
          <w:vertAlign w:val="subscript"/>
        </w:rPr>
        <w:t xml:space="preserve"> </w:t>
      </w:r>
      <w:r w:rsidR="0078071D" w:rsidRPr="00C15768">
        <w:rPr>
          <w:rFonts w:ascii="Arial" w:hAnsi="Arial" w:cs="Arial"/>
        </w:rPr>
        <w:t>of</w:t>
      </w:r>
      <w:r w:rsidR="00BA07E7" w:rsidRPr="00C15768">
        <w:rPr>
          <w:rFonts w:ascii="Arial" w:hAnsi="Arial" w:cs="Arial"/>
        </w:rPr>
        <w:t xml:space="preserve"> </w:t>
      </w:r>
      <w:r w:rsidR="009C6AE0" w:rsidRPr="00C15768">
        <w:rPr>
          <w:rFonts w:ascii="Arial" w:hAnsi="Arial" w:cs="Arial"/>
        </w:rPr>
        <w:t>&gt;</w:t>
      </w:r>
      <w:r w:rsidR="00E65162" w:rsidRPr="00C15768">
        <w:rPr>
          <w:rFonts w:ascii="Arial" w:hAnsi="Arial" w:cs="Arial"/>
        </w:rPr>
        <w:t>60 ml·kg</w:t>
      </w:r>
      <w:r w:rsidR="00E65162" w:rsidRPr="00C15768">
        <w:rPr>
          <w:rFonts w:ascii="Arial" w:hAnsi="Arial" w:cs="Arial"/>
          <w:vertAlign w:val="superscript"/>
        </w:rPr>
        <w:t>-1</w:t>
      </w:r>
      <w:r w:rsidR="00E65162" w:rsidRPr="00C15768">
        <w:rPr>
          <w:rFonts w:ascii="Arial" w:hAnsi="Arial" w:cs="Arial"/>
        </w:rPr>
        <w:t>·min</w:t>
      </w:r>
      <w:r w:rsidR="00E65162" w:rsidRPr="00C15768">
        <w:rPr>
          <w:rFonts w:ascii="Arial" w:hAnsi="Arial" w:cs="Arial"/>
          <w:vertAlign w:val="superscript"/>
        </w:rPr>
        <w:t>-1</w:t>
      </w:r>
      <w:r w:rsidR="00E65162" w:rsidRPr="00C15768">
        <w:rPr>
          <w:rFonts w:ascii="Arial" w:hAnsi="Arial" w:cs="Arial"/>
        </w:rPr>
        <w:t xml:space="preserve"> (</w:t>
      </w:r>
      <w:r w:rsidR="00EC07D9" w:rsidRPr="00C15768">
        <w:rPr>
          <w:rFonts w:ascii="Arial" w:hAnsi="Arial" w:cs="Arial"/>
        </w:rPr>
        <w:t>Cermak et al</w:t>
      </w:r>
      <w:r w:rsidR="0078071D" w:rsidRPr="00C15768">
        <w:rPr>
          <w:rFonts w:ascii="Arial" w:hAnsi="Arial" w:cs="Arial"/>
        </w:rPr>
        <w:t>.</w:t>
      </w:r>
      <w:r w:rsidR="00EC07D9" w:rsidRPr="00C15768">
        <w:rPr>
          <w:rFonts w:ascii="Arial" w:hAnsi="Arial" w:cs="Arial"/>
        </w:rPr>
        <w:t>, 2012b; Wilkerson et al</w:t>
      </w:r>
      <w:r w:rsidR="0078071D" w:rsidRPr="00C15768">
        <w:rPr>
          <w:rFonts w:ascii="Arial" w:hAnsi="Arial" w:cs="Arial"/>
        </w:rPr>
        <w:t>.</w:t>
      </w:r>
      <w:r w:rsidR="00EC07D9" w:rsidRPr="00C15768">
        <w:rPr>
          <w:rFonts w:ascii="Arial" w:hAnsi="Arial" w:cs="Arial"/>
        </w:rPr>
        <w:t xml:space="preserve">, 2012; </w:t>
      </w:r>
      <w:r w:rsidR="00EA1AA0" w:rsidRPr="00C15768">
        <w:rPr>
          <w:rFonts w:ascii="Arial" w:hAnsi="Arial" w:cs="Arial"/>
        </w:rPr>
        <w:t>Lane et al</w:t>
      </w:r>
      <w:r w:rsidR="0078071D" w:rsidRPr="00C15768">
        <w:rPr>
          <w:rFonts w:ascii="Arial" w:hAnsi="Arial" w:cs="Arial"/>
        </w:rPr>
        <w:t>.</w:t>
      </w:r>
      <w:r w:rsidR="00EA1AA0" w:rsidRPr="00C15768">
        <w:rPr>
          <w:rFonts w:ascii="Arial" w:hAnsi="Arial" w:cs="Arial"/>
        </w:rPr>
        <w:t xml:space="preserve">, 2013). </w:t>
      </w:r>
      <w:r w:rsidR="007D2FC2" w:rsidRPr="00C15768">
        <w:rPr>
          <w:rFonts w:ascii="Arial" w:hAnsi="Arial" w:cs="Arial"/>
        </w:rPr>
        <w:t>Wilkerson et al</w:t>
      </w:r>
      <w:r w:rsidR="0078071D" w:rsidRPr="00C15768">
        <w:rPr>
          <w:rFonts w:ascii="Arial" w:hAnsi="Arial" w:cs="Arial"/>
        </w:rPr>
        <w:t>.</w:t>
      </w:r>
      <w:r w:rsidR="007D2FC2" w:rsidRPr="00C15768">
        <w:rPr>
          <w:rFonts w:ascii="Arial" w:hAnsi="Arial" w:cs="Arial"/>
        </w:rPr>
        <w:t xml:space="preserve">, (2012) </w:t>
      </w:r>
      <w:r w:rsidR="0019006F" w:rsidRPr="00C15768">
        <w:rPr>
          <w:rFonts w:ascii="Arial" w:hAnsi="Arial" w:cs="Arial"/>
        </w:rPr>
        <w:t>administered</w:t>
      </w:r>
      <w:r w:rsidR="00105C10" w:rsidRPr="00C15768">
        <w:rPr>
          <w:rFonts w:ascii="Arial" w:hAnsi="Arial" w:cs="Arial"/>
        </w:rPr>
        <w:t xml:space="preserve"> 500 ml beetroot juice contain</w:t>
      </w:r>
      <w:r w:rsidR="00420D7D">
        <w:rPr>
          <w:rFonts w:ascii="Arial" w:hAnsi="Arial" w:cs="Arial"/>
        </w:rPr>
        <w:t>ing</w:t>
      </w:r>
      <w:r w:rsidR="00105C10" w:rsidRPr="00C15768">
        <w:rPr>
          <w:rFonts w:ascii="Arial" w:hAnsi="Arial" w:cs="Arial"/>
        </w:rPr>
        <w:t xml:space="preserve"> 6.2 mmol of NO</w:t>
      </w:r>
      <w:r w:rsidR="00105C10" w:rsidRPr="00C15768">
        <w:rPr>
          <w:rFonts w:ascii="Arial" w:hAnsi="Arial" w:cs="Arial"/>
          <w:vertAlign w:val="subscript"/>
        </w:rPr>
        <w:t>3</w:t>
      </w:r>
      <w:r w:rsidR="00105C10" w:rsidRPr="00C15768">
        <w:rPr>
          <w:rFonts w:ascii="Arial" w:hAnsi="Arial" w:cs="Arial"/>
          <w:vertAlign w:val="superscript"/>
        </w:rPr>
        <w:t>-</w:t>
      </w:r>
      <w:r w:rsidR="0078071D" w:rsidRPr="00C15768">
        <w:rPr>
          <w:rFonts w:ascii="Arial" w:hAnsi="Arial" w:cs="Arial"/>
        </w:rPr>
        <w:t xml:space="preserve"> </w:t>
      </w:r>
      <w:r w:rsidR="00105C10" w:rsidRPr="00C15768">
        <w:rPr>
          <w:rFonts w:ascii="Arial" w:hAnsi="Arial" w:cs="Arial"/>
        </w:rPr>
        <w:t xml:space="preserve">prior to </w:t>
      </w:r>
      <w:r w:rsidR="00177088" w:rsidRPr="00C15768">
        <w:rPr>
          <w:rFonts w:ascii="Arial" w:hAnsi="Arial" w:cs="Arial"/>
        </w:rPr>
        <w:t>an</w:t>
      </w:r>
      <w:r w:rsidR="00105C10" w:rsidRPr="00C15768">
        <w:rPr>
          <w:rFonts w:ascii="Arial" w:hAnsi="Arial" w:cs="Arial"/>
        </w:rPr>
        <w:t xml:space="preserve"> </w:t>
      </w:r>
      <w:r w:rsidR="00A96C5F" w:rsidRPr="00C15768">
        <w:rPr>
          <w:rFonts w:ascii="Arial" w:hAnsi="Arial" w:cs="Arial"/>
        </w:rPr>
        <w:t>80 km</w:t>
      </w:r>
      <w:r w:rsidR="00105C10" w:rsidRPr="00C15768">
        <w:rPr>
          <w:rFonts w:ascii="Arial" w:hAnsi="Arial" w:cs="Arial"/>
        </w:rPr>
        <w:t xml:space="preserve"> TT, however the participant</w:t>
      </w:r>
      <w:r w:rsidR="00B34146" w:rsidRPr="00C15768">
        <w:rPr>
          <w:rFonts w:ascii="Arial" w:hAnsi="Arial" w:cs="Arial"/>
        </w:rPr>
        <w:t>s</w:t>
      </w:r>
      <w:r w:rsidR="00105C10" w:rsidRPr="00C15768">
        <w:rPr>
          <w:rFonts w:ascii="Arial" w:hAnsi="Arial" w:cs="Arial"/>
        </w:rPr>
        <w:t xml:space="preserve"> exhibited </w:t>
      </w:r>
      <w:r w:rsidR="00420D7D">
        <w:rPr>
          <w:rFonts w:ascii="Arial" w:hAnsi="Arial" w:cs="Arial"/>
        </w:rPr>
        <w:t xml:space="preserve">only </w:t>
      </w:r>
      <w:r w:rsidR="00105C10" w:rsidRPr="00C15768">
        <w:rPr>
          <w:rFonts w:ascii="Arial" w:hAnsi="Arial" w:cs="Arial"/>
        </w:rPr>
        <w:t xml:space="preserve">a </w:t>
      </w:r>
      <w:r w:rsidR="0064265F" w:rsidRPr="00C15768">
        <w:rPr>
          <w:rFonts w:ascii="Arial" w:hAnsi="Arial" w:cs="Arial"/>
        </w:rPr>
        <w:t>small</w:t>
      </w:r>
      <w:r w:rsidR="00C971C6" w:rsidRPr="00C15768">
        <w:rPr>
          <w:rFonts w:ascii="Arial" w:hAnsi="Arial" w:cs="Arial"/>
        </w:rPr>
        <w:t xml:space="preserve"> 25%</w:t>
      </w:r>
      <w:r w:rsidR="00105C10" w:rsidRPr="00C15768">
        <w:rPr>
          <w:rFonts w:ascii="Arial" w:hAnsi="Arial" w:cs="Arial"/>
        </w:rPr>
        <w:t xml:space="preserve"> </w:t>
      </w:r>
      <w:r w:rsidR="0064265F" w:rsidRPr="00C15768">
        <w:rPr>
          <w:rFonts w:ascii="Arial" w:hAnsi="Arial" w:cs="Arial"/>
        </w:rPr>
        <w:t>increase</w:t>
      </w:r>
      <w:r w:rsidR="00C971C6" w:rsidRPr="00C15768">
        <w:rPr>
          <w:rFonts w:ascii="Arial" w:hAnsi="Arial" w:cs="Arial"/>
        </w:rPr>
        <w:t xml:space="preserve"> </w:t>
      </w:r>
      <w:r w:rsidR="0064265F" w:rsidRPr="00C15768">
        <w:rPr>
          <w:rFonts w:ascii="Arial" w:hAnsi="Arial" w:cs="Arial"/>
        </w:rPr>
        <w:t>in plasma NO</w:t>
      </w:r>
      <w:r w:rsidR="0064265F" w:rsidRPr="00C15768">
        <w:rPr>
          <w:rFonts w:ascii="Arial" w:hAnsi="Arial" w:cs="Arial"/>
          <w:vertAlign w:val="subscript"/>
        </w:rPr>
        <w:t>2</w:t>
      </w:r>
      <w:r w:rsidR="0064265F" w:rsidRPr="00C15768">
        <w:rPr>
          <w:rFonts w:ascii="Arial" w:hAnsi="Arial" w:cs="Arial"/>
        </w:rPr>
        <w:t xml:space="preserve"> </w:t>
      </w:r>
      <w:r w:rsidR="00C971C6" w:rsidRPr="00C15768">
        <w:rPr>
          <w:rFonts w:ascii="Arial" w:hAnsi="Arial" w:cs="Arial"/>
        </w:rPr>
        <w:t xml:space="preserve">compared to </w:t>
      </w:r>
      <w:r w:rsidR="008F7556" w:rsidRPr="00C15768">
        <w:rPr>
          <w:rFonts w:ascii="Arial" w:hAnsi="Arial" w:cs="Arial"/>
        </w:rPr>
        <w:t xml:space="preserve">the </w:t>
      </w:r>
      <w:r w:rsidR="00A96C5F" w:rsidRPr="00C15768">
        <w:rPr>
          <w:rFonts w:ascii="Arial" w:hAnsi="Arial" w:cs="Arial"/>
        </w:rPr>
        <w:t>139</w:t>
      </w:r>
      <w:r w:rsidR="00623558" w:rsidRPr="00C15768">
        <w:rPr>
          <w:rFonts w:ascii="Arial" w:hAnsi="Arial" w:cs="Arial"/>
        </w:rPr>
        <w:t xml:space="preserve">% increases observed in </w:t>
      </w:r>
      <w:r w:rsidR="00E83500" w:rsidRPr="00C15768">
        <w:rPr>
          <w:rFonts w:ascii="Arial" w:hAnsi="Arial" w:cs="Arial"/>
        </w:rPr>
        <w:t>earlier</w:t>
      </w:r>
      <w:r w:rsidR="00623558" w:rsidRPr="00C15768">
        <w:rPr>
          <w:rFonts w:ascii="Arial" w:hAnsi="Arial" w:cs="Arial"/>
        </w:rPr>
        <w:t xml:space="preserve"> studies with a similar participant cohort </w:t>
      </w:r>
      <w:r w:rsidR="00A96C5F" w:rsidRPr="00C15768">
        <w:rPr>
          <w:rFonts w:ascii="Arial" w:hAnsi="Arial" w:cs="Arial"/>
        </w:rPr>
        <w:t xml:space="preserve">with an identical dose </w:t>
      </w:r>
      <w:r w:rsidR="00623558" w:rsidRPr="00C15768">
        <w:rPr>
          <w:rFonts w:ascii="Arial" w:hAnsi="Arial" w:cs="Arial"/>
        </w:rPr>
        <w:t>(</w:t>
      </w:r>
      <w:r w:rsidR="00A96C5F" w:rsidRPr="00C15768">
        <w:rPr>
          <w:rFonts w:ascii="Arial" w:hAnsi="Arial" w:cs="Arial"/>
        </w:rPr>
        <w:t>Lansley et al</w:t>
      </w:r>
      <w:r w:rsidR="00D02A2C" w:rsidRPr="00C15768">
        <w:rPr>
          <w:rFonts w:ascii="Arial" w:hAnsi="Arial" w:cs="Arial"/>
        </w:rPr>
        <w:t>.</w:t>
      </w:r>
      <w:r w:rsidR="00A96C5F" w:rsidRPr="00C15768">
        <w:rPr>
          <w:rFonts w:ascii="Arial" w:hAnsi="Arial" w:cs="Arial"/>
        </w:rPr>
        <w:t xml:space="preserve">, 2011). </w:t>
      </w:r>
      <w:r w:rsidR="00177088" w:rsidRPr="00C15768">
        <w:rPr>
          <w:rFonts w:ascii="Arial" w:hAnsi="Arial" w:cs="Arial"/>
        </w:rPr>
        <w:t>Indeed, a strong negative correlation between plasma NO</w:t>
      </w:r>
      <w:r w:rsidR="00177088" w:rsidRPr="00C15768">
        <w:rPr>
          <w:rFonts w:ascii="Arial" w:hAnsi="Arial" w:cs="Arial"/>
          <w:vertAlign w:val="subscript"/>
        </w:rPr>
        <w:t>2</w:t>
      </w:r>
      <w:r w:rsidR="00177088" w:rsidRPr="00C15768">
        <w:rPr>
          <w:rFonts w:ascii="Arial" w:hAnsi="Arial" w:cs="Arial"/>
        </w:rPr>
        <w:t xml:space="preserve"> increase and TT performance improvement was reported (r = -0.85; p = 0.01); </w:t>
      </w:r>
      <w:r w:rsidR="00E83500" w:rsidRPr="00C15768">
        <w:rPr>
          <w:rFonts w:ascii="Arial" w:hAnsi="Arial" w:cs="Arial"/>
        </w:rPr>
        <w:t>thus,</w:t>
      </w:r>
      <w:r w:rsidR="00177088" w:rsidRPr="00C15768">
        <w:rPr>
          <w:rFonts w:ascii="Arial" w:hAnsi="Arial" w:cs="Arial"/>
        </w:rPr>
        <w:t xml:space="preserve"> highlighting the importance </w:t>
      </w:r>
      <w:r w:rsidR="0019006F" w:rsidRPr="00C15768">
        <w:rPr>
          <w:rFonts w:ascii="Arial" w:hAnsi="Arial" w:cs="Arial"/>
        </w:rPr>
        <w:t>of</w:t>
      </w:r>
      <w:r w:rsidR="00177088" w:rsidRPr="00C15768">
        <w:rPr>
          <w:rFonts w:ascii="Arial" w:hAnsi="Arial" w:cs="Arial"/>
        </w:rPr>
        <w:t xml:space="preserve"> a high bio</w:t>
      </w:r>
      <w:r w:rsidR="006D1540" w:rsidRPr="00C15768">
        <w:rPr>
          <w:rFonts w:ascii="Arial" w:hAnsi="Arial" w:cs="Arial"/>
        </w:rPr>
        <w:t>available</w:t>
      </w:r>
      <w:r w:rsidR="00177088" w:rsidRPr="00C15768">
        <w:rPr>
          <w:rFonts w:ascii="Arial" w:hAnsi="Arial" w:cs="Arial"/>
        </w:rPr>
        <w:t xml:space="preserve"> NO for performance</w:t>
      </w:r>
      <w:r w:rsidR="00871F88" w:rsidRPr="00C15768">
        <w:rPr>
          <w:rFonts w:ascii="Arial" w:hAnsi="Arial" w:cs="Arial"/>
        </w:rPr>
        <w:t xml:space="preserve"> improvements</w:t>
      </w:r>
      <w:r w:rsidR="00177088" w:rsidRPr="00C15768">
        <w:rPr>
          <w:rFonts w:ascii="Arial" w:hAnsi="Arial" w:cs="Arial"/>
        </w:rPr>
        <w:t xml:space="preserve">.  </w:t>
      </w:r>
      <w:r w:rsidR="00A96C5F" w:rsidRPr="00C15768">
        <w:rPr>
          <w:rFonts w:ascii="Arial" w:hAnsi="Arial" w:cs="Arial"/>
        </w:rPr>
        <w:t xml:space="preserve">However, two </w:t>
      </w:r>
      <w:r w:rsidR="00177088" w:rsidRPr="00C15768">
        <w:rPr>
          <w:rFonts w:ascii="Arial" w:hAnsi="Arial" w:cs="Arial"/>
        </w:rPr>
        <w:t>separate</w:t>
      </w:r>
      <w:r w:rsidR="00425C4C" w:rsidRPr="00C15768">
        <w:rPr>
          <w:rFonts w:ascii="Arial" w:hAnsi="Arial" w:cs="Arial"/>
        </w:rPr>
        <w:t xml:space="preserve"> doses</w:t>
      </w:r>
      <w:r w:rsidR="00A96C5F" w:rsidRPr="00C15768">
        <w:rPr>
          <w:rFonts w:ascii="Arial" w:hAnsi="Arial" w:cs="Arial"/>
        </w:rPr>
        <w:t xml:space="preserve"> 12 hrs apart,</w:t>
      </w:r>
      <w:r w:rsidR="004F3753" w:rsidRPr="00C15768">
        <w:rPr>
          <w:rFonts w:ascii="Arial" w:hAnsi="Arial" w:cs="Arial"/>
        </w:rPr>
        <w:t xml:space="preserve"> </w:t>
      </w:r>
      <w:r w:rsidR="00177088" w:rsidRPr="00C15768">
        <w:rPr>
          <w:rFonts w:ascii="Arial" w:hAnsi="Arial" w:cs="Arial"/>
        </w:rPr>
        <w:t>increasing</w:t>
      </w:r>
      <w:r w:rsidR="004F3753" w:rsidRPr="00C15768">
        <w:rPr>
          <w:rFonts w:ascii="Arial" w:hAnsi="Arial" w:cs="Arial"/>
        </w:rPr>
        <w:t xml:space="preserve"> total</w:t>
      </w:r>
      <w:r w:rsidR="00177088" w:rsidRPr="00C15768">
        <w:rPr>
          <w:rFonts w:ascii="Arial" w:hAnsi="Arial" w:cs="Arial"/>
        </w:rPr>
        <w:t xml:space="preserve"> NO</w:t>
      </w:r>
      <w:r w:rsidR="00177088" w:rsidRPr="00C15768">
        <w:rPr>
          <w:rFonts w:ascii="Arial" w:hAnsi="Arial" w:cs="Arial"/>
          <w:vertAlign w:val="subscript"/>
        </w:rPr>
        <w:t>3</w:t>
      </w:r>
      <w:r w:rsidR="00177088" w:rsidRPr="00C15768">
        <w:rPr>
          <w:rFonts w:ascii="Arial" w:hAnsi="Arial" w:cs="Arial"/>
          <w:vertAlign w:val="superscript"/>
        </w:rPr>
        <w:t>-</w:t>
      </w:r>
      <w:r w:rsidR="00177088" w:rsidRPr="00C15768">
        <w:rPr>
          <w:rFonts w:ascii="Arial" w:hAnsi="Arial" w:cs="Arial"/>
        </w:rPr>
        <w:t xml:space="preserve"> ingestion to</w:t>
      </w:r>
      <w:r w:rsidR="004F3753" w:rsidRPr="00C15768">
        <w:rPr>
          <w:rFonts w:ascii="Arial" w:hAnsi="Arial" w:cs="Arial"/>
        </w:rPr>
        <w:t xml:space="preserve"> 17.4 mmol prior to exercise</w:t>
      </w:r>
      <w:r w:rsidR="008404E3" w:rsidRPr="00C15768">
        <w:rPr>
          <w:rFonts w:ascii="Arial" w:hAnsi="Arial" w:cs="Arial"/>
        </w:rPr>
        <w:t>,</w:t>
      </w:r>
      <w:r w:rsidR="004F3753" w:rsidRPr="00C15768">
        <w:rPr>
          <w:rFonts w:ascii="Arial" w:hAnsi="Arial" w:cs="Arial"/>
        </w:rPr>
        <w:t xml:space="preserve"> also reported no ergogenic effects during a 43.</w:t>
      </w:r>
      <w:r w:rsidR="00BA07E7" w:rsidRPr="00C15768">
        <w:rPr>
          <w:rFonts w:ascii="Arial" w:hAnsi="Arial" w:cs="Arial"/>
        </w:rPr>
        <w:t xml:space="preserve">8 km TT (Lane et al. 2013). </w:t>
      </w:r>
      <w:r w:rsidR="00177088" w:rsidRPr="00C15768">
        <w:rPr>
          <w:rFonts w:ascii="Arial" w:hAnsi="Arial" w:cs="Arial"/>
        </w:rPr>
        <w:t>The</w:t>
      </w:r>
      <w:r w:rsidR="00420D7D">
        <w:rPr>
          <w:rFonts w:ascii="Arial" w:hAnsi="Arial" w:cs="Arial"/>
        </w:rPr>
        <w:t>se</w:t>
      </w:r>
      <w:r w:rsidR="00177088" w:rsidRPr="00C15768">
        <w:rPr>
          <w:rFonts w:ascii="Arial" w:hAnsi="Arial" w:cs="Arial"/>
        </w:rPr>
        <w:t xml:space="preserve"> authors, however, </w:t>
      </w:r>
      <w:r w:rsidR="00E83500" w:rsidRPr="00C15768">
        <w:rPr>
          <w:rFonts w:ascii="Arial" w:hAnsi="Arial" w:cs="Arial"/>
        </w:rPr>
        <w:t>utilised</w:t>
      </w:r>
      <w:r w:rsidR="00BA07E7" w:rsidRPr="00C15768">
        <w:rPr>
          <w:rFonts w:ascii="Arial" w:hAnsi="Arial" w:cs="Arial"/>
        </w:rPr>
        <w:t xml:space="preserve"> a superiorly trained participant cohort (VO</w:t>
      </w:r>
      <w:r w:rsidR="00BA07E7" w:rsidRPr="00C15768">
        <w:rPr>
          <w:rFonts w:ascii="Arial" w:hAnsi="Arial" w:cs="Arial"/>
          <w:vertAlign w:val="subscript"/>
        </w:rPr>
        <w:t>2max</w:t>
      </w:r>
      <w:r w:rsidR="00BA07E7" w:rsidRPr="00C15768">
        <w:rPr>
          <w:rFonts w:ascii="Arial" w:hAnsi="Arial" w:cs="Arial"/>
        </w:rPr>
        <w:t xml:space="preserve">: 71.6 ± 4.6), which may </w:t>
      </w:r>
      <w:r w:rsidR="00425C4C" w:rsidRPr="00C15768">
        <w:rPr>
          <w:rFonts w:ascii="Arial" w:hAnsi="Arial" w:cs="Arial"/>
        </w:rPr>
        <w:t>explain</w:t>
      </w:r>
      <w:r w:rsidR="00BA07E7" w:rsidRPr="00C15768">
        <w:rPr>
          <w:rFonts w:ascii="Arial" w:hAnsi="Arial" w:cs="Arial"/>
        </w:rPr>
        <w:t xml:space="preserve"> the lack of improvement</w:t>
      </w:r>
      <w:r w:rsidR="00177088" w:rsidRPr="00C15768">
        <w:rPr>
          <w:rFonts w:ascii="Arial" w:hAnsi="Arial" w:cs="Arial"/>
        </w:rPr>
        <w:t xml:space="preserve">. </w:t>
      </w:r>
      <w:r w:rsidR="002D6C83">
        <w:rPr>
          <w:rFonts w:ascii="Arial" w:hAnsi="Arial" w:cs="Arial"/>
        </w:rPr>
        <w:t>Therefore, on the basis of previous work, the aim of this study was to evaluate</w:t>
      </w:r>
      <w:r w:rsidR="002D6C83" w:rsidRPr="00D50DB8">
        <w:rPr>
          <w:rFonts w:ascii="Arial" w:hAnsi="Arial" w:cs="Arial"/>
        </w:rPr>
        <w:t xml:space="preserve"> the chronic effects of </w:t>
      </w:r>
      <w:r w:rsidR="002D6C83">
        <w:rPr>
          <w:rFonts w:ascii="Arial" w:hAnsi="Arial" w:cs="Arial"/>
        </w:rPr>
        <w:t>nitrate (</w:t>
      </w:r>
      <w:r w:rsidR="002D6C83" w:rsidRPr="00D50DB8">
        <w:rPr>
          <w:rFonts w:ascii="Arial" w:hAnsi="Arial" w:cs="Arial"/>
        </w:rPr>
        <w:t>NO</w:t>
      </w:r>
      <w:r w:rsidR="002D6C83" w:rsidRPr="00D50DB8">
        <w:rPr>
          <w:rFonts w:ascii="Arial" w:hAnsi="Arial" w:cs="Arial"/>
          <w:vertAlign w:val="subscript"/>
        </w:rPr>
        <w:t>3</w:t>
      </w:r>
      <w:r w:rsidR="002D6C83" w:rsidRPr="00D50DB8">
        <w:rPr>
          <w:rFonts w:ascii="Arial" w:hAnsi="Arial" w:cs="Arial"/>
          <w:vertAlign w:val="superscript"/>
        </w:rPr>
        <w:t>-</w:t>
      </w:r>
      <w:r w:rsidR="002D6C83">
        <w:rPr>
          <w:rFonts w:ascii="Arial" w:hAnsi="Arial" w:cs="Arial"/>
        </w:rPr>
        <w:t xml:space="preserve">) </w:t>
      </w:r>
      <w:r w:rsidR="002D6C83" w:rsidRPr="00D50DB8">
        <w:rPr>
          <w:rFonts w:ascii="Arial" w:hAnsi="Arial" w:cs="Arial"/>
        </w:rPr>
        <w:t>ingestion over three days, on  40 km TT performance in trained cyclists</w:t>
      </w:r>
      <w:r w:rsidR="002D6C83">
        <w:rPr>
          <w:rFonts w:ascii="Arial" w:hAnsi="Arial" w:cs="Arial"/>
        </w:rPr>
        <w:t>.</w:t>
      </w:r>
    </w:p>
    <w:p w14:paraId="2B6C8003" w14:textId="77777777" w:rsidR="005C6C39" w:rsidRDefault="005C6C39" w:rsidP="00D50DB8">
      <w:pPr>
        <w:pStyle w:val="NoSpacing"/>
        <w:spacing w:line="480" w:lineRule="auto"/>
        <w:jc w:val="both"/>
        <w:rPr>
          <w:rFonts w:cs="Arial"/>
          <w:b/>
          <w:sz w:val="22"/>
        </w:rPr>
      </w:pPr>
    </w:p>
    <w:p w14:paraId="7E50C00A" w14:textId="40342497" w:rsidR="00EB3E4C" w:rsidRPr="00D50DB8" w:rsidRDefault="00EB3E4C" w:rsidP="00D50DB8">
      <w:pPr>
        <w:pStyle w:val="NoSpacing"/>
        <w:spacing w:line="480" w:lineRule="auto"/>
        <w:jc w:val="both"/>
        <w:rPr>
          <w:rFonts w:cs="Arial"/>
          <w:b/>
          <w:sz w:val="22"/>
        </w:rPr>
      </w:pPr>
      <w:r w:rsidRPr="00D50DB8">
        <w:rPr>
          <w:rFonts w:cs="Arial"/>
          <w:b/>
          <w:sz w:val="22"/>
        </w:rPr>
        <w:t>Methods</w:t>
      </w:r>
    </w:p>
    <w:p w14:paraId="7AE43DF5" w14:textId="02059A61" w:rsidR="00EB3E4C" w:rsidRPr="00D50DB8" w:rsidRDefault="00506119" w:rsidP="00D50DB8">
      <w:pPr>
        <w:spacing w:after="0" w:line="480" w:lineRule="auto"/>
        <w:jc w:val="both"/>
        <w:rPr>
          <w:rFonts w:ascii="Arial" w:hAnsi="Arial" w:cs="Arial"/>
        </w:rPr>
      </w:pPr>
      <w:r>
        <w:rPr>
          <w:rFonts w:ascii="Arial" w:hAnsi="Arial" w:cs="Arial"/>
        </w:rPr>
        <w:t>Eleven</w:t>
      </w:r>
      <w:r w:rsidR="00EB3E4C" w:rsidRPr="00D50DB8">
        <w:rPr>
          <w:rFonts w:ascii="Arial" w:hAnsi="Arial" w:cs="Arial"/>
        </w:rPr>
        <w:t xml:space="preserve"> trained cyclists </w:t>
      </w:r>
      <w:r w:rsidR="00E86D97">
        <w:rPr>
          <w:rFonts w:ascii="Arial" w:hAnsi="Arial" w:cs="Arial"/>
        </w:rPr>
        <w:t>(</w:t>
      </w:r>
      <w:r w:rsidR="00041367" w:rsidRPr="00D50DB8">
        <w:rPr>
          <w:rFonts w:ascii="Arial" w:hAnsi="Arial" w:cs="Arial"/>
        </w:rPr>
        <w:t>VO</w:t>
      </w:r>
      <w:r w:rsidR="00B823BC">
        <w:rPr>
          <w:rFonts w:ascii="Arial" w:hAnsi="Arial" w:cs="Arial"/>
          <w:vertAlign w:val="subscript"/>
        </w:rPr>
        <w:t>2max</w:t>
      </w:r>
      <w:r w:rsidR="00041367" w:rsidRPr="00D50DB8">
        <w:rPr>
          <w:rFonts w:ascii="Arial" w:hAnsi="Arial" w:cs="Arial"/>
        </w:rPr>
        <w:t xml:space="preserve"> </w:t>
      </w:r>
      <w:r w:rsidR="00041367">
        <w:rPr>
          <w:rFonts w:ascii="Arial" w:hAnsi="Arial" w:cs="Arial"/>
        </w:rPr>
        <w:t>60.8</w:t>
      </w:r>
      <w:r w:rsidR="00041367" w:rsidRPr="00D50DB8">
        <w:rPr>
          <w:rFonts w:ascii="Arial" w:hAnsi="Arial" w:cs="Arial"/>
        </w:rPr>
        <w:t xml:space="preserve"> ± </w:t>
      </w:r>
      <w:r w:rsidR="00041367">
        <w:rPr>
          <w:rFonts w:ascii="Arial" w:hAnsi="Arial" w:cs="Arial"/>
        </w:rPr>
        <w:t>7</w:t>
      </w:r>
      <w:r w:rsidR="00041367" w:rsidRPr="00D50DB8">
        <w:rPr>
          <w:rFonts w:ascii="Arial" w:hAnsi="Arial" w:cs="Arial"/>
        </w:rPr>
        <w:t>.4 ml.kg</w:t>
      </w:r>
      <w:r w:rsidR="00041367" w:rsidRPr="00D50DB8">
        <w:rPr>
          <w:rFonts w:ascii="Arial" w:hAnsi="Arial" w:cs="Arial"/>
          <w:vertAlign w:val="superscript"/>
        </w:rPr>
        <w:t>-1</w:t>
      </w:r>
      <w:r w:rsidR="00041367" w:rsidRPr="00D50DB8">
        <w:rPr>
          <w:rFonts w:ascii="Arial" w:hAnsi="Arial" w:cs="Arial"/>
        </w:rPr>
        <w:t>.min</w:t>
      </w:r>
      <w:r w:rsidR="00041367" w:rsidRPr="00D50DB8">
        <w:rPr>
          <w:rFonts w:ascii="Arial" w:hAnsi="Arial" w:cs="Arial"/>
          <w:vertAlign w:val="superscript"/>
        </w:rPr>
        <w:t>-1</w:t>
      </w:r>
      <w:r w:rsidR="00041367" w:rsidRPr="00D50DB8">
        <w:rPr>
          <w:rFonts w:ascii="Arial" w:hAnsi="Arial" w:cs="Arial"/>
        </w:rPr>
        <w:t xml:space="preserve">; age: </w:t>
      </w:r>
      <w:r w:rsidR="00041367">
        <w:rPr>
          <w:rFonts w:ascii="Arial" w:hAnsi="Arial" w:cs="Arial"/>
        </w:rPr>
        <w:t>36</w:t>
      </w:r>
      <w:r w:rsidR="00041367" w:rsidRPr="00D50DB8">
        <w:rPr>
          <w:rFonts w:ascii="Arial" w:hAnsi="Arial" w:cs="Arial"/>
        </w:rPr>
        <w:t xml:space="preserve"> ± </w:t>
      </w:r>
      <w:r w:rsidR="00041367">
        <w:rPr>
          <w:rFonts w:ascii="Arial" w:hAnsi="Arial" w:cs="Arial"/>
        </w:rPr>
        <w:t>9</w:t>
      </w:r>
      <w:r w:rsidR="00041367" w:rsidRPr="00D50DB8">
        <w:rPr>
          <w:rFonts w:ascii="Arial" w:hAnsi="Arial" w:cs="Arial"/>
        </w:rPr>
        <w:t xml:space="preserve"> years; height: 1.</w:t>
      </w:r>
      <w:r w:rsidR="00041367">
        <w:rPr>
          <w:rFonts w:ascii="Arial" w:hAnsi="Arial" w:cs="Arial"/>
        </w:rPr>
        <w:t>80</w:t>
      </w:r>
      <w:r w:rsidR="00041367" w:rsidRPr="00D50DB8">
        <w:rPr>
          <w:rFonts w:ascii="Arial" w:hAnsi="Arial" w:cs="Arial"/>
        </w:rPr>
        <w:t xml:space="preserve"> ± 0.0</w:t>
      </w:r>
      <w:r w:rsidR="00041367">
        <w:rPr>
          <w:rFonts w:ascii="Arial" w:hAnsi="Arial" w:cs="Arial"/>
        </w:rPr>
        <w:t>6</w:t>
      </w:r>
      <w:r w:rsidR="00041367" w:rsidRPr="00D50DB8">
        <w:rPr>
          <w:rFonts w:ascii="Arial" w:hAnsi="Arial" w:cs="Arial"/>
        </w:rPr>
        <w:t xml:space="preserve"> m; body mass: 8</w:t>
      </w:r>
      <w:r w:rsidR="00041367">
        <w:rPr>
          <w:rFonts w:ascii="Arial" w:hAnsi="Arial" w:cs="Arial"/>
        </w:rPr>
        <w:t>7</w:t>
      </w:r>
      <w:r w:rsidR="00041367" w:rsidRPr="00D50DB8">
        <w:rPr>
          <w:rFonts w:ascii="Arial" w:hAnsi="Arial" w:cs="Arial"/>
        </w:rPr>
        <w:t>.</w:t>
      </w:r>
      <w:r w:rsidR="00041367">
        <w:rPr>
          <w:rFonts w:ascii="Arial" w:hAnsi="Arial" w:cs="Arial"/>
        </w:rPr>
        <w:t>2</w:t>
      </w:r>
      <w:r w:rsidR="00041367" w:rsidRPr="00D50DB8">
        <w:rPr>
          <w:rFonts w:ascii="Arial" w:hAnsi="Arial" w:cs="Arial"/>
        </w:rPr>
        <w:t xml:space="preserve"> ± 12.</w:t>
      </w:r>
      <w:r w:rsidR="00041367">
        <w:rPr>
          <w:rFonts w:ascii="Arial" w:hAnsi="Arial" w:cs="Arial"/>
        </w:rPr>
        <w:t>0</w:t>
      </w:r>
      <w:r w:rsidR="00041367" w:rsidRPr="00D50DB8">
        <w:rPr>
          <w:rFonts w:ascii="Arial" w:hAnsi="Arial" w:cs="Arial"/>
        </w:rPr>
        <w:t xml:space="preserve"> kg</w:t>
      </w:r>
      <w:r w:rsidR="00EB3E4C" w:rsidRPr="00D50DB8">
        <w:rPr>
          <w:rFonts w:ascii="Arial" w:hAnsi="Arial" w:cs="Arial"/>
        </w:rPr>
        <w:t>) volunteered to participate in this study. The cyclists had a</w:t>
      </w:r>
      <w:r w:rsidR="00E77A8D" w:rsidRPr="00D50DB8">
        <w:rPr>
          <w:rFonts w:ascii="Arial" w:hAnsi="Arial" w:cs="Arial"/>
        </w:rPr>
        <w:t xml:space="preserve"> minimum of one </w:t>
      </w:r>
      <w:r w:rsidR="00EB3E4C" w:rsidRPr="00D50DB8">
        <w:rPr>
          <w:rFonts w:ascii="Arial" w:hAnsi="Arial" w:cs="Arial"/>
        </w:rPr>
        <w:t xml:space="preserve">year cycling experience and a minimum weekly training </w:t>
      </w:r>
      <w:r w:rsidR="00041367">
        <w:rPr>
          <w:rFonts w:ascii="Arial" w:hAnsi="Arial" w:cs="Arial"/>
        </w:rPr>
        <w:t>volume</w:t>
      </w:r>
      <w:r w:rsidR="00EB3E4C" w:rsidRPr="00D50DB8">
        <w:rPr>
          <w:rFonts w:ascii="Arial" w:hAnsi="Arial" w:cs="Arial"/>
        </w:rPr>
        <w:t xml:space="preserve"> of (5</w:t>
      </w:r>
      <w:r w:rsidR="00624F86" w:rsidRPr="00D50DB8">
        <w:rPr>
          <w:rFonts w:ascii="Arial" w:hAnsi="Arial" w:cs="Arial"/>
        </w:rPr>
        <w:t xml:space="preserve"> </w:t>
      </w:r>
      <w:r w:rsidR="00EB3E4C" w:rsidRPr="00D50DB8">
        <w:rPr>
          <w:rFonts w:ascii="Arial" w:hAnsi="Arial" w:cs="Arial"/>
        </w:rPr>
        <w:t>hr</w:t>
      </w:r>
      <w:r w:rsidR="00E77A8D" w:rsidRPr="00D50DB8">
        <w:rPr>
          <w:rFonts w:ascii="Arial" w:hAnsi="Arial" w:cs="Arial"/>
        </w:rPr>
        <w:t>.</w:t>
      </w:r>
      <w:r w:rsidR="00EB3E4C" w:rsidRPr="00D50DB8">
        <w:rPr>
          <w:rFonts w:ascii="Arial" w:hAnsi="Arial" w:cs="Arial"/>
        </w:rPr>
        <w:t>wk</w:t>
      </w:r>
      <w:r w:rsidR="00E77A8D" w:rsidRPr="00D50DB8">
        <w:rPr>
          <w:rFonts w:ascii="Arial" w:hAnsi="Arial" w:cs="Arial"/>
          <w:color w:val="222222"/>
          <w:shd w:val="clear" w:color="auto" w:fill="FFFFFF"/>
          <w:vertAlign w:val="superscript"/>
        </w:rPr>
        <w:t>-1</w:t>
      </w:r>
      <w:r w:rsidR="00EB3E4C" w:rsidRPr="00D50DB8">
        <w:rPr>
          <w:rFonts w:ascii="Arial" w:hAnsi="Arial" w:cs="Arial"/>
        </w:rPr>
        <w:t>; and &gt;150</w:t>
      </w:r>
      <w:r w:rsidR="00E77A8D" w:rsidRPr="00D50DB8">
        <w:rPr>
          <w:rFonts w:ascii="Arial" w:hAnsi="Arial" w:cs="Arial"/>
        </w:rPr>
        <w:t xml:space="preserve"> km.wk</w:t>
      </w:r>
      <w:r w:rsidR="00E77A8D" w:rsidRPr="00D50DB8">
        <w:rPr>
          <w:rFonts w:ascii="Arial" w:hAnsi="Arial" w:cs="Arial"/>
          <w:color w:val="222222"/>
          <w:shd w:val="clear" w:color="auto" w:fill="FFFFFF"/>
          <w:vertAlign w:val="superscript"/>
        </w:rPr>
        <w:t>-1</w:t>
      </w:r>
      <w:r w:rsidR="00EB3E4C" w:rsidRPr="00D50DB8">
        <w:rPr>
          <w:rFonts w:ascii="Arial" w:hAnsi="Arial" w:cs="Arial"/>
        </w:rPr>
        <w:t xml:space="preserve">). </w:t>
      </w:r>
      <w:r w:rsidR="00E77A8D" w:rsidRPr="00D50DB8">
        <w:rPr>
          <w:rFonts w:ascii="Arial" w:hAnsi="Arial" w:cs="Arial"/>
        </w:rPr>
        <w:t xml:space="preserve">The research was approved by the Departmental Ethics Committee and </w:t>
      </w:r>
      <w:r w:rsidR="00EB3E4C" w:rsidRPr="00D50DB8">
        <w:rPr>
          <w:rFonts w:ascii="Arial" w:hAnsi="Arial" w:cs="Arial"/>
        </w:rPr>
        <w:t xml:space="preserve">participants gave written informed consent </w:t>
      </w:r>
      <w:r w:rsidR="005B0B06" w:rsidRPr="00D50DB8">
        <w:rPr>
          <w:rFonts w:ascii="Arial" w:hAnsi="Arial" w:cs="Arial"/>
        </w:rPr>
        <w:t>prior to any data collection</w:t>
      </w:r>
      <w:r w:rsidR="00EB3E4C" w:rsidRPr="00D50DB8">
        <w:rPr>
          <w:rFonts w:ascii="Arial" w:hAnsi="Arial" w:cs="Arial"/>
        </w:rPr>
        <w:t>. The participants were categorised as trained competitive cyclists (De Pauw et al</w:t>
      </w:r>
      <w:r w:rsidR="00E77A8D" w:rsidRPr="00D50DB8">
        <w:rPr>
          <w:rFonts w:ascii="Arial" w:hAnsi="Arial" w:cs="Arial"/>
        </w:rPr>
        <w:t>.</w:t>
      </w:r>
      <w:r w:rsidR="008F7556">
        <w:rPr>
          <w:rFonts w:ascii="Arial" w:hAnsi="Arial" w:cs="Arial"/>
        </w:rPr>
        <w:t xml:space="preserve">, 2013), who were </w:t>
      </w:r>
      <w:r w:rsidR="00EB3E4C" w:rsidRPr="00D50DB8">
        <w:rPr>
          <w:rFonts w:ascii="Arial" w:hAnsi="Arial" w:cs="Arial"/>
        </w:rPr>
        <w:t>fully familiar with similar cycling TT distances and laboratory testing procedures.</w:t>
      </w:r>
    </w:p>
    <w:p w14:paraId="6CB78F01" w14:textId="77777777" w:rsidR="001E7EF3" w:rsidRPr="00D50DB8" w:rsidRDefault="001E7EF3" w:rsidP="00D50DB8">
      <w:pPr>
        <w:spacing w:after="0" w:line="480" w:lineRule="auto"/>
        <w:jc w:val="both"/>
        <w:rPr>
          <w:rFonts w:ascii="Arial" w:hAnsi="Arial" w:cs="Arial"/>
        </w:rPr>
      </w:pPr>
    </w:p>
    <w:p w14:paraId="5FFB1272" w14:textId="62E415BA" w:rsidR="00EB3E4C" w:rsidRPr="00D50DB8" w:rsidRDefault="00EB3E4C" w:rsidP="00D50DB8">
      <w:pPr>
        <w:spacing w:after="0" w:line="480" w:lineRule="auto"/>
        <w:jc w:val="both"/>
        <w:rPr>
          <w:rFonts w:ascii="Arial" w:hAnsi="Arial" w:cs="Arial"/>
        </w:rPr>
      </w:pPr>
      <w:r w:rsidRPr="00D50DB8">
        <w:rPr>
          <w:rFonts w:ascii="Arial" w:hAnsi="Arial" w:cs="Arial"/>
        </w:rPr>
        <w:t xml:space="preserve">Participants were required to visit the laboratory to complete a preliminary </w:t>
      </w:r>
      <w:r w:rsidR="00E77A8D" w:rsidRPr="00D50DB8">
        <w:rPr>
          <w:rFonts w:ascii="Arial" w:hAnsi="Arial" w:cs="Arial"/>
        </w:rPr>
        <w:t>VO</w:t>
      </w:r>
      <w:r w:rsidR="00E86D97">
        <w:rPr>
          <w:rFonts w:ascii="Arial" w:hAnsi="Arial" w:cs="Arial"/>
          <w:vertAlign w:val="subscript"/>
        </w:rPr>
        <w:t>2max</w:t>
      </w:r>
      <w:r w:rsidR="00E77A8D" w:rsidRPr="00D50DB8">
        <w:rPr>
          <w:rFonts w:ascii="Arial" w:hAnsi="Arial" w:cs="Arial"/>
        </w:rPr>
        <w:t xml:space="preserve"> test</w:t>
      </w:r>
      <w:r w:rsidR="005B0B06" w:rsidRPr="00D50DB8">
        <w:rPr>
          <w:rFonts w:ascii="Arial" w:hAnsi="Arial" w:cs="Arial"/>
        </w:rPr>
        <w:t xml:space="preserve"> which used a </w:t>
      </w:r>
      <w:r w:rsidRPr="00D50DB8">
        <w:rPr>
          <w:rFonts w:ascii="Arial" w:hAnsi="Arial" w:cs="Arial"/>
        </w:rPr>
        <w:t>ramp incremental exerci</w:t>
      </w:r>
      <w:r w:rsidR="00E77A8D" w:rsidRPr="00D50DB8">
        <w:rPr>
          <w:rFonts w:ascii="Arial" w:hAnsi="Arial" w:cs="Arial"/>
        </w:rPr>
        <w:t xml:space="preserve">se test </w:t>
      </w:r>
      <w:r w:rsidRPr="00D50DB8">
        <w:rPr>
          <w:rFonts w:ascii="Arial" w:hAnsi="Arial" w:cs="Arial"/>
        </w:rPr>
        <w:t xml:space="preserve">on an electronically braked cycle ergometer (Lode Excalibur Sport, Groningen, Netherlands). </w:t>
      </w:r>
      <w:r w:rsidR="005B0B06" w:rsidRPr="00D50DB8">
        <w:rPr>
          <w:rFonts w:ascii="Arial" w:hAnsi="Arial" w:cs="Arial"/>
        </w:rPr>
        <w:t xml:space="preserve">Participants were required to cycle at an initial intensity of 75 W for </w:t>
      </w:r>
      <w:r w:rsidR="00E77A8D" w:rsidRPr="00D50DB8">
        <w:rPr>
          <w:rFonts w:ascii="Arial" w:hAnsi="Arial" w:cs="Arial"/>
        </w:rPr>
        <w:t>1 min</w:t>
      </w:r>
      <w:r w:rsidRPr="00D50DB8">
        <w:rPr>
          <w:rFonts w:ascii="Arial" w:hAnsi="Arial" w:cs="Arial"/>
        </w:rPr>
        <w:t xml:space="preserve">, after which </w:t>
      </w:r>
      <w:r w:rsidR="005B0B06" w:rsidRPr="00D50DB8">
        <w:rPr>
          <w:rFonts w:ascii="Arial" w:hAnsi="Arial" w:cs="Arial"/>
        </w:rPr>
        <w:t xml:space="preserve">the intensity increased at a ramp rate of </w:t>
      </w:r>
      <w:r w:rsidR="00E77A8D" w:rsidRPr="00D50DB8">
        <w:rPr>
          <w:rFonts w:ascii="Arial" w:hAnsi="Arial" w:cs="Arial"/>
        </w:rPr>
        <w:t>30 W.min</w:t>
      </w:r>
      <w:r w:rsidR="00E77A8D" w:rsidRPr="00D50DB8">
        <w:rPr>
          <w:rFonts w:ascii="Arial" w:hAnsi="Arial" w:cs="Arial"/>
          <w:color w:val="222222"/>
          <w:shd w:val="clear" w:color="auto" w:fill="FFFFFF"/>
          <w:vertAlign w:val="superscript"/>
        </w:rPr>
        <w:t>-1</w:t>
      </w:r>
      <w:r w:rsidRPr="00D50DB8">
        <w:rPr>
          <w:rFonts w:ascii="Arial" w:hAnsi="Arial" w:cs="Arial"/>
        </w:rPr>
        <w:t xml:space="preserve"> until </w:t>
      </w:r>
      <w:r w:rsidR="005B0B06" w:rsidRPr="00D50DB8">
        <w:rPr>
          <w:rFonts w:ascii="Arial" w:hAnsi="Arial" w:cs="Arial"/>
        </w:rPr>
        <w:t>volitional fatigue</w:t>
      </w:r>
      <w:r w:rsidRPr="00D50DB8">
        <w:rPr>
          <w:rFonts w:ascii="Arial" w:hAnsi="Arial" w:cs="Arial"/>
        </w:rPr>
        <w:t xml:space="preserve">. Breath-by-breath pulmonary gas exchange data was </w:t>
      </w:r>
      <w:r w:rsidR="00E77A8D" w:rsidRPr="00D50DB8">
        <w:rPr>
          <w:rFonts w:ascii="Arial" w:hAnsi="Arial" w:cs="Arial"/>
        </w:rPr>
        <w:t>collected continuously using a gas analysis system</w:t>
      </w:r>
      <w:r w:rsidRPr="00D50DB8">
        <w:rPr>
          <w:rFonts w:ascii="Arial" w:hAnsi="Arial" w:cs="Arial"/>
        </w:rPr>
        <w:t xml:space="preserve"> (K5, Cosmed, Italy) during the incremental test and </w:t>
      </w:r>
      <w:r w:rsidR="005B0B06" w:rsidRPr="00D50DB8">
        <w:rPr>
          <w:rFonts w:ascii="Arial" w:hAnsi="Arial" w:cs="Arial"/>
        </w:rPr>
        <w:t xml:space="preserve">subsequently analysed using </w:t>
      </w:r>
      <w:r w:rsidR="00E77A8D" w:rsidRPr="00D50DB8">
        <w:rPr>
          <w:rFonts w:ascii="Arial" w:hAnsi="Arial" w:cs="Arial"/>
        </w:rPr>
        <w:t xml:space="preserve">5 s </w:t>
      </w:r>
      <w:r w:rsidR="005B0B06" w:rsidRPr="00D50DB8">
        <w:rPr>
          <w:rFonts w:ascii="Arial" w:hAnsi="Arial" w:cs="Arial"/>
        </w:rPr>
        <w:t>averaging.</w:t>
      </w:r>
      <w:r w:rsidR="00E77A8D" w:rsidRPr="00D50DB8">
        <w:rPr>
          <w:rFonts w:ascii="Arial" w:hAnsi="Arial" w:cs="Arial"/>
        </w:rPr>
        <w:t xml:space="preserve"> The V</w:t>
      </w:r>
      <w:r w:rsidRPr="00D50DB8">
        <w:rPr>
          <w:rFonts w:ascii="Arial" w:hAnsi="Arial" w:cs="Arial"/>
        </w:rPr>
        <w:t>O</w:t>
      </w:r>
      <w:r w:rsidR="00E86D97">
        <w:rPr>
          <w:rFonts w:ascii="Arial" w:hAnsi="Arial" w:cs="Arial"/>
          <w:vertAlign w:val="subscript"/>
        </w:rPr>
        <w:t>2max</w:t>
      </w:r>
      <w:r w:rsidRPr="00D50DB8">
        <w:rPr>
          <w:rFonts w:ascii="Arial" w:hAnsi="Arial" w:cs="Arial"/>
        </w:rPr>
        <w:t xml:space="preserve"> was </w:t>
      </w:r>
      <w:r w:rsidR="00A94E65" w:rsidRPr="00D50DB8">
        <w:rPr>
          <w:rFonts w:ascii="Arial" w:hAnsi="Arial" w:cs="Arial"/>
        </w:rPr>
        <w:t xml:space="preserve">calculated </w:t>
      </w:r>
      <w:r w:rsidRPr="00D50DB8">
        <w:rPr>
          <w:rFonts w:ascii="Arial" w:hAnsi="Arial" w:cs="Arial"/>
        </w:rPr>
        <w:t xml:space="preserve">as </w:t>
      </w:r>
      <w:r w:rsidR="00E77A8D" w:rsidRPr="00D50DB8">
        <w:rPr>
          <w:rFonts w:ascii="Arial" w:hAnsi="Arial" w:cs="Arial"/>
        </w:rPr>
        <w:t>the highest 15 s</w:t>
      </w:r>
      <w:r w:rsidRPr="00D50DB8">
        <w:rPr>
          <w:rFonts w:ascii="Arial" w:hAnsi="Arial" w:cs="Arial"/>
        </w:rPr>
        <w:t xml:space="preserve"> mean value attained before the participants’ volitional termination of the test.</w:t>
      </w:r>
      <w:r w:rsidR="005B0B06" w:rsidRPr="00D50DB8">
        <w:rPr>
          <w:rFonts w:ascii="Arial" w:hAnsi="Arial" w:cs="Arial"/>
        </w:rPr>
        <w:t xml:space="preserve"> Following completion of this test </w:t>
      </w:r>
      <w:r w:rsidRPr="00D50DB8">
        <w:rPr>
          <w:rFonts w:ascii="Arial" w:hAnsi="Arial" w:cs="Arial"/>
        </w:rPr>
        <w:t>participants were familiarised with the Velotron</w:t>
      </w:r>
      <w:r w:rsidRPr="00D50DB8">
        <w:rPr>
          <w:rFonts w:ascii="Arial" w:hAnsi="Arial" w:cs="Arial"/>
          <w:vertAlign w:val="superscript"/>
        </w:rPr>
        <w:t>®</w:t>
      </w:r>
      <w:r w:rsidRPr="00D50DB8">
        <w:rPr>
          <w:rFonts w:ascii="Arial" w:hAnsi="Arial" w:cs="Arial"/>
        </w:rPr>
        <w:t xml:space="preserve"> (RacerMate Inc, Velotron, USA)</w:t>
      </w:r>
      <w:r w:rsidR="005B0B06" w:rsidRPr="00D50DB8">
        <w:rPr>
          <w:rFonts w:ascii="Arial" w:hAnsi="Arial" w:cs="Arial"/>
        </w:rPr>
        <w:t xml:space="preserve"> in order to ensure that the specific frame geometry settings were recorded for use in all subsequent TT laboratory visits.</w:t>
      </w:r>
    </w:p>
    <w:p w14:paraId="7B7DF605" w14:textId="77777777" w:rsidR="001E7EF3" w:rsidRPr="00D50DB8" w:rsidRDefault="001E7EF3" w:rsidP="00D50DB8">
      <w:pPr>
        <w:spacing w:after="0" w:line="480" w:lineRule="auto"/>
        <w:jc w:val="both"/>
        <w:rPr>
          <w:rFonts w:ascii="Arial" w:hAnsi="Arial" w:cs="Arial"/>
        </w:rPr>
      </w:pPr>
    </w:p>
    <w:p w14:paraId="09084AFD" w14:textId="7C40D00D" w:rsidR="00B25AD3" w:rsidRPr="00D50DB8" w:rsidRDefault="00B25AD3" w:rsidP="00D50DB8">
      <w:pPr>
        <w:spacing w:after="0" w:line="480" w:lineRule="auto"/>
        <w:jc w:val="both"/>
        <w:rPr>
          <w:rFonts w:ascii="Arial" w:hAnsi="Arial" w:cs="Arial"/>
        </w:rPr>
      </w:pPr>
      <w:r w:rsidRPr="00D50DB8">
        <w:rPr>
          <w:rFonts w:ascii="Arial" w:hAnsi="Arial" w:cs="Arial"/>
        </w:rPr>
        <w:t>P</w:t>
      </w:r>
      <w:r w:rsidR="00EB3E4C" w:rsidRPr="00D50DB8">
        <w:rPr>
          <w:rFonts w:ascii="Arial" w:hAnsi="Arial" w:cs="Arial"/>
        </w:rPr>
        <w:t xml:space="preserve">articipants </w:t>
      </w:r>
      <w:r w:rsidRPr="00D50DB8">
        <w:rPr>
          <w:rFonts w:ascii="Arial" w:hAnsi="Arial" w:cs="Arial"/>
        </w:rPr>
        <w:t xml:space="preserve">were then required to attend the </w:t>
      </w:r>
      <w:r w:rsidR="00EB3E4C" w:rsidRPr="00D50DB8">
        <w:rPr>
          <w:rFonts w:ascii="Arial" w:hAnsi="Arial" w:cs="Arial"/>
        </w:rPr>
        <w:t xml:space="preserve">laboratory on </w:t>
      </w:r>
      <w:r w:rsidR="00E77A8D" w:rsidRPr="00D50DB8">
        <w:rPr>
          <w:rFonts w:ascii="Arial" w:hAnsi="Arial" w:cs="Arial"/>
        </w:rPr>
        <w:t xml:space="preserve">a further </w:t>
      </w:r>
      <w:r w:rsidR="00EB3E4C" w:rsidRPr="00D50DB8">
        <w:rPr>
          <w:rFonts w:ascii="Arial" w:hAnsi="Arial" w:cs="Arial"/>
        </w:rPr>
        <w:t>three separate occasions</w:t>
      </w:r>
      <w:r w:rsidR="00D74D6E">
        <w:rPr>
          <w:rFonts w:ascii="Arial" w:hAnsi="Arial" w:cs="Arial"/>
        </w:rPr>
        <w:t xml:space="preserve"> </w:t>
      </w:r>
      <w:r w:rsidR="00D74D6E" w:rsidRPr="008F7556">
        <w:rPr>
          <w:rFonts w:ascii="Arial" w:hAnsi="Arial" w:cs="Arial"/>
        </w:rPr>
        <w:t>at the same time of day</w:t>
      </w:r>
      <w:r w:rsidRPr="008F7556">
        <w:rPr>
          <w:rFonts w:ascii="Arial" w:hAnsi="Arial" w:cs="Arial"/>
        </w:rPr>
        <w:t xml:space="preserve">. </w:t>
      </w:r>
      <w:r w:rsidRPr="00D50DB8">
        <w:rPr>
          <w:rFonts w:ascii="Arial" w:hAnsi="Arial" w:cs="Arial"/>
        </w:rPr>
        <w:t xml:space="preserve">Prior to each of these subsequent visits, participants recorded dietary intake and physical activity, which was replicated for the 24 h preceding each visit. They were also instructed to attend </w:t>
      </w:r>
      <w:r w:rsidR="00D74D6E" w:rsidRPr="008F7556">
        <w:rPr>
          <w:rFonts w:ascii="Arial" w:hAnsi="Arial" w:cs="Arial"/>
        </w:rPr>
        <w:t>eu</w:t>
      </w:r>
      <w:r w:rsidRPr="008F7556">
        <w:rPr>
          <w:rFonts w:ascii="Arial" w:hAnsi="Arial" w:cs="Arial"/>
        </w:rPr>
        <w:t xml:space="preserve">hydrated, </w:t>
      </w:r>
      <w:r w:rsidRPr="00D50DB8">
        <w:rPr>
          <w:rFonts w:ascii="Arial" w:hAnsi="Arial" w:cs="Arial"/>
        </w:rPr>
        <w:t>having abstained from caffeine and food ingestion a minimum of 4 h prior to the start of exercise.</w:t>
      </w:r>
      <w:r w:rsidR="00E63B8D" w:rsidRPr="00D50DB8">
        <w:rPr>
          <w:rFonts w:ascii="Arial" w:hAnsi="Arial" w:cs="Arial"/>
        </w:rPr>
        <w:t xml:space="preserve"> Participants were also told to avoid the use of antibacterial mouthwash during the ingestion and testing periods.</w:t>
      </w:r>
      <w:r w:rsidRPr="00D50DB8">
        <w:rPr>
          <w:rFonts w:ascii="Arial" w:hAnsi="Arial" w:cs="Arial"/>
        </w:rPr>
        <w:t xml:space="preserve"> Using a randomised crossover design, </w:t>
      </w:r>
      <w:r w:rsidR="00680C95" w:rsidRPr="00D50DB8">
        <w:rPr>
          <w:rFonts w:ascii="Arial" w:hAnsi="Arial" w:cs="Arial"/>
        </w:rPr>
        <w:t xml:space="preserve">the experimental conditions of nitrate, </w:t>
      </w:r>
      <w:r w:rsidRPr="00D50DB8">
        <w:rPr>
          <w:rFonts w:ascii="Arial" w:hAnsi="Arial" w:cs="Arial"/>
        </w:rPr>
        <w:t xml:space="preserve">placebo and </w:t>
      </w:r>
      <w:r w:rsidR="00680C95" w:rsidRPr="00D50DB8">
        <w:rPr>
          <w:rFonts w:ascii="Arial" w:hAnsi="Arial" w:cs="Arial"/>
        </w:rPr>
        <w:t>control</w:t>
      </w:r>
      <w:r w:rsidRPr="00D50DB8">
        <w:rPr>
          <w:rFonts w:ascii="Arial" w:hAnsi="Arial" w:cs="Arial"/>
        </w:rPr>
        <w:t xml:space="preserve"> </w:t>
      </w:r>
      <w:r w:rsidR="00680C95" w:rsidRPr="00D50DB8">
        <w:rPr>
          <w:rFonts w:ascii="Arial" w:hAnsi="Arial" w:cs="Arial"/>
        </w:rPr>
        <w:t>were administered</w:t>
      </w:r>
      <w:r w:rsidRPr="00D50DB8">
        <w:rPr>
          <w:rFonts w:ascii="Arial" w:hAnsi="Arial" w:cs="Arial"/>
        </w:rPr>
        <w:t>.</w:t>
      </w:r>
      <w:r w:rsidR="00680C95" w:rsidRPr="00D50DB8">
        <w:rPr>
          <w:rFonts w:ascii="Arial" w:hAnsi="Arial" w:cs="Arial"/>
        </w:rPr>
        <w:t xml:space="preserve"> This required participants to ingest either 140 ml of beetroot juice (BEET It sport ® UK) containing 12.8 mmol of </w:t>
      </w:r>
      <w:r w:rsidR="008E1D67" w:rsidRPr="00D50DB8">
        <w:rPr>
          <w:rFonts w:ascii="Arial" w:hAnsi="Arial" w:cs="Arial"/>
        </w:rPr>
        <w:t>NO</w:t>
      </w:r>
      <w:r w:rsidR="008E1D67" w:rsidRPr="00D50DB8">
        <w:rPr>
          <w:rFonts w:ascii="Arial" w:hAnsi="Arial" w:cs="Arial"/>
          <w:vertAlign w:val="subscript"/>
        </w:rPr>
        <w:t>3</w:t>
      </w:r>
      <w:r w:rsidR="008E1D67" w:rsidRPr="00D50DB8">
        <w:rPr>
          <w:rFonts w:ascii="Arial" w:hAnsi="Arial" w:cs="Arial"/>
          <w:vertAlign w:val="superscript"/>
        </w:rPr>
        <w:t>-</w:t>
      </w:r>
      <w:r w:rsidR="00680C95" w:rsidRPr="00D50DB8">
        <w:rPr>
          <w:rFonts w:ascii="Arial" w:hAnsi="Arial" w:cs="Arial"/>
        </w:rPr>
        <w:t xml:space="preserve"> (Larsen et al., 2010) or 140 ml of blackcurrant </w:t>
      </w:r>
      <w:r w:rsidR="00B23635" w:rsidRPr="00D50DB8">
        <w:rPr>
          <w:rFonts w:ascii="Arial" w:hAnsi="Arial" w:cs="Arial"/>
        </w:rPr>
        <w:t xml:space="preserve">(P) </w:t>
      </w:r>
      <w:r w:rsidR="00680C95" w:rsidRPr="00D50DB8">
        <w:rPr>
          <w:rFonts w:ascii="Arial" w:hAnsi="Arial" w:cs="Arial"/>
        </w:rPr>
        <w:t>sugar free cordial (Shannon et al., 201</w:t>
      </w:r>
      <w:r w:rsidR="000B70B9">
        <w:rPr>
          <w:rFonts w:ascii="Arial" w:hAnsi="Arial" w:cs="Arial"/>
        </w:rPr>
        <w:t>6</w:t>
      </w:r>
      <w:r w:rsidR="00680C95" w:rsidRPr="00D50DB8">
        <w:rPr>
          <w:rFonts w:ascii="Arial" w:hAnsi="Arial" w:cs="Arial"/>
        </w:rPr>
        <w:t xml:space="preserve">) once per day for three days. </w:t>
      </w:r>
      <w:r w:rsidR="00110DC8" w:rsidRPr="00D50DB8">
        <w:rPr>
          <w:rFonts w:ascii="Arial" w:hAnsi="Arial" w:cs="Arial"/>
        </w:rPr>
        <w:t xml:space="preserve">Experimental drinks were consumed 3 h prior to the intended exercise time. </w:t>
      </w:r>
      <w:r w:rsidR="00680C95" w:rsidRPr="00D50DB8">
        <w:rPr>
          <w:rFonts w:ascii="Arial" w:hAnsi="Arial" w:cs="Arial"/>
        </w:rPr>
        <w:t xml:space="preserve">In the control condition, participants consumed no experimental supplement. </w:t>
      </w:r>
      <w:r w:rsidR="00110DC8" w:rsidRPr="00D50DB8">
        <w:rPr>
          <w:rFonts w:ascii="Arial" w:hAnsi="Arial" w:cs="Arial"/>
        </w:rPr>
        <w:t xml:space="preserve">A 48 h period between each ingestion strategy was imposed to ensure adequate washout of supplementary </w:t>
      </w:r>
      <w:r w:rsidR="008F7556" w:rsidRPr="008F7556">
        <w:rPr>
          <w:rFonts w:cs="Arial"/>
        </w:rPr>
        <w:t>NO</w:t>
      </w:r>
      <w:r w:rsidR="008F7556" w:rsidRPr="008F7556">
        <w:rPr>
          <w:rFonts w:cs="Arial"/>
          <w:vertAlign w:val="subscript"/>
        </w:rPr>
        <w:t>3</w:t>
      </w:r>
      <w:r w:rsidR="008F7556" w:rsidRPr="008F7556">
        <w:rPr>
          <w:rFonts w:cs="Arial"/>
          <w:vertAlign w:val="superscript"/>
        </w:rPr>
        <w:t>-</w:t>
      </w:r>
      <w:r w:rsidR="008F7556" w:rsidRPr="008F7556">
        <w:rPr>
          <w:rFonts w:ascii="Arial" w:hAnsi="Arial" w:cs="Arial"/>
        </w:rPr>
        <w:t xml:space="preserve"> </w:t>
      </w:r>
      <w:r w:rsidR="00110DC8" w:rsidRPr="00D50DB8">
        <w:rPr>
          <w:rFonts w:ascii="Arial" w:hAnsi="Arial" w:cs="Arial"/>
        </w:rPr>
        <w:t>(Lansley et al., 2011).</w:t>
      </w:r>
    </w:p>
    <w:p w14:paraId="430863E1" w14:textId="77777777" w:rsidR="001E7EF3" w:rsidRPr="00D50DB8" w:rsidRDefault="001E7EF3" w:rsidP="00D50DB8">
      <w:pPr>
        <w:spacing w:after="0" w:line="480" w:lineRule="auto"/>
        <w:jc w:val="both"/>
        <w:rPr>
          <w:rFonts w:ascii="Arial" w:hAnsi="Arial" w:cs="Arial"/>
        </w:rPr>
      </w:pPr>
    </w:p>
    <w:p w14:paraId="7991AC66" w14:textId="3E0AB610" w:rsidR="00EB3E4C" w:rsidRPr="00D50DB8" w:rsidRDefault="00B23635" w:rsidP="00D50DB8">
      <w:pPr>
        <w:spacing w:after="0" w:line="480" w:lineRule="auto"/>
        <w:jc w:val="both"/>
        <w:rPr>
          <w:rFonts w:ascii="Arial" w:hAnsi="Arial" w:cs="Arial"/>
        </w:rPr>
      </w:pPr>
      <w:r w:rsidRPr="00D50DB8">
        <w:rPr>
          <w:rFonts w:ascii="Arial" w:hAnsi="Arial" w:cs="Arial"/>
        </w:rPr>
        <w:t xml:space="preserve">The exercise trials </w:t>
      </w:r>
      <w:r w:rsidR="00244B05" w:rsidRPr="00D50DB8">
        <w:rPr>
          <w:rFonts w:ascii="Arial" w:hAnsi="Arial" w:cs="Arial"/>
        </w:rPr>
        <w:t>required participants to perform a self-selected warm-up for 5 min, which was then replicated prior to all subs</w:t>
      </w:r>
      <w:r w:rsidR="002D3A97">
        <w:rPr>
          <w:rFonts w:ascii="Arial" w:hAnsi="Arial" w:cs="Arial"/>
        </w:rPr>
        <w:t>equent trials. E</w:t>
      </w:r>
      <w:r w:rsidR="00244B05" w:rsidRPr="00D50DB8">
        <w:rPr>
          <w:rFonts w:ascii="Arial" w:hAnsi="Arial" w:cs="Arial"/>
        </w:rPr>
        <w:t xml:space="preserve">xercise performance was </w:t>
      </w:r>
      <w:r w:rsidR="002D3A97">
        <w:rPr>
          <w:rFonts w:ascii="Arial" w:hAnsi="Arial" w:cs="Arial"/>
        </w:rPr>
        <w:t xml:space="preserve">then </w:t>
      </w:r>
      <w:r w:rsidRPr="00D50DB8">
        <w:rPr>
          <w:rFonts w:ascii="Arial" w:hAnsi="Arial" w:cs="Arial"/>
        </w:rPr>
        <w:t>assessed using a 40 km TT at each of final three laboratory visits to assess the effects of the experimental conditions. The TT</w:t>
      </w:r>
      <w:r w:rsidR="00972A66">
        <w:rPr>
          <w:rFonts w:ascii="Arial" w:hAnsi="Arial" w:cs="Arial"/>
        </w:rPr>
        <w:t>’s</w:t>
      </w:r>
      <w:r w:rsidRPr="00D50DB8">
        <w:rPr>
          <w:rFonts w:ascii="Arial" w:hAnsi="Arial" w:cs="Arial"/>
        </w:rPr>
        <w:t xml:space="preserve"> were </w:t>
      </w:r>
      <w:r w:rsidR="00244B05" w:rsidRPr="00D50DB8">
        <w:rPr>
          <w:rFonts w:ascii="Arial" w:hAnsi="Arial" w:cs="Arial"/>
        </w:rPr>
        <w:t xml:space="preserve">performed </w:t>
      </w:r>
      <w:r w:rsidRPr="00D50DB8">
        <w:rPr>
          <w:rFonts w:ascii="Arial" w:hAnsi="Arial" w:cs="Arial"/>
        </w:rPr>
        <w:t>on an electronically braked cycle ergometer (Velotron, Racermate, Seattle, USA)</w:t>
      </w:r>
      <w:r w:rsidR="00244B05" w:rsidRPr="00D50DB8">
        <w:rPr>
          <w:rFonts w:ascii="Arial" w:hAnsi="Arial" w:cs="Arial"/>
        </w:rPr>
        <w:t xml:space="preserve"> which allowed participants to see an avatar representation of their performance </w:t>
      </w:r>
      <w:r w:rsidR="009D2DCF" w:rsidRPr="00D50DB8">
        <w:rPr>
          <w:rFonts w:ascii="Arial" w:hAnsi="Arial" w:cs="Arial"/>
        </w:rPr>
        <w:t xml:space="preserve">via software </w:t>
      </w:r>
      <w:r w:rsidR="00244B05" w:rsidRPr="00D50DB8">
        <w:rPr>
          <w:rFonts w:ascii="Arial" w:hAnsi="Arial" w:cs="Arial"/>
        </w:rPr>
        <w:t>(Velotron 3D, Racermate, Seattle, USA)</w:t>
      </w:r>
      <w:r w:rsidR="009D2DCF" w:rsidRPr="00D50DB8">
        <w:rPr>
          <w:rFonts w:ascii="Arial" w:hAnsi="Arial" w:cs="Arial"/>
        </w:rPr>
        <w:t>, which recorded time, distance, power, and speed. At 10 km intervals, measurements of heart rate (T31, Polar, Finland), ratings of perceived exertion (Borg 1982), felt arousal (Svebak and Murgatroyd, 1985), respiratory gases</w:t>
      </w:r>
      <w:r w:rsidR="00D63E81">
        <w:rPr>
          <w:rFonts w:ascii="Arial" w:hAnsi="Arial" w:cs="Arial"/>
        </w:rPr>
        <w:t xml:space="preserve"> (VO</w:t>
      </w:r>
      <w:r w:rsidR="00D63E81">
        <w:rPr>
          <w:rFonts w:ascii="Arial" w:hAnsi="Arial" w:cs="Arial"/>
          <w:vertAlign w:val="subscript"/>
        </w:rPr>
        <w:t>2</w:t>
      </w:r>
      <w:r w:rsidR="00D63E81">
        <w:rPr>
          <w:rFonts w:ascii="Arial" w:hAnsi="Arial" w:cs="Arial"/>
        </w:rPr>
        <w:t xml:space="preserve">) </w:t>
      </w:r>
      <w:r w:rsidR="009D2DCF" w:rsidRPr="00D50DB8">
        <w:rPr>
          <w:rFonts w:ascii="Arial" w:hAnsi="Arial" w:cs="Arial"/>
        </w:rPr>
        <w:t xml:space="preserve">(K5, Cosmed, Italy) and fingertip capillary blood samples were obtained. </w:t>
      </w:r>
      <w:r w:rsidR="00D63E81">
        <w:rPr>
          <w:rFonts w:ascii="Arial" w:hAnsi="Arial" w:cs="Arial"/>
        </w:rPr>
        <w:t>Blood samples were analysed to determ</w:t>
      </w:r>
      <w:r w:rsidR="00D63E81" w:rsidRPr="008F7556">
        <w:rPr>
          <w:rFonts w:ascii="Arial" w:hAnsi="Arial" w:cs="Arial"/>
        </w:rPr>
        <w:t>ine blood pH and bicarbonate ion (HCO</w:t>
      </w:r>
      <w:r w:rsidR="00D63E81" w:rsidRPr="008F7556">
        <w:rPr>
          <w:rFonts w:ascii="Arial" w:hAnsi="Arial" w:cs="Arial"/>
          <w:vertAlign w:val="subscript"/>
        </w:rPr>
        <w:t>3</w:t>
      </w:r>
      <w:r w:rsidR="00D63E81" w:rsidRPr="008F7556">
        <w:rPr>
          <w:rFonts w:ascii="Arial" w:hAnsi="Arial" w:cs="Arial"/>
          <w:vertAlign w:val="superscript"/>
        </w:rPr>
        <w:t>-</w:t>
      </w:r>
      <w:r w:rsidR="00D63E81" w:rsidRPr="008F7556">
        <w:rPr>
          <w:rFonts w:ascii="Arial" w:hAnsi="Arial" w:cs="Arial"/>
        </w:rPr>
        <w:t xml:space="preserve">) concentrations </w:t>
      </w:r>
      <w:r w:rsidR="009D2DCF" w:rsidRPr="00D50DB8">
        <w:rPr>
          <w:rFonts w:ascii="Arial" w:hAnsi="Arial" w:cs="Arial"/>
        </w:rPr>
        <w:t xml:space="preserve">(ABL800 basic, Radiometer, Denmark) and blood lactate (Lactate Pro2 LT-1730, Arkray, Japan). During the TT all performance data were obscured from view apart from distance completed and </w:t>
      </w:r>
      <w:r w:rsidR="00EB3E4C" w:rsidRPr="00D50DB8">
        <w:rPr>
          <w:rFonts w:ascii="Arial" w:hAnsi="Arial" w:cs="Arial"/>
        </w:rPr>
        <w:t>remaining</w:t>
      </w:r>
      <w:r w:rsidR="009D2DCF" w:rsidRPr="00D50DB8">
        <w:rPr>
          <w:rFonts w:ascii="Arial" w:hAnsi="Arial" w:cs="Arial"/>
        </w:rPr>
        <w:t xml:space="preserve">. </w:t>
      </w:r>
      <w:r w:rsidR="00EB3E4C" w:rsidRPr="00D50DB8">
        <w:rPr>
          <w:rFonts w:ascii="Arial" w:hAnsi="Arial" w:cs="Arial"/>
        </w:rPr>
        <w:t>Participants receive</w:t>
      </w:r>
      <w:r w:rsidR="008C3DA4" w:rsidRPr="00D50DB8">
        <w:rPr>
          <w:rFonts w:ascii="Arial" w:hAnsi="Arial" w:cs="Arial"/>
        </w:rPr>
        <w:t xml:space="preserve">d no </w:t>
      </w:r>
      <w:r w:rsidR="00EB3E4C" w:rsidRPr="00D50DB8">
        <w:rPr>
          <w:rFonts w:ascii="Arial" w:hAnsi="Arial" w:cs="Arial"/>
        </w:rPr>
        <w:t>verbal or temporal feedback</w:t>
      </w:r>
      <w:r w:rsidR="008C3DA4" w:rsidRPr="00D50DB8">
        <w:rPr>
          <w:rFonts w:ascii="Arial" w:hAnsi="Arial" w:cs="Arial"/>
        </w:rPr>
        <w:t>,</w:t>
      </w:r>
      <w:r w:rsidR="00EB3E4C" w:rsidRPr="00D50DB8">
        <w:rPr>
          <w:rFonts w:ascii="Arial" w:hAnsi="Arial" w:cs="Arial"/>
        </w:rPr>
        <w:t xml:space="preserve"> or any encou</w:t>
      </w:r>
      <w:r w:rsidR="009D2DCF" w:rsidRPr="00D50DB8">
        <w:rPr>
          <w:rFonts w:ascii="Arial" w:hAnsi="Arial" w:cs="Arial"/>
        </w:rPr>
        <w:t xml:space="preserve">ragement during the TT. </w:t>
      </w:r>
    </w:p>
    <w:p w14:paraId="4D4900EC" w14:textId="77777777" w:rsidR="003904F5" w:rsidRPr="00D50DB8" w:rsidRDefault="003904F5" w:rsidP="00D50DB8">
      <w:pPr>
        <w:pStyle w:val="NoSpacing"/>
        <w:spacing w:line="480" w:lineRule="auto"/>
        <w:jc w:val="both"/>
        <w:rPr>
          <w:rFonts w:cs="Arial"/>
          <w:b/>
          <w:sz w:val="22"/>
        </w:rPr>
      </w:pPr>
    </w:p>
    <w:p w14:paraId="54FA2555" w14:textId="49617F70" w:rsidR="009F5027" w:rsidRPr="00D50DB8" w:rsidRDefault="0063793D" w:rsidP="00D50DB8">
      <w:pPr>
        <w:pStyle w:val="NoSpacing"/>
        <w:spacing w:line="480" w:lineRule="auto"/>
        <w:jc w:val="both"/>
        <w:rPr>
          <w:rFonts w:cs="Arial"/>
          <w:b/>
          <w:sz w:val="22"/>
        </w:rPr>
      </w:pPr>
      <w:r w:rsidRPr="00D50DB8">
        <w:rPr>
          <w:rFonts w:cs="Arial"/>
          <w:b/>
          <w:sz w:val="22"/>
        </w:rPr>
        <w:t>Statistical</w:t>
      </w:r>
      <w:r w:rsidR="009F5027" w:rsidRPr="00D50DB8">
        <w:rPr>
          <w:rFonts w:cs="Arial"/>
          <w:b/>
          <w:sz w:val="22"/>
        </w:rPr>
        <w:t xml:space="preserve"> Analysis</w:t>
      </w:r>
    </w:p>
    <w:p w14:paraId="7964542C" w14:textId="537A05E9" w:rsidR="00EB3E4C" w:rsidRPr="00D50DB8" w:rsidRDefault="00EB3E4C" w:rsidP="00D50DB8">
      <w:pPr>
        <w:pStyle w:val="NoSpacing"/>
        <w:spacing w:line="480" w:lineRule="auto"/>
        <w:jc w:val="both"/>
        <w:rPr>
          <w:rFonts w:cs="Arial"/>
          <w:sz w:val="22"/>
        </w:rPr>
      </w:pPr>
      <w:r w:rsidRPr="00D50DB8">
        <w:rPr>
          <w:rFonts w:cs="Arial"/>
          <w:sz w:val="22"/>
        </w:rPr>
        <w:t>Data w</w:t>
      </w:r>
      <w:r w:rsidR="00CF3345" w:rsidRPr="00D50DB8">
        <w:rPr>
          <w:rFonts w:cs="Arial"/>
          <w:sz w:val="22"/>
        </w:rPr>
        <w:t>ere assessed for normality using standard graphical procedures</w:t>
      </w:r>
      <w:r w:rsidR="0063793D" w:rsidRPr="00D50DB8">
        <w:rPr>
          <w:rFonts w:cs="Arial"/>
          <w:sz w:val="22"/>
        </w:rPr>
        <w:t xml:space="preserve">. </w:t>
      </w:r>
      <w:r w:rsidR="00CF3345" w:rsidRPr="00D50DB8">
        <w:rPr>
          <w:rFonts w:cs="Arial"/>
          <w:sz w:val="22"/>
        </w:rPr>
        <w:t xml:space="preserve">All </w:t>
      </w:r>
      <w:r w:rsidR="0063793D" w:rsidRPr="00D50DB8">
        <w:rPr>
          <w:rFonts w:cs="Arial"/>
          <w:sz w:val="22"/>
        </w:rPr>
        <w:t xml:space="preserve">respiratory and blood biochemical responses, RPE, felt arousal, heart rate and mean performance indicators (time, speed and power output) were analysed </w:t>
      </w:r>
      <w:r w:rsidR="00CF3345" w:rsidRPr="00D50DB8">
        <w:rPr>
          <w:rFonts w:cs="Arial"/>
          <w:sz w:val="22"/>
        </w:rPr>
        <w:t xml:space="preserve">using </w:t>
      </w:r>
      <w:r w:rsidRPr="00D50DB8">
        <w:rPr>
          <w:rFonts w:cs="Arial"/>
          <w:sz w:val="22"/>
        </w:rPr>
        <w:t>repeated measures A</w:t>
      </w:r>
      <w:r w:rsidR="009F5027" w:rsidRPr="00D50DB8">
        <w:rPr>
          <w:rFonts w:cs="Arial"/>
          <w:sz w:val="22"/>
        </w:rPr>
        <w:t>NOVA</w:t>
      </w:r>
      <w:r w:rsidR="0063793D" w:rsidRPr="00D50DB8">
        <w:rPr>
          <w:rFonts w:cs="Arial"/>
          <w:sz w:val="22"/>
        </w:rPr>
        <w:t>. Post-hoc pairwise comparisons were made using a Bonferroni procedure. E</w:t>
      </w:r>
      <w:r w:rsidR="000967C2" w:rsidRPr="00D50DB8">
        <w:rPr>
          <w:rFonts w:cs="Arial"/>
          <w:sz w:val="22"/>
        </w:rPr>
        <w:t xml:space="preserve">ffect sizes were </w:t>
      </w:r>
      <w:r w:rsidR="0063793D" w:rsidRPr="00D50DB8">
        <w:rPr>
          <w:rFonts w:cs="Arial"/>
          <w:sz w:val="22"/>
        </w:rPr>
        <w:t xml:space="preserve">calculated using </w:t>
      </w:r>
      <w:r w:rsidR="006A0C4C" w:rsidRPr="00D50DB8">
        <w:rPr>
          <w:rFonts w:cs="Arial"/>
          <w:sz w:val="22"/>
        </w:rPr>
        <w:t>partial eta squared (</w:t>
      </w:r>
      <w:r w:rsidR="0063793D" w:rsidRPr="001E784C">
        <w:rPr>
          <w:rFonts w:cs="Arial"/>
          <w:sz w:val="22"/>
        </w:rPr>
        <w:t>ƞp</w:t>
      </w:r>
      <w:r w:rsidR="0063793D" w:rsidRPr="001E784C">
        <w:rPr>
          <w:rFonts w:cs="Arial"/>
          <w:sz w:val="22"/>
          <w:vertAlign w:val="superscript"/>
        </w:rPr>
        <w:t>2</w:t>
      </w:r>
      <w:r w:rsidR="006A0C4C" w:rsidRPr="00D50DB8">
        <w:rPr>
          <w:rFonts w:cs="Arial"/>
          <w:sz w:val="22"/>
        </w:rPr>
        <w:t xml:space="preserve">), and were interpreted </w:t>
      </w:r>
      <w:r w:rsidR="007C58EF" w:rsidRPr="00D50DB8">
        <w:rPr>
          <w:rFonts w:cs="Arial"/>
          <w:sz w:val="22"/>
        </w:rPr>
        <w:t xml:space="preserve">as: </w:t>
      </w:r>
      <w:r w:rsidR="00D90CCB" w:rsidRPr="00D50DB8">
        <w:rPr>
          <w:rFonts w:cs="Arial"/>
          <w:sz w:val="22"/>
        </w:rPr>
        <w:t xml:space="preserve">a </w:t>
      </w:r>
      <w:r w:rsidR="007C58EF" w:rsidRPr="00D50DB8">
        <w:rPr>
          <w:rFonts w:cs="Arial"/>
          <w:sz w:val="22"/>
        </w:rPr>
        <w:t xml:space="preserve">small (&lt; 0.01), medium (0.01 - 0.06) </w:t>
      </w:r>
      <w:r w:rsidR="00D90CCB" w:rsidRPr="00D50DB8">
        <w:rPr>
          <w:rFonts w:cs="Arial"/>
          <w:sz w:val="22"/>
        </w:rPr>
        <w:t>or a</w:t>
      </w:r>
      <w:r w:rsidR="007C58EF" w:rsidRPr="00D50DB8">
        <w:rPr>
          <w:rFonts w:cs="Arial"/>
          <w:sz w:val="22"/>
        </w:rPr>
        <w:t xml:space="preserve"> large (≥ 0.14) effect.</w:t>
      </w:r>
      <w:r w:rsidR="00D90CCB" w:rsidRPr="00D50DB8">
        <w:rPr>
          <w:rFonts w:cs="Arial"/>
          <w:sz w:val="22"/>
        </w:rPr>
        <w:t xml:space="preserve"> </w:t>
      </w:r>
      <w:r w:rsidR="006A0C4C" w:rsidRPr="00D50DB8">
        <w:rPr>
          <w:rFonts w:cs="Arial"/>
          <w:sz w:val="22"/>
        </w:rPr>
        <w:t>S</w:t>
      </w:r>
      <w:r w:rsidRPr="00D50DB8">
        <w:rPr>
          <w:rFonts w:cs="Arial"/>
          <w:sz w:val="22"/>
        </w:rPr>
        <w:t xml:space="preserve">tatistical significance </w:t>
      </w:r>
      <w:r w:rsidR="006A0C4C" w:rsidRPr="00D50DB8">
        <w:rPr>
          <w:rFonts w:cs="Arial"/>
          <w:sz w:val="22"/>
        </w:rPr>
        <w:t xml:space="preserve">was </w:t>
      </w:r>
      <w:r w:rsidRPr="00D50DB8">
        <w:rPr>
          <w:rFonts w:cs="Arial"/>
          <w:sz w:val="22"/>
        </w:rPr>
        <w:t xml:space="preserve">set at </w:t>
      </w:r>
      <w:r w:rsidR="006A0C4C" w:rsidRPr="00D50DB8">
        <w:rPr>
          <w:rFonts w:cs="Arial"/>
          <w:sz w:val="22"/>
        </w:rPr>
        <w:t xml:space="preserve">p </w:t>
      </w:r>
      <w:r w:rsidRPr="00D50DB8">
        <w:rPr>
          <w:rFonts w:cs="Arial"/>
          <w:sz w:val="22"/>
        </w:rPr>
        <w:t>&lt;</w:t>
      </w:r>
      <w:r w:rsidR="006A0C4C" w:rsidRPr="00D50DB8">
        <w:rPr>
          <w:rFonts w:cs="Arial"/>
          <w:sz w:val="22"/>
        </w:rPr>
        <w:t xml:space="preserve"> 0.05 and all procedures were conducted using SPSS for Windows (Version 22, IBM®, </w:t>
      </w:r>
      <w:r w:rsidR="00D90CCB" w:rsidRPr="00D50DB8">
        <w:rPr>
          <w:rFonts w:cs="Arial"/>
          <w:sz w:val="22"/>
        </w:rPr>
        <w:t>Chicago</w:t>
      </w:r>
      <w:r w:rsidR="006A0C4C" w:rsidRPr="00D50DB8">
        <w:rPr>
          <w:rFonts w:cs="Arial"/>
          <w:sz w:val="22"/>
        </w:rPr>
        <w:t>, U</w:t>
      </w:r>
      <w:r w:rsidR="00D90CCB" w:rsidRPr="00D50DB8">
        <w:rPr>
          <w:rFonts w:cs="Arial"/>
          <w:sz w:val="22"/>
        </w:rPr>
        <w:t>SA</w:t>
      </w:r>
      <w:r w:rsidR="006A0C4C" w:rsidRPr="00D50DB8">
        <w:rPr>
          <w:rFonts w:cs="Arial"/>
          <w:sz w:val="22"/>
        </w:rPr>
        <w:t xml:space="preserve">). </w:t>
      </w:r>
    </w:p>
    <w:p w14:paraId="1F9ACE53" w14:textId="77777777" w:rsidR="00857E3C" w:rsidRPr="00D50DB8" w:rsidRDefault="00857E3C" w:rsidP="00D50DB8">
      <w:pPr>
        <w:pStyle w:val="NoSpacing"/>
        <w:spacing w:line="480" w:lineRule="auto"/>
        <w:jc w:val="both"/>
        <w:rPr>
          <w:rFonts w:cs="Arial"/>
          <w:b/>
          <w:sz w:val="22"/>
        </w:rPr>
      </w:pPr>
    </w:p>
    <w:p w14:paraId="18FE02F0" w14:textId="38333591" w:rsidR="00EB3E4C" w:rsidRPr="00D50DB8" w:rsidRDefault="00EB3E4C" w:rsidP="00D50DB8">
      <w:pPr>
        <w:pStyle w:val="NoSpacing"/>
        <w:spacing w:line="480" w:lineRule="auto"/>
        <w:jc w:val="both"/>
        <w:rPr>
          <w:rFonts w:cs="Arial"/>
          <w:b/>
          <w:sz w:val="22"/>
        </w:rPr>
      </w:pPr>
      <w:r w:rsidRPr="00D50DB8">
        <w:rPr>
          <w:rFonts w:cs="Arial"/>
          <w:b/>
          <w:sz w:val="22"/>
        </w:rPr>
        <w:t>Results</w:t>
      </w:r>
    </w:p>
    <w:p w14:paraId="4EAEF311" w14:textId="69B7E3BB" w:rsidR="003904F5" w:rsidRPr="00D50DB8" w:rsidRDefault="00A56CD6" w:rsidP="00D50DB8">
      <w:pPr>
        <w:pStyle w:val="NoSpacing"/>
        <w:spacing w:line="480" w:lineRule="auto"/>
        <w:jc w:val="both"/>
        <w:rPr>
          <w:rFonts w:cs="Arial"/>
          <w:sz w:val="22"/>
        </w:rPr>
      </w:pPr>
      <w:r w:rsidRPr="00D50DB8">
        <w:rPr>
          <w:rFonts w:cs="Arial"/>
          <w:sz w:val="22"/>
        </w:rPr>
        <w:t xml:space="preserve">Ingestion of the </w:t>
      </w:r>
      <w:r w:rsidR="008E1D67" w:rsidRPr="00D50DB8">
        <w:rPr>
          <w:rFonts w:cs="Arial"/>
          <w:sz w:val="22"/>
        </w:rPr>
        <w:t>NO</w:t>
      </w:r>
      <w:r w:rsidR="008E1D67" w:rsidRPr="00D50DB8">
        <w:rPr>
          <w:rFonts w:cs="Arial"/>
          <w:sz w:val="22"/>
          <w:vertAlign w:val="subscript"/>
        </w:rPr>
        <w:t>3</w:t>
      </w:r>
      <w:r w:rsidR="008E1D67" w:rsidRPr="00D50DB8">
        <w:rPr>
          <w:rFonts w:cs="Arial"/>
          <w:sz w:val="22"/>
          <w:vertAlign w:val="superscript"/>
        </w:rPr>
        <w:t>-</w:t>
      </w:r>
      <w:r w:rsidRPr="00D50DB8">
        <w:rPr>
          <w:rFonts w:cs="Arial"/>
          <w:sz w:val="22"/>
        </w:rPr>
        <w:t xml:space="preserve"> drink had no significant effect on overall TT performance</w:t>
      </w:r>
      <w:r w:rsidR="00C8233B" w:rsidRPr="00D50DB8">
        <w:rPr>
          <w:rFonts w:cs="Arial"/>
          <w:sz w:val="22"/>
        </w:rPr>
        <w:t xml:space="preserve"> time</w:t>
      </w:r>
      <w:r w:rsidRPr="00D50DB8">
        <w:rPr>
          <w:rFonts w:cs="Arial"/>
          <w:sz w:val="22"/>
        </w:rPr>
        <w:t xml:space="preserve"> </w:t>
      </w:r>
      <w:r w:rsidR="00C8233B" w:rsidRPr="00D50DB8">
        <w:rPr>
          <w:rFonts w:cs="Arial"/>
          <w:sz w:val="22"/>
        </w:rPr>
        <w:t>(figure 1</w:t>
      </w:r>
      <w:r w:rsidR="009640AA">
        <w:rPr>
          <w:rFonts w:cs="Arial"/>
          <w:sz w:val="22"/>
        </w:rPr>
        <w:t xml:space="preserve"> a and </w:t>
      </w:r>
      <w:r w:rsidR="009F1CFA">
        <w:rPr>
          <w:rFonts w:cs="Arial"/>
          <w:sz w:val="22"/>
        </w:rPr>
        <w:t>1</w:t>
      </w:r>
      <w:r w:rsidR="009640AA">
        <w:rPr>
          <w:rFonts w:cs="Arial"/>
          <w:sz w:val="22"/>
        </w:rPr>
        <w:t>b</w:t>
      </w:r>
      <w:r w:rsidR="00C8233B" w:rsidRPr="00D50DB8">
        <w:rPr>
          <w:rFonts w:cs="Arial"/>
          <w:sz w:val="22"/>
        </w:rPr>
        <w:t>), mean power</w:t>
      </w:r>
      <w:r w:rsidR="000E721A" w:rsidRPr="00D50DB8">
        <w:rPr>
          <w:rFonts w:cs="Arial"/>
          <w:sz w:val="22"/>
        </w:rPr>
        <w:t>,</w:t>
      </w:r>
      <w:r w:rsidR="00C8233B" w:rsidRPr="00D50DB8">
        <w:rPr>
          <w:rFonts w:cs="Arial"/>
          <w:sz w:val="22"/>
        </w:rPr>
        <w:t xml:space="preserve"> or mean speed</w:t>
      </w:r>
      <w:r w:rsidR="000E721A" w:rsidRPr="00D50DB8">
        <w:rPr>
          <w:rFonts w:cs="Arial"/>
          <w:sz w:val="22"/>
        </w:rPr>
        <w:t xml:space="preserve"> </w:t>
      </w:r>
      <w:r w:rsidR="00C8233B" w:rsidRPr="00D50DB8">
        <w:rPr>
          <w:rFonts w:cs="Arial"/>
          <w:sz w:val="22"/>
        </w:rPr>
        <w:t xml:space="preserve">(f = </w:t>
      </w:r>
      <w:r w:rsidR="009F1CFA">
        <w:rPr>
          <w:rFonts w:cs="Arial"/>
          <w:sz w:val="22"/>
        </w:rPr>
        <w:t>1.27</w:t>
      </w:r>
      <w:r w:rsidR="00C8233B" w:rsidRPr="00D50DB8">
        <w:rPr>
          <w:rFonts w:cs="Arial"/>
          <w:sz w:val="22"/>
        </w:rPr>
        <w:t>, p = 0.</w:t>
      </w:r>
      <w:r w:rsidR="009F1CFA">
        <w:rPr>
          <w:rFonts w:cs="Arial"/>
          <w:sz w:val="22"/>
        </w:rPr>
        <w:t>296</w:t>
      </w:r>
      <w:r w:rsidR="00C8233B" w:rsidRPr="00D50DB8">
        <w:rPr>
          <w:rFonts w:cs="Arial"/>
          <w:sz w:val="22"/>
        </w:rPr>
        <w:t>, ƞp</w:t>
      </w:r>
      <w:r w:rsidR="00C8233B" w:rsidRPr="00D50DB8">
        <w:rPr>
          <w:rFonts w:cs="Arial"/>
          <w:sz w:val="22"/>
          <w:vertAlign w:val="superscript"/>
        </w:rPr>
        <w:t>2</w:t>
      </w:r>
      <w:r w:rsidR="00C8233B" w:rsidRPr="00D50DB8">
        <w:rPr>
          <w:rFonts w:cs="Arial"/>
          <w:sz w:val="22"/>
        </w:rPr>
        <w:t xml:space="preserve"> = 0.</w:t>
      </w:r>
      <w:r w:rsidR="009F1CFA">
        <w:rPr>
          <w:rFonts w:cs="Arial"/>
          <w:sz w:val="22"/>
        </w:rPr>
        <w:t>11,</w:t>
      </w:r>
      <w:r w:rsidR="00C8233B" w:rsidRPr="00D50DB8">
        <w:rPr>
          <w:rFonts w:cs="Arial"/>
          <w:sz w:val="22"/>
        </w:rPr>
        <w:t xml:space="preserve"> f = </w:t>
      </w:r>
      <w:r w:rsidR="009F1CFA">
        <w:rPr>
          <w:rFonts w:cs="Arial"/>
          <w:sz w:val="22"/>
        </w:rPr>
        <w:t>1.14</w:t>
      </w:r>
      <w:r w:rsidR="00C8233B" w:rsidRPr="00D50DB8">
        <w:rPr>
          <w:rFonts w:cs="Arial"/>
          <w:sz w:val="22"/>
        </w:rPr>
        <w:t>, p = 0.</w:t>
      </w:r>
      <w:r w:rsidR="009F1CFA">
        <w:rPr>
          <w:rFonts w:cs="Arial"/>
          <w:sz w:val="22"/>
        </w:rPr>
        <w:t>339,</w:t>
      </w:r>
      <w:r w:rsidR="00C8233B" w:rsidRPr="00D50DB8">
        <w:rPr>
          <w:rFonts w:cs="Arial"/>
          <w:sz w:val="22"/>
        </w:rPr>
        <w:t xml:space="preserve"> ƞp</w:t>
      </w:r>
      <w:r w:rsidR="00C8233B" w:rsidRPr="00D50DB8">
        <w:rPr>
          <w:rFonts w:cs="Arial"/>
          <w:sz w:val="22"/>
          <w:vertAlign w:val="superscript"/>
        </w:rPr>
        <w:t>2</w:t>
      </w:r>
      <w:r w:rsidR="00C8233B" w:rsidRPr="00D50DB8">
        <w:rPr>
          <w:rFonts w:cs="Arial"/>
          <w:sz w:val="22"/>
        </w:rPr>
        <w:t xml:space="preserve"> = 0.</w:t>
      </w:r>
      <w:r w:rsidR="009F1CFA">
        <w:rPr>
          <w:rFonts w:cs="Arial"/>
          <w:sz w:val="22"/>
        </w:rPr>
        <w:t>1</w:t>
      </w:r>
      <w:r w:rsidR="00C8233B" w:rsidRPr="00D50DB8">
        <w:rPr>
          <w:rFonts w:cs="Arial"/>
          <w:sz w:val="22"/>
        </w:rPr>
        <w:t xml:space="preserve">0; </w:t>
      </w:r>
      <w:r w:rsidR="003904F5" w:rsidRPr="00D50DB8">
        <w:rPr>
          <w:rFonts w:cs="Arial"/>
          <w:sz w:val="22"/>
        </w:rPr>
        <w:t xml:space="preserve">and </w:t>
      </w:r>
      <w:r w:rsidR="00C8233B" w:rsidRPr="00D50DB8">
        <w:rPr>
          <w:rFonts w:cs="Arial"/>
          <w:sz w:val="22"/>
        </w:rPr>
        <w:t xml:space="preserve">f = </w:t>
      </w:r>
      <w:r w:rsidR="009F1CFA">
        <w:rPr>
          <w:rFonts w:cs="Arial"/>
          <w:sz w:val="22"/>
        </w:rPr>
        <w:t>1.15</w:t>
      </w:r>
      <w:r w:rsidR="00C8233B" w:rsidRPr="00D50DB8">
        <w:rPr>
          <w:rFonts w:cs="Arial"/>
          <w:sz w:val="22"/>
        </w:rPr>
        <w:t>, p = 0.</w:t>
      </w:r>
      <w:r w:rsidR="009F1CFA">
        <w:rPr>
          <w:rFonts w:cs="Arial"/>
          <w:sz w:val="22"/>
        </w:rPr>
        <w:t>336,</w:t>
      </w:r>
      <w:r w:rsidR="00C8233B" w:rsidRPr="00D50DB8">
        <w:rPr>
          <w:rFonts w:cs="Arial"/>
          <w:sz w:val="22"/>
        </w:rPr>
        <w:t xml:space="preserve"> ƞp</w:t>
      </w:r>
      <w:r w:rsidR="00C8233B" w:rsidRPr="00D50DB8">
        <w:rPr>
          <w:rFonts w:cs="Arial"/>
          <w:sz w:val="22"/>
          <w:vertAlign w:val="superscript"/>
        </w:rPr>
        <w:t>2</w:t>
      </w:r>
      <w:r w:rsidR="00C8233B" w:rsidRPr="00D50DB8">
        <w:rPr>
          <w:rFonts w:cs="Arial"/>
          <w:sz w:val="22"/>
        </w:rPr>
        <w:t xml:space="preserve"> = 0.</w:t>
      </w:r>
      <w:r w:rsidR="009F1CFA">
        <w:rPr>
          <w:rFonts w:cs="Arial"/>
          <w:sz w:val="22"/>
        </w:rPr>
        <w:t>10</w:t>
      </w:r>
      <w:r w:rsidR="00C8233B" w:rsidRPr="00D50DB8">
        <w:rPr>
          <w:rFonts w:cs="Arial"/>
          <w:sz w:val="22"/>
        </w:rPr>
        <w:t>)</w:t>
      </w:r>
      <w:r w:rsidR="003904F5" w:rsidRPr="00D50DB8">
        <w:rPr>
          <w:rFonts w:cs="Arial"/>
          <w:sz w:val="22"/>
        </w:rPr>
        <w:t xml:space="preserve"> respectively. There was also no effect on either mean heart rate (f = 3.51, p = 0.054, ƞp</w:t>
      </w:r>
      <w:r w:rsidR="003904F5" w:rsidRPr="00D50DB8">
        <w:rPr>
          <w:rFonts w:cs="Arial"/>
          <w:sz w:val="22"/>
          <w:vertAlign w:val="superscript"/>
        </w:rPr>
        <w:t>2</w:t>
      </w:r>
      <w:r w:rsidR="003904F5" w:rsidRPr="00D50DB8">
        <w:rPr>
          <w:rFonts w:cs="Arial"/>
          <w:sz w:val="22"/>
        </w:rPr>
        <w:t xml:space="preserve"> = 0.31) or VO</w:t>
      </w:r>
      <w:r w:rsidR="003904F5" w:rsidRPr="00D50DB8">
        <w:rPr>
          <w:rFonts w:cs="Arial"/>
          <w:sz w:val="22"/>
          <w:vertAlign w:val="subscript"/>
        </w:rPr>
        <w:t>2</w:t>
      </w:r>
      <w:r w:rsidR="003904F5" w:rsidRPr="00D50DB8">
        <w:rPr>
          <w:rFonts w:cs="Arial"/>
          <w:sz w:val="22"/>
        </w:rPr>
        <w:t xml:space="preserve"> (f = </w:t>
      </w:r>
      <w:r w:rsidR="009F1CFA">
        <w:rPr>
          <w:rFonts w:cs="Arial"/>
          <w:sz w:val="22"/>
        </w:rPr>
        <w:t>1.47</w:t>
      </w:r>
      <w:r w:rsidR="003904F5" w:rsidRPr="00D50DB8">
        <w:rPr>
          <w:rFonts w:cs="Arial"/>
          <w:sz w:val="22"/>
        </w:rPr>
        <w:t>, p = 0.</w:t>
      </w:r>
      <w:r w:rsidR="009F1CFA">
        <w:rPr>
          <w:rFonts w:cs="Arial"/>
          <w:sz w:val="22"/>
        </w:rPr>
        <w:t>253</w:t>
      </w:r>
      <w:r w:rsidR="003904F5" w:rsidRPr="00D50DB8">
        <w:rPr>
          <w:rFonts w:cs="Arial"/>
          <w:sz w:val="22"/>
        </w:rPr>
        <w:t>, ƞp</w:t>
      </w:r>
      <w:r w:rsidR="003904F5" w:rsidRPr="00D50DB8">
        <w:rPr>
          <w:rFonts w:cs="Arial"/>
          <w:sz w:val="22"/>
          <w:vertAlign w:val="superscript"/>
        </w:rPr>
        <w:t>2</w:t>
      </w:r>
      <w:r w:rsidR="003904F5" w:rsidRPr="00D50DB8">
        <w:rPr>
          <w:rFonts w:cs="Arial"/>
          <w:sz w:val="22"/>
        </w:rPr>
        <w:t xml:space="preserve"> = 0.</w:t>
      </w:r>
      <w:r w:rsidR="009F1CFA">
        <w:rPr>
          <w:rFonts w:cs="Arial"/>
          <w:sz w:val="22"/>
        </w:rPr>
        <w:t>13</w:t>
      </w:r>
      <w:r w:rsidR="003904F5" w:rsidRPr="00D50DB8">
        <w:rPr>
          <w:rFonts w:cs="Arial"/>
          <w:sz w:val="22"/>
        </w:rPr>
        <w:t>), but there was a significant increase in VO</w:t>
      </w:r>
      <w:r w:rsidR="003904F5" w:rsidRPr="00D50DB8">
        <w:rPr>
          <w:rFonts w:cs="Arial"/>
          <w:sz w:val="22"/>
          <w:vertAlign w:val="subscript"/>
        </w:rPr>
        <w:t>2</w:t>
      </w:r>
      <w:r w:rsidR="003904F5" w:rsidRPr="00D50DB8">
        <w:rPr>
          <w:rFonts w:cs="Arial"/>
          <w:sz w:val="22"/>
        </w:rPr>
        <w:t xml:space="preserve"> (f = </w:t>
      </w:r>
      <w:r w:rsidR="009F1CFA">
        <w:rPr>
          <w:rFonts w:cs="Arial"/>
          <w:sz w:val="22"/>
        </w:rPr>
        <w:t>25.68</w:t>
      </w:r>
      <w:r w:rsidR="003904F5" w:rsidRPr="00D50DB8">
        <w:rPr>
          <w:rFonts w:cs="Arial"/>
          <w:sz w:val="22"/>
        </w:rPr>
        <w:t>, p &lt; 0.001, ƞp</w:t>
      </w:r>
      <w:r w:rsidR="003904F5" w:rsidRPr="00D50DB8">
        <w:rPr>
          <w:rFonts w:cs="Arial"/>
          <w:sz w:val="22"/>
          <w:vertAlign w:val="superscript"/>
        </w:rPr>
        <w:t>2</w:t>
      </w:r>
      <w:r w:rsidR="003904F5" w:rsidRPr="00D50DB8">
        <w:rPr>
          <w:rFonts w:cs="Arial"/>
          <w:sz w:val="22"/>
        </w:rPr>
        <w:t xml:space="preserve"> = 0.7</w:t>
      </w:r>
      <w:r w:rsidR="009F1CFA">
        <w:rPr>
          <w:rFonts w:cs="Arial"/>
          <w:sz w:val="22"/>
        </w:rPr>
        <w:t>2</w:t>
      </w:r>
      <w:r w:rsidR="003904F5" w:rsidRPr="00D50DB8">
        <w:rPr>
          <w:rFonts w:cs="Arial"/>
          <w:sz w:val="22"/>
        </w:rPr>
        <w:t xml:space="preserve">) during TT </w:t>
      </w:r>
      <w:r w:rsidR="008F7556">
        <w:rPr>
          <w:rFonts w:cs="Arial"/>
          <w:sz w:val="22"/>
        </w:rPr>
        <w:t xml:space="preserve">performance in all conditions </w:t>
      </w:r>
      <w:r w:rsidR="003904F5" w:rsidRPr="00D50DB8">
        <w:rPr>
          <w:rFonts w:cs="Arial"/>
          <w:sz w:val="22"/>
        </w:rPr>
        <w:t xml:space="preserve">(figure 2). </w:t>
      </w:r>
      <w:r w:rsidR="0055433A" w:rsidRPr="00D50DB8">
        <w:rPr>
          <w:rFonts w:cs="Arial"/>
          <w:sz w:val="22"/>
        </w:rPr>
        <w:t xml:space="preserve">Similarly, lactate and RPE (Table 1) were unaffected by the experimental conditions (f = </w:t>
      </w:r>
      <w:r w:rsidR="006E0BBC" w:rsidRPr="00D50DB8">
        <w:rPr>
          <w:rFonts w:cs="Arial"/>
          <w:sz w:val="22"/>
        </w:rPr>
        <w:t>0.</w:t>
      </w:r>
      <w:r w:rsidR="009F1CFA">
        <w:rPr>
          <w:rFonts w:cs="Arial"/>
          <w:sz w:val="22"/>
        </w:rPr>
        <w:t>67</w:t>
      </w:r>
      <w:r w:rsidR="0055433A" w:rsidRPr="00D50DB8">
        <w:rPr>
          <w:rFonts w:cs="Arial"/>
          <w:sz w:val="22"/>
        </w:rPr>
        <w:t xml:space="preserve">, p </w:t>
      </w:r>
      <w:r w:rsidR="006E0BBC" w:rsidRPr="00D50DB8">
        <w:rPr>
          <w:rFonts w:cs="Arial"/>
          <w:sz w:val="22"/>
        </w:rPr>
        <w:t>= 0.5</w:t>
      </w:r>
      <w:r w:rsidR="009F1CFA">
        <w:rPr>
          <w:rFonts w:cs="Arial"/>
          <w:sz w:val="22"/>
        </w:rPr>
        <w:t>2</w:t>
      </w:r>
      <w:r w:rsidR="006E0BBC" w:rsidRPr="00D50DB8">
        <w:rPr>
          <w:rFonts w:cs="Arial"/>
          <w:sz w:val="22"/>
        </w:rPr>
        <w:t>2</w:t>
      </w:r>
      <w:r w:rsidR="0055433A" w:rsidRPr="00D50DB8">
        <w:rPr>
          <w:rFonts w:cs="Arial"/>
          <w:sz w:val="22"/>
        </w:rPr>
        <w:t>, ƞp</w:t>
      </w:r>
      <w:r w:rsidR="0055433A" w:rsidRPr="00D50DB8">
        <w:rPr>
          <w:rFonts w:cs="Arial"/>
          <w:sz w:val="22"/>
          <w:vertAlign w:val="superscript"/>
        </w:rPr>
        <w:t>2</w:t>
      </w:r>
      <w:r w:rsidR="0055433A" w:rsidRPr="00D50DB8">
        <w:rPr>
          <w:rFonts w:cs="Arial"/>
          <w:sz w:val="22"/>
        </w:rPr>
        <w:t xml:space="preserve"> = 0.</w:t>
      </w:r>
      <w:r w:rsidR="006E0BBC" w:rsidRPr="00D50DB8">
        <w:rPr>
          <w:rFonts w:cs="Arial"/>
          <w:sz w:val="22"/>
        </w:rPr>
        <w:t>0</w:t>
      </w:r>
      <w:r w:rsidR="009F1CFA">
        <w:rPr>
          <w:rFonts w:cs="Arial"/>
          <w:sz w:val="22"/>
        </w:rPr>
        <w:t>6</w:t>
      </w:r>
      <w:r w:rsidR="0055433A" w:rsidRPr="00D50DB8">
        <w:rPr>
          <w:rFonts w:cs="Arial"/>
          <w:sz w:val="22"/>
        </w:rPr>
        <w:t xml:space="preserve">; and f = </w:t>
      </w:r>
      <w:r w:rsidR="00A74896">
        <w:rPr>
          <w:rFonts w:cs="Arial"/>
          <w:sz w:val="22"/>
        </w:rPr>
        <w:t>2.9</w:t>
      </w:r>
      <w:r w:rsidR="00A85909">
        <w:rPr>
          <w:rFonts w:cs="Arial"/>
          <w:sz w:val="22"/>
        </w:rPr>
        <w:t>6</w:t>
      </w:r>
      <w:r w:rsidR="0055433A" w:rsidRPr="00D50DB8">
        <w:rPr>
          <w:rFonts w:cs="Arial"/>
          <w:sz w:val="22"/>
        </w:rPr>
        <w:t xml:space="preserve">, p </w:t>
      </w:r>
      <w:r w:rsidR="006E0BBC" w:rsidRPr="00D50DB8">
        <w:rPr>
          <w:rFonts w:cs="Arial"/>
          <w:sz w:val="22"/>
        </w:rPr>
        <w:t>=</w:t>
      </w:r>
      <w:r w:rsidR="0055433A" w:rsidRPr="00D50DB8">
        <w:rPr>
          <w:rFonts w:cs="Arial"/>
          <w:sz w:val="22"/>
        </w:rPr>
        <w:t xml:space="preserve"> </w:t>
      </w:r>
      <w:r w:rsidR="006E0BBC" w:rsidRPr="00D50DB8">
        <w:rPr>
          <w:rFonts w:cs="Arial"/>
          <w:sz w:val="22"/>
        </w:rPr>
        <w:t>0.</w:t>
      </w:r>
      <w:r w:rsidR="00A85909">
        <w:rPr>
          <w:rFonts w:cs="Arial"/>
          <w:sz w:val="22"/>
        </w:rPr>
        <w:t>0</w:t>
      </w:r>
      <w:r w:rsidR="006E0BBC" w:rsidRPr="00D50DB8">
        <w:rPr>
          <w:rFonts w:cs="Arial"/>
          <w:sz w:val="22"/>
        </w:rPr>
        <w:t>8</w:t>
      </w:r>
      <w:r w:rsidR="00A85909">
        <w:rPr>
          <w:rFonts w:cs="Arial"/>
          <w:sz w:val="22"/>
        </w:rPr>
        <w:t>5</w:t>
      </w:r>
      <w:r w:rsidR="0055433A" w:rsidRPr="00D50DB8">
        <w:rPr>
          <w:rFonts w:cs="Arial"/>
          <w:sz w:val="22"/>
        </w:rPr>
        <w:t>, ƞp</w:t>
      </w:r>
      <w:r w:rsidR="0055433A" w:rsidRPr="00D50DB8">
        <w:rPr>
          <w:rFonts w:cs="Arial"/>
          <w:sz w:val="22"/>
          <w:vertAlign w:val="superscript"/>
        </w:rPr>
        <w:t>2</w:t>
      </w:r>
      <w:r w:rsidR="0055433A" w:rsidRPr="00D50DB8">
        <w:rPr>
          <w:rFonts w:cs="Arial"/>
          <w:sz w:val="22"/>
        </w:rPr>
        <w:t xml:space="preserve"> = 0.</w:t>
      </w:r>
      <w:r w:rsidR="00A85909">
        <w:rPr>
          <w:rFonts w:cs="Arial"/>
          <w:sz w:val="22"/>
        </w:rPr>
        <w:t>30</w:t>
      </w:r>
      <w:r w:rsidR="0055433A" w:rsidRPr="00D50DB8">
        <w:rPr>
          <w:rFonts w:cs="Arial"/>
          <w:sz w:val="22"/>
        </w:rPr>
        <w:t xml:space="preserve">) respectively, but increases in these variables </w:t>
      </w:r>
      <w:r w:rsidR="006E0BBC" w:rsidRPr="00D50DB8">
        <w:rPr>
          <w:rFonts w:cs="Arial"/>
          <w:sz w:val="22"/>
        </w:rPr>
        <w:t xml:space="preserve">(Table 1) </w:t>
      </w:r>
      <w:r w:rsidR="0055433A" w:rsidRPr="00D50DB8">
        <w:rPr>
          <w:rFonts w:cs="Arial"/>
          <w:sz w:val="22"/>
        </w:rPr>
        <w:t xml:space="preserve">were observed during the course of the TT’s (f = </w:t>
      </w:r>
      <w:r w:rsidR="006E0BBC" w:rsidRPr="00D50DB8">
        <w:rPr>
          <w:rFonts w:cs="Arial"/>
          <w:sz w:val="22"/>
        </w:rPr>
        <w:t>4</w:t>
      </w:r>
      <w:r w:rsidR="00A85909">
        <w:rPr>
          <w:rFonts w:cs="Arial"/>
          <w:sz w:val="22"/>
        </w:rPr>
        <w:t>1.98</w:t>
      </w:r>
      <w:r w:rsidR="0055433A" w:rsidRPr="00D50DB8">
        <w:rPr>
          <w:rFonts w:cs="Arial"/>
          <w:sz w:val="22"/>
        </w:rPr>
        <w:t>, p &lt; 0.</w:t>
      </w:r>
      <w:r w:rsidR="005F6976" w:rsidRPr="00D50DB8">
        <w:rPr>
          <w:rFonts w:cs="Arial"/>
          <w:sz w:val="22"/>
        </w:rPr>
        <w:t>00</w:t>
      </w:r>
      <w:r w:rsidR="0055433A" w:rsidRPr="00D50DB8">
        <w:rPr>
          <w:rFonts w:cs="Arial"/>
          <w:sz w:val="22"/>
        </w:rPr>
        <w:t>1, ƞp</w:t>
      </w:r>
      <w:r w:rsidR="0055433A" w:rsidRPr="00D50DB8">
        <w:rPr>
          <w:rFonts w:cs="Arial"/>
          <w:sz w:val="22"/>
          <w:vertAlign w:val="superscript"/>
        </w:rPr>
        <w:t>2</w:t>
      </w:r>
      <w:r w:rsidR="0055433A" w:rsidRPr="00D50DB8">
        <w:rPr>
          <w:rFonts w:cs="Arial"/>
          <w:sz w:val="22"/>
        </w:rPr>
        <w:t xml:space="preserve"> = 0.</w:t>
      </w:r>
      <w:r w:rsidR="006E0BBC" w:rsidRPr="00D50DB8">
        <w:rPr>
          <w:rFonts w:cs="Arial"/>
          <w:sz w:val="22"/>
        </w:rPr>
        <w:t>8</w:t>
      </w:r>
      <w:r w:rsidR="00A85909">
        <w:rPr>
          <w:rFonts w:cs="Arial"/>
          <w:sz w:val="22"/>
        </w:rPr>
        <w:t>0</w:t>
      </w:r>
      <w:r w:rsidR="0055433A" w:rsidRPr="00D50DB8">
        <w:rPr>
          <w:rFonts w:cs="Arial"/>
          <w:sz w:val="22"/>
        </w:rPr>
        <w:t xml:space="preserve">; and f = </w:t>
      </w:r>
      <w:r w:rsidR="00A85909">
        <w:rPr>
          <w:rFonts w:cs="Arial"/>
          <w:sz w:val="22"/>
        </w:rPr>
        <w:t>46.55</w:t>
      </w:r>
      <w:r w:rsidR="0055433A" w:rsidRPr="00D50DB8">
        <w:rPr>
          <w:rFonts w:cs="Arial"/>
          <w:sz w:val="22"/>
        </w:rPr>
        <w:t>, p &lt; 0.</w:t>
      </w:r>
      <w:r w:rsidR="005F6976" w:rsidRPr="00D50DB8">
        <w:rPr>
          <w:rFonts w:cs="Arial"/>
          <w:sz w:val="22"/>
        </w:rPr>
        <w:t>00</w:t>
      </w:r>
      <w:r w:rsidR="0055433A" w:rsidRPr="00D50DB8">
        <w:rPr>
          <w:rFonts w:cs="Arial"/>
          <w:sz w:val="22"/>
        </w:rPr>
        <w:t>1, ƞp</w:t>
      </w:r>
      <w:r w:rsidR="0055433A" w:rsidRPr="00D50DB8">
        <w:rPr>
          <w:rFonts w:cs="Arial"/>
          <w:sz w:val="22"/>
          <w:vertAlign w:val="superscript"/>
        </w:rPr>
        <w:t>2</w:t>
      </w:r>
      <w:r w:rsidR="0055433A" w:rsidRPr="00D50DB8">
        <w:rPr>
          <w:rFonts w:cs="Arial"/>
          <w:sz w:val="22"/>
        </w:rPr>
        <w:t xml:space="preserve"> = 0.</w:t>
      </w:r>
      <w:r w:rsidR="00A85909">
        <w:rPr>
          <w:rFonts w:cs="Arial"/>
          <w:sz w:val="22"/>
        </w:rPr>
        <w:t>87</w:t>
      </w:r>
      <w:r w:rsidR="0055433A" w:rsidRPr="00D50DB8">
        <w:rPr>
          <w:rFonts w:cs="Arial"/>
          <w:sz w:val="22"/>
        </w:rPr>
        <w:t xml:space="preserve">) </w:t>
      </w:r>
      <w:r w:rsidR="006E0BBC" w:rsidRPr="00D50DB8">
        <w:rPr>
          <w:rFonts w:cs="Arial"/>
          <w:sz w:val="22"/>
        </w:rPr>
        <w:t xml:space="preserve">for lactate and RPE </w:t>
      </w:r>
      <w:r w:rsidR="0055433A" w:rsidRPr="00D50DB8">
        <w:rPr>
          <w:rFonts w:cs="Arial"/>
          <w:sz w:val="22"/>
        </w:rPr>
        <w:t>respectively.</w:t>
      </w:r>
      <w:r w:rsidR="00540E0D" w:rsidRPr="00D50DB8">
        <w:rPr>
          <w:rFonts w:cs="Arial"/>
          <w:sz w:val="22"/>
        </w:rPr>
        <w:t xml:space="preserve"> I</w:t>
      </w:r>
      <w:r w:rsidR="0055433A" w:rsidRPr="00D50DB8">
        <w:rPr>
          <w:rFonts w:cs="Arial"/>
          <w:sz w:val="22"/>
        </w:rPr>
        <w:t>n the case of lactate</w:t>
      </w:r>
      <w:r w:rsidR="006E0BBC" w:rsidRPr="00D50DB8">
        <w:rPr>
          <w:rFonts w:cs="Arial"/>
          <w:sz w:val="22"/>
        </w:rPr>
        <w:t>,</w:t>
      </w:r>
      <w:r w:rsidR="00540E0D" w:rsidRPr="00D50DB8">
        <w:rPr>
          <w:rFonts w:cs="Arial"/>
          <w:sz w:val="22"/>
        </w:rPr>
        <w:t xml:space="preserve"> concentration</w:t>
      </w:r>
      <w:r w:rsidR="006E0BBC" w:rsidRPr="00D50DB8">
        <w:rPr>
          <w:rFonts w:cs="Arial"/>
          <w:sz w:val="22"/>
        </w:rPr>
        <w:t>s</w:t>
      </w:r>
      <w:r w:rsidR="00540E0D" w:rsidRPr="00D50DB8">
        <w:rPr>
          <w:rFonts w:cs="Arial"/>
          <w:sz w:val="22"/>
        </w:rPr>
        <w:t xml:space="preserve"> at 40 km </w:t>
      </w:r>
      <w:r w:rsidR="006E0BBC" w:rsidRPr="00D50DB8">
        <w:rPr>
          <w:rFonts w:cs="Arial"/>
          <w:sz w:val="22"/>
        </w:rPr>
        <w:t xml:space="preserve">where elevated </w:t>
      </w:r>
      <w:r w:rsidR="00540E0D" w:rsidRPr="00D50DB8">
        <w:rPr>
          <w:rFonts w:cs="Arial"/>
          <w:sz w:val="22"/>
        </w:rPr>
        <w:t xml:space="preserve">compared to all other distances (p &lt; 0.001). </w:t>
      </w:r>
      <w:r w:rsidR="0055433A" w:rsidRPr="00D50DB8">
        <w:rPr>
          <w:rFonts w:cs="Arial"/>
          <w:sz w:val="22"/>
        </w:rPr>
        <w:t>Whereas RPE</w:t>
      </w:r>
      <w:r w:rsidR="00F14E87" w:rsidRPr="00D50DB8">
        <w:rPr>
          <w:rFonts w:cs="Arial"/>
          <w:sz w:val="22"/>
        </w:rPr>
        <w:t xml:space="preserve"> </w:t>
      </w:r>
      <w:r w:rsidR="00540E0D" w:rsidRPr="00D50DB8">
        <w:rPr>
          <w:rFonts w:cs="Arial"/>
          <w:sz w:val="22"/>
        </w:rPr>
        <w:t xml:space="preserve">(Table 1) </w:t>
      </w:r>
      <w:r w:rsidR="00F14E87" w:rsidRPr="00D50DB8">
        <w:rPr>
          <w:rFonts w:cs="Arial"/>
          <w:sz w:val="22"/>
        </w:rPr>
        <w:t xml:space="preserve">increased between 10-20 km (p = </w:t>
      </w:r>
      <w:r w:rsidR="00F14E87" w:rsidRPr="00311B2E">
        <w:rPr>
          <w:rFonts w:cs="Arial"/>
          <w:sz w:val="22"/>
        </w:rPr>
        <w:t>0.0</w:t>
      </w:r>
      <w:r w:rsidR="006206CB" w:rsidRPr="00311B2E">
        <w:rPr>
          <w:rFonts w:cs="Arial"/>
          <w:sz w:val="22"/>
        </w:rPr>
        <w:t>0</w:t>
      </w:r>
      <w:r w:rsidR="00F14E87" w:rsidRPr="00311B2E">
        <w:rPr>
          <w:rFonts w:cs="Arial"/>
          <w:sz w:val="22"/>
        </w:rPr>
        <w:t>1)</w:t>
      </w:r>
      <w:r w:rsidR="006206CB" w:rsidRPr="00311B2E">
        <w:rPr>
          <w:rFonts w:cs="Arial"/>
          <w:sz w:val="22"/>
        </w:rPr>
        <w:t>, 20-40 km (p = 0.001)</w:t>
      </w:r>
      <w:r w:rsidR="00311B2E" w:rsidRPr="00311B2E">
        <w:rPr>
          <w:rFonts w:cs="Arial"/>
          <w:sz w:val="22"/>
        </w:rPr>
        <w:t xml:space="preserve">, </w:t>
      </w:r>
      <w:r w:rsidR="006206CB" w:rsidRPr="00311B2E">
        <w:rPr>
          <w:rFonts w:cs="Arial"/>
          <w:sz w:val="22"/>
        </w:rPr>
        <w:t xml:space="preserve">between </w:t>
      </w:r>
      <w:r w:rsidR="00F14E87" w:rsidRPr="00311B2E">
        <w:rPr>
          <w:rFonts w:cs="Arial"/>
          <w:sz w:val="22"/>
        </w:rPr>
        <w:t xml:space="preserve">10-40 km (p </w:t>
      </w:r>
      <w:r w:rsidR="006206CB" w:rsidRPr="00311B2E">
        <w:rPr>
          <w:rFonts w:cs="Arial"/>
          <w:sz w:val="22"/>
        </w:rPr>
        <w:t>&lt;</w:t>
      </w:r>
      <w:r w:rsidR="00F14E87" w:rsidRPr="00311B2E">
        <w:rPr>
          <w:rFonts w:cs="Arial"/>
          <w:sz w:val="22"/>
        </w:rPr>
        <w:t xml:space="preserve"> </w:t>
      </w:r>
      <w:r w:rsidR="00540E0D" w:rsidRPr="00311B2E">
        <w:rPr>
          <w:rFonts w:cs="Arial"/>
          <w:sz w:val="22"/>
        </w:rPr>
        <w:t>0.00</w:t>
      </w:r>
      <w:r w:rsidR="006206CB" w:rsidRPr="00311B2E">
        <w:rPr>
          <w:rFonts w:cs="Arial"/>
          <w:sz w:val="22"/>
        </w:rPr>
        <w:t>1</w:t>
      </w:r>
      <w:r w:rsidR="00540E0D" w:rsidRPr="00311B2E">
        <w:rPr>
          <w:rFonts w:cs="Arial"/>
          <w:sz w:val="22"/>
        </w:rPr>
        <w:t>),</w:t>
      </w:r>
      <w:r w:rsidR="00540E0D" w:rsidRPr="00D50DB8">
        <w:rPr>
          <w:rFonts w:cs="Arial"/>
          <w:sz w:val="22"/>
        </w:rPr>
        <w:t xml:space="preserve"> and in the last 10 km of the TT (p = 0.0</w:t>
      </w:r>
      <w:r w:rsidR="00311B2E">
        <w:rPr>
          <w:rFonts w:cs="Arial"/>
          <w:sz w:val="22"/>
        </w:rPr>
        <w:t>1</w:t>
      </w:r>
      <w:r w:rsidR="00540E0D" w:rsidRPr="00D50DB8">
        <w:rPr>
          <w:rFonts w:cs="Arial"/>
          <w:sz w:val="22"/>
        </w:rPr>
        <w:t xml:space="preserve">4). </w:t>
      </w:r>
      <w:r w:rsidR="0055433A" w:rsidRPr="00D50DB8">
        <w:rPr>
          <w:rFonts w:cs="Arial"/>
          <w:sz w:val="22"/>
        </w:rPr>
        <w:t>Felt Arousal</w:t>
      </w:r>
      <w:r w:rsidR="00540E0D" w:rsidRPr="00D50DB8">
        <w:rPr>
          <w:rFonts w:cs="Arial"/>
          <w:sz w:val="22"/>
        </w:rPr>
        <w:t xml:space="preserve"> (Table 1)</w:t>
      </w:r>
      <w:r w:rsidR="0055433A" w:rsidRPr="00D50DB8">
        <w:rPr>
          <w:rFonts w:cs="Arial"/>
          <w:sz w:val="22"/>
        </w:rPr>
        <w:t xml:space="preserve"> was unaffected by either the experimental condition (f = 1.</w:t>
      </w:r>
      <w:r w:rsidR="00DE1775">
        <w:rPr>
          <w:rFonts w:cs="Arial"/>
          <w:sz w:val="22"/>
        </w:rPr>
        <w:t>85</w:t>
      </w:r>
      <w:r w:rsidR="0055433A" w:rsidRPr="00D50DB8">
        <w:rPr>
          <w:rFonts w:cs="Arial"/>
          <w:sz w:val="22"/>
        </w:rPr>
        <w:t xml:space="preserve">, p </w:t>
      </w:r>
      <w:r w:rsidR="00DE1775">
        <w:rPr>
          <w:rFonts w:cs="Arial"/>
          <w:sz w:val="22"/>
        </w:rPr>
        <w:t>=</w:t>
      </w:r>
      <w:r w:rsidR="0055433A" w:rsidRPr="00D50DB8">
        <w:rPr>
          <w:rFonts w:cs="Arial"/>
          <w:sz w:val="22"/>
        </w:rPr>
        <w:t xml:space="preserve"> 0.1</w:t>
      </w:r>
      <w:r w:rsidR="00DE1775">
        <w:rPr>
          <w:rFonts w:cs="Arial"/>
          <w:sz w:val="22"/>
        </w:rPr>
        <w:t>8</w:t>
      </w:r>
      <w:r w:rsidR="0055433A" w:rsidRPr="00D50DB8">
        <w:rPr>
          <w:rFonts w:cs="Arial"/>
          <w:sz w:val="22"/>
        </w:rPr>
        <w:t>4, ƞp</w:t>
      </w:r>
      <w:r w:rsidR="0055433A" w:rsidRPr="00D50DB8">
        <w:rPr>
          <w:rFonts w:cs="Arial"/>
          <w:sz w:val="22"/>
          <w:vertAlign w:val="superscript"/>
        </w:rPr>
        <w:t>2</w:t>
      </w:r>
      <w:r w:rsidR="0055433A" w:rsidRPr="00D50DB8">
        <w:rPr>
          <w:rFonts w:cs="Arial"/>
          <w:sz w:val="22"/>
        </w:rPr>
        <w:t xml:space="preserve"> = 0.1</w:t>
      </w:r>
      <w:r w:rsidR="00DE1775">
        <w:rPr>
          <w:rFonts w:cs="Arial"/>
          <w:sz w:val="22"/>
        </w:rPr>
        <w:t>6</w:t>
      </w:r>
      <w:r w:rsidR="0055433A" w:rsidRPr="00D50DB8">
        <w:rPr>
          <w:rFonts w:cs="Arial"/>
          <w:sz w:val="22"/>
        </w:rPr>
        <w:t xml:space="preserve">) or during the TT (f = </w:t>
      </w:r>
      <w:r w:rsidR="00DE1775">
        <w:rPr>
          <w:rFonts w:cs="Arial"/>
          <w:sz w:val="22"/>
        </w:rPr>
        <w:t>1.66</w:t>
      </w:r>
      <w:r w:rsidR="0055433A" w:rsidRPr="00D50DB8">
        <w:rPr>
          <w:rFonts w:cs="Arial"/>
          <w:sz w:val="22"/>
        </w:rPr>
        <w:t xml:space="preserve">, p </w:t>
      </w:r>
      <w:r w:rsidR="00DE1775">
        <w:rPr>
          <w:rFonts w:cs="Arial"/>
          <w:sz w:val="22"/>
        </w:rPr>
        <w:t>=</w:t>
      </w:r>
      <w:r w:rsidR="0055433A" w:rsidRPr="00D50DB8">
        <w:rPr>
          <w:rFonts w:cs="Arial"/>
          <w:sz w:val="22"/>
        </w:rPr>
        <w:t xml:space="preserve"> 0.1</w:t>
      </w:r>
      <w:r w:rsidR="00DE1775">
        <w:rPr>
          <w:rFonts w:cs="Arial"/>
          <w:sz w:val="22"/>
        </w:rPr>
        <w:t>9</w:t>
      </w:r>
      <w:r w:rsidR="0055433A" w:rsidRPr="00D50DB8">
        <w:rPr>
          <w:rFonts w:cs="Arial"/>
          <w:sz w:val="22"/>
        </w:rPr>
        <w:t>6, ƞp</w:t>
      </w:r>
      <w:r w:rsidR="0055433A" w:rsidRPr="00D50DB8">
        <w:rPr>
          <w:rFonts w:cs="Arial"/>
          <w:sz w:val="22"/>
          <w:vertAlign w:val="superscript"/>
        </w:rPr>
        <w:t>2</w:t>
      </w:r>
      <w:r w:rsidR="0055433A" w:rsidRPr="00D50DB8">
        <w:rPr>
          <w:rFonts w:cs="Arial"/>
          <w:sz w:val="22"/>
        </w:rPr>
        <w:t xml:space="preserve"> = 0.1</w:t>
      </w:r>
      <w:r w:rsidR="00DE1775">
        <w:rPr>
          <w:rFonts w:cs="Arial"/>
          <w:sz w:val="22"/>
        </w:rPr>
        <w:t>4</w:t>
      </w:r>
      <w:r w:rsidR="0055433A" w:rsidRPr="00D50DB8">
        <w:rPr>
          <w:rFonts w:cs="Arial"/>
          <w:sz w:val="22"/>
        </w:rPr>
        <w:t>).</w:t>
      </w:r>
    </w:p>
    <w:p w14:paraId="63F2341B" w14:textId="77777777" w:rsidR="00D02A2C" w:rsidRDefault="00D02A2C" w:rsidP="00D50DB8">
      <w:pPr>
        <w:pStyle w:val="NoSpacing"/>
        <w:spacing w:line="480" w:lineRule="auto"/>
        <w:jc w:val="both"/>
        <w:rPr>
          <w:rFonts w:cs="Arial"/>
          <w:sz w:val="22"/>
        </w:rPr>
      </w:pPr>
    </w:p>
    <w:p w14:paraId="059C1704" w14:textId="7E8D7157" w:rsidR="00540E0D" w:rsidRPr="00D02A2C" w:rsidRDefault="00D02A2C" w:rsidP="00D50DB8">
      <w:pPr>
        <w:pStyle w:val="NoSpacing"/>
        <w:spacing w:line="480" w:lineRule="auto"/>
        <w:jc w:val="both"/>
        <w:rPr>
          <w:rFonts w:cs="Arial"/>
          <w:b/>
          <w:sz w:val="22"/>
        </w:rPr>
      </w:pPr>
      <w:r w:rsidRPr="00D02A2C">
        <w:rPr>
          <w:rFonts w:cs="Arial"/>
          <w:b/>
          <w:sz w:val="22"/>
        </w:rPr>
        <w:t>[Insert Figure 1 Near Here]</w:t>
      </w:r>
    </w:p>
    <w:p w14:paraId="10E72480" w14:textId="11F7A802" w:rsidR="00D02A2C" w:rsidRPr="00D02A2C" w:rsidRDefault="00D02A2C" w:rsidP="00D02A2C">
      <w:pPr>
        <w:pStyle w:val="NoSpacing"/>
        <w:spacing w:line="480" w:lineRule="auto"/>
        <w:jc w:val="both"/>
        <w:rPr>
          <w:rFonts w:cs="Arial"/>
          <w:b/>
          <w:sz w:val="22"/>
        </w:rPr>
      </w:pPr>
      <w:r w:rsidRPr="00D02A2C">
        <w:rPr>
          <w:rFonts w:cs="Arial"/>
          <w:b/>
          <w:sz w:val="22"/>
        </w:rPr>
        <w:t>[Insert Figure 2 Near Here]</w:t>
      </w:r>
    </w:p>
    <w:p w14:paraId="6DC77D4D" w14:textId="77777777" w:rsidR="00D02A2C" w:rsidRDefault="00D02A2C" w:rsidP="00D50DB8">
      <w:pPr>
        <w:pStyle w:val="NoSpacing"/>
        <w:spacing w:line="480" w:lineRule="auto"/>
        <w:jc w:val="both"/>
        <w:rPr>
          <w:rFonts w:cs="Arial"/>
          <w:sz w:val="22"/>
        </w:rPr>
      </w:pPr>
    </w:p>
    <w:p w14:paraId="2D679B4C" w14:textId="61E01D39" w:rsidR="00540E0D" w:rsidRDefault="00540E0D" w:rsidP="00D50DB8">
      <w:pPr>
        <w:pStyle w:val="NoSpacing"/>
        <w:spacing w:line="480" w:lineRule="auto"/>
        <w:jc w:val="both"/>
        <w:rPr>
          <w:rFonts w:cs="Arial"/>
          <w:sz w:val="22"/>
        </w:rPr>
      </w:pPr>
      <w:r w:rsidRPr="00D50DB8">
        <w:rPr>
          <w:rFonts w:cs="Arial"/>
          <w:sz w:val="22"/>
        </w:rPr>
        <w:t>The blood acid-base response</w:t>
      </w:r>
      <w:r w:rsidR="005F6976" w:rsidRPr="00D50DB8">
        <w:rPr>
          <w:rFonts w:cs="Arial"/>
          <w:sz w:val="22"/>
        </w:rPr>
        <w:t xml:space="preserve"> variable of pH and HCO</w:t>
      </w:r>
      <w:r w:rsidR="005F6976" w:rsidRPr="00D50DB8">
        <w:rPr>
          <w:rFonts w:cs="Arial"/>
          <w:sz w:val="22"/>
          <w:vertAlign w:val="subscript"/>
        </w:rPr>
        <w:t>3</w:t>
      </w:r>
      <w:r w:rsidRPr="00D50DB8">
        <w:rPr>
          <w:rFonts w:cs="Arial"/>
          <w:sz w:val="22"/>
        </w:rPr>
        <w:t xml:space="preserve"> </w:t>
      </w:r>
      <w:r w:rsidR="00F54176" w:rsidRPr="00D50DB8">
        <w:rPr>
          <w:rFonts w:cs="Arial"/>
          <w:sz w:val="22"/>
        </w:rPr>
        <w:t xml:space="preserve">(Table 1) </w:t>
      </w:r>
      <w:r w:rsidRPr="00D50DB8">
        <w:rPr>
          <w:rFonts w:cs="Arial"/>
          <w:sz w:val="22"/>
        </w:rPr>
        <w:t>were also unaffected by the</w:t>
      </w:r>
      <w:r w:rsidR="005F6976" w:rsidRPr="00D50DB8">
        <w:rPr>
          <w:rFonts w:cs="Arial"/>
          <w:sz w:val="22"/>
        </w:rPr>
        <w:t xml:space="preserve"> experimental conditions (f = </w:t>
      </w:r>
      <w:r w:rsidR="00DE1775">
        <w:rPr>
          <w:rFonts w:cs="Arial"/>
          <w:sz w:val="22"/>
        </w:rPr>
        <w:t>2.02</w:t>
      </w:r>
      <w:r w:rsidR="005F6976" w:rsidRPr="00D50DB8">
        <w:rPr>
          <w:rFonts w:cs="Arial"/>
          <w:sz w:val="22"/>
        </w:rPr>
        <w:t>, p = 0.</w:t>
      </w:r>
      <w:r w:rsidR="00DE1775">
        <w:rPr>
          <w:rFonts w:cs="Arial"/>
          <w:sz w:val="22"/>
        </w:rPr>
        <w:t>158</w:t>
      </w:r>
      <w:r w:rsidR="005F6976" w:rsidRPr="00D50DB8">
        <w:rPr>
          <w:rFonts w:cs="Arial"/>
          <w:sz w:val="22"/>
        </w:rPr>
        <w:t>, ƞp</w:t>
      </w:r>
      <w:r w:rsidR="005F6976" w:rsidRPr="00D50DB8">
        <w:rPr>
          <w:rFonts w:cs="Arial"/>
          <w:sz w:val="22"/>
          <w:vertAlign w:val="superscript"/>
        </w:rPr>
        <w:t>2</w:t>
      </w:r>
      <w:r w:rsidR="005F6976" w:rsidRPr="00D50DB8">
        <w:rPr>
          <w:rFonts w:cs="Arial"/>
          <w:sz w:val="22"/>
        </w:rPr>
        <w:t xml:space="preserve"> = 0.1</w:t>
      </w:r>
      <w:r w:rsidR="00DE1775">
        <w:rPr>
          <w:rFonts w:cs="Arial"/>
          <w:sz w:val="22"/>
        </w:rPr>
        <w:t>7</w:t>
      </w:r>
      <w:r w:rsidR="005F6976" w:rsidRPr="00D50DB8">
        <w:rPr>
          <w:rFonts w:cs="Arial"/>
          <w:sz w:val="22"/>
        </w:rPr>
        <w:t xml:space="preserve">) and (f = </w:t>
      </w:r>
      <w:r w:rsidR="00DE1775">
        <w:rPr>
          <w:rFonts w:cs="Arial"/>
          <w:sz w:val="22"/>
        </w:rPr>
        <w:t>1.54</w:t>
      </w:r>
      <w:r w:rsidR="005F6976" w:rsidRPr="00D50DB8">
        <w:rPr>
          <w:rFonts w:cs="Arial"/>
          <w:sz w:val="22"/>
        </w:rPr>
        <w:t>, p = 0.2</w:t>
      </w:r>
      <w:r w:rsidR="00DE1775">
        <w:rPr>
          <w:rFonts w:cs="Arial"/>
          <w:sz w:val="22"/>
        </w:rPr>
        <w:t>39</w:t>
      </w:r>
      <w:r w:rsidR="005F6976" w:rsidRPr="00D50DB8">
        <w:rPr>
          <w:rFonts w:cs="Arial"/>
          <w:sz w:val="22"/>
        </w:rPr>
        <w:t>, ƞp</w:t>
      </w:r>
      <w:r w:rsidR="005F6976" w:rsidRPr="00D50DB8">
        <w:rPr>
          <w:rFonts w:cs="Arial"/>
          <w:sz w:val="22"/>
          <w:vertAlign w:val="superscript"/>
        </w:rPr>
        <w:t>2</w:t>
      </w:r>
      <w:r w:rsidR="005F6976" w:rsidRPr="00D50DB8">
        <w:rPr>
          <w:rFonts w:cs="Arial"/>
          <w:sz w:val="22"/>
        </w:rPr>
        <w:t xml:space="preserve"> = 0.</w:t>
      </w:r>
      <w:r w:rsidR="00DE1775">
        <w:rPr>
          <w:rFonts w:cs="Arial"/>
          <w:sz w:val="22"/>
        </w:rPr>
        <w:t>13</w:t>
      </w:r>
      <w:r w:rsidR="005F6976" w:rsidRPr="00D50DB8">
        <w:rPr>
          <w:rFonts w:cs="Arial"/>
          <w:sz w:val="22"/>
        </w:rPr>
        <w:t>) respectively. T</w:t>
      </w:r>
      <w:r w:rsidRPr="00D50DB8">
        <w:rPr>
          <w:rFonts w:cs="Arial"/>
          <w:sz w:val="22"/>
        </w:rPr>
        <w:t>here were</w:t>
      </w:r>
      <w:r w:rsidR="005F6976" w:rsidRPr="00D50DB8">
        <w:rPr>
          <w:rFonts w:cs="Arial"/>
          <w:sz w:val="22"/>
        </w:rPr>
        <w:t xml:space="preserve"> however</w:t>
      </w:r>
      <w:r w:rsidRPr="00D50DB8">
        <w:rPr>
          <w:rFonts w:cs="Arial"/>
          <w:sz w:val="22"/>
        </w:rPr>
        <w:t xml:space="preserve"> some </w:t>
      </w:r>
      <w:r w:rsidR="005F6976" w:rsidRPr="00D50DB8">
        <w:rPr>
          <w:rFonts w:cs="Arial"/>
          <w:sz w:val="22"/>
        </w:rPr>
        <w:t>perturbations</w:t>
      </w:r>
      <w:r w:rsidRPr="00D50DB8">
        <w:rPr>
          <w:rFonts w:cs="Arial"/>
          <w:sz w:val="22"/>
        </w:rPr>
        <w:t xml:space="preserve"> in </w:t>
      </w:r>
      <w:r w:rsidR="00FF057A" w:rsidRPr="00D50DB8">
        <w:rPr>
          <w:rFonts w:cs="Arial"/>
          <w:sz w:val="22"/>
        </w:rPr>
        <w:t>these variables during the course of the TT’s</w:t>
      </w:r>
      <w:r w:rsidR="005F6976" w:rsidRPr="00D50DB8">
        <w:rPr>
          <w:rFonts w:cs="Arial"/>
          <w:sz w:val="22"/>
        </w:rPr>
        <w:t xml:space="preserve"> (f = </w:t>
      </w:r>
      <w:r w:rsidR="00DE1775">
        <w:rPr>
          <w:rFonts w:cs="Arial"/>
          <w:sz w:val="22"/>
        </w:rPr>
        <w:t>37.60</w:t>
      </w:r>
      <w:r w:rsidR="005F6976" w:rsidRPr="00D50DB8">
        <w:rPr>
          <w:rFonts w:cs="Arial"/>
          <w:sz w:val="22"/>
        </w:rPr>
        <w:t>, p &lt; 0.001, ƞp</w:t>
      </w:r>
      <w:r w:rsidR="005F6976" w:rsidRPr="00D50DB8">
        <w:rPr>
          <w:rFonts w:cs="Arial"/>
          <w:sz w:val="22"/>
          <w:vertAlign w:val="superscript"/>
        </w:rPr>
        <w:t>2</w:t>
      </w:r>
      <w:r w:rsidR="005F6976" w:rsidRPr="00D50DB8">
        <w:rPr>
          <w:rFonts w:cs="Arial"/>
          <w:sz w:val="22"/>
        </w:rPr>
        <w:t xml:space="preserve"> = 0.</w:t>
      </w:r>
      <w:r w:rsidR="00DE1775">
        <w:rPr>
          <w:rFonts w:cs="Arial"/>
          <w:sz w:val="22"/>
        </w:rPr>
        <w:t>79</w:t>
      </w:r>
      <w:r w:rsidR="005F6976" w:rsidRPr="00D50DB8">
        <w:rPr>
          <w:rFonts w:cs="Arial"/>
          <w:sz w:val="22"/>
        </w:rPr>
        <w:t xml:space="preserve">; f = </w:t>
      </w:r>
      <w:r w:rsidR="00DE1775">
        <w:rPr>
          <w:rFonts w:cs="Arial"/>
          <w:sz w:val="22"/>
        </w:rPr>
        <w:t>48.88</w:t>
      </w:r>
      <w:r w:rsidR="005F6976" w:rsidRPr="00D50DB8">
        <w:rPr>
          <w:rFonts w:cs="Arial"/>
          <w:sz w:val="22"/>
        </w:rPr>
        <w:t>, p &lt; 0.001, ƞp</w:t>
      </w:r>
      <w:r w:rsidR="005F6976" w:rsidRPr="00D50DB8">
        <w:rPr>
          <w:rFonts w:cs="Arial"/>
          <w:sz w:val="22"/>
          <w:vertAlign w:val="superscript"/>
        </w:rPr>
        <w:t>2</w:t>
      </w:r>
      <w:r w:rsidR="005F6976" w:rsidRPr="00D50DB8">
        <w:rPr>
          <w:rFonts w:cs="Arial"/>
          <w:sz w:val="22"/>
        </w:rPr>
        <w:t xml:space="preserve"> = 0.8</w:t>
      </w:r>
      <w:r w:rsidR="00DE1775">
        <w:rPr>
          <w:rFonts w:cs="Arial"/>
          <w:sz w:val="22"/>
        </w:rPr>
        <w:t>3</w:t>
      </w:r>
      <w:r w:rsidR="005F6976" w:rsidRPr="00D50DB8">
        <w:rPr>
          <w:rFonts w:cs="Arial"/>
          <w:sz w:val="22"/>
        </w:rPr>
        <w:t xml:space="preserve">), for </w:t>
      </w:r>
      <w:r w:rsidR="00DE1775">
        <w:rPr>
          <w:rFonts w:cs="Arial"/>
          <w:sz w:val="22"/>
        </w:rPr>
        <w:t>pH and HCO</w:t>
      </w:r>
      <w:r w:rsidR="00DE1775" w:rsidRPr="00DE1775">
        <w:rPr>
          <w:rFonts w:cs="Arial"/>
          <w:sz w:val="22"/>
          <w:vertAlign w:val="subscript"/>
        </w:rPr>
        <w:t>3</w:t>
      </w:r>
      <w:r w:rsidR="00DE1775">
        <w:rPr>
          <w:rFonts w:cs="Arial"/>
          <w:sz w:val="22"/>
        </w:rPr>
        <w:t xml:space="preserve"> </w:t>
      </w:r>
      <w:r w:rsidR="005F6976" w:rsidRPr="00D50DB8">
        <w:rPr>
          <w:rFonts w:cs="Arial"/>
          <w:sz w:val="22"/>
        </w:rPr>
        <w:t>respectively. The</w:t>
      </w:r>
      <w:r w:rsidR="006206CB">
        <w:rPr>
          <w:rFonts w:cs="Arial"/>
          <w:sz w:val="22"/>
        </w:rPr>
        <w:t xml:space="preserve"> pH response was unchanged between </w:t>
      </w:r>
      <w:r w:rsidR="005F6976" w:rsidRPr="00D50DB8">
        <w:rPr>
          <w:rFonts w:cs="Arial"/>
          <w:sz w:val="22"/>
        </w:rPr>
        <w:t>10 and 20 km (</w:t>
      </w:r>
      <w:r w:rsidR="005F6976" w:rsidRPr="006206CB">
        <w:rPr>
          <w:rFonts w:cs="Arial"/>
          <w:sz w:val="22"/>
        </w:rPr>
        <w:t>p = 0.0</w:t>
      </w:r>
      <w:r w:rsidR="006206CB" w:rsidRPr="006206CB">
        <w:rPr>
          <w:rFonts w:cs="Arial"/>
          <w:sz w:val="22"/>
        </w:rPr>
        <w:t>60</w:t>
      </w:r>
      <w:r w:rsidR="005F6976" w:rsidRPr="006206CB">
        <w:rPr>
          <w:rFonts w:cs="Arial"/>
          <w:sz w:val="22"/>
        </w:rPr>
        <w:t xml:space="preserve">), </w:t>
      </w:r>
      <w:r w:rsidR="006206CB" w:rsidRPr="006206CB">
        <w:rPr>
          <w:rFonts w:cs="Arial"/>
          <w:sz w:val="22"/>
        </w:rPr>
        <w:t xml:space="preserve">but </w:t>
      </w:r>
      <w:r w:rsidR="006206CB">
        <w:rPr>
          <w:rFonts w:cs="Arial"/>
          <w:sz w:val="22"/>
        </w:rPr>
        <w:t xml:space="preserve">it </w:t>
      </w:r>
      <w:r w:rsidR="006206CB" w:rsidRPr="006206CB">
        <w:rPr>
          <w:rFonts w:cs="Arial"/>
          <w:sz w:val="22"/>
        </w:rPr>
        <w:t xml:space="preserve">was significantly elevated between 10-30 km (p = 0.006) and then decreased in the final 10 km </w:t>
      </w:r>
      <w:r w:rsidR="005F6976" w:rsidRPr="006206CB">
        <w:rPr>
          <w:rFonts w:cs="Arial"/>
          <w:sz w:val="22"/>
        </w:rPr>
        <w:t xml:space="preserve">(p </w:t>
      </w:r>
      <w:r w:rsidR="006206CB" w:rsidRPr="006206CB">
        <w:rPr>
          <w:rFonts w:cs="Arial"/>
          <w:sz w:val="22"/>
        </w:rPr>
        <w:t>&lt;</w:t>
      </w:r>
      <w:r w:rsidR="005F6976" w:rsidRPr="006206CB">
        <w:rPr>
          <w:rFonts w:cs="Arial"/>
          <w:sz w:val="22"/>
        </w:rPr>
        <w:t xml:space="preserve"> 0.0</w:t>
      </w:r>
      <w:r w:rsidR="006206CB" w:rsidRPr="006206CB">
        <w:rPr>
          <w:rFonts w:cs="Arial"/>
          <w:sz w:val="22"/>
        </w:rPr>
        <w:t>01</w:t>
      </w:r>
      <w:r w:rsidR="005F6976" w:rsidRPr="006206CB">
        <w:rPr>
          <w:rFonts w:cs="Arial"/>
          <w:sz w:val="22"/>
        </w:rPr>
        <w:t xml:space="preserve">). </w:t>
      </w:r>
      <w:r w:rsidR="00F54176" w:rsidRPr="00311B2E">
        <w:rPr>
          <w:rFonts w:cs="Arial"/>
          <w:sz w:val="22"/>
        </w:rPr>
        <w:t>Between 10-30 km there was a significant increase in HCO</w:t>
      </w:r>
      <w:r w:rsidR="00F54176" w:rsidRPr="00311B2E">
        <w:rPr>
          <w:rFonts w:cs="Arial"/>
          <w:sz w:val="22"/>
          <w:vertAlign w:val="subscript"/>
        </w:rPr>
        <w:t>3</w:t>
      </w:r>
      <w:r w:rsidR="00F54176" w:rsidRPr="00311B2E">
        <w:rPr>
          <w:rFonts w:cs="Arial"/>
          <w:sz w:val="22"/>
        </w:rPr>
        <w:t xml:space="preserve"> (p = 0.0</w:t>
      </w:r>
      <w:r w:rsidR="00311B2E" w:rsidRPr="00311B2E">
        <w:rPr>
          <w:rFonts w:cs="Arial"/>
          <w:sz w:val="22"/>
        </w:rPr>
        <w:t>1</w:t>
      </w:r>
      <w:r w:rsidR="00F54176" w:rsidRPr="00311B2E">
        <w:rPr>
          <w:rFonts w:cs="Arial"/>
          <w:sz w:val="22"/>
        </w:rPr>
        <w:t xml:space="preserve">7), but this then decreased rapidly in the final 10 km (p </w:t>
      </w:r>
      <w:r w:rsidR="00311B2E" w:rsidRPr="00311B2E">
        <w:rPr>
          <w:rFonts w:cs="Arial"/>
          <w:sz w:val="22"/>
        </w:rPr>
        <w:t>&lt;</w:t>
      </w:r>
      <w:r w:rsidR="00F54176" w:rsidRPr="00311B2E">
        <w:rPr>
          <w:rFonts w:cs="Arial"/>
          <w:sz w:val="22"/>
        </w:rPr>
        <w:t xml:space="preserve"> 0.00</w:t>
      </w:r>
      <w:r w:rsidR="00311B2E" w:rsidRPr="00311B2E">
        <w:rPr>
          <w:rFonts w:cs="Arial"/>
          <w:sz w:val="22"/>
        </w:rPr>
        <w:t>1</w:t>
      </w:r>
      <w:r w:rsidR="00F54176" w:rsidRPr="00311B2E">
        <w:rPr>
          <w:rFonts w:cs="Arial"/>
          <w:sz w:val="22"/>
        </w:rPr>
        <w:t>).</w:t>
      </w:r>
    </w:p>
    <w:p w14:paraId="6BCE05C9" w14:textId="77777777" w:rsidR="00D02A2C" w:rsidRDefault="00D02A2C" w:rsidP="00D02A2C">
      <w:pPr>
        <w:pStyle w:val="NoSpacing"/>
        <w:spacing w:line="480" w:lineRule="auto"/>
        <w:jc w:val="both"/>
        <w:rPr>
          <w:rFonts w:cs="Arial"/>
          <w:sz w:val="22"/>
        </w:rPr>
      </w:pPr>
    </w:p>
    <w:p w14:paraId="3C9BB4DF" w14:textId="5F2A9DA2" w:rsidR="00D02A2C" w:rsidRPr="00D02A2C" w:rsidRDefault="00D02A2C" w:rsidP="00D02A2C">
      <w:pPr>
        <w:pStyle w:val="NoSpacing"/>
        <w:spacing w:line="480" w:lineRule="auto"/>
        <w:jc w:val="both"/>
        <w:rPr>
          <w:rFonts w:cs="Arial"/>
          <w:b/>
          <w:sz w:val="22"/>
        </w:rPr>
      </w:pPr>
      <w:r w:rsidRPr="00D02A2C">
        <w:rPr>
          <w:rFonts w:cs="Arial"/>
          <w:b/>
          <w:sz w:val="22"/>
        </w:rPr>
        <w:t>[Insert Table 1 Near Here]</w:t>
      </w:r>
    </w:p>
    <w:p w14:paraId="0C1B3FCD" w14:textId="77777777" w:rsidR="00D02A2C" w:rsidRPr="00D50DB8" w:rsidRDefault="00D02A2C" w:rsidP="00D50DB8">
      <w:pPr>
        <w:pStyle w:val="NoSpacing"/>
        <w:spacing w:line="480" w:lineRule="auto"/>
        <w:jc w:val="both"/>
        <w:rPr>
          <w:rFonts w:cs="Arial"/>
          <w:sz w:val="22"/>
        </w:rPr>
      </w:pPr>
    </w:p>
    <w:p w14:paraId="40022A91" w14:textId="7547CBB5" w:rsidR="00A4774B" w:rsidRPr="00D50DB8" w:rsidRDefault="00A4774B" w:rsidP="00D50DB8">
      <w:pPr>
        <w:pStyle w:val="NoSpacing"/>
        <w:spacing w:line="480" w:lineRule="auto"/>
        <w:jc w:val="both"/>
        <w:rPr>
          <w:rFonts w:cs="Arial"/>
          <w:b/>
          <w:sz w:val="22"/>
        </w:rPr>
      </w:pPr>
      <w:r w:rsidRPr="00D50DB8">
        <w:rPr>
          <w:rFonts w:cs="Arial"/>
          <w:b/>
          <w:sz w:val="22"/>
        </w:rPr>
        <w:t>Discussion</w:t>
      </w:r>
    </w:p>
    <w:p w14:paraId="6A611736" w14:textId="13F18093" w:rsidR="00DC6954" w:rsidRPr="00B06D40" w:rsidRDefault="00A4774B" w:rsidP="00D50DB8">
      <w:pPr>
        <w:spacing w:after="0" w:line="480" w:lineRule="auto"/>
        <w:jc w:val="both"/>
        <w:rPr>
          <w:rFonts w:ascii="Arial" w:hAnsi="Arial" w:cs="Arial"/>
        </w:rPr>
      </w:pPr>
      <w:r w:rsidRPr="00D50DB8">
        <w:rPr>
          <w:rFonts w:ascii="Arial" w:hAnsi="Arial" w:cs="Arial"/>
        </w:rPr>
        <w:t xml:space="preserve">The aim of this </w:t>
      </w:r>
      <w:r w:rsidR="00E63B8D" w:rsidRPr="00D50DB8">
        <w:rPr>
          <w:rFonts w:ascii="Arial" w:hAnsi="Arial" w:cs="Arial"/>
        </w:rPr>
        <w:t xml:space="preserve">study </w:t>
      </w:r>
      <w:r w:rsidRPr="00D50DB8">
        <w:rPr>
          <w:rFonts w:ascii="Arial" w:hAnsi="Arial" w:cs="Arial"/>
        </w:rPr>
        <w:t xml:space="preserve">was to investigate the effects </w:t>
      </w:r>
      <w:r w:rsidRPr="00D02A2C">
        <w:rPr>
          <w:rFonts w:ascii="Arial" w:hAnsi="Arial" w:cs="Arial"/>
        </w:rPr>
        <w:t>of</w:t>
      </w:r>
      <w:r w:rsidR="00DC6954" w:rsidRPr="00D02A2C">
        <w:rPr>
          <w:rFonts w:ascii="Arial" w:hAnsi="Arial" w:cs="Arial"/>
        </w:rPr>
        <w:t xml:space="preserve"> a</w:t>
      </w:r>
      <w:r w:rsidRPr="00D02A2C">
        <w:rPr>
          <w:rFonts w:ascii="Arial" w:hAnsi="Arial" w:cs="Arial"/>
        </w:rPr>
        <w:t xml:space="preserve"> </w:t>
      </w:r>
      <w:r w:rsidR="00DC6954" w:rsidRPr="00D02A2C">
        <w:rPr>
          <w:rFonts w:ascii="Arial" w:hAnsi="Arial" w:cs="Arial"/>
        </w:rPr>
        <w:t>12.8 mmol·day</w:t>
      </w:r>
      <w:r w:rsidR="00DC6954" w:rsidRPr="00D02A2C">
        <w:rPr>
          <w:rFonts w:ascii="Arial" w:hAnsi="Arial" w:cs="Arial"/>
          <w:vertAlign w:val="superscript"/>
        </w:rPr>
        <w:t xml:space="preserve">-1 </w:t>
      </w:r>
      <w:r w:rsidR="008E1D67" w:rsidRPr="00D02A2C">
        <w:rPr>
          <w:rFonts w:ascii="Arial" w:hAnsi="Arial" w:cs="Arial"/>
        </w:rPr>
        <w:t>NO</w:t>
      </w:r>
      <w:r w:rsidR="008E1D67" w:rsidRPr="00D02A2C">
        <w:rPr>
          <w:rFonts w:ascii="Arial" w:hAnsi="Arial" w:cs="Arial"/>
          <w:vertAlign w:val="subscript"/>
        </w:rPr>
        <w:t>3</w:t>
      </w:r>
      <w:r w:rsidR="008E1D67" w:rsidRPr="00D02A2C">
        <w:rPr>
          <w:rFonts w:ascii="Arial" w:hAnsi="Arial" w:cs="Arial"/>
          <w:vertAlign w:val="superscript"/>
        </w:rPr>
        <w:t>-</w:t>
      </w:r>
      <w:r w:rsidRPr="00D02A2C">
        <w:rPr>
          <w:rFonts w:ascii="Arial" w:hAnsi="Arial" w:cs="Arial"/>
        </w:rPr>
        <w:t xml:space="preserve"> </w:t>
      </w:r>
      <w:r w:rsidR="00DC6954" w:rsidRPr="00D02A2C">
        <w:rPr>
          <w:rFonts w:ascii="Arial" w:hAnsi="Arial" w:cs="Arial"/>
        </w:rPr>
        <w:t xml:space="preserve">dose for </w:t>
      </w:r>
      <w:r w:rsidR="00DC6954">
        <w:rPr>
          <w:rFonts w:ascii="Arial" w:hAnsi="Arial" w:cs="Arial"/>
        </w:rPr>
        <w:t xml:space="preserve">three days prior </w:t>
      </w:r>
      <w:r w:rsidR="00B06D40">
        <w:rPr>
          <w:rFonts w:ascii="Arial" w:hAnsi="Arial" w:cs="Arial"/>
        </w:rPr>
        <w:t xml:space="preserve">the performance of a </w:t>
      </w:r>
      <w:r w:rsidRPr="00D50DB8">
        <w:rPr>
          <w:rFonts w:ascii="Arial" w:hAnsi="Arial" w:cs="Arial"/>
        </w:rPr>
        <w:t>40</w:t>
      </w:r>
      <w:r w:rsidR="006730A0" w:rsidRPr="00D50DB8">
        <w:rPr>
          <w:rFonts w:ascii="Arial" w:hAnsi="Arial" w:cs="Arial"/>
        </w:rPr>
        <w:t xml:space="preserve"> </w:t>
      </w:r>
      <w:r w:rsidRPr="00D50DB8">
        <w:rPr>
          <w:rFonts w:ascii="Arial" w:hAnsi="Arial" w:cs="Arial"/>
        </w:rPr>
        <w:t xml:space="preserve">km TT </w:t>
      </w:r>
      <w:r w:rsidR="00DC6954">
        <w:rPr>
          <w:rFonts w:ascii="Arial" w:hAnsi="Arial" w:cs="Arial"/>
        </w:rPr>
        <w:t>in trained cyclists</w:t>
      </w:r>
      <w:r w:rsidRPr="00D50DB8">
        <w:rPr>
          <w:rFonts w:ascii="Arial" w:hAnsi="Arial" w:cs="Arial"/>
        </w:rPr>
        <w:t xml:space="preserve">. </w:t>
      </w:r>
      <w:r w:rsidR="00A06229" w:rsidRPr="00D50DB8">
        <w:rPr>
          <w:rFonts w:ascii="Arial" w:hAnsi="Arial" w:cs="Arial"/>
        </w:rPr>
        <w:t>The p</w:t>
      </w:r>
      <w:r w:rsidRPr="00D50DB8">
        <w:rPr>
          <w:rFonts w:ascii="Arial" w:hAnsi="Arial" w:cs="Arial"/>
        </w:rPr>
        <w:t xml:space="preserve">rinciple performance findings </w:t>
      </w:r>
      <w:r w:rsidR="008D5845" w:rsidRPr="00D50DB8">
        <w:rPr>
          <w:rFonts w:ascii="Arial" w:hAnsi="Arial" w:cs="Arial"/>
        </w:rPr>
        <w:t>suggest</w:t>
      </w:r>
      <w:r w:rsidRPr="00D50DB8">
        <w:rPr>
          <w:rFonts w:ascii="Arial" w:hAnsi="Arial" w:cs="Arial"/>
        </w:rPr>
        <w:t xml:space="preserve"> that </w:t>
      </w:r>
      <w:r w:rsidR="008E1D67" w:rsidRPr="00D50DB8">
        <w:rPr>
          <w:rFonts w:ascii="Arial" w:hAnsi="Arial" w:cs="Arial"/>
        </w:rPr>
        <w:t>NO</w:t>
      </w:r>
      <w:r w:rsidR="008E1D67" w:rsidRPr="00D50DB8">
        <w:rPr>
          <w:rFonts w:ascii="Arial" w:hAnsi="Arial" w:cs="Arial"/>
          <w:vertAlign w:val="subscript"/>
        </w:rPr>
        <w:t>3</w:t>
      </w:r>
      <w:r w:rsidR="008E1D67" w:rsidRPr="00D50DB8">
        <w:rPr>
          <w:rFonts w:ascii="Arial" w:hAnsi="Arial" w:cs="Arial"/>
          <w:vertAlign w:val="superscript"/>
        </w:rPr>
        <w:t>-</w:t>
      </w:r>
      <w:r w:rsidRPr="00D50DB8">
        <w:rPr>
          <w:rFonts w:ascii="Arial" w:hAnsi="Arial" w:cs="Arial"/>
        </w:rPr>
        <w:t xml:space="preserve">, in the form of </w:t>
      </w:r>
      <w:r w:rsidRPr="00B06D40">
        <w:rPr>
          <w:rFonts w:ascii="Arial" w:hAnsi="Arial" w:cs="Arial"/>
        </w:rPr>
        <w:t xml:space="preserve">beetroot juice, </w:t>
      </w:r>
      <w:r w:rsidR="00A06229" w:rsidRPr="00B06D40">
        <w:rPr>
          <w:rFonts w:ascii="Arial" w:hAnsi="Arial" w:cs="Arial"/>
        </w:rPr>
        <w:t>elicited</w:t>
      </w:r>
      <w:r w:rsidR="008D5845" w:rsidRPr="00B06D40">
        <w:rPr>
          <w:rFonts w:ascii="Arial" w:hAnsi="Arial" w:cs="Arial"/>
        </w:rPr>
        <w:t xml:space="preserve"> no</w:t>
      </w:r>
      <w:r w:rsidRPr="00B06D40">
        <w:rPr>
          <w:rFonts w:ascii="Arial" w:hAnsi="Arial" w:cs="Arial"/>
        </w:rPr>
        <w:t xml:space="preserve"> significant improvements in</w:t>
      </w:r>
      <w:r w:rsidR="00DC6954" w:rsidRPr="00B06D40">
        <w:rPr>
          <w:rFonts w:ascii="Arial" w:hAnsi="Arial" w:cs="Arial"/>
        </w:rPr>
        <w:t xml:space="preserve"> time to completion or mean power output</w:t>
      </w:r>
      <w:r w:rsidRPr="00B06D40">
        <w:rPr>
          <w:rFonts w:ascii="Arial" w:hAnsi="Arial" w:cs="Arial"/>
        </w:rPr>
        <w:t>. These findings</w:t>
      </w:r>
      <w:r w:rsidR="00B10D34" w:rsidRPr="00B06D40">
        <w:rPr>
          <w:rFonts w:ascii="Arial" w:hAnsi="Arial" w:cs="Arial"/>
        </w:rPr>
        <w:t xml:space="preserve"> </w:t>
      </w:r>
      <w:r w:rsidR="00DC6954" w:rsidRPr="00B06D40">
        <w:rPr>
          <w:rFonts w:ascii="Arial" w:hAnsi="Arial" w:cs="Arial"/>
        </w:rPr>
        <w:t xml:space="preserve">support previous research which have reported no change in performance in TT greater than 30 min in </w:t>
      </w:r>
      <w:r w:rsidR="00E366A7" w:rsidRPr="00B06D40">
        <w:rPr>
          <w:rFonts w:ascii="Arial" w:hAnsi="Arial" w:cs="Arial"/>
        </w:rPr>
        <w:t>superiorly</w:t>
      </w:r>
      <w:r w:rsidR="00DC6954" w:rsidRPr="00B06D40">
        <w:rPr>
          <w:rFonts w:ascii="Arial" w:hAnsi="Arial" w:cs="Arial"/>
        </w:rPr>
        <w:t xml:space="preserve"> trained cohorts (Cermak et al</w:t>
      </w:r>
      <w:r w:rsidR="00B06D40">
        <w:rPr>
          <w:rFonts w:ascii="Arial" w:hAnsi="Arial" w:cs="Arial"/>
        </w:rPr>
        <w:t>.</w:t>
      </w:r>
      <w:r w:rsidR="00DC6954" w:rsidRPr="00B06D40">
        <w:rPr>
          <w:rFonts w:ascii="Arial" w:hAnsi="Arial" w:cs="Arial"/>
        </w:rPr>
        <w:t>, 2012b; Wilkerson et al</w:t>
      </w:r>
      <w:r w:rsidR="00B06D40">
        <w:rPr>
          <w:rFonts w:ascii="Arial" w:hAnsi="Arial" w:cs="Arial"/>
        </w:rPr>
        <w:t>.</w:t>
      </w:r>
      <w:r w:rsidR="00DC6954" w:rsidRPr="00B06D40">
        <w:rPr>
          <w:rFonts w:ascii="Arial" w:hAnsi="Arial" w:cs="Arial"/>
        </w:rPr>
        <w:t>, 2012; Lane et al</w:t>
      </w:r>
      <w:r w:rsidR="00B06D40">
        <w:rPr>
          <w:rFonts w:ascii="Arial" w:hAnsi="Arial" w:cs="Arial"/>
        </w:rPr>
        <w:t>.</w:t>
      </w:r>
      <w:r w:rsidR="00DC6954" w:rsidRPr="00B06D40">
        <w:rPr>
          <w:rFonts w:ascii="Arial" w:hAnsi="Arial" w:cs="Arial"/>
        </w:rPr>
        <w:t xml:space="preserve">, 2013). </w:t>
      </w:r>
      <w:r w:rsidR="0023698A" w:rsidRPr="00B06D40">
        <w:rPr>
          <w:rFonts w:ascii="Arial" w:hAnsi="Arial" w:cs="Arial"/>
        </w:rPr>
        <w:t xml:space="preserve">Nevertheless, </w:t>
      </w:r>
      <w:r w:rsidR="00F46AF3" w:rsidRPr="00B06D40">
        <w:rPr>
          <w:rFonts w:ascii="Arial" w:hAnsi="Arial" w:cs="Arial"/>
        </w:rPr>
        <w:t xml:space="preserve">this study is the first to utilise a chronic </w:t>
      </w:r>
      <w:r w:rsidR="00972A66">
        <w:rPr>
          <w:rFonts w:ascii="Arial" w:hAnsi="Arial" w:cs="Arial"/>
        </w:rPr>
        <w:t>3-</w:t>
      </w:r>
      <w:r w:rsidR="00F46AF3" w:rsidRPr="00B06D40">
        <w:rPr>
          <w:rFonts w:ascii="Arial" w:hAnsi="Arial" w:cs="Arial"/>
        </w:rPr>
        <w:t xml:space="preserve">day dosing </w:t>
      </w:r>
      <w:r w:rsidR="00E366A7" w:rsidRPr="00B06D40">
        <w:rPr>
          <w:rFonts w:ascii="Arial" w:hAnsi="Arial" w:cs="Arial"/>
        </w:rPr>
        <w:t>strategy</w:t>
      </w:r>
      <w:r w:rsidR="00876BCB" w:rsidRPr="00B06D40">
        <w:rPr>
          <w:rFonts w:ascii="Arial" w:hAnsi="Arial" w:cs="Arial"/>
        </w:rPr>
        <w:t xml:space="preserve"> and therefore,</w:t>
      </w:r>
      <w:r w:rsidR="00F46AF3" w:rsidRPr="00B06D40">
        <w:rPr>
          <w:rFonts w:ascii="Arial" w:hAnsi="Arial" w:cs="Arial"/>
        </w:rPr>
        <w:t xml:space="preserve"> </w:t>
      </w:r>
      <w:r w:rsidR="00876BCB" w:rsidRPr="00B06D40">
        <w:rPr>
          <w:rFonts w:ascii="Arial" w:hAnsi="Arial" w:cs="Arial"/>
        </w:rPr>
        <w:t>suggesting</w:t>
      </w:r>
      <w:r w:rsidR="00F46AF3" w:rsidRPr="00B06D40">
        <w:rPr>
          <w:rFonts w:ascii="Arial" w:hAnsi="Arial" w:cs="Arial"/>
        </w:rPr>
        <w:t xml:space="preserve"> </w:t>
      </w:r>
      <w:r w:rsidR="00876BCB" w:rsidRPr="00B06D40">
        <w:rPr>
          <w:rFonts w:ascii="Arial" w:hAnsi="Arial" w:cs="Arial"/>
        </w:rPr>
        <w:t xml:space="preserve">that </w:t>
      </w:r>
      <w:r w:rsidR="00F46AF3" w:rsidRPr="00B06D40">
        <w:rPr>
          <w:rFonts w:ascii="Arial" w:hAnsi="Arial" w:cs="Arial"/>
        </w:rPr>
        <w:t xml:space="preserve">increasing the </w:t>
      </w:r>
      <w:r w:rsidR="00D63E81" w:rsidRPr="00B06D40">
        <w:rPr>
          <w:rFonts w:ascii="Arial" w:hAnsi="Arial" w:cs="Arial"/>
        </w:rPr>
        <w:t>concentration</w:t>
      </w:r>
      <w:r w:rsidR="00F46AF3" w:rsidRPr="00B06D40">
        <w:rPr>
          <w:rFonts w:ascii="Arial" w:hAnsi="Arial" w:cs="Arial"/>
        </w:rPr>
        <w:t xml:space="preserve"> of NO</w:t>
      </w:r>
      <w:r w:rsidR="00F46AF3" w:rsidRPr="00B06D40">
        <w:rPr>
          <w:rFonts w:ascii="Arial" w:hAnsi="Arial" w:cs="Arial"/>
          <w:vertAlign w:val="subscript"/>
        </w:rPr>
        <w:t>3</w:t>
      </w:r>
      <w:r w:rsidR="00F46AF3" w:rsidRPr="00B06D40">
        <w:rPr>
          <w:rFonts w:ascii="Arial" w:hAnsi="Arial" w:cs="Arial"/>
          <w:vertAlign w:val="superscript"/>
        </w:rPr>
        <w:t>-</w:t>
      </w:r>
      <w:r w:rsidR="00F46AF3" w:rsidRPr="00B06D40">
        <w:rPr>
          <w:rFonts w:ascii="Arial" w:hAnsi="Arial" w:cs="Arial"/>
        </w:rPr>
        <w:t xml:space="preserve"> ingestion does not alter performance during </w:t>
      </w:r>
      <w:r w:rsidR="00F17D9A" w:rsidRPr="00B06D40">
        <w:rPr>
          <w:rFonts w:ascii="Arial" w:hAnsi="Arial" w:cs="Arial"/>
        </w:rPr>
        <w:t xml:space="preserve">a longer duration 40 km TT </w:t>
      </w:r>
      <w:r w:rsidR="000F5FFC" w:rsidRPr="00B06D40">
        <w:rPr>
          <w:rFonts w:ascii="Arial" w:hAnsi="Arial" w:cs="Arial"/>
        </w:rPr>
        <w:t xml:space="preserve">in trained cyclists. </w:t>
      </w:r>
    </w:p>
    <w:p w14:paraId="6CC92E32" w14:textId="77777777" w:rsidR="00924D19" w:rsidRPr="00D74D6E" w:rsidRDefault="00924D19" w:rsidP="00D50DB8">
      <w:pPr>
        <w:spacing w:after="0" w:line="480" w:lineRule="auto"/>
        <w:jc w:val="both"/>
        <w:rPr>
          <w:rFonts w:ascii="Arial" w:hAnsi="Arial" w:cs="Arial"/>
          <w:color w:val="FF0000"/>
        </w:rPr>
      </w:pPr>
    </w:p>
    <w:p w14:paraId="0068B3DF" w14:textId="48041AB6" w:rsidR="00FA7AEA" w:rsidRPr="00B06D40" w:rsidRDefault="00BC1FD2" w:rsidP="00D50DB8">
      <w:pPr>
        <w:spacing w:after="0" w:line="480" w:lineRule="auto"/>
        <w:jc w:val="both"/>
        <w:rPr>
          <w:rFonts w:ascii="Arial" w:hAnsi="Arial" w:cs="Arial"/>
        </w:rPr>
      </w:pPr>
      <w:r w:rsidRPr="00B06D40">
        <w:rPr>
          <w:rFonts w:ascii="Arial" w:hAnsi="Arial" w:cs="Arial"/>
        </w:rPr>
        <w:t xml:space="preserve">The </w:t>
      </w:r>
      <w:r w:rsidR="00972A66">
        <w:rPr>
          <w:rFonts w:ascii="Arial" w:hAnsi="Arial" w:cs="Arial"/>
        </w:rPr>
        <w:t>3-</w:t>
      </w:r>
      <w:r w:rsidRPr="00B06D40">
        <w:rPr>
          <w:rFonts w:ascii="Arial" w:hAnsi="Arial" w:cs="Arial"/>
        </w:rPr>
        <w:t>day supplementation protocol utilised in this study ad</w:t>
      </w:r>
      <w:r w:rsidR="00CB10B0" w:rsidRPr="00B06D40">
        <w:rPr>
          <w:rFonts w:ascii="Arial" w:hAnsi="Arial" w:cs="Arial"/>
        </w:rPr>
        <w:t xml:space="preserve">ministered </w:t>
      </w:r>
      <w:r w:rsidR="00B06D40" w:rsidRPr="00B06D40">
        <w:rPr>
          <w:rFonts w:ascii="Arial" w:hAnsi="Arial" w:cs="Arial"/>
        </w:rPr>
        <w:t xml:space="preserve">a total of </w:t>
      </w:r>
      <w:r w:rsidR="00CB10B0" w:rsidRPr="00B06D40">
        <w:rPr>
          <w:rFonts w:ascii="Arial" w:hAnsi="Arial" w:cs="Arial"/>
        </w:rPr>
        <w:t>38.4 mmol of NO</w:t>
      </w:r>
      <w:r w:rsidR="00CB10B0" w:rsidRPr="00B06D40">
        <w:rPr>
          <w:rFonts w:ascii="Arial" w:hAnsi="Arial" w:cs="Arial"/>
          <w:vertAlign w:val="subscript"/>
        </w:rPr>
        <w:t>3</w:t>
      </w:r>
      <w:r w:rsidR="00CB10B0" w:rsidRPr="00B06D40">
        <w:rPr>
          <w:rFonts w:ascii="Arial" w:hAnsi="Arial" w:cs="Arial"/>
          <w:vertAlign w:val="superscript"/>
        </w:rPr>
        <w:t>-</w:t>
      </w:r>
      <w:r w:rsidR="00CB10B0" w:rsidRPr="00B06D40">
        <w:rPr>
          <w:rFonts w:ascii="Arial" w:hAnsi="Arial" w:cs="Arial"/>
        </w:rPr>
        <w:t xml:space="preserve"> prior to exercise, which is substantially greater than the </w:t>
      </w:r>
      <w:r w:rsidR="00D626C2" w:rsidRPr="00B06D40">
        <w:rPr>
          <w:rFonts w:ascii="Arial" w:hAnsi="Arial" w:cs="Arial"/>
        </w:rPr>
        <w:t>6 to 17.4 mmol administer</w:t>
      </w:r>
      <w:r w:rsidR="00876BCB" w:rsidRPr="00B06D40">
        <w:rPr>
          <w:rFonts w:ascii="Arial" w:hAnsi="Arial" w:cs="Arial"/>
        </w:rPr>
        <w:t>ed</w:t>
      </w:r>
      <w:r w:rsidR="00D626C2" w:rsidRPr="00B06D40">
        <w:rPr>
          <w:rFonts w:ascii="Arial" w:hAnsi="Arial" w:cs="Arial"/>
        </w:rPr>
        <w:t xml:space="preserve"> during previous investigations (Cermak et al</w:t>
      </w:r>
      <w:r w:rsidR="00B06D40">
        <w:rPr>
          <w:rFonts w:ascii="Arial" w:hAnsi="Arial" w:cs="Arial"/>
        </w:rPr>
        <w:t>.</w:t>
      </w:r>
      <w:r w:rsidR="00D626C2" w:rsidRPr="00B06D40">
        <w:rPr>
          <w:rFonts w:ascii="Arial" w:hAnsi="Arial" w:cs="Arial"/>
        </w:rPr>
        <w:t>, 2012b; Wilkerson et al</w:t>
      </w:r>
      <w:r w:rsidR="00B06D40">
        <w:rPr>
          <w:rFonts w:ascii="Arial" w:hAnsi="Arial" w:cs="Arial"/>
        </w:rPr>
        <w:t>.</w:t>
      </w:r>
      <w:r w:rsidR="00D626C2" w:rsidRPr="00B06D40">
        <w:rPr>
          <w:rFonts w:ascii="Arial" w:hAnsi="Arial" w:cs="Arial"/>
        </w:rPr>
        <w:t>, 2012; Lane et al</w:t>
      </w:r>
      <w:r w:rsidR="00B06D40">
        <w:rPr>
          <w:rFonts w:ascii="Arial" w:hAnsi="Arial" w:cs="Arial"/>
        </w:rPr>
        <w:t>.</w:t>
      </w:r>
      <w:r w:rsidR="00D626C2" w:rsidRPr="00B06D40">
        <w:rPr>
          <w:rFonts w:ascii="Arial" w:hAnsi="Arial" w:cs="Arial"/>
        </w:rPr>
        <w:t>, 2013). These studies reported</w:t>
      </w:r>
      <w:r w:rsidR="00876BCB" w:rsidRPr="00B06D40">
        <w:rPr>
          <w:rFonts w:ascii="Arial" w:hAnsi="Arial" w:cs="Arial"/>
        </w:rPr>
        <w:t xml:space="preserve"> a</w:t>
      </w:r>
      <w:r w:rsidR="00D626C2" w:rsidRPr="00B06D40">
        <w:rPr>
          <w:rFonts w:ascii="Arial" w:hAnsi="Arial" w:cs="Arial"/>
        </w:rPr>
        <w:t xml:space="preserve"> plasma NO</w:t>
      </w:r>
      <w:r w:rsidR="00D626C2" w:rsidRPr="00B06D40">
        <w:rPr>
          <w:rFonts w:ascii="Arial" w:hAnsi="Arial" w:cs="Arial"/>
          <w:vertAlign w:val="subscript"/>
        </w:rPr>
        <w:t>2</w:t>
      </w:r>
      <w:r w:rsidR="00D626C2" w:rsidRPr="00B06D40">
        <w:rPr>
          <w:rFonts w:ascii="Arial" w:hAnsi="Arial" w:cs="Arial"/>
        </w:rPr>
        <w:t xml:space="preserve"> increase by 25% (Wilkerson et al.</w:t>
      </w:r>
      <w:r w:rsidR="00B06D40">
        <w:rPr>
          <w:rFonts w:ascii="Arial" w:hAnsi="Arial" w:cs="Arial"/>
        </w:rPr>
        <w:t>,</w:t>
      </w:r>
      <w:r w:rsidR="00D626C2" w:rsidRPr="00B06D40">
        <w:rPr>
          <w:rFonts w:ascii="Arial" w:hAnsi="Arial" w:cs="Arial"/>
        </w:rPr>
        <w:t xml:space="preserve"> 2012) and 96% (Cermak et al.</w:t>
      </w:r>
      <w:r w:rsidR="00B06D40">
        <w:rPr>
          <w:rFonts w:ascii="Arial" w:hAnsi="Arial" w:cs="Arial"/>
        </w:rPr>
        <w:t>,</w:t>
      </w:r>
      <w:r w:rsidR="00D626C2" w:rsidRPr="00B06D40">
        <w:rPr>
          <w:rFonts w:ascii="Arial" w:hAnsi="Arial" w:cs="Arial"/>
        </w:rPr>
        <w:t xml:space="preserve"> 2012b) from baseline to pre-exercise. While we did not measure plasma NO</w:t>
      </w:r>
      <w:r w:rsidR="00D626C2" w:rsidRPr="00B06D40">
        <w:rPr>
          <w:rFonts w:ascii="Arial" w:hAnsi="Arial" w:cs="Arial"/>
          <w:vertAlign w:val="subscript"/>
        </w:rPr>
        <w:t>2</w:t>
      </w:r>
      <w:r w:rsidR="00D626C2" w:rsidRPr="00B06D40">
        <w:rPr>
          <w:rFonts w:ascii="Arial" w:hAnsi="Arial" w:cs="Arial"/>
        </w:rPr>
        <w:t>, Kelly et al</w:t>
      </w:r>
      <w:r w:rsidR="00B06D40">
        <w:rPr>
          <w:rFonts w:ascii="Arial" w:hAnsi="Arial" w:cs="Arial"/>
        </w:rPr>
        <w:t>.</w:t>
      </w:r>
      <w:r w:rsidR="00D02A2C">
        <w:rPr>
          <w:rFonts w:ascii="Arial" w:hAnsi="Arial" w:cs="Arial"/>
        </w:rPr>
        <w:t>,</w:t>
      </w:r>
      <w:r w:rsidR="00D626C2" w:rsidRPr="00B06D40">
        <w:rPr>
          <w:rFonts w:ascii="Arial" w:hAnsi="Arial" w:cs="Arial"/>
        </w:rPr>
        <w:t xml:space="preserve"> (201</w:t>
      </w:r>
      <w:r w:rsidR="00A36073" w:rsidRPr="00B06D40">
        <w:rPr>
          <w:rFonts w:ascii="Arial" w:hAnsi="Arial" w:cs="Arial"/>
        </w:rPr>
        <w:t xml:space="preserve">4) utilised </w:t>
      </w:r>
      <w:r w:rsidR="00D626C2" w:rsidRPr="00B06D40">
        <w:rPr>
          <w:rFonts w:ascii="Arial" w:hAnsi="Arial" w:cs="Arial"/>
        </w:rPr>
        <w:t xml:space="preserve">a similar </w:t>
      </w:r>
      <w:r w:rsidR="00972A66">
        <w:rPr>
          <w:rFonts w:ascii="Arial" w:hAnsi="Arial" w:cs="Arial"/>
        </w:rPr>
        <w:t xml:space="preserve">3-day </w:t>
      </w:r>
      <w:r w:rsidR="00D626C2" w:rsidRPr="00B06D40">
        <w:rPr>
          <w:rFonts w:ascii="Arial" w:hAnsi="Arial" w:cs="Arial"/>
        </w:rPr>
        <w:t>supplementation</w:t>
      </w:r>
      <w:r w:rsidR="00A36073" w:rsidRPr="00B06D40">
        <w:rPr>
          <w:rFonts w:ascii="Arial" w:hAnsi="Arial" w:cs="Arial"/>
        </w:rPr>
        <w:t xml:space="preserve"> approach providing 25.2 mmol NO3</w:t>
      </w:r>
      <w:r w:rsidR="00A36073" w:rsidRPr="00B06D40">
        <w:rPr>
          <w:rFonts w:ascii="Arial" w:hAnsi="Arial" w:cs="Arial"/>
          <w:vertAlign w:val="superscript"/>
        </w:rPr>
        <w:t>-</w:t>
      </w:r>
      <w:r w:rsidR="00D626C2" w:rsidRPr="00B06D40">
        <w:rPr>
          <w:rFonts w:ascii="Arial" w:hAnsi="Arial" w:cs="Arial"/>
        </w:rPr>
        <w:t xml:space="preserve"> </w:t>
      </w:r>
      <w:r w:rsidR="00A36073" w:rsidRPr="00B06D40">
        <w:rPr>
          <w:rFonts w:ascii="Arial" w:hAnsi="Arial" w:cs="Arial"/>
        </w:rPr>
        <w:t>and reported a substantial</w:t>
      </w:r>
      <w:r w:rsidR="00DB42D2" w:rsidRPr="00B06D40">
        <w:rPr>
          <w:rFonts w:ascii="Arial" w:hAnsi="Arial" w:cs="Arial"/>
        </w:rPr>
        <w:t xml:space="preserve"> 242% and</w:t>
      </w:r>
      <w:r w:rsidR="00A36073" w:rsidRPr="00B06D40">
        <w:rPr>
          <w:rFonts w:ascii="Arial" w:hAnsi="Arial" w:cs="Arial"/>
        </w:rPr>
        <w:t xml:space="preserve"> </w:t>
      </w:r>
      <w:r w:rsidR="00EF7681" w:rsidRPr="00B06D40">
        <w:rPr>
          <w:rFonts w:ascii="Arial" w:hAnsi="Arial" w:cs="Arial"/>
        </w:rPr>
        <w:t>557</w:t>
      </w:r>
      <w:r w:rsidR="00DB42D2" w:rsidRPr="00B06D40">
        <w:rPr>
          <w:rFonts w:ascii="Arial" w:hAnsi="Arial" w:cs="Arial"/>
        </w:rPr>
        <w:t xml:space="preserve">% mean increase from baseline, in a </w:t>
      </w:r>
      <w:r w:rsidR="00E366A7" w:rsidRPr="00B06D40">
        <w:rPr>
          <w:rFonts w:ascii="Arial" w:hAnsi="Arial" w:cs="Arial"/>
        </w:rPr>
        <w:t>similarly</w:t>
      </w:r>
      <w:r w:rsidR="00DB42D2" w:rsidRPr="00B06D40">
        <w:rPr>
          <w:rFonts w:ascii="Arial" w:hAnsi="Arial" w:cs="Arial"/>
        </w:rPr>
        <w:t xml:space="preserve"> </w:t>
      </w:r>
      <w:r w:rsidR="00E366A7" w:rsidRPr="00B06D40">
        <w:rPr>
          <w:rFonts w:ascii="Arial" w:hAnsi="Arial" w:cs="Arial"/>
        </w:rPr>
        <w:t>trained</w:t>
      </w:r>
      <w:r w:rsidR="00DB42D2" w:rsidRPr="00B06D40">
        <w:rPr>
          <w:rFonts w:ascii="Arial" w:hAnsi="Arial" w:cs="Arial"/>
        </w:rPr>
        <w:t xml:space="preserve"> population (VO</w:t>
      </w:r>
      <w:r w:rsidR="00DB42D2" w:rsidRPr="00B06D40">
        <w:rPr>
          <w:rFonts w:ascii="Arial" w:hAnsi="Arial" w:cs="Arial"/>
          <w:vertAlign w:val="subscript"/>
        </w:rPr>
        <w:t>2max</w:t>
      </w:r>
      <w:r w:rsidR="00DB42D2" w:rsidRPr="00B06D40">
        <w:rPr>
          <w:rFonts w:ascii="Arial" w:hAnsi="Arial" w:cs="Arial"/>
        </w:rPr>
        <w:t>: 58.3 ± 6.3 ml·kg</w:t>
      </w:r>
      <w:r w:rsidR="00DB42D2" w:rsidRPr="00B06D40">
        <w:rPr>
          <w:rFonts w:ascii="Arial" w:hAnsi="Arial" w:cs="Arial"/>
          <w:vertAlign w:val="superscript"/>
        </w:rPr>
        <w:t>-1</w:t>
      </w:r>
      <w:r w:rsidR="00DB42D2" w:rsidRPr="00B06D40">
        <w:rPr>
          <w:rFonts w:ascii="Arial" w:hAnsi="Arial" w:cs="Arial"/>
        </w:rPr>
        <w:t>·min</w:t>
      </w:r>
      <w:r w:rsidR="00DB42D2" w:rsidRPr="00B06D40">
        <w:rPr>
          <w:rFonts w:ascii="Arial" w:hAnsi="Arial" w:cs="Arial"/>
          <w:vertAlign w:val="superscript"/>
        </w:rPr>
        <w:t>-1</w:t>
      </w:r>
      <w:r w:rsidR="00DB42D2" w:rsidRPr="00B06D40">
        <w:rPr>
          <w:rFonts w:ascii="Arial" w:hAnsi="Arial" w:cs="Arial"/>
        </w:rPr>
        <w:t>). Given a great</w:t>
      </w:r>
      <w:r w:rsidR="00D7086A" w:rsidRPr="00B06D40">
        <w:rPr>
          <w:rFonts w:ascii="Arial" w:hAnsi="Arial" w:cs="Arial"/>
        </w:rPr>
        <w:t>er</w:t>
      </w:r>
      <w:r w:rsidR="00DB42D2" w:rsidRPr="00B06D40">
        <w:rPr>
          <w:rFonts w:ascii="Arial" w:hAnsi="Arial" w:cs="Arial"/>
        </w:rPr>
        <w:t xml:space="preserve"> </w:t>
      </w:r>
      <w:r w:rsidR="00E366A7" w:rsidRPr="00B06D40">
        <w:rPr>
          <w:rFonts w:ascii="Arial" w:hAnsi="Arial" w:cs="Arial"/>
        </w:rPr>
        <w:t>concentration</w:t>
      </w:r>
      <w:r w:rsidR="00DB42D2" w:rsidRPr="00B06D40">
        <w:rPr>
          <w:rFonts w:ascii="Arial" w:hAnsi="Arial" w:cs="Arial"/>
        </w:rPr>
        <w:t xml:space="preserve"> of NO</w:t>
      </w:r>
      <w:r w:rsidR="00DB42D2" w:rsidRPr="00B06D40">
        <w:rPr>
          <w:rFonts w:ascii="Arial" w:hAnsi="Arial" w:cs="Arial"/>
          <w:vertAlign w:val="subscript"/>
        </w:rPr>
        <w:t>2</w:t>
      </w:r>
      <w:r w:rsidR="00DB42D2" w:rsidRPr="00B06D40">
        <w:rPr>
          <w:rFonts w:ascii="Arial" w:hAnsi="Arial" w:cs="Arial"/>
        </w:rPr>
        <w:t xml:space="preserve"> was supplemented in the current study it is fair to postulate a similar increase in plasma NO</w:t>
      </w:r>
      <w:r w:rsidR="00DB42D2" w:rsidRPr="00B06D40">
        <w:rPr>
          <w:rFonts w:ascii="Arial" w:hAnsi="Arial" w:cs="Arial"/>
          <w:vertAlign w:val="subscript"/>
        </w:rPr>
        <w:t>2</w:t>
      </w:r>
      <w:r w:rsidR="00DB42D2" w:rsidRPr="00B06D40">
        <w:rPr>
          <w:rFonts w:ascii="Arial" w:hAnsi="Arial" w:cs="Arial"/>
        </w:rPr>
        <w:t>, which is substantially larger then that previously reported during prolonged TT investigations (Cermak et al.</w:t>
      </w:r>
      <w:r w:rsidR="00B06D40">
        <w:rPr>
          <w:rFonts w:ascii="Arial" w:hAnsi="Arial" w:cs="Arial"/>
        </w:rPr>
        <w:t>,</w:t>
      </w:r>
      <w:r w:rsidR="00DB42D2" w:rsidRPr="00B06D40">
        <w:rPr>
          <w:rFonts w:ascii="Arial" w:hAnsi="Arial" w:cs="Arial"/>
        </w:rPr>
        <w:t xml:space="preserve"> 2012b; Wilkerson et al.</w:t>
      </w:r>
      <w:r w:rsidR="00B06D40">
        <w:rPr>
          <w:rFonts w:ascii="Arial" w:hAnsi="Arial" w:cs="Arial"/>
        </w:rPr>
        <w:t>,</w:t>
      </w:r>
      <w:r w:rsidR="00DB42D2" w:rsidRPr="00B06D40">
        <w:rPr>
          <w:rFonts w:ascii="Arial" w:hAnsi="Arial" w:cs="Arial"/>
        </w:rPr>
        <w:t xml:space="preserve"> 2012)</w:t>
      </w:r>
      <w:r w:rsidR="00C11918" w:rsidRPr="00B06D40">
        <w:rPr>
          <w:rFonts w:ascii="Arial" w:hAnsi="Arial" w:cs="Arial"/>
        </w:rPr>
        <w:t>. Conse</w:t>
      </w:r>
      <w:r w:rsidR="00DB42D2" w:rsidRPr="00B06D40">
        <w:rPr>
          <w:rFonts w:ascii="Arial" w:hAnsi="Arial" w:cs="Arial"/>
        </w:rPr>
        <w:t xml:space="preserve">quently, the lack of change </w:t>
      </w:r>
      <w:r w:rsidR="00E366A7" w:rsidRPr="00B06D40">
        <w:rPr>
          <w:rFonts w:ascii="Arial" w:hAnsi="Arial" w:cs="Arial"/>
        </w:rPr>
        <w:t xml:space="preserve">in performance </w:t>
      </w:r>
      <w:r w:rsidR="00B06D40">
        <w:rPr>
          <w:rFonts w:ascii="Arial" w:hAnsi="Arial" w:cs="Arial"/>
        </w:rPr>
        <w:t>is un</w:t>
      </w:r>
      <w:r w:rsidR="00DB42D2" w:rsidRPr="00B06D40">
        <w:rPr>
          <w:rFonts w:ascii="Arial" w:hAnsi="Arial" w:cs="Arial"/>
        </w:rPr>
        <w:t>likely to be caused by insufficient plasma NO</w:t>
      </w:r>
      <w:r w:rsidR="00DB42D2" w:rsidRPr="00B06D40">
        <w:rPr>
          <w:rFonts w:ascii="Arial" w:hAnsi="Arial" w:cs="Arial"/>
          <w:vertAlign w:val="subscript"/>
        </w:rPr>
        <w:t>2</w:t>
      </w:r>
      <w:r w:rsidR="00FA7AEA" w:rsidRPr="00B06D40">
        <w:rPr>
          <w:rFonts w:ascii="Arial" w:hAnsi="Arial" w:cs="Arial"/>
        </w:rPr>
        <w:t xml:space="preserve"> bioavailability.</w:t>
      </w:r>
    </w:p>
    <w:p w14:paraId="2AD24C7E" w14:textId="77777777" w:rsidR="00DB42D2" w:rsidRPr="00D74D6E" w:rsidRDefault="00DB42D2" w:rsidP="00D50DB8">
      <w:pPr>
        <w:spacing w:after="0" w:line="480" w:lineRule="auto"/>
        <w:jc w:val="both"/>
        <w:rPr>
          <w:rFonts w:ascii="Arial" w:hAnsi="Arial" w:cs="Arial"/>
          <w:color w:val="FF0000"/>
        </w:rPr>
      </w:pPr>
    </w:p>
    <w:p w14:paraId="640E2784" w14:textId="062ADCE5" w:rsidR="003145EC" w:rsidRPr="00B06D40" w:rsidRDefault="00D7086A" w:rsidP="00FA7AEA">
      <w:pPr>
        <w:spacing w:after="0" w:line="480" w:lineRule="auto"/>
        <w:jc w:val="both"/>
        <w:rPr>
          <w:rFonts w:ascii="Arial" w:hAnsi="Arial" w:cs="Arial"/>
        </w:rPr>
      </w:pPr>
      <w:r w:rsidRPr="00B06D40">
        <w:rPr>
          <w:rFonts w:ascii="Arial" w:hAnsi="Arial" w:cs="Arial"/>
        </w:rPr>
        <w:t>A recen</w:t>
      </w:r>
      <w:r w:rsidR="00F634D2" w:rsidRPr="00B06D40">
        <w:rPr>
          <w:rFonts w:ascii="Arial" w:hAnsi="Arial" w:cs="Arial"/>
        </w:rPr>
        <w:t>t</w:t>
      </w:r>
      <w:r w:rsidR="00FA7AEA" w:rsidRPr="00B06D40">
        <w:rPr>
          <w:rFonts w:ascii="Arial" w:hAnsi="Arial" w:cs="Arial"/>
        </w:rPr>
        <w:t xml:space="preserve"> investigation by Shannon et al.</w:t>
      </w:r>
      <w:r w:rsidR="00B06D40" w:rsidRPr="00B06D40">
        <w:rPr>
          <w:rFonts w:ascii="Arial" w:hAnsi="Arial" w:cs="Arial"/>
        </w:rPr>
        <w:t>,</w:t>
      </w:r>
      <w:r w:rsidR="00FA7AEA" w:rsidRPr="00B06D40">
        <w:rPr>
          <w:rFonts w:ascii="Arial" w:hAnsi="Arial" w:cs="Arial"/>
        </w:rPr>
        <w:t xml:space="preserve"> (2017)</w:t>
      </w:r>
      <w:r w:rsidRPr="00B06D40">
        <w:rPr>
          <w:rFonts w:ascii="Arial" w:hAnsi="Arial" w:cs="Arial"/>
        </w:rPr>
        <w:t xml:space="preserve"> </w:t>
      </w:r>
      <w:r w:rsidR="00E76F75" w:rsidRPr="00B06D40">
        <w:rPr>
          <w:rFonts w:ascii="Arial" w:hAnsi="Arial" w:cs="Arial"/>
        </w:rPr>
        <w:t>highlighted</w:t>
      </w:r>
      <w:r w:rsidR="00FA7AEA" w:rsidRPr="00B06D40">
        <w:rPr>
          <w:rFonts w:ascii="Arial" w:hAnsi="Arial" w:cs="Arial"/>
        </w:rPr>
        <w:t xml:space="preserve"> the ergogenic effects of NO</w:t>
      </w:r>
      <w:r w:rsidR="00FA7AEA" w:rsidRPr="00B06D40">
        <w:rPr>
          <w:rFonts w:ascii="Arial" w:hAnsi="Arial" w:cs="Arial"/>
          <w:vertAlign w:val="subscript"/>
        </w:rPr>
        <w:t>3</w:t>
      </w:r>
      <w:r w:rsidR="00FA7AEA" w:rsidRPr="00B06D40">
        <w:rPr>
          <w:rFonts w:ascii="Arial" w:hAnsi="Arial" w:cs="Arial"/>
          <w:vertAlign w:val="superscript"/>
        </w:rPr>
        <w:t>-</w:t>
      </w:r>
      <w:r w:rsidR="00FA7AEA" w:rsidRPr="00B06D40">
        <w:rPr>
          <w:rFonts w:ascii="Arial" w:hAnsi="Arial" w:cs="Arial"/>
        </w:rPr>
        <w:t xml:space="preserve"> may be a manifestation of the exercise intensity and duration. Acute beetroot juice supplementation significantly improved </w:t>
      </w:r>
      <w:r w:rsidR="00682E8C" w:rsidRPr="00B06D40">
        <w:rPr>
          <w:rFonts w:ascii="Arial" w:hAnsi="Arial" w:cs="Arial"/>
        </w:rPr>
        <w:t xml:space="preserve">1500 m TT performance but not 10000 m TT performance in trained runners. The shorter distance </w:t>
      </w:r>
      <w:r w:rsidR="00E76F75" w:rsidRPr="00B06D40">
        <w:rPr>
          <w:rFonts w:ascii="Arial" w:hAnsi="Arial" w:cs="Arial"/>
        </w:rPr>
        <w:t xml:space="preserve">requires a </w:t>
      </w:r>
      <w:r w:rsidR="00E366A7" w:rsidRPr="00B06D40">
        <w:rPr>
          <w:rFonts w:ascii="Arial" w:hAnsi="Arial" w:cs="Arial"/>
        </w:rPr>
        <w:t>relatively</w:t>
      </w:r>
      <w:r w:rsidR="00E76F75" w:rsidRPr="00B06D40">
        <w:rPr>
          <w:rFonts w:ascii="Arial" w:hAnsi="Arial" w:cs="Arial"/>
        </w:rPr>
        <w:t xml:space="preserve"> higher </w:t>
      </w:r>
      <w:r w:rsidR="0020237B" w:rsidRPr="00B06D40">
        <w:rPr>
          <w:rFonts w:ascii="Arial" w:hAnsi="Arial" w:cs="Arial"/>
        </w:rPr>
        <w:t>intensity</w:t>
      </w:r>
      <w:r w:rsidR="00E76F75" w:rsidRPr="00B06D40">
        <w:rPr>
          <w:rFonts w:ascii="Arial" w:hAnsi="Arial" w:cs="Arial"/>
        </w:rPr>
        <w:t>, ther</w:t>
      </w:r>
      <w:r w:rsidR="00E366A7" w:rsidRPr="00B06D40">
        <w:rPr>
          <w:rFonts w:ascii="Arial" w:hAnsi="Arial" w:cs="Arial"/>
        </w:rPr>
        <w:t>e</w:t>
      </w:r>
      <w:r w:rsidR="00E76F75" w:rsidRPr="00B06D40">
        <w:rPr>
          <w:rFonts w:ascii="Arial" w:hAnsi="Arial" w:cs="Arial"/>
        </w:rPr>
        <w:t xml:space="preserve">by </w:t>
      </w:r>
      <w:r w:rsidR="0020237B" w:rsidRPr="00B06D40">
        <w:rPr>
          <w:rFonts w:ascii="Arial" w:hAnsi="Arial" w:cs="Arial"/>
        </w:rPr>
        <w:t>prompting</w:t>
      </w:r>
      <w:r w:rsidR="00E76F75" w:rsidRPr="00B06D40">
        <w:rPr>
          <w:rFonts w:ascii="Arial" w:hAnsi="Arial" w:cs="Arial"/>
        </w:rPr>
        <w:t xml:space="preserve"> </w:t>
      </w:r>
      <w:r w:rsidR="0020237B" w:rsidRPr="00B06D40">
        <w:rPr>
          <w:rFonts w:ascii="Arial" w:hAnsi="Arial" w:cs="Arial"/>
        </w:rPr>
        <w:t>an increase in pulmonary VO</w:t>
      </w:r>
      <w:r w:rsidR="0020237B" w:rsidRPr="00B06D40">
        <w:rPr>
          <w:rFonts w:ascii="Arial" w:hAnsi="Arial" w:cs="Arial"/>
          <w:vertAlign w:val="subscript"/>
        </w:rPr>
        <w:t>2</w:t>
      </w:r>
      <w:r w:rsidR="0020237B" w:rsidRPr="00B06D40">
        <w:rPr>
          <w:rFonts w:ascii="Arial" w:hAnsi="Arial" w:cs="Arial"/>
        </w:rPr>
        <w:t xml:space="preserve"> and HR demand, a greater perturbation to muscle metabolic </w:t>
      </w:r>
      <w:r w:rsidR="00B06D40" w:rsidRPr="00B06D40">
        <w:rPr>
          <w:rFonts w:ascii="Arial" w:hAnsi="Arial" w:cs="Arial"/>
        </w:rPr>
        <w:t>mil</w:t>
      </w:r>
      <w:r w:rsidR="00B06D40">
        <w:rPr>
          <w:rFonts w:ascii="Arial" w:hAnsi="Arial" w:cs="Arial"/>
        </w:rPr>
        <w:t>i</w:t>
      </w:r>
      <w:r w:rsidR="00B06D40" w:rsidRPr="00B06D40">
        <w:rPr>
          <w:rFonts w:ascii="Arial" w:hAnsi="Arial" w:cs="Arial"/>
        </w:rPr>
        <w:t>eu</w:t>
      </w:r>
      <w:r w:rsidR="003145EC" w:rsidRPr="00B06D40">
        <w:rPr>
          <w:rFonts w:ascii="Arial" w:hAnsi="Arial" w:cs="Arial"/>
        </w:rPr>
        <w:t xml:space="preserve"> (e.g. Hydrogen ion and phosphate accumulation) </w:t>
      </w:r>
      <w:r w:rsidR="0020237B" w:rsidRPr="00B06D40">
        <w:rPr>
          <w:rFonts w:ascii="Arial" w:hAnsi="Arial" w:cs="Arial"/>
        </w:rPr>
        <w:t>and an increase</w:t>
      </w:r>
      <w:r w:rsidR="00B06D40" w:rsidRPr="00B06D40">
        <w:rPr>
          <w:rFonts w:ascii="Arial" w:hAnsi="Arial" w:cs="Arial"/>
        </w:rPr>
        <w:t>d</w:t>
      </w:r>
      <w:r w:rsidR="0020237B" w:rsidRPr="00B06D40">
        <w:rPr>
          <w:rFonts w:ascii="Arial" w:hAnsi="Arial" w:cs="Arial"/>
        </w:rPr>
        <w:t xml:space="preserve"> recruitment of type 2 muscle fibre</w:t>
      </w:r>
      <w:r w:rsidR="000E53FE" w:rsidRPr="00B06D40">
        <w:rPr>
          <w:rFonts w:ascii="Arial" w:hAnsi="Arial" w:cs="Arial"/>
        </w:rPr>
        <w:t xml:space="preserve">s. </w:t>
      </w:r>
      <w:r w:rsidR="00775141" w:rsidRPr="00B06D40">
        <w:rPr>
          <w:rFonts w:ascii="Arial" w:hAnsi="Arial" w:cs="Arial"/>
        </w:rPr>
        <w:t>The underlying mechanism of N</w:t>
      </w:r>
      <w:r w:rsidR="009F1D3F" w:rsidRPr="00B06D40">
        <w:rPr>
          <w:rFonts w:ascii="Arial" w:hAnsi="Arial" w:cs="Arial"/>
        </w:rPr>
        <w:t>O</w:t>
      </w:r>
      <w:r w:rsidR="009F1D3F" w:rsidRPr="00B06D40">
        <w:rPr>
          <w:rFonts w:ascii="Arial" w:hAnsi="Arial" w:cs="Arial"/>
          <w:vertAlign w:val="subscript"/>
        </w:rPr>
        <w:t>3</w:t>
      </w:r>
      <w:r w:rsidR="009F1D3F" w:rsidRPr="00B06D40">
        <w:rPr>
          <w:rFonts w:ascii="Arial" w:hAnsi="Arial" w:cs="Arial"/>
          <w:vertAlign w:val="superscript"/>
        </w:rPr>
        <w:t>-</w:t>
      </w:r>
      <w:r w:rsidR="009F1D3F" w:rsidRPr="00B06D40">
        <w:rPr>
          <w:rFonts w:ascii="Arial" w:hAnsi="Arial" w:cs="Arial"/>
        </w:rPr>
        <w:t xml:space="preserve"> ergoencity </w:t>
      </w:r>
      <w:r w:rsidR="0098215C" w:rsidRPr="00B06D40">
        <w:rPr>
          <w:rFonts w:ascii="Arial" w:hAnsi="Arial" w:cs="Arial"/>
        </w:rPr>
        <w:t xml:space="preserve">are vast, but include </w:t>
      </w:r>
      <w:r w:rsidR="00E366A7" w:rsidRPr="00B06D40">
        <w:rPr>
          <w:rFonts w:ascii="Arial" w:hAnsi="Arial" w:cs="Arial"/>
        </w:rPr>
        <w:t xml:space="preserve">improved </w:t>
      </w:r>
      <w:r w:rsidR="0098215C" w:rsidRPr="00B06D40">
        <w:rPr>
          <w:rFonts w:ascii="Arial" w:hAnsi="Arial" w:cs="Arial"/>
        </w:rPr>
        <w:t>mitochondrial efficiency and</w:t>
      </w:r>
      <w:r w:rsidR="003145EC" w:rsidRPr="00B06D40">
        <w:rPr>
          <w:rFonts w:ascii="Arial" w:hAnsi="Arial" w:cs="Arial"/>
        </w:rPr>
        <w:t xml:space="preserve"> reductions in muscle metabolic </w:t>
      </w:r>
      <w:r w:rsidR="00E366A7" w:rsidRPr="00B06D40">
        <w:rPr>
          <w:rFonts w:ascii="Arial" w:hAnsi="Arial" w:cs="Arial"/>
        </w:rPr>
        <w:t>perturbations</w:t>
      </w:r>
      <w:r w:rsidR="003145EC" w:rsidRPr="00B06D40">
        <w:rPr>
          <w:rFonts w:ascii="Arial" w:hAnsi="Arial" w:cs="Arial"/>
        </w:rPr>
        <w:t xml:space="preserve"> (</w:t>
      </w:r>
      <w:r w:rsidR="0098215C" w:rsidRPr="00B06D40">
        <w:rPr>
          <w:rFonts w:ascii="Arial" w:hAnsi="Arial" w:cs="Arial"/>
        </w:rPr>
        <w:t>Vanhatalo et al.</w:t>
      </w:r>
      <w:r w:rsidR="00B06D40" w:rsidRPr="00B06D40">
        <w:rPr>
          <w:rFonts w:ascii="Arial" w:hAnsi="Arial" w:cs="Arial"/>
        </w:rPr>
        <w:t>,</w:t>
      </w:r>
      <w:r w:rsidR="0098215C" w:rsidRPr="00B06D40">
        <w:rPr>
          <w:rFonts w:ascii="Arial" w:hAnsi="Arial" w:cs="Arial"/>
        </w:rPr>
        <w:t xml:space="preserve"> 2011</w:t>
      </w:r>
      <w:r w:rsidR="003145EC" w:rsidRPr="00B06D40">
        <w:rPr>
          <w:rFonts w:ascii="Arial" w:hAnsi="Arial" w:cs="Arial"/>
        </w:rPr>
        <w:t>)</w:t>
      </w:r>
      <w:r w:rsidR="00785789" w:rsidRPr="00B06D40">
        <w:rPr>
          <w:rFonts w:ascii="Arial" w:hAnsi="Arial" w:cs="Arial"/>
        </w:rPr>
        <w:t>, partic</w:t>
      </w:r>
      <w:r w:rsidR="00E366A7" w:rsidRPr="00B06D40">
        <w:rPr>
          <w:rFonts w:ascii="Arial" w:hAnsi="Arial" w:cs="Arial"/>
        </w:rPr>
        <w:t>ul</w:t>
      </w:r>
      <w:r w:rsidR="00785789" w:rsidRPr="00B06D40">
        <w:rPr>
          <w:rFonts w:ascii="Arial" w:hAnsi="Arial" w:cs="Arial"/>
        </w:rPr>
        <w:t>a</w:t>
      </w:r>
      <w:r w:rsidR="00E366A7" w:rsidRPr="00B06D40">
        <w:rPr>
          <w:rFonts w:ascii="Arial" w:hAnsi="Arial" w:cs="Arial"/>
        </w:rPr>
        <w:t>r</w:t>
      </w:r>
      <w:r w:rsidR="00785789" w:rsidRPr="00B06D40">
        <w:rPr>
          <w:rFonts w:ascii="Arial" w:hAnsi="Arial" w:cs="Arial"/>
        </w:rPr>
        <w:t xml:space="preserve">ly within type 2 </w:t>
      </w:r>
      <w:r w:rsidR="003145EC" w:rsidRPr="00B06D40">
        <w:rPr>
          <w:rFonts w:ascii="Arial" w:hAnsi="Arial" w:cs="Arial"/>
        </w:rPr>
        <w:t xml:space="preserve">fibres </w:t>
      </w:r>
      <w:r w:rsidR="0098215C" w:rsidRPr="00B06D40">
        <w:rPr>
          <w:rFonts w:ascii="Arial" w:hAnsi="Arial" w:cs="Arial"/>
        </w:rPr>
        <w:t>where blood flow and O</w:t>
      </w:r>
      <w:r w:rsidR="0098215C" w:rsidRPr="00B06D40">
        <w:rPr>
          <w:rFonts w:ascii="Arial" w:hAnsi="Arial" w:cs="Arial"/>
          <w:vertAlign w:val="subscript"/>
        </w:rPr>
        <w:t>2</w:t>
      </w:r>
      <w:r w:rsidR="0098215C" w:rsidRPr="00B06D40">
        <w:rPr>
          <w:rFonts w:ascii="Arial" w:hAnsi="Arial" w:cs="Arial"/>
        </w:rPr>
        <w:t xml:space="preserve"> </w:t>
      </w:r>
      <w:r w:rsidR="00E366A7" w:rsidRPr="00B06D40">
        <w:rPr>
          <w:rFonts w:ascii="Arial" w:hAnsi="Arial" w:cs="Arial"/>
        </w:rPr>
        <w:t>delivery</w:t>
      </w:r>
      <w:r w:rsidR="0098215C" w:rsidRPr="00B06D40">
        <w:rPr>
          <w:rFonts w:ascii="Arial" w:hAnsi="Arial" w:cs="Arial"/>
        </w:rPr>
        <w:t xml:space="preserve"> appears to be enhanced (Ferguson et al.</w:t>
      </w:r>
      <w:r w:rsidR="00B06D40" w:rsidRPr="00B06D40">
        <w:rPr>
          <w:rFonts w:ascii="Arial" w:hAnsi="Arial" w:cs="Arial"/>
        </w:rPr>
        <w:t>,</w:t>
      </w:r>
      <w:r w:rsidR="0098215C" w:rsidRPr="00B06D40">
        <w:rPr>
          <w:rFonts w:ascii="Arial" w:hAnsi="Arial" w:cs="Arial"/>
        </w:rPr>
        <w:t xml:space="preserve"> 2015). </w:t>
      </w:r>
      <w:r w:rsidR="00A86C17" w:rsidRPr="00B06D40">
        <w:rPr>
          <w:rFonts w:ascii="Arial" w:hAnsi="Arial" w:cs="Arial"/>
        </w:rPr>
        <w:t>However, during the current investigation</w:t>
      </w:r>
      <w:r w:rsidR="00D62CA6" w:rsidRPr="00B06D40">
        <w:rPr>
          <w:rFonts w:ascii="Arial" w:hAnsi="Arial" w:cs="Arial"/>
        </w:rPr>
        <w:t xml:space="preserve">, the 40 km TT was performed at submaximal </w:t>
      </w:r>
      <w:r w:rsidR="008168A2" w:rsidRPr="00B06D40">
        <w:rPr>
          <w:rFonts w:ascii="Arial" w:hAnsi="Arial" w:cs="Arial"/>
        </w:rPr>
        <w:t xml:space="preserve">intensities </w:t>
      </w:r>
      <w:r w:rsidR="009F786E" w:rsidRPr="00B06D40">
        <w:rPr>
          <w:rFonts w:ascii="Arial" w:hAnsi="Arial" w:cs="Arial"/>
        </w:rPr>
        <w:t>and thus limiting type 2 fibre recruitment.</w:t>
      </w:r>
      <w:r w:rsidR="00785789" w:rsidRPr="00B06D40">
        <w:rPr>
          <w:rFonts w:ascii="Arial" w:hAnsi="Arial" w:cs="Arial"/>
        </w:rPr>
        <w:t xml:space="preserve"> The differentia</w:t>
      </w:r>
      <w:r w:rsidR="00E366A7" w:rsidRPr="00B06D40">
        <w:rPr>
          <w:rFonts w:ascii="Arial" w:hAnsi="Arial" w:cs="Arial"/>
        </w:rPr>
        <w:t>ti</w:t>
      </w:r>
      <w:r w:rsidR="00785789" w:rsidRPr="00B06D40">
        <w:rPr>
          <w:rFonts w:ascii="Arial" w:hAnsi="Arial" w:cs="Arial"/>
        </w:rPr>
        <w:t xml:space="preserve">on in fibre recruitment may therefore, explain the lack of improvement in the current study, in comparison to the ergogenic effects reported  </w:t>
      </w:r>
      <w:r w:rsidR="00E366A7" w:rsidRPr="00B06D40">
        <w:rPr>
          <w:rFonts w:ascii="Arial" w:hAnsi="Arial" w:cs="Arial"/>
        </w:rPr>
        <w:t>in</w:t>
      </w:r>
      <w:r w:rsidR="00785789" w:rsidRPr="00B06D40">
        <w:rPr>
          <w:rFonts w:ascii="Arial" w:hAnsi="Arial" w:cs="Arial"/>
        </w:rPr>
        <w:t xml:space="preserve"> higher </w:t>
      </w:r>
      <w:r w:rsidR="00825B52" w:rsidRPr="00B06D40">
        <w:rPr>
          <w:rFonts w:ascii="Arial" w:hAnsi="Arial" w:cs="Arial"/>
        </w:rPr>
        <w:t>intensity</w:t>
      </w:r>
      <w:r w:rsidR="00785789" w:rsidRPr="00B06D40">
        <w:rPr>
          <w:rFonts w:ascii="Arial" w:hAnsi="Arial" w:cs="Arial"/>
        </w:rPr>
        <w:t xml:space="preserve"> 4 km and 16 km TT</w:t>
      </w:r>
      <w:r w:rsidR="00825B52" w:rsidRPr="00B06D40">
        <w:rPr>
          <w:rFonts w:ascii="Arial" w:hAnsi="Arial" w:cs="Arial"/>
        </w:rPr>
        <w:t>’s</w:t>
      </w:r>
      <w:r w:rsidR="00785789" w:rsidRPr="00B06D40">
        <w:rPr>
          <w:rFonts w:ascii="Arial" w:hAnsi="Arial" w:cs="Arial"/>
        </w:rPr>
        <w:t xml:space="preserve"> (Lansley et al.</w:t>
      </w:r>
      <w:r w:rsidR="00B06D40" w:rsidRPr="00B06D40">
        <w:rPr>
          <w:rFonts w:ascii="Arial" w:hAnsi="Arial" w:cs="Arial"/>
        </w:rPr>
        <w:t>,</w:t>
      </w:r>
      <w:r w:rsidR="00785789" w:rsidRPr="00B06D40">
        <w:rPr>
          <w:rFonts w:ascii="Arial" w:hAnsi="Arial" w:cs="Arial"/>
        </w:rPr>
        <w:t xml:space="preserve"> 2011). </w:t>
      </w:r>
      <w:r w:rsidR="00825B52" w:rsidRPr="00B06D40">
        <w:rPr>
          <w:rFonts w:ascii="Arial" w:hAnsi="Arial" w:cs="Arial"/>
        </w:rPr>
        <w:t>Interestingly, Wil</w:t>
      </w:r>
      <w:r w:rsidR="00B06D40" w:rsidRPr="00B06D40">
        <w:rPr>
          <w:rFonts w:ascii="Arial" w:hAnsi="Arial" w:cs="Arial"/>
        </w:rPr>
        <w:t>k</w:t>
      </w:r>
      <w:r w:rsidR="00825B52" w:rsidRPr="00B06D40">
        <w:rPr>
          <w:rFonts w:ascii="Arial" w:hAnsi="Arial" w:cs="Arial"/>
        </w:rPr>
        <w:t>erson et al.</w:t>
      </w:r>
      <w:r w:rsidR="00B06D40" w:rsidRPr="00B06D40">
        <w:rPr>
          <w:rFonts w:ascii="Arial" w:hAnsi="Arial" w:cs="Arial"/>
        </w:rPr>
        <w:t>,</w:t>
      </w:r>
      <w:r w:rsidR="00825B52" w:rsidRPr="00B06D40">
        <w:rPr>
          <w:rFonts w:ascii="Arial" w:hAnsi="Arial" w:cs="Arial"/>
        </w:rPr>
        <w:t xml:space="preserve"> (2012) observed a</w:t>
      </w:r>
      <w:r w:rsidR="00A845FC" w:rsidRPr="00B06D40">
        <w:rPr>
          <w:rFonts w:ascii="Arial" w:hAnsi="Arial" w:cs="Arial"/>
        </w:rPr>
        <w:t xml:space="preserve"> significant</w:t>
      </w:r>
      <w:r w:rsidR="00825B52" w:rsidRPr="00B06D40">
        <w:rPr>
          <w:rFonts w:ascii="Arial" w:hAnsi="Arial" w:cs="Arial"/>
        </w:rPr>
        <w:t xml:space="preserve"> supplement effect during the final 16 km split of the 80.4 km TT</w:t>
      </w:r>
      <w:r w:rsidR="00D74D6E" w:rsidRPr="00B06D40">
        <w:rPr>
          <w:rFonts w:ascii="Arial" w:hAnsi="Arial" w:cs="Arial"/>
        </w:rPr>
        <w:t xml:space="preserve">, which was a higher </w:t>
      </w:r>
      <w:r w:rsidR="00876BCB" w:rsidRPr="00B06D40">
        <w:rPr>
          <w:rFonts w:ascii="Arial" w:hAnsi="Arial" w:cs="Arial"/>
        </w:rPr>
        <w:t xml:space="preserve">intensity than </w:t>
      </w:r>
      <w:r w:rsidR="00E366A7" w:rsidRPr="00B06D40">
        <w:rPr>
          <w:rFonts w:ascii="Arial" w:hAnsi="Arial" w:cs="Arial"/>
        </w:rPr>
        <w:t>preceding</w:t>
      </w:r>
      <w:r w:rsidR="00876BCB" w:rsidRPr="00B06D40">
        <w:rPr>
          <w:rFonts w:ascii="Arial" w:hAnsi="Arial" w:cs="Arial"/>
        </w:rPr>
        <w:t xml:space="preserve"> splits</w:t>
      </w:r>
      <w:r w:rsidR="00D74D6E" w:rsidRPr="00B06D40">
        <w:rPr>
          <w:rFonts w:ascii="Arial" w:hAnsi="Arial" w:cs="Arial"/>
        </w:rPr>
        <w:t xml:space="preserve"> and is </w:t>
      </w:r>
      <w:r w:rsidR="00E366A7" w:rsidRPr="00B06D40">
        <w:rPr>
          <w:rFonts w:ascii="Arial" w:hAnsi="Arial" w:cs="Arial"/>
        </w:rPr>
        <w:t>characterised</w:t>
      </w:r>
      <w:r w:rsidR="00B06D40">
        <w:rPr>
          <w:rFonts w:ascii="Arial" w:hAnsi="Arial" w:cs="Arial"/>
        </w:rPr>
        <w:t xml:space="preserve"> by the common increase in power output commonly </w:t>
      </w:r>
      <w:r w:rsidR="00D74D6E" w:rsidRPr="00B06D40">
        <w:rPr>
          <w:rFonts w:ascii="Arial" w:hAnsi="Arial" w:cs="Arial"/>
        </w:rPr>
        <w:t xml:space="preserve">observed during </w:t>
      </w:r>
      <w:r w:rsidR="00B06D40">
        <w:rPr>
          <w:rFonts w:ascii="Arial" w:hAnsi="Arial" w:cs="Arial"/>
        </w:rPr>
        <w:t xml:space="preserve">the final part of </w:t>
      </w:r>
      <w:r w:rsidR="00D74D6E" w:rsidRPr="00B06D40">
        <w:rPr>
          <w:rFonts w:ascii="Arial" w:hAnsi="Arial" w:cs="Arial"/>
        </w:rPr>
        <w:t>TT</w:t>
      </w:r>
      <w:r w:rsidR="00E366A7" w:rsidRPr="00B06D40">
        <w:rPr>
          <w:rFonts w:ascii="Arial" w:hAnsi="Arial" w:cs="Arial"/>
        </w:rPr>
        <w:t xml:space="preserve"> </w:t>
      </w:r>
      <w:r w:rsidR="00B06D40">
        <w:rPr>
          <w:rFonts w:ascii="Arial" w:hAnsi="Arial" w:cs="Arial"/>
        </w:rPr>
        <w:t xml:space="preserve">performances </w:t>
      </w:r>
      <w:r w:rsidR="00E366A7" w:rsidRPr="00B06D40">
        <w:rPr>
          <w:rFonts w:ascii="Arial" w:hAnsi="Arial" w:cs="Arial"/>
        </w:rPr>
        <w:t>(</w:t>
      </w:r>
      <w:r w:rsidR="003E102D">
        <w:rPr>
          <w:rFonts w:ascii="Arial" w:hAnsi="Arial" w:cs="Arial"/>
        </w:rPr>
        <w:t>Jones et al., 2015</w:t>
      </w:r>
      <w:r w:rsidR="00E366A7" w:rsidRPr="00B06D40">
        <w:rPr>
          <w:rFonts w:ascii="Arial" w:hAnsi="Arial" w:cs="Arial"/>
        </w:rPr>
        <w:t>)</w:t>
      </w:r>
      <w:r w:rsidR="00825B52" w:rsidRPr="00B06D40">
        <w:rPr>
          <w:rFonts w:ascii="Arial" w:hAnsi="Arial" w:cs="Arial"/>
        </w:rPr>
        <w:t>. While this may suggest NO</w:t>
      </w:r>
      <w:r w:rsidR="00825B52" w:rsidRPr="00B06D40">
        <w:rPr>
          <w:rFonts w:ascii="Arial" w:hAnsi="Arial" w:cs="Arial"/>
          <w:vertAlign w:val="subscript"/>
        </w:rPr>
        <w:t>3</w:t>
      </w:r>
      <w:r w:rsidR="00825B52" w:rsidRPr="00B06D40">
        <w:rPr>
          <w:rFonts w:ascii="Arial" w:hAnsi="Arial" w:cs="Arial"/>
          <w:vertAlign w:val="superscript"/>
        </w:rPr>
        <w:t>-</w:t>
      </w:r>
      <w:r w:rsidR="00825B52" w:rsidRPr="00B06D40">
        <w:rPr>
          <w:rFonts w:ascii="Arial" w:hAnsi="Arial" w:cs="Arial"/>
        </w:rPr>
        <w:t xml:space="preserve"> may be beneficial during </w:t>
      </w:r>
      <w:r w:rsidR="00E366A7" w:rsidRPr="00B06D40">
        <w:rPr>
          <w:rFonts w:ascii="Arial" w:hAnsi="Arial" w:cs="Arial"/>
        </w:rPr>
        <w:t>stochastic</w:t>
      </w:r>
      <w:r w:rsidR="00825B52" w:rsidRPr="00B06D40">
        <w:rPr>
          <w:rFonts w:ascii="Arial" w:hAnsi="Arial" w:cs="Arial"/>
        </w:rPr>
        <w:t xml:space="preserve"> acti</w:t>
      </w:r>
      <w:r w:rsidR="00E366A7" w:rsidRPr="00B06D40">
        <w:rPr>
          <w:rFonts w:ascii="Arial" w:hAnsi="Arial" w:cs="Arial"/>
        </w:rPr>
        <w:t>vities</w:t>
      </w:r>
      <w:r w:rsidR="00B06D40" w:rsidRPr="00B06D40">
        <w:rPr>
          <w:rFonts w:ascii="Arial" w:hAnsi="Arial" w:cs="Arial"/>
        </w:rPr>
        <w:t xml:space="preserve"> </w:t>
      </w:r>
      <w:r w:rsidR="00825B52" w:rsidRPr="00B06D40">
        <w:rPr>
          <w:rFonts w:ascii="Arial" w:hAnsi="Arial" w:cs="Arial"/>
        </w:rPr>
        <w:t xml:space="preserve">and the </w:t>
      </w:r>
      <w:r w:rsidR="00B06D40">
        <w:rPr>
          <w:rFonts w:ascii="Arial" w:hAnsi="Arial" w:cs="Arial"/>
        </w:rPr>
        <w:t xml:space="preserve">final part of a </w:t>
      </w:r>
      <w:r w:rsidR="00825B52" w:rsidRPr="00B06D40">
        <w:rPr>
          <w:rFonts w:ascii="Arial" w:hAnsi="Arial" w:cs="Arial"/>
        </w:rPr>
        <w:t xml:space="preserve">TT, </w:t>
      </w:r>
      <w:r w:rsidR="00E366A7" w:rsidRPr="00B06D40">
        <w:rPr>
          <w:rFonts w:ascii="Arial" w:hAnsi="Arial" w:cs="Arial"/>
        </w:rPr>
        <w:t xml:space="preserve">this effect </w:t>
      </w:r>
      <w:r w:rsidR="00825B52" w:rsidRPr="00B06D40">
        <w:rPr>
          <w:rFonts w:ascii="Arial" w:hAnsi="Arial" w:cs="Arial"/>
        </w:rPr>
        <w:t>was not observed in the current study; ther</w:t>
      </w:r>
      <w:r w:rsidR="00876BCB" w:rsidRPr="00B06D40">
        <w:rPr>
          <w:rFonts w:ascii="Arial" w:hAnsi="Arial" w:cs="Arial"/>
        </w:rPr>
        <w:t>e</w:t>
      </w:r>
      <w:r w:rsidR="00825B52" w:rsidRPr="00B06D40">
        <w:rPr>
          <w:rFonts w:ascii="Arial" w:hAnsi="Arial" w:cs="Arial"/>
        </w:rPr>
        <w:t xml:space="preserve">by questioning the </w:t>
      </w:r>
      <w:r w:rsidR="00D74D6E" w:rsidRPr="00B06D40">
        <w:rPr>
          <w:rFonts w:ascii="Arial" w:hAnsi="Arial" w:cs="Arial"/>
        </w:rPr>
        <w:t>application of NO</w:t>
      </w:r>
      <w:r w:rsidR="00D74D6E" w:rsidRPr="00B06D40">
        <w:rPr>
          <w:rFonts w:ascii="Arial" w:hAnsi="Arial" w:cs="Arial"/>
          <w:vertAlign w:val="subscript"/>
        </w:rPr>
        <w:t>3</w:t>
      </w:r>
      <w:r w:rsidR="00D74D6E" w:rsidRPr="00B06D40">
        <w:rPr>
          <w:rFonts w:ascii="Arial" w:hAnsi="Arial" w:cs="Arial"/>
          <w:vertAlign w:val="superscript"/>
        </w:rPr>
        <w:t>-</w:t>
      </w:r>
      <w:r w:rsidR="00D74D6E" w:rsidRPr="00B06D40">
        <w:rPr>
          <w:rFonts w:ascii="Arial" w:hAnsi="Arial" w:cs="Arial"/>
        </w:rPr>
        <w:t xml:space="preserve"> in this con</w:t>
      </w:r>
      <w:r w:rsidR="00E366A7" w:rsidRPr="00B06D40">
        <w:rPr>
          <w:rFonts w:ascii="Arial" w:hAnsi="Arial" w:cs="Arial"/>
        </w:rPr>
        <w:t>t</w:t>
      </w:r>
      <w:r w:rsidR="00D74D6E" w:rsidRPr="00B06D40">
        <w:rPr>
          <w:rFonts w:ascii="Arial" w:hAnsi="Arial" w:cs="Arial"/>
        </w:rPr>
        <w:t xml:space="preserve">ext. </w:t>
      </w:r>
    </w:p>
    <w:p w14:paraId="254616E1" w14:textId="77777777" w:rsidR="001E7EF3" w:rsidRPr="00D50DB8" w:rsidRDefault="001E7EF3" w:rsidP="00D50DB8">
      <w:pPr>
        <w:spacing w:after="0" w:line="480" w:lineRule="auto"/>
        <w:jc w:val="both"/>
        <w:rPr>
          <w:rFonts w:ascii="Arial" w:hAnsi="Arial" w:cs="Arial"/>
        </w:rPr>
      </w:pPr>
    </w:p>
    <w:p w14:paraId="65D02986" w14:textId="2893D62C" w:rsidR="00245B54" w:rsidRPr="00D50DB8" w:rsidRDefault="00245B54" w:rsidP="000978B2">
      <w:pPr>
        <w:spacing w:after="0" w:line="480" w:lineRule="auto"/>
        <w:jc w:val="both"/>
        <w:rPr>
          <w:rFonts w:ascii="Arial" w:hAnsi="Arial" w:cs="Arial"/>
        </w:rPr>
      </w:pPr>
      <w:r w:rsidRPr="00D50DB8">
        <w:rPr>
          <w:rFonts w:ascii="Arial" w:hAnsi="Arial" w:cs="Arial"/>
        </w:rPr>
        <w:t xml:space="preserve">In </w:t>
      </w:r>
      <w:r w:rsidR="00360363" w:rsidRPr="00D50DB8">
        <w:rPr>
          <w:rFonts w:ascii="Arial" w:hAnsi="Arial" w:cs="Arial"/>
        </w:rPr>
        <w:t>the present study there was no effect of NO</w:t>
      </w:r>
      <w:r w:rsidR="00360363" w:rsidRPr="00D50DB8">
        <w:rPr>
          <w:rFonts w:ascii="Arial" w:hAnsi="Arial" w:cs="Arial"/>
          <w:vertAlign w:val="subscript"/>
        </w:rPr>
        <w:t>3</w:t>
      </w:r>
      <w:r w:rsidR="00360363" w:rsidRPr="00D50DB8">
        <w:rPr>
          <w:rFonts w:ascii="Arial" w:hAnsi="Arial" w:cs="Arial"/>
          <w:vertAlign w:val="superscript"/>
        </w:rPr>
        <w:t>-</w:t>
      </w:r>
      <w:r w:rsidR="00360363" w:rsidRPr="00D50DB8">
        <w:rPr>
          <w:rFonts w:ascii="Arial" w:hAnsi="Arial" w:cs="Arial"/>
        </w:rPr>
        <w:t xml:space="preserve"> on VO</w:t>
      </w:r>
      <w:r w:rsidR="00360363" w:rsidRPr="00D50DB8">
        <w:rPr>
          <w:rFonts w:ascii="Arial" w:hAnsi="Arial" w:cs="Arial"/>
          <w:vertAlign w:val="subscript"/>
        </w:rPr>
        <w:t>2</w:t>
      </w:r>
      <w:r w:rsidR="00360363" w:rsidRPr="00D50DB8">
        <w:rPr>
          <w:rFonts w:ascii="Arial" w:hAnsi="Arial" w:cs="Arial"/>
        </w:rPr>
        <w:t xml:space="preserve">, </w:t>
      </w:r>
      <w:r w:rsidR="00357B98" w:rsidRPr="00D50DB8">
        <w:rPr>
          <w:rFonts w:ascii="Arial" w:hAnsi="Arial" w:cs="Arial"/>
        </w:rPr>
        <w:t>but in several studies reduced VO</w:t>
      </w:r>
      <w:r w:rsidR="00357B98" w:rsidRPr="00D50DB8">
        <w:rPr>
          <w:rFonts w:ascii="Arial" w:hAnsi="Arial" w:cs="Arial"/>
          <w:vertAlign w:val="subscript"/>
        </w:rPr>
        <w:t>2</w:t>
      </w:r>
      <w:r w:rsidR="00357B98" w:rsidRPr="00D50DB8">
        <w:rPr>
          <w:rFonts w:ascii="Arial" w:hAnsi="Arial" w:cs="Arial"/>
        </w:rPr>
        <w:t xml:space="preserve"> has been reported (</w:t>
      </w:r>
      <w:r w:rsidR="001E7EF3" w:rsidRPr="00D50DB8">
        <w:rPr>
          <w:rFonts w:ascii="Arial" w:hAnsi="Arial" w:cs="Arial"/>
        </w:rPr>
        <w:t>Bailey et al., 2012; Lansley et al., 2011)</w:t>
      </w:r>
      <w:r w:rsidR="00357B98" w:rsidRPr="00D50DB8">
        <w:rPr>
          <w:rFonts w:ascii="Arial" w:hAnsi="Arial" w:cs="Arial"/>
        </w:rPr>
        <w:t>. Typically, these studies have used shorter duration and therefore, higher intensity exercise protocols; however,</w:t>
      </w:r>
      <w:r w:rsidRPr="00D50DB8">
        <w:rPr>
          <w:rFonts w:ascii="Arial" w:hAnsi="Arial" w:cs="Arial"/>
        </w:rPr>
        <w:t xml:space="preserve"> Wilk</w:t>
      </w:r>
      <w:r w:rsidR="00357B98" w:rsidRPr="00D50DB8">
        <w:rPr>
          <w:rFonts w:ascii="Arial" w:hAnsi="Arial" w:cs="Arial"/>
        </w:rPr>
        <w:t>erson et al.</w:t>
      </w:r>
      <w:r w:rsidR="005F1730">
        <w:rPr>
          <w:rFonts w:ascii="Arial" w:hAnsi="Arial" w:cs="Arial"/>
        </w:rPr>
        <w:t>,</w:t>
      </w:r>
      <w:r w:rsidR="00357B98" w:rsidRPr="00D50DB8">
        <w:rPr>
          <w:rFonts w:ascii="Arial" w:hAnsi="Arial" w:cs="Arial"/>
        </w:rPr>
        <w:t xml:space="preserve"> (2012) reported a significant increase in the power output:</w:t>
      </w:r>
      <w:r w:rsidR="00972A66">
        <w:rPr>
          <w:rFonts w:ascii="Arial" w:hAnsi="Arial" w:cs="Arial"/>
        </w:rPr>
        <w:t xml:space="preserve"> </w:t>
      </w:r>
      <w:r w:rsidR="00357B98" w:rsidRPr="00D50DB8">
        <w:rPr>
          <w:rFonts w:ascii="Arial" w:hAnsi="Arial" w:cs="Arial"/>
        </w:rPr>
        <w:t>VO</w:t>
      </w:r>
      <w:r w:rsidR="00357B98" w:rsidRPr="00D50DB8">
        <w:rPr>
          <w:rFonts w:ascii="Arial" w:hAnsi="Arial" w:cs="Arial"/>
          <w:vertAlign w:val="subscript"/>
        </w:rPr>
        <w:t>2</w:t>
      </w:r>
      <w:r w:rsidR="00357B98" w:rsidRPr="00D50DB8">
        <w:rPr>
          <w:rFonts w:ascii="Arial" w:hAnsi="Arial" w:cs="Arial"/>
        </w:rPr>
        <w:t xml:space="preserve"> ratio, suggesting improved efficiency in well trained cyclist with VO</w:t>
      </w:r>
      <w:r w:rsidR="00357B98" w:rsidRPr="00D50DB8">
        <w:rPr>
          <w:rFonts w:ascii="Arial" w:hAnsi="Arial" w:cs="Arial"/>
          <w:vertAlign w:val="subscript"/>
        </w:rPr>
        <w:t>2max</w:t>
      </w:r>
      <w:r w:rsidR="00357B98" w:rsidRPr="00D50DB8">
        <w:rPr>
          <w:rFonts w:ascii="Arial" w:hAnsi="Arial" w:cs="Arial"/>
        </w:rPr>
        <w:t xml:space="preserve"> values of 63 ± 8 ml.kg</w:t>
      </w:r>
      <w:r w:rsidR="00357B98" w:rsidRPr="00D50DB8">
        <w:rPr>
          <w:rFonts w:ascii="Arial" w:hAnsi="Arial" w:cs="Arial"/>
          <w:vertAlign w:val="superscript"/>
        </w:rPr>
        <w:t>-1</w:t>
      </w:r>
      <w:r w:rsidR="00357B98" w:rsidRPr="00D50DB8">
        <w:rPr>
          <w:rFonts w:ascii="Arial" w:hAnsi="Arial" w:cs="Arial"/>
        </w:rPr>
        <w:t>.min</w:t>
      </w:r>
      <w:r w:rsidR="00357B98" w:rsidRPr="00D50DB8">
        <w:rPr>
          <w:rFonts w:ascii="Arial" w:hAnsi="Arial" w:cs="Arial"/>
          <w:vertAlign w:val="superscript"/>
        </w:rPr>
        <w:t>-1</w:t>
      </w:r>
      <w:r w:rsidR="00357B98" w:rsidRPr="00D50DB8">
        <w:rPr>
          <w:rFonts w:ascii="Arial" w:hAnsi="Arial" w:cs="Arial"/>
        </w:rPr>
        <w:t xml:space="preserve">. This study also reported an </w:t>
      </w:r>
      <w:r w:rsidRPr="00D50DB8">
        <w:rPr>
          <w:rFonts w:ascii="Arial" w:hAnsi="Arial" w:cs="Arial"/>
        </w:rPr>
        <w:t>increase in plasma NO</w:t>
      </w:r>
      <w:r w:rsidRPr="00D50DB8">
        <w:rPr>
          <w:rFonts w:ascii="Arial" w:hAnsi="Arial" w:cs="Arial"/>
          <w:vertAlign w:val="subscript"/>
        </w:rPr>
        <w:t>3</w:t>
      </w:r>
      <w:r w:rsidRPr="00D50DB8">
        <w:rPr>
          <w:rFonts w:ascii="Arial" w:hAnsi="Arial" w:cs="Arial"/>
          <w:vertAlign w:val="superscript"/>
        </w:rPr>
        <w:t>-</w:t>
      </w:r>
      <w:r w:rsidR="00360363" w:rsidRPr="00D50DB8">
        <w:rPr>
          <w:rFonts w:ascii="Arial" w:hAnsi="Arial" w:cs="Arial"/>
        </w:rPr>
        <w:t xml:space="preserve">, </w:t>
      </w:r>
      <w:r w:rsidRPr="00D50DB8">
        <w:rPr>
          <w:rFonts w:ascii="Arial" w:hAnsi="Arial" w:cs="Arial"/>
        </w:rPr>
        <w:t>suggesting that the NO</w:t>
      </w:r>
      <w:r w:rsidRPr="00D50DB8">
        <w:rPr>
          <w:rFonts w:ascii="Arial" w:hAnsi="Arial" w:cs="Arial"/>
          <w:vertAlign w:val="subscript"/>
        </w:rPr>
        <w:t>3</w:t>
      </w:r>
      <w:r w:rsidRPr="00D50DB8">
        <w:rPr>
          <w:rFonts w:ascii="Arial" w:hAnsi="Arial" w:cs="Arial"/>
          <w:vertAlign w:val="superscript"/>
        </w:rPr>
        <w:t>-</w:t>
      </w:r>
      <w:r w:rsidRPr="00D50DB8">
        <w:rPr>
          <w:rFonts w:ascii="Arial" w:hAnsi="Arial" w:cs="Arial"/>
        </w:rPr>
        <w:t xml:space="preserve"> ingestion caused the established physiological adaptations of reduced ATP cost of muscle force production and incr</w:t>
      </w:r>
      <w:r w:rsidR="00357B98" w:rsidRPr="00D50DB8">
        <w:rPr>
          <w:rFonts w:ascii="Arial" w:hAnsi="Arial" w:cs="Arial"/>
        </w:rPr>
        <w:t>eased mitochondrial functioning. Despite this</w:t>
      </w:r>
      <w:r w:rsidR="001E7EF3" w:rsidRPr="00D50DB8">
        <w:rPr>
          <w:rFonts w:ascii="Arial" w:hAnsi="Arial" w:cs="Arial"/>
        </w:rPr>
        <w:t>,</w:t>
      </w:r>
      <w:r w:rsidR="00357B98" w:rsidRPr="00D50DB8">
        <w:rPr>
          <w:rFonts w:ascii="Arial" w:hAnsi="Arial" w:cs="Arial"/>
        </w:rPr>
        <w:t xml:space="preserve"> along with improvement in the final quintile of the TT, this was still not enough to elicit an overall improvement in TT performance following NO</w:t>
      </w:r>
      <w:r w:rsidR="00357B98" w:rsidRPr="00D50DB8">
        <w:rPr>
          <w:rFonts w:ascii="Arial" w:hAnsi="Arial" w:cs="Arial"/>
          <w:vertAlign w:val="subscript"/>
        </w:rPr>
        <w:t>3</w:t>
      </w:r>
      <w:r w:rsidR="00357B98" w:rsidRPr="00D50DB8">
        <w:rPr>
          <w:rFonts w:ascii="Arial" w:hAnsi="Arial" w:cs="Arial"/>
          <w:vertAlign w:val="superscript"/>
        </w:rPr>
        <w:t>-</w:t>
      </w:r>
      <w:r w:rsidRPr="00D50DB8">
        <w:rPr>
          <w:rFonts w:ascii="Arial" w:hAnsi="Arial" w:cs="Arial"/>
        </w:rPr>
        <w:t xml:space="preserve"> in</w:t>
      </w:r>
      <w:r w:rsidR="00357B98" w:rsidRPr="00D50DB8">
        <w:rPr>
          <w:rFonts w:ascii="Arial" w:hAnsi="Arial" w:cs="Arial"/>
        </w:rPr>
        <w:t xml:space="preserve">gestion. The present </w:t>
      </w:r>
      <w:r w:rsidRPr="00D50DB8">
        <w:rPr>
          <w:rFonts w:ascii="Arial" w:hAnsi="Arial" w:cs="Arial"/>
        </w:rPr>
        <w:t xml:space="preserve">respiratory </w:t>
      </w:r>
      <w:r w:rsidR="00357B98" w:rsidRPr="00D50DB8">
        <w:rPr>
          <w:rFonts w:ascii="Arial" w:hAnsi="Arial" w:cs="Arial"/>
        </w:rPr>
        <w:t xml:space="preserve">response </w:t>
      </w:r>
      <w:r w:rsidRPr="00D50DB8">
        <w:rPr>
          <w:rFonts w:ascii="Arial" w:hAnsi="Arial" w:cs="Arial"/>
        </w:rPr>
        <w:t>data</w:t>
      </w:r>
      <w:r w:rsidR="00357B98" w:rsidRPr="00D50DB8">
        <w:rPr>
          <w:rFonts w:ascii="Arial" w:hAnsi="Arial" w:cs="Arial"/>
        </w:rPr>
        <w:t xml:space="preserve"> showed </w:t>
      </w:r>
      <w:r w:rsidRPr="00D50DB8">
        <w:rPr>
          <w:rFonts w:ascii="Arial" w:hAnsi="Arial" w:cs="Arial"/>
        </w:rPr>
        <w:t xml:space="preserve">no differences between conditions, </w:t>
      </w:r>
      <w:r w:rsidR="00357B98" w:rsidRPr="00D50DB8">
        <w:rPr>
          <w:rFonts w:ascii="Arial" w:hAnsi="Arial" w:cs="Arial"/>
        </w:rPr>
        <w:t xml:space="preserve">which </w:t>
      </w:r>
      <w:r w:rsidRPr="00D50DB8">
        <w:rPr>
          <w:rFonts w:ascii="Arial" w:hAnsi="Arial" w:cs="Arial"/>
        </w:rPr>
        <w:t xml:space="preserve">is in agreement with the work </w:t>
      </w:r>
      <w:r w:rsidRPr="00125597">
        <w:rPr>
          <w:rFonts w:ascii="Arial" w:hAnsi="Arial" w:cs="Arial"/>
        </w:rPr>
        <w:t>of Bourdillon et al.</w:t>
      </w:r>
      <w:r w:rsidR="005F1730" w:rsidRPr="00125597">
        <w:rPr>
          <w:rFonts w:ascii="Arial" w:hAnsi="Arial" w:cs="Arial"/>
        </w:rPr>
        <w:t>,</w:t>
      </w:r>
      <w:r w:rsidRPr="00125597">
        <w:rPr>
          <w:rFonts w:ascii="Arial" w:hAnsi="Arial" w:cs="Arial"/>
        </w:rPr>
        <w:t xml:space="preserve"> (2015) and</w:t>
      </w:r>
      <w:r w:rsidRPr="00D50DB8">
        <w:rPr>
          <w:rFonts w:ascii="Arial" w:hAnsi="Arial" w:cs="Arial"/>
        </w:rPr>
        <w:t xml:space="preserve"> Christensen et al.</w:t>
      </w:r>
      <w:r w:rsidR="005F1730">
        <w:rPr>
          <w:rFonts w:ascii="Arial" w:hAnsi="Arial" w:cs="Arial"/>
        </w:rPr>
        <w:t>,</w:t>
      </w:r>
      <w:r w:rsidRPr="00D50DB8">
        <w:rPr>
          <w:rFonts w:ascii="Arial" w:hAnsi="Arial" w:cs="Arial"/>
        </w:rPr>
        <w:t xml:space="preserve"> (2013) who also reported no change in VO</w:t>
      </w:r>
      <w:r w:rsidRPr="00D50DB8">
        <w:rPr>
          <w:rFonts w:ascii="Arial" w:hAnsi="Arial" w:cs="Arial"/>
          <w:vertAlign w:val="subscript"/>
        </w:rPr>
        <w:t>2</w:t>
      </w:r>
      <w:r w:rsidRPr="00D50DB8">
        <w:rPr>
          <w:rFonts w:ascii="Arial" w:hAnsi="Arial" w:cs="Arial"/>
        </w:rPr>
        <w:t xml:space="preserve"> and RER during 120 min submaximal cycling or in a subsequent 400 kcal TT in elite cyclists. Christensen et al., (2013), have suggested that training status, </w:t>
      </w:r>
      <w:r w:rsidR="00F00903">
        <w:rPr>
          <w:rFonts w:ascii="Arial" w:hAnsi="Arial" w:cs="Arial"/>
        </w:rPr>
        <w:t>determined as a VO</w:t>
      </w:r>
      <w:r w:rsidR="00F00903" w:rsidRPr="00AB510F">
        <w:rPr>
          <w:rFonts w:ascii="Arial" w:hAnsi="Arial" w:cs="Arial"/>
          <w:vertAlign w:val="subscript"/>
        </w:rPr>
        <w:t>2max</w:t>
      </w:r>
      <w:r w:rsidR="00F00903">
        <w:rPr>
          <w:rFonts w:ascii="Arial" w:hAnsi="Arial" w:cs="Arial"/>
        </w:rPr>
        <w:t xml:space="preserve"> of</w:t>
      </w:r>
      <w:r w:rsidRPr="00D50DB8">
        <w:rPr>
          <w:rFonts w:ascii="Arial" w:hAnsi="Arial" w:cs="Arial"/>
        </w:rPr>
        <w:t xml:space="preserve"> 50 mL.kg</w:t>
      </w:r>
      <w:r w:rsidRPr="00D50DB8">
        <w:rPr>
          <w:rFonts w:ascii="Arial" w:hAnsi="Arial" w:cs="Arial"/>
          <w:vertAlign w:val="superscript"/>
        </w:rPr>
        <w:t>-1</w:t>
      </w:r>
      <w:r w:rsidRPr="00D50DB8">
        <w:rPr>
          <w:rFonts w:ascii="Arial" w:hAnsi="Arial" w:cs="Arial"/>
        </w:rPr>
        <w:t>.min</w:t>
      </w:r>
      <w:r w:rsidRPr="00D50DB8">
        <w:rPr>
          <w:rFonts w:ascii="Arial" w:hAnsi="Arial" w:cs="Arial"/>
          <w:vertAlign w:val="superscript"/>
        </w:rPr>
        <w:t>-1</w:t>
      </w:r>
      <w:r w:rsidR="00F00903">
        <w:rPr>
          <w:rFonts w:ascii="Arial" w:hAnsi="Arial" w:cs="Arial"/>
          <w:vertAlign w:val="superscript"/>
        </w:rPr>
        <w:t xml:space="preserve"> </w:t>
      </w:r>
      <w:r w:rsidR="00F00903">
        <w:rPr>
          <w:rFonts w:ascii="Arial" w:hAnsi="Arial" w:cs="Arial"/>
        </w:rPr>
        <w:t>in this case</w:t>
      </w:r>
      <w:r w:rsidRPr="00D50DB8">
        <w:rPr>
          <w:rFonts w:ascii="Arial" w:hAnsi="Arial" w:cs="Arial"/>
        </w:rPr>
        <w:t>, may limit the effectiveness of supplementation and therefore be a factor to explain the lack of difference found in the present study.</w:t>
      </w:r>
      <w:r w:rsidR="00357B98" w:rsidRPr="00D50DB8">
        <w:rPr>
          <w:rFonts w:ascii="Arial" w:hAnsi="Arial" w:cs="Arial"/>
        </w:rPr>
        <w:t xml:space="preserve"> </w:t>
      </w:r>
    </w:p>
    <w:p w14:paraId="7C4D3791" w14:textId="51D90349" w:rsidR="00A4774B" w:rsidRPr="008B4EED" w:rsidRDefault="008B4EED" w:rsidP="000978B2">
      <w:pPr>
        <w:spacing w:after="0" w:line="480" w:lineRule="auto"/>
        <w:jc w:val="both"/>
        <w:rPr>
          <w:rFonts w:ascii="Arial" w:hAnsi="Arial" w:cs="Arial"/>
          <w:b/>
        </w:rPr>
      </w:pPr>
      <w:r w:rsidRPr="008B4EED">
        <w:rPr>
          <w:rFonts w:ascii="Arial" w:hAnsi="Arial" w:cs="Arial"/>
          <w:b/>
        </w:rPr>
        <w:t>Conclusion</w:t>
      </w:r>
    </w:p>
    <w:p w14:paraId="7BD59E81" w14:textId="1664C058" w:rsidR="00667441" w:rsidRPr="00D50DB8" w:rsidRDefault="00A4774B" w:rsidP="000978B2">
      <w:pPr>
        <w:pStyle w:val="NoSpacing"/>
        <w:spacing w:line="480" w:lineRule="auto"/>
        <w:jc w:val="both"/>
        <w:rPr>
          <w:rFonts w:cs="Arial"/>
          <w:sz w:val="22"/>
        </w:rPr>
      </w:pPr>
      <w:r w:rsidRPr="00D50DB8">
        <w:rPr>
          <w:rFonts w:cs="Arial"/>
          <w:sz w:val="22"/>
        </w:rPr>
        <w:t>The aim of this research was to investigate a high dose o</w:t>
      </w:r>
      <w:r w:rsidR="00C95DEC" w:rsidRPr="00D50DB8">
        <w:rPr>
          <w:rFonts w:cs="Arial"/>
          <w:sz w:val="22"/>
        </w:rPr>
        <w:t xml:space="preserve">f </w:t>
      </w:r>
      <w:r w:rsidR="00C86243" w:rsidRPr="00D50DB8">
        <w:rPr>
          <w:rFonts w:cs="Arial"/>
          <w:sz w:val="22"/>
        </w:rPr>
        <w:t>NO</w:t>
      </w:r>
      <w:r w:rsidR="00C86243" w:rsidRPr="00D50DB8">
        <w:rPr>
          <w:rFonts w:cs="Arial"/>
          <w:sz w:val="22"/>
          <w:vertAlign w:val="subscript"/>
        </w:rPr>
        <w:t>3</w:t>
      </w:r>
      <w:r w:rsidR="00C86243" w:rsidRPr="00D50DB8">
        <w:rPr>
          <w:rFonts w:cs="Arial"/>
          <w:sz w:val="22"/>
          <w:vertAlign w:val="superscript"/>
        </w:rPr>
        <w:t>-</w:t>
      </w:r>
      <w:r w:rsidR="00C95DEC" w:rsidRPr="00D50DB8">
        <w:rPr>
          <w:rFonts w:cs="Arial"/>
          <w:sz w:val="22"/>
        </w:rPr>
        <w:t xml:space="preserve"> supplementation over three</w:t>
      </w:r>
      <w:r w:rsidRPr="00D50DB8">
        <w:rPr>
          <w:rFonts w:cs="Arial"/>
          <w:sz w:val="22"/>
        </w:rPr>
        <w:t xml:space="preserve"> days ingestion on trained cyclists per</w:t>
      </w:r>
      <w:r w:rsidR="00667441" w:rsidRPr="00D50DB8">
        <w:rPr>
          <w:rFonts w:cs="Arial"/>
          <w:sz w:val="22"/>
        </w:rPr>
        <w:t xml:space="preserve">forming a 40km TT performance. This represents a novel ingestion strategy in a highly </w:t>
      </w:r>
      <w:r w:rsidR="00667441" w:rsidRPr="00DC6ACC">
        <w:rPr>
          <w:rFonts w:cs="Arial"/>
          <w:sz w:val="22"/>
        </w:rPr>
        <w:t xml:space="preserve">ecologically valid TT distance. However, the ingestion of </w:t>
      </w:r>
      <w:r w:rsidRPr="00DC6ACC">
        <w:rPr>
          <w:rFonts w:cs="Arial"/>
          <w:sz w:val="22"/>
        </w:rPr>
        <w:t>dietary NO</w:t>
      </w:r>
      <w:r w:rsidRPr="00DC6ACC">
        <w:rPr>
          <w:rFonts w:cs="Arial"/>
          <w:sz w:val="22"/>
          <w:vertAlign w:val="subscript"/>
        </w:rPr>
        <w:t>3</w:t>
      </w:r>
      <w:r w:rsidRPr="00DC6ACC">
        <w:rPr>
          <w:rFonts w:cs="Arial"/>
          <w:sz w:val="22"/>
          <w:vertAlign w:val="superscript"/>
        </w:rPr>
        <w:t>-</w:t>
      </w:r>
      <w:r w:rsidRPr="00DC6ACC">
        <w:rPr>
          <w:rFonts w:cs="Arial"/>
          <w:sz w:val="22"/>
        </w:rPr>
        <w:t xml:space="preserve"> had no si</w:t>
      </w:r>
      <w:r w:rsidR="008D5845" w:rsidRPr="00DC6ACC">
        <w:rPr>
          <w:rFonts w:cs="Arial"/>
          <w:sz w:val="22"/>
        </w:rPr>
        <w:t xml:space="preserve">gnificant effect on performance, </w:t>
      </w:r>
      <w:r w:rsidRPr="00DC6ACC">
        <w:rPr>
          <w:rFonts w:cs="Arial"/>
          <w:sz w:val="22"/>
        </w:rPr>
        <w:t>failed to improve respiratory efficiency</w:t>
      </w:r>
      <w:r w:rsidR="00667441" w:rsidRPr="00DC6ACC">
        <w:rPr>
          <w:rFonts w:cs="Arial"/>
          <w:sz w:val="22"/>
        </w:rPr>
        <w:t>,</w:t>
      </w:r>
      <w:r w:rsidRPr="00DC6ACC">
        <w:rPr>
          <w:rFonts w:cs="Arial"/>
          <w:sz w:val="22"/>
        </w:rPr>
        <w:t xml:space="preserve"> lower blood acidity </w:t>
      </w:r>
      <w:r w:rsidR="008D5845" w:rsidRPr="00DC6ACC">
        <w:rPr>
          <w:rFonts w:cs="Arial"/>
          <w:sz w:val="22"/>
        </w:rPr>
        <w:t>or</w:t>
      </w:r>
      <w:r w:rsidRPr="00DC6ACC">
        <w:rPr>
          <w:rFonts w:cs="Arial"/>
          <w:sz w:val="22"/>
        </w:rPr>
        <w:t xml:space="preserve"> </w:t>
      </w:r>
      <w:r w:rsidR="00667441" w:rsidRPr="00DC6ACC">
        <w:rPr>
          <w:rFonts w:cs="Arial"/>
          <w:sz w:val="22"/>
        </w:rPr>
        <w:t xml:space="preserve">affect </w:t>
      </w:r>
      <w:r w:rsidRPr="00DC6ACC">
        <w:rPr>
          <w:rFonts w:cs="Arial"/>
          <w:sz w:val="22"/>
        </w:rPr>
        <w:t xml:space="preserve">psychological and physiological fatigue indicators. </w:t>
      </w:r>
      <w:r w:rsidR="00667441" w:rsidRPr="00DC6ACC">
        <w:rPr>
          <w:rFonts w:cs="Arial"/>
          <w:sz w:val="22"/>
        </w:rPr>
        <w:t xml:space="preserve">Therefore, the use of </w:t>
      </w:r>
      <w:r w:rsidR="008B4EED">
        <w:rPr>
          <w:rFonts w:cs="Arial"/>
          <w:sz w:val="22"/>
        </w:rPr>
        <w:t xml:space="preserve">an ergogenic aid </w:t>
      </w:r>
      <w:r w:rsidR="00D02A2C" w:rsidRPr="00DC6ACC">
        <w:rPr>
          <w:rFonts w:cs="Arial"/>
          <w:sz w:val="22"/>
        </w:rPr>
        <w:t>containing 12.8 mmol (800 mg) of NO</w:t>
      </w:r>
      <w:r w:rsidR="00D02A2C" w:rsidRPr="00DC6ACC">
        <w:rPr>
          <w:rFonts w:cs="Arial"/>
          <w:sz w:val="22"/>
          <w:vertAlign w:val="subscript"/>
        </w:rPr>
        <w:t>3</w:t>
      </w:r>
      <w:r w:rsidR="00D02A2C" w:rsidRPr="00DC6ACC">
        <w:rPr>
          <w:rFonts w:cs="Arial"/>
          <w:sz w:val="22"/>
          <w:vertAlign w:val="superscript"/>
        </w:rPr>
        <w:t>-</w:t>
      </w:r>
      <w:r w:rsidR="00D02A2C" w:rsidRPr="00DC6ACC">
        <w:rPr>
          <w:rFonts w:cs="Arial"/>
          <w:sz w:val="22"/>
        </w:rPr>
        <w:t xml:space="preserve"> </w:t>
      </w:r>
      <w:r w:rsidR="00667441" w:rsidRPr="00DC6ACC">
        <w:rPr>
          <w:rFonts w:cs="Arial"/>
          <w:sz w:val="22"/>
        </w:rPr>
        <w:t>each day for three days prior to a 40 km cycling TT</w:t>
      </w:r>
      <w:r w:rsidR="008B4EED">
        <w:rPr>
          <w:rFonts w:cs="Arial"/>
          <w:sz w:val="22"/>
        </w:rPr>
        <w:t>,</w:t>
      </w:r>
      <w:r w:rsidR="00667441" w:rsidRPr="00DC6ACC">
        <w:rPr>
          <w:rFonts w:cs="Arial"/>
          <w:sz w:val="22"/>
        </w:rPr>
        <w:t xml:space="preserve"> is unlikely to provide a beneficial effect on</w:t>
      </w:r>
      <w:r w:rsidR="00667441" w:rsidRPr="00D50DB8">
        <w:rPr>
          <w:rFonts w:cs="Arial"/>
          <w:sz w:val="22"/>
        </w:rPr>
        <w:t xml:space="preserve"> performance in trained cyclists.  </w:t>
      </w:r>
    </w:p>
    <w:p w14:paraId="3EC59025" w14:textId="77777777" w:rsidR="006730A0" w:rsidRPr="00D50DB8" w:rsidRDefault="006730A0" w:rsidP="000978B2">
      <w:pPr>
        <w:spacing w:line="480" w:lineRule="auto"/>
        <w:jc w:val="both"/>
        <w:rPr>
          <w:rFonts w:ascii="Arial" w:hAnsi="Arial" w:cs="Arial"/>
        </w:rPr>
      </w:pPr>
    </w:p>
    <w:p w14:paraId="1673887C" w14:textId="77777777" w:rsidR="008B4EED" w:rsidRDefault="008B4EED">
      <w:pPr>
        <w:rPr>
          <w:rFonts w:ascii="Arial" w:hAnsi="Arial" w:cs="Arial"/>
          <w:b/>
        </w:rPr>
      </w:pPr>
      <w:r>
        <w:rPr>
          <w:rFonts w:cs="Arial"/>
          <w:b/>
        </w:rPr>
        <w:br w:type="page"/>
      </w:r>
    </w:p>
    <w:p w14:paraId="7795382B" w14:textId="22D6687F" w:rsidR="0097411F" w:rsidRPr="00D50DB8" w:rsidRDefault="0097411F" w:rsidP="000978B2">
      <w:pPr>
        <w:pStyle w:val="NoSpacing"/>
        <w:spacing w:line="480" w:lineRule="auto"/>
        <w:jc w:val="both"/>
        <w:rPr>
          <w:rFonts w:cs="Arial"/>
          <w:b/>
          <w:sz w:val="22"/>
        </w:rPr>
      </w:pPr>
      <w:r w:rsidRPr="00D50DB8">
        <w:rPr>
          <w:rFonts w:cs="Arial"/>
          <w:b/>
          <w:sz w:val="22"/>
        </w:rPr>
        <w:t>Acknowledgements</w:t>
      </w:r>
    </w:p>
    <w:p w14:paraId="0470E134" w14:textId="206B2DC4" w:rsidR="0097411F" w:rsidRPr="00D50DB8" w:rsidRDefault="00DB462C" w:rsidP="00D02A2C">
      <w:pPr>
        <w:shd w:val="clear" w:color="auto" w:fill="FFFFFF"/>
        <w:spacing w:after="0" w:line="480" w:lineRule="auto"/>
        <w:jc w:val="both"/>
        <w:rPr>
          <w:rFonts w:ascii="Arial" w:eastAsia="Times New Roman" w:hAnsi="Arial" w:cs="Arial"/>
          <w:lang w:val="en" w:eastAsia="en-GB"/>
        </w:rPr>
      </w:pPr>
      <w:r w:rsidRPr="00D50DB8">
        <w:rPr>
          <w:rFonts w:ascii="Arial" w:eastAsia="Times New Roman" w:hAnsi="Arial" w:cs="Arial"/>
          <w:lang w:val="en" w:eastAsia="en-GB"/>
        </w:rPr>
        <w:t>Conception and design, and</w:t>
      </w:r>
      <w:r w:rsidR="0097411F" w:rsidRPr="00D50DB8">
        <w:rPr>
          <w:rFonts w:ascii="Arial" w:eastAsia="Times New Roman" w:hAnsi="Arial" w:cs="Arial"/>
          <w:lang w:val="en" w:eastAsia="en-GB"/>
        </w:rPr>
        <w:t xml:space="preserve"> analysis and interpretation of data; LM, AS, SM, LG and SD</w:t>
      </w:r>
      <w:r w:rsidR="00D02A2C">
        <w:rPr>
          <w:rFonts w:ascii="Arial" w:eastAsia="Times New Roman" w:hAnsi="Arial" w:cs="Arial"/>
          <w:lang w:val="en" w:eastAsia="en-GB"/>
        </w:rPr>
        <w:t>. Data collection: SM, SD, LG. Writing</w:t>
      </w:r>
      <w:r w:rsidRPr="00D50DB8">
        <w:rPr>
          <w:rFonts w:ascii="Arial" w:eastAsia="Times New Roman" w:hAnsi="Arial" w:cs="Arial"/>
          <w:lang w:val="en" w:eastAsia="en-GB"/>
        </w:rPr>
        <w:t xml:space="preserve"> </w:t>
      </w:r>
      <w:r w:rsidR="00D02A2C">
        <w:rPr>
          <w:rFonts w:ascii="Arial" w:eastAsia="Times New Roman" w:hAnsi="Arial" w:cs="Arial"/>
          <w:lang w:val="en" w:eastAsia="en-GB"/>
        </w:rPr>
        <w:t xml:space="preserve">and revising </w:t>
      </w:r>
      <w:r w:rsidRPr="00D50DB8">
        <w:rPr>
          <w:rFonts w:ascii="Arial" w:eastAsia="Times New Roman" w:hAnsi="Arial" w:cs="Arial"/>
          <w:lang w:val="en" w:eastAsia="en-GB"/>
        </w:rPr>
        <w:t xml:space="preserve">the </w:t>
      </w:r>
      <w:r w:rsidR="00D02A2C">
        <w:rPr>
          <w:rFonts w:ascii="Arial" w:eastAsia="Times New Roman" w:hAnsi="Arial" w:cs="Arial"/>
          <w:lang w:val="en" w:eastAsia="en-GB"/>
        </w:rPr>
        <w:t>manuscript:</w:t>
      </w:r>
      <w:r w:rsidR="0097411F" w:rsidRPr="00D50DB8">
        <w:rPr>
          <w:rFonts w:ascii="Arial" w:eastAsia="Times New Roman" w:hAnsi="Arial" w:cs="Arial"/>
          <w:lang w:val="en" w:eastAsia="en-GB"/>
        </w:rPr>
        <w:t xml:space="preserve"> LM, AS, SM, LG and SD</w:t>
      </w:r>
      <w:r w:rsidR="006730A0" w:rsidRPr="00D50DB8">
        <w:rPr>
          <w:rFonts w:ascii="Arial" w:eastAsia="Times New Roman" w:hAnsi="Arial" w:cs="Arial"/>
          <w:lang w:val="en" w:eastAsia="en-GB"/>
        </w:rPr>
        <w:t>. (</w:t>
      </w:r>
      <w:r w:rsidR="0097411F" w:rsidRPr="00D50DB8">
        <w:rPr>
          <w:rFonts w:ascii="Arial" w:eastAsia="Times New Roman" w:hAnsi="Arial" w:cs="Arial"/>
          <w:lang w:val="en" w:eastAsia="en-GB"/>
        </w:rPr>
        <w:t>c</w:t>
      </w:r>
      <w:r w:rsidR="006730A0" w:rsidRPr="00D50DB8">
        <w:rPr>
          <w:rFonts w:ascii="Arial" w:eastAsia="Times New Roman" w:hAnsi="Arial" w:cs="Arial"/>
          <w:lang w:val="en" w:eastAsia="en-GB"/>
        </w:rPr>
        <w:t>)</w:t>
      </w:r>
      <w:r w:rsidR="0097411F" w:rsidRPr="00D50DB8">
        <w:rPr>
          <w:rFonts w:ascii="Arial" w:eastAsia="Times New Roman" w:hAnsi="Arial" w:cs="Arial"/>
          <w:lang w:val="en" w:eastAsia="en-GB"/>
        </w:rPr>
        <w:t xml:space="preserve"> Final approval of the </w:t>
      </w:r>
      <w:r w:rsidR="00D02A2C">
        <w:rPr>
          <w:rFonts w:ascii="Arial" w:eastAsia="Times New Roman" w:hAnsi="Arial" w:cs="Arial"/>
          <w:lang w:val="en" w:eastAsia="en-GB"/>
        </w:rPr>
        <w:t>submitted manuscript:</w:t>
      </w:r>
      <w:r w:rsidR="0097411F" w:rsidRPr="00D50DB8">
        <w:rPr>
          <w:rFonts w:ascii="Arial" w:eastAsia="Times New Roman" w:hAnsi="Arial" w:cs="Arial"/>
          <w:lang w:val="en" w:eastAsia="en-GB"/>
        </w:rPr>
        <w:t xml:space="preserve"> LM, AS, SM, LG and SD</w:t>
      </w:r>
      <w:r w:rsidR="006730A0" w:rsidRPr="00D50DB8">
        <w:rPr>
          <w:rFonts w:ascii="Arial" w:eastAsia="Times New Roman" w:hAnsi="Arial" w:cs="Arial"/>
          <w:lang w:val="en" w:eastAsia="en-GB"/>
        </w:rPr>
        <w:t>.</w:t>
      </w:r>
    </w:p>
    <w:p w14:paraId="66AA1368" w14:textId="77777777" w:rsidR="0097411F" w:rsidRPr="00D50DB8" w:rsidRDefault="0097411F" w:rsidP="000978B2">
      <w:pPr>
        <w:pStyle w:val="NoSpacing"/>
        <w:spacing w:line="480" w:lineRule="auto"/>
        <w:jc w:val="both"/>
        <w:rPr>
          <w:rFonts w:cs="Arial"/>
          <w:sz w:val="22"/>
        </w:rPr>
      </w:pPr>
    </w:p>
    <w:p w14:paraId="4C118A64" w14:textId="5A7704BA" w:rsidR="0097411F" w:rsidRPr="00D50DB8" w:rsidRDefault="0097411F" w:rsidP="000978B2">
      <w:pPr>
        <w:pStyle w:val="NoSpacing"/>
        <w:spacing w:line="480" w:lineRule="auto"/>
        <w:jc w:val="both"/>
        <w:rPr>
          <w:rFonts w:cs="Arial"/>
          <w:b/>
          <w:sz w:val="22"/>
        </w:rPr>
      </w:pPr>
      <w:r w:rsidRPr="00D50DB8">
        <w:rPr>
          <w:rFonts w:cs="Arial"/>
          <w:b/>
          <w:sz w:val="22"/>
        </w:rPr>
        <w:t>Funding</w:t>
      </w:r>
    </w:p>
    <w:p w14:paraId="7EC9CD62" w14:textId="57F70F05" w:rsidR="0097411F" w:rsidRPr="00D50DB8" w:rsidRDefault="0097411F" w:rsidP="000978B2">
      <w:pPr>
        <w:pStyle w:val="NoSpacing"/>
        <w:spacing w:line="480" w:lineRule="auto"/>
        <w:jc w:val="both"/>
        <w:rPr>
          <w:rFonts w:cs="Arial"/>
          <w:sz w:val="22"/>
        </w:rPr>
      </w:pPr>
      <w:r w:rsidRPr="00D50DB8">
        <w:rPr>
          <w:rFonts w:cs="Arial"/>
          <w:sz w:val="22"/>
        </w:rPr>
        <w:t xml:space="preserve">The authors declare that there was no funding provided for any aspects of this study </w:t>
      </w:r>
    </w:p>
    <w:p w14:paraId="53ED9F1B" w14:textId="77777777" w:rsidR="006730A0" w:rsidRPr="00D50DB8" w:rsidRDefault="006730A0" w:rsidP="000978B2">
      <w:pPr>
        <w:pStyle w:val="NoSpacing"/>
        <w:spacing w:line="480" w:lineRule="auto"/>
        <w:jc w:val="both"/>
        <w:rPr>
          <w:rFonts w:cs="Arial"/>
          <w:b/>
          <w:sz w:val="22"/>
        </w:rPr>
      </w:pPr>
    </w:p>
    <w:p w14:paraId="55795FF5" w14:textId="0D772436" w:rsidR="0097411F" w:rsidRPr="00D50DB8" w:rsidRDefault="0097411F" w:rsidP="000978B2">
      <w:pPr>
        <w:pStyle w:val="NoSpacing"/>
        <w:spacing w:line="480" w:lineRule="auto"/>
        <w:jc w:val="both"/>
        <w:rPr>
          <w:rFonts w:cs="Arial"/>
          <w:b/>
          <w:sz w:val="22"/>
        </w:rPr>
      </w:pPr>
      <w:r w:rsidRPr="00D50DB8">
        <w:rPr>
          <w:rFonts w:cs="Arial"/>
          <w:b/>
          <w:sz w:val="22"/>
        </w:rPr>
        <w:t>Conflict of Interest</w:t>
      </w:r>
    </w:p>
    <w:p w14:paraId="1CA00FAB" w14:textId="24FE897F" w:rsidR="0097411F" w:rsidRPr="00D50DB8" w:rsidRDefault="0097411F" w:rsidP="000978B2">
      <w:pPr>
        <w:pStyle w:val="NoSpacing"/>
        <w:spacing w:line="480" w:lineRule="auto"/>
        <w:jc w:val="both"/>
        <w:rPr>
          <w:rFonts w:cs="Arial"/>
          <w:sz w:val="22"/>
        </w:rPr>
      </w:pPr>
      <w:r w:rsidRPr="00D50DB8">
        <w:rPr>
          <w:rFonts w:cs="Arial"/>
          <w:sz w:val="22"/>
        </w:rPr>
        <w:t>The authors declare that they have no conflict</w:t>
      </w:r>
      <w:r w:rsidR="006730A0" w:rsidRPr="00D50DB8">
        <w:rPr>
          <w:rFonts w:cs="Arial"/>
          <w:sz w:val="22"/>
        </w:rPr>
        <w:t>s</w:t>
      </w:r>
      <w:r w:rsidRPr="00D50DB8">
        <w:rPr>
          <w:rFonts w:cs="Arial"/>
          <w:sz w:val="22"/>
        </w:rPr>
        <w:t xml:space="preserve"> of interests</w:t>
      </w:r>
      <w:r w:rsidR="006730A0" w:rsidRPr="00D50DB8">
        <w:rPr>
          <w:rFonts w:cs="Arial"/>
          <w:sz w:val="22"/>
        </w:rPr>
        <w:t>.</w:t>
      </w:r>
    </w:p>
    <w:p w14:paraId="0BAA1615" w14:textId="57D304B7" w:rsidR="0097411F" w:rsidRPr="00D50DB8" w:rsidRDefault="0097411F" w:rsidP="000978B2">
      <w:pPr>
        <w:spacing w:line="480" w:lineRule="auto"/>
        <w:jc w:val="both"/>
        <w:rPr>
          <w:rFonts w:ascii="Arial" w:hAnsi="Arial" w:cs="Arial"/>
          <w:b/>
        </w:rPr>
      </w:pPr>
    </w:p>
    <w:p w14:paraId="4B3FA4AD" w14:textId="77777777" w:rsidR="008B4EED" w:rsidRDefault="008B4EED">
      <w:pPr>
        <w:rPr>
          <w:rFonts w:ascii="Arial" w:hAnsi="Arial" w:cs="Arial"/>
          <w:b/>
        </w:rPr>
      </w:pPr>
      <w:r>
        <w:rPr>
          <w:rFonts w:cs="Arial"/>
          <w:b/>
        </w:rPr>
        <w:br w:type="page"/>
      </w:r>
    </w:p>
    <w:p w14:paraId="38DFD38A" w14:textId="040EEA50" w:rsidR="00EB3E4C" w:rsidRPr="00D50DB8" w:rsidRDefault="00EB3E4C" w:rsidP="00D50DB8">
      <w:pPr>
        <w:pStyle w:val="NoSpacing"/>
        <w:spacing w:line="480" w:lineRule="auto"/>
        <w:jc w:val="both"/>
        <w:rPr>
          <w:rFonts w:cs="Arial"/>
          <w:b/>
          <w:sz w:val="22"/>
        </w:rPr>
      </w:pPr>
      <w:r w:rsidRPr="00D50DB8">
        <w:rPr>
          <w:rFonts w:cs="Arial"/>
          <w:b/>
          <w:sz w:val="22"/>
        </w:rPr>
        <w:t xml:space="preserve">References </w:t>
      </w:r>
    </w:p>
    <w:p w14:paraId="41F9AEA2" w14:textId="2D5A24BF" w:rsidR="005E185D" w:rsidRPr="00D50DB8" w:rsidRDefault="00DB462C" w:rsidP="00D50DB8">
      <w:pPr>
        <w:spacing w:after="0" w:line="480" w:lineRule="auto"/>
        <w:ind w:left="567" w:hanging="567"/>
        <w:jc w:val="both"/>
        <w:rPr>
          <w:rFonts w:ascii="Arial" w:hAnsi="Arial" w:cs="Arial"/>
        </w:rPr>
      </w:pPr>
      <w:r w:rsidRPr="00D50DB8">
        <w:rPr>
          <w:rFonts w:ascii="Arial" w:hAnsi="Arial" w:cs="Arial"/>
        </w:rPr>
        <w:t>Bailey, S.J., Fulford, J., Vanhatalo, A., Winyard, P. G., Blackwell, J. R., Dimenna, F.J., W</w:t>
      </w:r>
      <w:r w:rsidR="00A43387" w:rsidRPr="00D50DB8">
        <w:rPr>
          <w:rFonts w:ascii="Arial" w:hAnsi="Arial" w:cs="Arial"/>
        </w:rPr>
        <w:t>ilkerson, D. P., Benjamin, N., &amp; Jones, A. M.</w:t>
      </w:r>
      <w:r w:rsidRPr="00D50DB8">
        <w:rPr>
          <w:rFonts w:ascii="Arial" w:hAnsi="Arial" w:cs="Arial"/>
        </w:rPr>
        <w:t xml:space="preserve"> </w:t>
      </w:r>
      <w:r w:rsidR="00A43387" w:rsidRPr="00D50DB8">
        <w:rPr>
          <w:rFonts w:ascii="Arial" w:hAnsi="Arial" w:cs="Arial"/>
        </w:rPr>
        <w:t>(</w:t>
      </w:r>
      <w:r w:rsidR="005E185D" w:rsidRPr="00D50DB8">
        <w:rPr>
          <w:rFonts w:ascii="Arial" w:hAnsi="Arial" w:cs="Arial"/>
        </w:rPr>
        <w:t>2010</w:t>
      </w:r>
      <w:r w:rsidR="00A43387" w:rsidRPr="00D50DB8">
        <w:rPr>
          <w:rFonts w:ascii="Arial" w:hAnsi="Arial" w:cs="Arial"/>
        </w:rPr>
        <w:t>)</w:t>
      </w:r>
      <w:r w:rsidR="005E185D" w:rsidRPr="00D50DB8">
        <w:rPr>
          <w:rFonts w:ascii="Arial" w:hAnsi="Arial" w:cs="Arial"/>
        </w:rPr>
        <w:t xml:space="preserve">. Dietary nitrate supplementation enhances muscle contractile efﬁciency during knee-extensor exercise in humans. </w:t>
      </w:r>
      <w:r w:rsidR="005E185D" w:rsidRPr="00D50DB8">
        <w:rPr>
          <w:rFonts w:ascii="Arial" w:hAnsi="Arial" w:cs="Arial"/>
          <w:i/>
        </w:rPr>
        <w:t>Journal of Applied Physiology</w:t>
      </w:r>
      <w:r w:rsidR="00A43387" w:rsidRPr="00D50DB8">
        <w:rPr>
          <w:rFonts w:ascii="Arial" w:hAnsi="Arial" w:cs="Arial"/>
        </w:rPr>
        <w:t xml:space="preserve">, </w:t>
      </w:r>
      <w:r w:rsidR="00A43387" w:rsidRPr="00786903">
        <w:rPr>
          <w:rFonts w:ascii="Arial" w:hAnsi="Arial" w:cs="Arial"/>
          <w:i/>
        </w:rPr>
        <w:t>109</w:t>
      </w:r>
      <w:r w:rsidR="00A43387" w:rsidRPr="00D50DB8">
        <w:rPr>
          <w:rFonts w:ascii="Arial" w:hAnsi="Arial" w:cs="Arial"/>
        </w:rPr>
        <w:t xml:space="preserve">, </w:t>
      </w:r>
      <w:r w:rsidR="005E185D" w:rsidRPr="00D50DB8">
        <w:rPr>
          <w:rFonts w:ascii="Arial" w:hAnsi="Arial" w:cs="Arial"/>
        </w:rPr>
        <w:t>135–148.</w:t>
      </w:r>
    </w:p>
    <w:p w14:paraId="22AD4A68" w14:textId="4151E600"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Bailey, S. J., Vanhatalo, A., Winyard, P. G., &amp; Jones, A. M.,</w:t>
      </w:r>
      <w:r w:rsidR="005E185D" w:rsidRPr="00D50DB8">
        <w:rPr>
          <w:rFonts w:ascii="Arial" w:hAnsi="Arial" w:cs="Arial"/>
        </w:rPr>
        <w:t xml:space="preserve"> 2012. The nitrate-nitrite-nitric oxide pathway: Its role in human exercise physiology</w:t>
      </w:r>
      <w:r w:rsidR="00C34EE8" w:rsidRPr="00D50DB8">
        <w:rPr>
          <w:rFonts w:ascii="Arial" w:hAnsi="Arial" w:cs="Arial"/>
        </w:rPr>
        <w:t>.</w:t>
      </w:r>
      <w:r w:rsidR="005E185D" w:rsidRPr="00D50DB8">
        <w:rPr>
          <w:rFonts w:ascii="Arial" w:hAnsi="Arial" w:cs="Arial"/>
        </w:rPr>
        <w:t xml:space="preserve"> </w:t>
      </w:r>
      <w:r w:rsidR="005E185D" w:rsidRPr="00D50DB8">
        <w:rPr>
          <w:rFonts w:ascii="Arial" w:hAnsi="Arial" w:cs="Arial"/>
          <w:i/>
        </w:rPr>
        <w:t>European Jou</w:t>
      </w:r>
      <w:r w:rsidRPr="00D50DB8">
        <w:rPr>
          <w:rFonts w:ascii="Arial" w:hAnsi="Arial" w:cs="Arial"/>
          <w:i/>
        </w:rPr>
        <w:t>rnal of Sport Science</w:t>
      </w:r>
      <w:r w:rsidRPr="00D50DB8">
        <w:rPr>
          <w:rFonts w:ascii="Arial" w:hAnsi="Arial" w:cs="Arial"/>
        </w:rPr>
        <w:t xml:space="preserve">, </w:t>
      </w:r>
      <w:r w:rsidRPr="00786903">
        <w:rPr>
          <w:rFonts w:ascii="Arial" w:hAnsi="Arial" w:cs="Arial"/>
          <w:i/>
        </w:rPr>
        <w:t>12</w:t>
      </w:r>
      <w:r w:rsidRPr="00D50DB8">
        <w:rPr>
          <w:rFonts w:ascii="Arial" w:hAnsi="Arial" w:cs="Arial"/>
        </w:rPr>
        <w:t xml:space="preserve">, </w:t>
      </w:r>
      <w:r w:rsidR="005E185D" w:rsidRPr="00D50DB8">
        <w:rPr>
          <w:rFonts w:ascii="Arial" w:hAnsi="Arial" w:cs="Arial"/>
        </w:rPr>
        <w:t>309-320</w:t>
      </w:r>
    </w:p>
    <w:p w14:paraId="6D0C2B2E" w14:textId="48B00FBA"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Bailey, S. J., Winyard, P., Vanhatalo, A., Blackwell, J. R., Dimenna, F. J., Wilkerson, D. P., Tarr, J., Benjamin, N. &amp; Jones, A. M. (</w:t>
      </w:r>
      <w:r w:rsidR="005E185D" w:rsidRPr="00D50DB8">
        <w:rPr>
          <w:rFonts w:ascii="Arial" w:hAnsi="Arial" w:cs="Arial"/>
        </w:rPr>
        <w:t>2009</w:t>
      </w:r>
      <w:r w:rsidRPr="00D50DB8">
        <w:rPr>
          <w:rFonts w:ascii="Arial" w:hAnsi="Arial" w:cs="Arial"/>
        </w:rPr>
        <w:t>)</w:t>
      </w:r>
      <w:r w:rsidR="005E185D" w:rsidRPr="00D50DB8">
        <w:rPr>
          <w:rFonts w:ascii="Arial" w:hAnsi="Arial" w:cs="Arial"/>
        </w:rPr>
        <w:t>. Dietary nitrate supplementation reduces the O</w:t>
      </w:r>
      <w:r w:rsidR="005E185D" w:rsidRPr="00D50DB8">
        <w:rPr>
          <w:rFonts w:ascii="Arial" w:hAnsi="Arial" w:cs="Arial"/>
          <w:vertAlign w:val="subscript"/>
        </w:rPr>
        <w:t>2</w:t>
      </w:r>
      <w:r w:rsidR="005E185D" w:rsidRPr="00D50DB8">
        <w:rPr>
          <w:rFonts w:ascii="Arial" w:hAnsi="Arial" w:cs="Arial"/>
        </w:rPr>
        <w:t xml:space="preserve"> cost of low-intensity exercise and enhances tolerance to hig</w:t>
      </w:r>
      <w:r w:rsidRPr="00D50DB8">
        <w:rPr>
          <w:rFonts w:ascii="Arial" w:hAnsi="Arial" w:cs="Arial"/>
        </w:rPr>
        <w:t xml:space="preserve">h-intensity exercise in humans. </w:t>
      </w:r>
      <w:r w:rsidR="005E185D" w:rsidRPr="00D50DB8">
        <w:rPr>
          <w:rFonts w:ascii="Arial" w:hAnsi="Arial" w:cs="Arial"/>
          <w:i/>
          <w:iCs/>
        </w:rPr>
        <w:t>Journal of Applied Physiology</w:t>
      </w:r>
      <w:r w:rsidRPr="00D50DB8">
        <w:rPr>
          <w:rFonts w:ascii="Arial" w:hAnsi="Arial" w:cs="Arial"/>
        </w:rPr>
        <w:t xml:space="preserve">, </w:t>
      </w:r>
      <w:r w:rsidR="005E185D" w:rsidRPr="00D50DB8">
        <w:rPr>
          <w:rFonts w:ascii="Arial" w:hAnsi="Arial" w:cs="Arial"/>
          <w:i/>
          <w:iCs/>
        </w:rPr>
        <w:t>107</w:t>
      </w:r>
      <w:r w:rsidRPr="00D50DB8">
        <w:rPr>
          <w:rFonts w:ascii="Arial" w:hAnsi="Arial" w:cs="Arial"/>
        </w:rPr>
        <w:t xml:space="preserve">, </w:t>
      </w:r>
      <w:r w:rsidR="005E185D" w:rsidRPr="00D50DB8">
        <w:rPr>
          <w:rFonts w:ascii="Arial" w:hAnsi="Arial" w:cs="Arial"/>
        </w:rPr>
        <w:t>1144-1155.</w:t>
      </w:r>
    </w:p>
    <w:p w14:paraId="5254946E" w14:textId="4A0325CA" w:rsidR="00786903" w:rsidRPr="00786903" w:rsidRDefault="003E102D" w:rsidP="00786903">
      <w:pPr>
        <w:spacing w:after="0" w:line="480" w:lineRule="auto"/>
        <w:ind w:left="567" w:hanging="567"/>
        <w:jc w:val="both"/>
        <w:rPr>
          <w:rFonts w:ascii="Arial" w:hAnsi="Arial" w:cs="Arial"/>
        </w:rPr>
      </w:pPr>
      <w:r w:rsidRPr="00786903">
        <w:rPr>
          <w:rFonts w:ascii="Arial" w:hAnsi="Arial" w:cs="Arial"/>
        </w:rPr>
        <w:t>Bogdan</w:t>
      </w:r>
      <w:r w:rsidR="00786903" w:rsidRPr="00786903">
        <w:rPr>
          <w:rFonts w:ascii="Arial" w:hAnsi="Arial" w:cs="Arial"/>
        </w:rPr>
        <w:t>,</w:t>
      </w:r>
      <w:r w:rsidRPr="00786903">
        <w:rPr>
          <w:rFonts w:ascii="Arial" w:hAnsi="Arial" w:cs="Arial"/>
        </w:rPr>
        <w:t xml:space="preserve"> C.</w:t>
      </w:r>
      <w:r w:rsidR="00786903" w:rsidRPr="00786903">
        <w:rPr>
          <w:rFonts w:ascii="Arial" w:hAnsi="Arial" w:cs="Arial"/>
        </w:rPr>
        <w:t xml:space="preserve"> (2001). </w:t>
      </w:r>
      <w:r w:rsidRPr="00786903">
        <w:rPr>
          <w:rFonts w:ascii="Arial" w:hAnsi="Arial" w:cs="Arial"/>
        </w:rPr>
        <w:t xml:space="preserve"> </w:t>
      </w:r>
      <w:r w:rsidR="00786903" w:rsidRPr="00786903">
        <w:rPr>
          <w:rFonts w:ascii="Arial" w:hAnsi="Arial" w:cs="Arial"/>
        </w:rPr>
        <w:t xml:space="preserve">Nitric oxide and the immune response. </w:t>
      </w:r>
      <w:r w:rsidR="00786903" w:rsidRPr="00786903">
        <w:rPr>
          <w:rFonts w:ascii="Arial" w:hAnsi="Arial" w:cs="Arial"/>
          <w:i/>
        </w:rPr>
        <w:t>Nature Immunology</w:t>
      </w:r>
      <w:r w:rsidR="00786903" w:rsidRPr="00786903">
        <w:rPr>
          <w:rFonts w:ascii="Arial" w:hAnsi="Arial" w:cs="Arial"/>
        </w:rPr>
        <w:t xml:space="preserve">, </w:t>
      </w:r>
      <w:r w:rsidR="00786903" w:rsidRPr="00786903">
        <w:rPr>
          <w:rFonts w:ascii="Arial" w:hAnsi="Arial" w:cs="Arial"/>
          <w:i/>
        </w:rPr>
        <w:t>2</w:t>
      </w:r>
      <w:r w:rsidR="00786903">
        <w:rPr>
          <w:rFonts w:ascii="Arial" w:hAnsi="Arial" w:cs="Arial"/>
        </w:rPr>
        <w:t xml:space="preserve">, </w:t>
      </w:r>
      <w:r w:rsidR="00786903" w:rsidRPr="00786903">
        <w:rPr>
          <w:rFonts w:ascii="Arial" w:hAnsi="Arial" w:cs="Arial"/>
        </w:rPr>
        <w:t>907-16.</w:t>
      </w:r>
    </w:p>
    <w:p w14:paraId="25268668" w14:textId="49B57ECA" w:rsidR="005E185D" w:rsidRPr="00D50DB8" w:rsidRDefault="00A43387" w:rsidP="003E102D">
      <w:pPr>
        <w:spacing w:after="0" w:line="480" w:lineRule="auto"/>
        <w:ind w:left="567" w:hanging="567"/>
        <w:jc w:val="both"/>
        <w:rPr>
          <w:rFonts w:ascii="Arial" w:hAnsi="Arial" w:cs="Arial"/>
        </w:rPr>
      </w:pPr>
      <w:r w:rsidRPr="00D50DB8">
        <w:rPr>
          <w:rFonts w:ascii="Arial" w:hAnsi="Arial" w:cs="Arial"/>
        </w:rPr>
        <w:t>Borg, G. A. (</w:t>
      </w:r>
      <w:r w:rsidR="005E185D" w:rsidRPr="00D50DB8">
        <w:rPr>
          <w:rFonts w:ascii="Arial" w:hAnsi="Arial" w:cs="Arial"/>
        </w:rPr>
        <w:t>1982</w:t>
      </w:r>
      <w:r w:rsidRPr="00D50DB8">
        <w:rPr>
          <w:rFonts w:ascii="Arial" w:hAnsi="Arial" w:cs="Arial"/>
        </w:rPr>
        <w:t>)</w:t>
      </w:r>
      <w:r w:rsidR="005E185D" w:rsidRPr="00D50DB8">
        <w:rPr>
          <w:rFonts w:ascii="Arial" w:hAnsi="Arial" w:cs="Arial"/>
        </w:rPr>
        <w:t xml:space="preserve">. Psychophysical bases of perceived exertion. </w:t>
      </w:r>
      <w:r w:rsidR="005E185D" w:rsidRPr="00D50DB8">
        <w:rPr>
          <w:rFonts w:ascii="Arial" w:hAnsi="Arial" w:cs="Arial"/>
          <w:i/>
        </w:rPr>
        <w:t>Medicine and Science in Sports and Exercise</w:t>
      </w:r>
      <w:r w:rsidRPr="00D50DB8">
        <w:rPr>
          <w:rFonts w:ascii="Arial" w:hAnsi="Arial" w:cs="Arial"/>
        </w:rPr>
        <w:t xml:space="preserve">, </w:t>
      </w:r>
      <w:r w:rsidRPr="000B2DB4">
        <w:rPr>
          <w:rFonts w:ascii="Arial" w:hAnsi="Arial" w:cs="Arial"/>
          <w:i/>
        </w:rPr>
        <w:t>14</w:t>
      </w:r>
      <w:r w:rsidRPr="00D50DB8">
        <w:rPr>
          <w:rFonts w:ascii="Arial" w:hAnsi="Arial" w:cs="Arial"/>
        </w:rPr>
        <w:t xml:space="preserve">, </w:t>
      </w:r>
      <w:r w:rsidR="005E185D" w:rsidRPr="00D50DB8">
        <w:rPr>
          <w:rFonts w:ascii="Arial" w:hAnsi="Arial" w:cs="Arial"/>
        </w:rPr>
        <w:t>377-381.</w:t>
      </w:r>
    </w:p>
    <w:p w14:paraId="7FBA7844" w14:textId="1DE2DA14" w:rsidR="000B2DB4" w:rsidRPr="000B2DB4" w:rsidRDefault="00387ED4" w:rsidP="000B2DB4">
      <w:pPr>
        <w:spacing w:after="0" w:line="480" w:lineRule="auto"/>
        <w:ind w:left="567" w:hanging="567"/>
        <w:jc w:val="both"/>
        <w:rPr>
          <w:rFonts w:ascii="Arial" w:hAnsi="Arial" w:cs="Arial"/>
        </w:rPr>
      </w:pPr>
      <w:r w:rsidRPr="000B2DB4">
        <w:rPr>
          <w:rFonts w:ascii="Arial" w:hAnsi="Arial" w:cs="Arial"/>
        </w:rPr>
        <w:t>Bourdillon</w:t>
      </w:r>
      <w:r w:rsidR="000B2DB4" w:rsidRPr="000B2DB4">
        <w:rPr>
          <w:rFonts w:ascii="Arial" w:hAnsi="Arial" w:cs="Arial"/>
        </w:rPr>
        <w:t>,</w:t>
      </w:r>
      <w:r w:rsidRPr="000B2DB4">
        <w:rPr>
          <w:rFonts w:ascii="Arial" w:hAnsi="Arial" w:cs="Arial"/>
        </w:rPr>
        <w:t xml:space="preserve"> N</w:t>
      </w:r>
      <w:r w:rsidR="000B2DB4" w:rsidRPr="000B2DB4">
        <w:rPr>
          <w:rFonts w:ascii="Arial" w:hAnsi="Arial" w:cs="Arial"/>
        </w:rPr>
        <w:t>.</w:t>
      </w:r>
      <w:r w:rsidRPr="000B2DB4">
        <w:rPr>
          <w:rFonts w:ascii="Arial" w:hAnsi="Arial" w:cs="Arial"/>
        </w:rPr>
        <w:t>, Fan</w:t>
      </w:r>
      <w:r w:rsidR="000B2DB4" w:rsidRPr="000B2DB4">
        <w:rPr>
          <w:rFonts w:ascii="Arial" w:hAnsi="Arial" w:cs="Arial"/>
        </w:rPr>
        <w:t>,</w:t>
      </w:r>
      <w:r w:rsidRPr="000B2DB4">
        <w:rPr>
          <w:rFonts w:ascii="Arial" w:hAnsi="Arial" w:cs="Arial"/>
        </w:rPr>
        <w:t xml:space="preserve"> J</w:t>
      </w:r>
      <w:r w:rsidR="000B2DB4" w:rsidRPr="000B2DB4">
        <w:rPr>
          <w:rFonts w:ascii="Arial" w:hAnsi="Arial" w:cs="Arial"/>
        </w:rPr>
        <w:t xml:space="preserve">. </w:t>
      </w:r>
      <w:r w:rsidRPr="000B2DB4">
        <w:rPr>
          <w:rFonts w:ascii="Arial" w:hAnsi="Arial" w:cs="Arial"/>
        </w:rPr>
        <w:t>L</w:t>
      </w:r>
      <w:r w:rsidR="000B2DB4" w:rsidRPr="000B2DB4">
        <w:rPr>
          <w:rFonts w:ascii="Arial" w:hAnsi="Arial" w:cs="Arial"/>
        </w:rPr>
        <w:t xml:space="preserve">., </w:t>
      </w:r>
      <w:r w:rsidRPr="000B2DB4">
        <w:rPr>
          <w:rFonts w:ascii="Arial" w:hAnsi="Arial" w:cs="Arial"/>
        </w:rPr>
        <w:t>Uva</w:t>
      </w:r>
      <w:r w:rsidR="000B2DB4" w:rsidRPr="000B2DB4">
        <w:rPr>
          <w:rFonts w:ascii="Arial" w:hAnsi="Arial" w:cs="Arial"/>
        </w:rPr>
        <w:t xml:space="preserve">, </w:t>
      </w:r>
      <w:r w:rsidRPr="000B2DB4">
        <w:rPr>
          <w:rFonts w:ascii="Arial" w:hAnsi="Arial" w:cs="Arial"/>
        </w:rPr>
        <w:t>B</w:t>
      </w:r>
      <w:r w:rsidR="000B2DB4" w:rsidRPr="000B2DB4">
        <w:rPr>
          <w:rFonts w:ascii="Arial" w:hAnsi="Arial" w:cs="Arial"/>
        </w:rPr>
        <w:t xml:space="preserve">., Müller, H., Meyer, P., </w:t>
      </w:r>
      <w:r w:rsidR="000B2DB4">
        <w:rPr>
          <w:rFonts w:ascii="Arial" w:hAnsi="Arial" w:cs="Arial"/>
        </w:rPr>
        <w:t xml:space="preserve">&amp; </w:t>
      </w:r>
      <w:r w:rsidR="000B2DB4" w:rsidRPr="000B2DB4">
        <w:rPr>
          <w:rFonts w:ascii="Arial" w:hAnsi="Arial" w:cs="Arial"/>
        </w:rPr>
        <w:t>Kayser, B</w:t>
      </w:r>
      <w:r w:rsidRPr="000B2DB4">
        <w:rPr>
          <w:rFonts w:ascii="Arial" w:hAnsi="Arial" w:cs="Arial"/>
        </w:rPr>
        <w:t>.</w:t>
      </w:r>
      <w:r w:rsidR="000B2DB4" w:rsidRPr="000B2DB4">
        <w:rPr>
          <w:rFonts w:ascii="Arial" w:hAnsi="Arial" w:cs="Arial"/>
        </w:rPr>
        <w:t xml:space="preserve"> (2015). Effect of oral nitrate supplementation on pulmonary hemodynamics during exercise and time trial performance in normoxia and hypoxia: a randomized controlled trial. </w:t>
      </w:r>
      <w:r w:rsidR="000B2DB4" w:rsidRPr="000B2DB4">
        <w:rPr>
          <w:rFonts w:ascii="Arial" w:hAnsi="Arial" w:cs="Arial"/>
          <w:i/>
        </w:rPr>
        <w:t>Frontiers in Physiology,</w:t>
      </w:r>
      <w:r w:rsidR="000B2DB4" w:rsidRPr="000B2DB4">
        <w:rPr>
          <w:rFonts w:ascii="Arial" w:hAnsi="Arial" w:cs="Arial"/>
        </w:rPr>
        <w:t xml:space="preserve"> </w:t>
      </w:r>
      <w:r w:rsidR="000B2DB4" w:rsidRPr="000B2DB4">
        <w:rPr>
          <w:rFonts w:ascii="Arial" w:hAnsi="Arial" w:cs="Arial"/>
          <w:i/>
        </w:rPr>
        <w:t xml:space="preserve">6, </w:t>
      </w:r>
      <w:r w:rsidR="000B2DB4" w:rsidRPr="000B2DB4">
        <w:rPr>
          <w:rFonts w:ascii="Arial" w:hAnsi="Arial" w:cs="Arial"/>
        </w:rPr>
        <w:t>288.</w:t>
      </w:r>
    </w:p>
    <w:p w14:paraId="3D9FADCE" w14:textId="159C758A"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Brown, G. C. (</w:t>
      </w:r>
      <w:r w:rsidR="005E185D" w:rsidRPr="00D50DB8">
        <w:rPr>
          <w:rFonts w:ascii="Arial" w:hAnsi="Arial" w:cs="Arial"/>
        </w:rPr>
        <w:t>1999</w:t>
      </w:r>
      <w:r w:rsidRPr="00D50DB8">
        <w:rPr>
          <w:rFonts w:ascii="Arial" w:hAnsi="Arial" w:cs="Arial"/>
        </w:rPr>
        <w:t>)</w:t>
      </w:r>
      <w:r w:rsidR="005E185D" w:rsidRPr="00D50DB8">
        <w:rPr>
          <w:rFonts w:ascii="Arial" w:hAnsi="Arial" w:cs="Arial"/>
        </w:rPr>
        <w:t xml:space="preserve">. Nitric oxide and mitochondrial respiration. </w:t>
      </w:r>
      <w:r w:rsidR="005E185D" w:rsidRPr="00D50DB8">
        <w:rPr>
          <w:rFonts w:ascii="Arial" w:hAnsi="Arial" w:cs="Arial"/>
          <w:i/>
        </w:rPr>
        <w:t>Biochimica et Biophysica Acta</w:t>
      </w:r>
      <w:r w:rsidRPr="00D50DB8">
        <w:rPr>
          <w:rFonts w:ascii="Arial" w:hAnsi="Arial" w:cs="Arial"/>
        </w:rPr>
        <w:t xml:space="preserve">, </w:t>
      </w:r>
      <w:r w:rsidRPr="000B2DB4">
        <w:rPr>
          <w:rFonts w:ascii="Arial" w:hAnsi="Arial" w:cs="Arial"/>
          <w:i/>
        </w:rPr>
        <w:t>1411</w:t>
      </w:r>
      <w:r w:rsidRPr="00D50DB8">
        <w:rPr>
          <w:rFonts w:ascii="Arial" w:hAnsi="Arial" w:cs="Arial"/>
        </w:rPr>
        <w:t xml:space="preserve">, </w:t>
      </w:r>
      <w:r w:rsidR="005E185D" w:rsidRPr="00D50DB8">
        <w:rPr>
          <w:rFonts w:ascii="Arial" w:hAnsi="Arial" w:cs="Arial"/>
        </w:rPr>
        <w:t>351–369.</w:t>
      </w:r>
    </w:p>
    <w:p w14:paraId="720A3BB2" w14:textId="787B8EBB"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Cermak, N. M., Gibala, M. J., &amp; Van Loon, L. J.</w:t>
      </w:r>
      <w:r w:rsidR="005E185D" w:rsidRPr="00D50DB8">
        <w:rPr>
          <w:rFonts w:ascii="Arial" w:hAnsi="Arial" w:cs="Arial"/>
        </w:rPr>
        <w:t xml:space="preserve"> </w:t>
      </w:r>
      <w:r w:rsidRPr="00D50DB8">
        <w:rPr>
          <w:rFonts w:ascii="Arial" w:hAnsi="Arial" w:cs="Arial"/>
        </w:rPr>
        <w:t>(</w:t>
      </w:r>
      <w:r w:rsidR="005E185D" w:rsidRPr="00D50DB8">
        <w:rPr>
          <w:rFonts w:ascii="Arial" w:hAnsi="Arial" w:cs="Arial"/>
        </w:rPr>
        <w:t>2012</w:t>
      </w:r>
      <w:r w:rsidR="007442C5" w:rsidRPr="00D50DB8">
        <w:rPr>
          <w:rFonts w:ascii="Arial" w:hAnsi="Arial" w:cs="Arial"/>
        </w:rPr>
        <w:t>a</w:t>
      </w:r>
      <w:r w:rsidRPr="00D50DB8">
        <w:rPr>
          <w:rFonts w:ascii="Arial" w:hAnsi="Arial" w:cs="Arial"/>
        </w:rPr>
        <w:t>).</w:t>
      </w:r>
      <w:r w:rsidR="005E185D" w:rsidRPr="00D50DB8">
        <w:rPr>
          <w:rFonts w:ascii="Arial" w:hAnsi="Arial" w:cs="Arial"/>
        </w:rPr>
        <w:t xml:space="preserve"> Nitrate supplementation’s improvement of 10-km time-trial performance in trained cyclists. </w:t>
      </w:r>
      <w:r w:rsidR="005E185D" w:rsidRPr="00D50DB8">
        <w:rPr>
          <w:rFonts w:ascii="Arial" w:hAnsi="Arial" w:cs="Arial"/>
          <w:i/>
        </w:rPr>
        <w:t>International Journal of Sport Nutrition and Exercise Metabolism</w:t>
      </w:r>
      <w:r w:rsidRPr="00D50DB8">
        <w:rPr>
          <w:rFonts w:ascii="Arial" w:hAnsi="Arial" w:cs="Arial"/>
        </w:rPr>
        <w:t xml:space="preserve">, </w:t>
      </w:r>
      <w:r w:rsidRPr="000B2DB4">
        <w:rPr>
          <w:rFonts w:ascii="Arial" w:hAnsi="Arial" w:cs="Arial"/>
          <w:i/>
        </w:rPr>
        <w:t>22</w:t>
      </w:r>
      <w:r w:rsidRPr="00D50DB8">
        <w:rPr>
          <w:rFonts w:ascii="Arial" w:hAnsi="Arial" w:cs="Arial"/>
        </w:rPr>
        <w:t xml:space="preserve">, </w:t>
      </w:r>
      <w:r w:rsidR="005E185D" w:rsidRPr="00D50DB8">
        <w:rPr>
          <w:rFonts w:ascii="Arial" w:hAnsi="Arial" w:cs="Arial"/>
        </w:rPr>
        <w:t>64–71.</w:t>
      </w:r>
    </w:p>
    <w:p w14:paraId="0DA1150D" w14:textId="5DC93977"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Cermak, N. M., Res, P., Stinkens, R., Lundberg, J.</w:t>
      </w:r>
      <w:r w:rsidR="000B2DB4">
        <w:rPr>
          <w:rFonts w:ascii="Arial" w:hAnsi="Arial" w:cs="Arial"/>
        </w:rPr>
        <w:t xml:space="preserve"> </w:t>
      </w:r>
      <w:r w:rsidRPr="00D50DB8">
        <w:rPr>
          <w:rFonts w:ascii="Arial" w:hAnsi="Arial" w:cs="Arial"/>
        </w:rPr>
        <w:t>O., Gibala, M.</w:t>
      </w:r>
      <w:r w:rsidR="000B2DB4">
        <w:rPr>
          <w:rFonts w:ascii="Arial" w:hAnsi="Arial" w:cs="Arial"/>
        </w:rPr>
        <w:t xml:space="preserve"> </w:t>
      </w:r>
      <w:r w:rsidRPr="00D50DB8">
        <w:rPr>
          <w:rFonts w:ascii="Arial" w:hAnsi="Arial" w:cs="Arial"/>
        </w:rPr>
        <w:t>J., &amp;</w:t>
      </w:r>
      <w:r w:rsidR="007442C5" w:rsidRPr="00D50DB8">
        <w:rPr>
          <w:rFonts w:ascii="Arial" w:hAnsi="Arial" w:cs="Arial"/>
        </w:rPr>
        <w:t xml:space="preserve"> Van Loon, L.J.C.</w:t>
      </w:r>
      <w:r w:rsidRPr="00D50DB8">
        <w:rPr>
          <w:rFonts w:ascii="Arial" w:hAnsi="Arial" w:cs="Arial"/>
        </w:rPr>
        <w:t xml:space="preserve"> </w:t>
      </w:r>
      <w:r w:rsidR="007442C5" w:rsidRPr="00D50DB8">
        <w:rPr>
          <w:rFonts w:ascii="Arial" w:hAnsi="Arial" w:cs="Arial"/>
        </w:rPr>
        <w:t>(</w:t>
      </w:r>
      <w:r w:rsidR="005E185D" w:rsidRPr="00D50DB8">
        <w:rPr>
          <w:rFonts w:ascii="Arial" w:hAnsi="Arial" w:cs="Arial"/>
        </w:rPr>
        <w:t>2012b</w:t>
      </w:r>
      <w:r w:rsidR="007442C5" w:rsidRPr="00D50DB8">
        <w:rPr>
          <w:rFonts w:ascii="Arial" w:hAnsi="Arial" w:cs="Arial"/>
        </w:rPr>
        <w:t>)</w:t>
      </w:r>
      <w:r w:rsidR="005E185D" w:rsidRPr="00D50DB8">
        <w:rPr>
          <w:rFonts w:ascii="Arial" w:hAnsi="Arial" w:cs="Arial"/>
        </w:rPr>
        <w:t xml:space="preserve">. No improvement in endurance performance after a single dose of beetroot juice. </w:t>
      </w:r>
      <w:r w:rsidR="005E185D" w:rsidRPr="00D50DB8">
        <w:rPr>
          <w:rFonts w:ascii="Arial" w:hAnsi="Arial" w:cs="Arial"/>
          <w:i/>
        </w:rPr>
        <w:t>International Journal of Sport Nutrition and Exercise Metabolism</w:t>
      </w:r>
      <w:r w:rsidR="007442C5" w:rsidRPr="00D50DB8">
        <w:rPr>
          <w:rFonts w:ascii="Arial" w:hAnsi="Arial" w:cs="Arial"/>
        </w:rPr>
        <w:t xml:space="preserve">. </w:t>
      </w:r>
      <w:r w:rsidR="007442C5" w:rsidRPr="000B2DB4">
        <w:rPr>
          <w:rFonts w:ascii="Arial" w:hAnsi="Arial" w:cs="Arial"/>
          <w:i/>
        </w:rPr>
        <w:t>22</w:t>
      </w:r>
      <w:r w:rsidR="007442C5" w:rsidRPr="00D50DB8">
        <w:rPr>
          <w:rFonts w:ascii="Arial" w:hAnsi="Arial" w:cs="Arial"/>
        </w:rPr>
        <w:t xml:space="preserve">, </w:t>
      </w:r>
      <w:r w:rsidR="005E185D" w:rsidRPr="00D50DB8">
        <w:rPr>
          <w:rFonts w:ascii="Arial" w:hAnsi="Arial" w:cs="Arial"/>
        </w:rPr>
        <w:t>470–478.</w:t>
      </w:r>
    </w:p>
    <w:p w14:paraId="77B15116" w14:textId="5FF4461D"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Christensen, P. M., Nyberg, M. &amp;</w:t>
      </w:r>
      <w:r w:rsidR="007442C5" w:rsidRPr="00D50DB8">
        <w:rPr>
          <w:rFonts w:ascii="Arial" w:hAnsi="Arial" w:cs="Arial"/>
        </w:rPr>
        <w:t xml:space="preserve"> Bangsbo, J.</w:t>
      </w:r>
      <w:r w:rsidRPr="00D50DB8">
        <w:rPr>
          <w:rFonts w:ascii="Arial" w:hAnsi="Arial" w:cs="Arial"/>
        </w:rPr>
        <w:t xml:space="preserve"> </w:t>
      </w:r>
      <w:r w:rsidR="007442C5" w:rsidRPr="00D50DB8">
        <w:rPr>
          <w:rFonts w:ascii="Arial" w:hAnsi="Arial" w:cs="Arial"/>
        </w:rPr>
        <w:t>(</w:t>
      </w:r>
      <w:r w:rsidR="005E185D" w:rsidRPr="00D50DB8">
        <w:rPr>
          <w:rFonts w:ascii="Arial" w:hAnsi="Arial" w:cs="Arial"/>
        </w:rPr>
        <w:t>2013</w:t>
      </w:r>
      <w:r w:rsidR="007442C5" w:rsidRPr="00D50DB8">
        <w:rPr>
          <w:rFonts w:ascii="Arial" w:hAnsi="Arial" w:cs="Arial"/>
        </w:rPr>
        <w:t>)</w:t>
      </w:r>
      <w:r w:rsidR="005E185D" w:rsidRPr="00D50DB8">
        <w:rPr>
          <w:rFonts w:ascii="Arial" w:hAnsi="Arial" w:cs="Arial"/>
        </w:rPr>
        <w:t>. Influence of nitrate supplementation on VO</w:t>
      </w:r>
      <w:r w:rsidR="005E185D" w:rsidRPr="00D50DB8">
        <w:rPr>
          <w:rFonts w:ascii="Arial" w:hAnsi="Arial" w:cs="Arial"/>
          <w:vertAlign w:val="subscript"/>
        </w:rPr>
        <w:t>2</w:t>
      </w:r>
      <w:r w:rsidR="005E185D" w:rsidRPr="00D50DB8">
        <w:rPr>
          <w:rFonts w:ascii="Arial" w:hAnsi="Arial" w:cs="Arial"/>
        </w:rPr>
        <w:t xml:space="preserve"> kinetics and endurance of elite cyclists. </w:t>
      </w:r>
      <w:r w:rsidR="005E185D" w:rsidRPr="00D50DB8">
        <w:rPr>
          <w:rFonts w:ascii="Arial" w:hAnsi="Arial" w:cs="Arial"/>
          <w:i/>
          <w:iCs/>
        </w:rPr>
        <w:t>Scandinavian Journal of Medicine and Science in Sports</w:t>
      </w:r>
      <w:r w:rsidR="007442C5" w:rsidRPr="00D50DB8">
        <w:rPr>
          <w:rFonts w:ascii="Arial" w:hAnsi="Arial" w:cs="Arial"/>
        </w:rPr>
        <w:t xml:space="preserve">, </w:t>
      </w:r>
      <w:r w:rsidR="005E185D" w:rsidRPr="00D50DB8">
        <w:rPr>
          <w:rFonts w:ascii="Arial" w:hAnsi="Arial" w:cs="Arial"/>
          <w:i/>
          <w:iCs/>
        </w:rPr>
        <w:t>23</w:t>
      </w:r>
      <w:r w:rsidR="007442C5" w:rsidRPr="00D50DB8">
        <w:rPr>
          <w:rFonts w:ascii="Arial" w:hAnsi="Arial" w:cs="Arial"/>
        </w:rPr>
        <w:t xml:space="preserve">, </w:t>
      </w:r>
      <w:r w:rsidR="005E185D" w:rsidRPr="00D50DB8">
        <w:rPr>
          <w:rFonts w:ascii="Arial" w:hAnsi="Arial" w:cs="Arial"/>
        </w:rPr>
        <w:t>.e21-e31.</w:t>
      </w:r>
    </w:p>
    <w:p w14:paraId="0812A7C1" w14:textId="33E69826" w:rsidR="00387ED4" w:rsidRPr="000B2DB4" w:rsidRDefault="00387ED4" w:rsidP="000B2DB4">
      <w:pPr>
        <w:spacing w:after="0" w:line="480" w:lineRule="auto"/>
        <w:ind w:left="567" w:hanging="567"/>
        <w:jc w:val="both"/>
        <w:rPr>
          <w:rFonts w:ascii="Arial" w:hAnsi="Arial" w:cs="Arial"/>
        </w:rPr>
      </w:pPr>
      <w:r w:rsidRPr="000B2DB4">
        <w:rPr>
          <w:rFonts w:ascii="Arial" w:hAnsi="Arial" w:cs="Arial"/>
        </w:rPr>
        <w:t>Clements</w:t>
      </w:r>
      <w:r w:rsidR="000B2DB4">
        <w:rPr>
          <w:rFonts w:ascii="Arial" w:hAnsi="Arial" w:cs="Arial"/>
        </w:rPr>
        <w:t>,</w:t>
      </w:r>
      <w:r w:rsidRPr="000B2DB4">
        <w:rPr>
          <w:rFonts w:ascii="Arial" w:hAnsi="Arial" w:cs="Arial"/>
        </w:rPr>
        <w:t xml:space="preserve"> W</w:t>
      </w:r>
      <w:r w:rsidR="000B2DB4">
        <w:rPr>
          <w:rFonts w:ascii="Arial" w:hAnsi="Arial" w:cs="Arial"/>
        </w:rPr>
        <w:t xml:space="preserve">. </w:t>
      </w:r>
      <w:r w:rsidRPr="000B2DB4">
        <w:rPr>
          <w:rFonts w:ascii="Arial" w:hAnsi="Arial" w:cs="Arial"/>
        </w:rPr>
        <w:t>T</w:t>
      </w:r>
      <w:r w:rsidR="000B2DB4">
        <w:rPr>
          <w:rFonts w:ascii="Arial" w:hAnsi="Arial" w:cs="Arial"/>
        </w:rPr>
        <w:t>.</w:t>
      </w:r>
      <w:r w:rsidRPr="000B2DB4">
        <w:rPr>
          <w:rFonts w:ascii="Arial" w:hAnsi="Arial" w:cs="Arial"/>
        </w:rPr>
        <w:t>, Lee</w:t>
      </w:r>
      <w:r w:rsidR="000B2DB4">
        <w:rPr>
          <w:rFonts w:ascii="Arial" w:hAnsi="Arial" w:cs="Arial"/>
        </w:rPr>
        <w:t>,</w:t>
      </w:r>
      <w:r w:rsidRPr="000B2DB4">
        <w:rPr>
          <w:rFonts w:ascii="Arial" w:hAnsi="Arial" w:cs="Arial"/>
        </w:rPr>
        <w:t xml:space="preserve"> S</w:t>
      </w:r>
      <w:r w:rsidR="000B2DB4">
        <w:rPr>
          <w:rFonts w:ascii="Arial" w:hAnsi="Arial" w:cs="Arial"/>
        </w:rPr>
        <w:t xml:space="preserve">. </w:t>
      </w:r>
      <w:r w:rsidRPr="000B2DB4">
        <w:rPr>
          <w:rFonts w:ascii="Arial" w:hAnsi="Arial" w:cs="Arial"/>
        </w:rPr>
        <w:t>R</w:t>
      </w:r>
      <w:r w:rsidR="000B2DB4">
        <w:rPr>
          <w:rFonts w:ascii="Arial" w:hAnsi="Arial" w:cs="Arial"/>
        </w:rPr>
        <w:t>.</w:t>
      </w:r>
      <w:r w:rsidRPr="000B2DB4">
        <w:rPr>
          <w:rFonts w:ascii="Arial" w:hAnsi="Arial" w:cs="Arial"/>
        </w:rPr>
        <w:t xml:space="preserve">, </w:t>
      </w:r>
      <w:r w:rsidR="000B2DB4">
        <w:rPr>
          <w:rFonts w:ascii="Arial" w:hAnsi="Arial" w:cs="Arial"/>
        </w:rPr>
        <w:t xml:space="preserve">&amp; </w:t>
      </w:r>
      <w:r w:rsidRPr="000B2DB4">
        <w:rPr>
          <w:rFonts w:ascii="Arial" w:hAnsi="Arial" w:cs="Arial"/>
        </w:rPr>
        <w:t>Bloomer</w:t>
      </w:r>
      <w:r w:rsidR="000B2DB4">
        <w:rPr>
          <w:rFonts w:ascii="Arial" w:hAnsi="Arial" w:cs="Arial"/>
        </w:rPr>
        <w:t>,</w:t>
      </w:r>
      <w:r w:rsidRPr="000B2DB4">
        <w:rPr>
          <w:rFonts w:ascii="Arial" w:hAnsi="Arial" w:cs="Arial"/>
        </w:rPr>
        <w:t xml:space="preserve"> R</w:t>
      </w:r>
      <w:r w:rsidR="000B2DB4">
        <w:rPr>
          <w:rFonts w:ascii="Arial" w:hAnsi="Arial" w:cs="Arial"/>
        </w:rPr>
        <w:t xml:space="preserve">. </w:t>
      </w:r>
      <w:r w:rsidRPr="000B2DB4">
        <w:rPr>
          <w:rFonts w:ascii="Arial" w:hAnsi="Arial" w:cs="Arial"/>
        </w:rPr>
        <w:t>J.</w:t>
      </w:r>
      <w:r w:rsidR="000B2DB4" w:rsidRPr="000B2DB4">
        <w:rPr>
          <w:rFonts w:ascii="Arial" w:hAnsi="Arial" w:cs="Arial"/>
        </w:rPr>
        <w:t xml:space="preserve"> (2014). Nitrate ingestion: a review of the health and physical performance effects. </w:t>
      </w:r>
      <w:r w:rsidRPr="000B2DB4">
        <w:rPr>
          <w:rFonts w:ascii="Arial" w:hAnsi="Arial" w:cs="Arial"/>
          <w:i/>
        </w:rPr>
        <w:t>Nutrients</w:t>
      </w:r>
      <w:r w:rsidR="000B2DB4" w:rsidRPr="000B2DB4">
        <w:rPr>
          <w:rFonts w:ascii="Arial" w:hAnsi="Arial" w:cs="Arial"/>
        </w:rPr>
        <w:t xml:space="preserve">, </w:t>
      </w:r>
      <w:r w:rsidRPr="000B2DB4">
        <w:rPr>
          <w:rFonts w:ascii="Arial" w:hAnsi="Arial" w:cs="Arial"/>
          <w:i/>
        </w:rPr>
        <w:t>18</w:t>
      </w:r>
      <w:r w:rsidR="000B2DB4" w:rsidRPr="000B2DB4">
        <w:rPr>
          <w:rFonts w:ascii="Arial" w:hAnsi="Arial" w:cs="Arial"/>
        </w:rPr>
        <w:t xml:space="preserve">, 6(11), </w:t>
      </w:r>
      <w:r w:rsidRPr="000B2DB4">
        <w:rPr>
          <w:rFonts w:ascii="Arial" w:hAnsi="Arial" w:cs="Arial"/>
        </w:rPr>
        <w:t>5224-64</w:t>
      </w:r>
    </w:p>
    <w:p w14:paraId="72AB921A" w14:textId="5CCC74A1"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De Pauw, K., Roelands, B., Cheung, S. S., De Geus, B., Rietjens, G. &amp;</w:t>
      </w:r>
      <w:r w:rsidR="007442C5" w:rsidRPr="00D50DB8">
        <w:rPr>
          <w:rFonts w:ascii="Arial" w:hAnsi="Arial" w:cs="Arial"/>
        </w:rPr>
        <w:t xml:space="preserve"> Meeusen, R. (</w:t>
      </w:r>
      <w:r w:rsidR="005E185D" w:rsidRPr="00D50DB8">
        <w:rPr>
          <w:rFonts w:ascii="Arial" w:hAnsi="Arial" w:cs="Arial"/>
        </w:rPr>
        <w:t>2013</w:t>
      </w:r>
      <w:r w:rsidR="007442C5" w:rsidRPr="00D50DB8">
        <w:rPr>
          <w:rFonts w:ascii="Arial" w:hAnsi="Arial" w:cs="Arial"/>
        </w:rPr>
        <w:t>)</w:t>
      </w:r>
      <w:r w:rsidR="005E185D" w:rsidRPr="00D50DB8">
        <w:rPr>
          <w:rFonts w:ascii="Arial" w:hAnsi="Arial" w:cs="Arial"/>
        </w:rPr>
        <w:t>. Guidelines to classify subject groups in sport-science research. </w:t>
      </w:r>
      <w:r w:rsidR="005E185D" w:rsidRPr="00D50DB8">
        <w:rPr>
          <w:rFonts w:ascii="Arial" w:hAnsi="Arial" w:cs="Arial"/>
          <w:i/>
          <w:iCs/>
        </w:rPr>
        <w:t>International Journal of Sports Physiology and Performance</w:t>
      </w:r>
      <w:r w:rsidR="007442C5" w:rsidRPr="00D50DB8">
        <w:rPr>
          <w:rFonts w:ascii="Arial" w:hAnsi="Arial" w:cs="Arial"/>
        </w:rPr>
        <w:t xml:space="preserve">, </w:t>
      </w:r>
      <w:r w:rsidR="005E185D" w:rsidRPr="00D50DB8">
        <w:rPr>
          <w:rFonts w:ascii="Arial" w:hAnsi="Arial" w:cs="Arial"/>
          <w:i/>
          <w:iCs/>
        </w:rPr>
        <w:t>8</w:t>
      </w:r>
      <w:r w:rsidR="007442C5" w:rsidRPr="00D50DB8">
        <w:rPr>
          <w:rFonts w:ascii="Arial" w:hAnsi="Arial" w:cs="Arial"/>
        </w:rPr>
        <w:t xml:space="preserve">, </w:t>
      </w:r>
      <w:r w:rsidR="005E185D" w:rsidRPr="00D50DB8">
        <w:rPr>
          <w:rFonts w:ascii="Arial" w:hAnsi="Arial" w:cs="Arial"/>
        </w:rPr>
        <w:t>111-122.</w:t>
      </w:r>
    </w:p>
    <w:p w14:paraId="3B10D4D3" w14:textId="4FA523F1" w:rsidR="005E185D" w:rsidRPr="00D50DB8" w:rsidRDefault="00A43387" w:rsidP="00D50DB8">
      <w:pPr>
        <w:spacing w:after="0" w:line="480" w:lineRule="auto"/>
        <w:ind w:left="567" w:hanging="567"/>
        <w:jc w:val="both"/>
        <w:rPr>
          <w:rFonts w:ascii="Arial" w:hAnsi="Arial" w:cs="Arial"/>
        </w:rPr>
      </w:pPr>
      <w:r w:rsidRPr="00D50DB8">
        <w:rPr>
          <w:rFonts w:ascii="Arial" w:hAnsi="Arial" w:cs="Arial"/>
        </w:rPr>
        <w:t>Duncan, C., Dougall, H., Johnston, P., Green, S., Brogan, R., Leifert, C., Smith, L., Golden, M., &amp;</w:t>
      </w:r>
      <w:r w:rsidR="007442C5" w:rsidRPr="00D50DB8">
        <w:rPr>
          <w:rFonts w:ascii="Arial" w:hAnsi="Arial" w:cs="Arial"/>
        </w:rPr>
        <w:t xml:space="preserve"> Benjamin, N.</w:t>
      </w:r>
      <w:r w:rsidRPr="00D50DB8">
        <w:rPr>
          <w:rFonts w:ascii="Arial" w:hAnsi="Arial" w:cs="Arial"/>
        </w:rPr>
        <w:t xml:space="preserve"> </w:t>
      </w:r>
      <w:r w:rsidR="007442C5" w:rsidRPr="00D50DB8">
        <w:rPr>
          <w:rFonts w:ascii="Arial" w:hAnsi="Arial" w:cs="Arial"/>
        </w:rPr>
        <w:t>(</w:t>
      </w:r>
      <w:r w:rsidR="005E185D" w:rsidRPr="00D50DB8">
        <w:rPr>
          <w:rFonts w:ascii="Arial" w:hAnsi="Arial" w:cs="Arial"/>
        </w:rPr>
        <w:t>1995</w:t>
      </w:r>
      <w:r w:rsidR="007442C5" w:rsidRPr="00D50DB8">
        <w:rPr>
          <w:rFonts w:ascii="Arial" w:hAnsi="Arial" w:cs="Arial"/>
        </w:rPr>
        <w:t>)</w:t>
      </w:r>
      <w:r w:rsidR="005E185D" w:rsidRPr="00D50DB8">
        <w:rPr>
          <w:rFonts w:ascii="Arial" w:hAnsi="Arial" w:cs="Arial"/>
        </w:rPr>
        <w:t xml:space="preserve">. Chemical generation of nitric oxide in the mouth from the enterosalivary circulation of dietary nitrate. </w:t>
      </w:r>
      <w:r w:rsidR="005E185D" w:rsidRPr="00D50DB8">
        <w:rPr>
          <w:rFonts w:ascii="Arial" w:hAnsi="Arial" w:cs="Arial"/>
          <w:i/>
        </w:rPr>
        <w:t>Nature Medicine</w:t>
      </w:r>
      <w:r w:rsidR="007442C5" w:rsidRPr="00D50DB8">
        <w:rPr>
          <w:rFonts w:ascii="Arial" w:hAnsi="Arial" w:cs="Arial"/>
        </w:rPr>
        <w:t xml:space="preserve">, 1, </w:t>
      </w:r>
      <w:r w:rsidR="005E185D" w:rsidRPr="00D50DB8">
        <w:rPr>
          <w:rFonts w:ascii="Arial" w:hAnsi="Arial" w:cs="Arial"/>
        </w:rPr>
        <w:t xml:space="preserve">546 –551. </w:t>
      </w:r>
    </w:p>
    <w:p w14:paraId="3071E1E6" w14:textId="58BC9CAD" w:rsidR="000B2DB4" w:rsidRDefault="003E102D" w:rsidP="000B2DB4">
      <w:pPr>
        <w:spacing w:after="0" w:line="480" w:lineRule="auto"/>
        <w:ind w:left="567" w:hanging="567"/>
        <w:jc w:val="both"/>
        <w:rPr>
          <w:rFonts w:ascii="Arial" w:hAnsi="Arial" w:cs="Arial"/>
        </w:rPr>
      </w:pPr>
      <w:r w:rsidRPr="000B2DB4">
        <w:rPr>
          <w:rFonts w:ascii="Arial" w:hAnsi="Arial" w:cs="Arial"/>
        </w:rPr>
        <w:t>Ferguson</w:t>
      </w:r>
      <w:r w:rsidR="000B2DB4" w:rsidRPr="000B2DB4">
        <w:rPr>
          <w:rFonts w:ascii="Arial" w:hAnsi="Arial" w:cs="Arial"/>
        </w:rPr>
        <w:t>,</w:t>
      </w:r>
      <w:r w:rsidRPr="000B2DB4">
        <w:rPr>
          <w:rFonts w:ascii="Arial" w:hAnsi="Arial" w:cs="Arial"/>
        </w:rPr>
        <w:t xml:space="preserve"> S</w:t>
      </w:r>
      <w:r w:rsidR="000B2DB4" w:rsidRPr="000B2DB4">
        <w:rPr>
          <w:rFonts w:ascii="Arial" w:hAnsi="Arial" w:cs="Arial"/>
        </w:rPr>
        <w:t xml:space="preserve">. </w:t>
      </w:r>
      <w:r w:rsidRPr="000B2DB4">
        <w:rPr>
          <w:rFonts w:ascii="Arial" w:hAnsi="Arial" w:cs="Arial"/>
        </w:rPr>
        <w:t>K</w:t>
      </w:r>
      <w:r w:rsidR="000B2DB4" w:rsidRPr="000B2DB4">
        <w:rPr>
          <w:rFonts w:ascii="Arial" w:hAnsi="Arial" w:cs="Arial"/>
        </w:rPr>
        <w:t>.,</w:t>
      </w:r>
      <w:r w:rsidRPr="000B2DB4">
        <w:rPr>
          <w:rFonts w:ascii="Arial" w:hAnsi="Arial" w:cs="Arial"/>
        </w:rPr>
        <w:t xml:space="preserve"> Holdsworth</w:t>
      </w:r>
      <w:r w:rsidR="000B2DB4" w:rsidRPr="000B2DB4">
        <w:rPr>
          <w:rFonts w:ascii="Arial" w:hAnsi="Arial" w:cs="Arial"/>
        </w:rPr>
        <w:t>,</w:t>
      </w:r>
      <w:r w:rsidRPr="000B2DB4">
        <w:rPr>
          <w:rFonts w:ascii="Arial" w:hAnsi="Arial" w:cs="Arial"/>
        </w:rPr>
        <w:t xml:space="preserve"> C</w:t>
      </w:r>
      <w:r w:rsidR="000B2DB4" w:rsidRPr="000B2DB4">
        <w:rPr>
          <w:rFonts w:ascii="Arial" w:hAnsi="Arial" w:cs="Arial"/>
        </w:rPr>
        <w:t xml:space="preserve">. </w:t>
      </w:r>
      <w:r w:rsidRPr="000B2DB4">
        <w:rPr>
          <w:rFonts w:ascii="Arial" w:hAnsi="Arial" w:cs="Arial"/>
        </w:rPr>
        <w:t>T</w:t>
      </w:r>
      <w:r w:rsidR="000B2DB4" w:rsidRPr="000B2DB4">
        <w:rPr>
          <w:rFonts w:ascii="Arial" w:hAnsi="Arial" w:cs="Arial"/>
        </w:rPr>
        <w:t>.</w:t>
      </w:r>
      <w:r w:rsidRPr="000B2DB4">
        <w:rPr>
          <w:rFonts w:ascii="Arial" w:hAnsi="Arial" w:cs="Arial"/>
        </w:rPr>
        <w:t>, Wright</w:t>
      </w:r>
      <w:r w:rsidR="000B2DB4" w:rsidRPr="000B2DB4">
        <w:rPr>
          <w:rFonts w:ascii="Arial" w:hAnsi="Arial" w:cs="Arial"/>
        </w:rPr>
        <w:t>,</w:t>
      </w:r>
      <w:r w:rsidRPr="000B2DB4">
        <w:rPr>
          <w:rFonts w:ascii="Arial" w:hAnsi="Arial" w:cs="Arial"/>
        </w:rPr>
        <w:t xml:space="preserve"> J</w:t>
      </w:r>
      <w:r w:rsidR="000B2DB4" w:rsidRPr="000B2DB4">
        <w:rPr>
          <w:rFonts w:ascii="Arial" w:hAnsi="Arial" w:cs="Arial"/>
        </w:rPr>
        <w:t xml:space="preserve">. </w:t>
      </w:r>
      <w:r w:rsidRPr="000B2DB4">
        <w:rPr>
          <w:rFonts w:ascii="Arial" w:hAnsi="Arial" w:cs="Arial"/>
        </w:rPr>
        <w:t>L</w:t>
      </w:r>
      <w:r w:rsidR="000B2DB4" w:rsidRPr="000B2DB4">
        <w:rPr>
          <w:rFonts w:ascii="Arial" w:hAnsi="Arial" w:cs="Arial"/>
        </w:rPr>
        <w:t>.</w:t>
      </w:r>
      <w:r w:rsidRPr="000B2DB4">
        <w:rPr>
          <w:rFonts w:ascii="Arial" w:hAnsi="Arial" w:cs="Arial"/>
        </w:rPr>
        <w:t>, Fees</w:t>
      </w:r>
      <w:r w:rsidR="000B2DB4" w:rsidRPr="000B2DB4">
        <w:rPr>
          <w:rFonts w:ascii="Arial" w:hAnsi="Arial" w:cs="Arial"/>
        </w:rPr>
        <w:t>,</w:t>
      </w:r>
      <w:r w:rsidRPr="000B2DB4">
        <w:rPr>
          <w:rFonts w:ascii="Arial" w:hAnsi="Arial" w:cs="Arial"/>
        </w:rPr>
        <w:t xml:space="preserve"> A</w:t>
      </w:r>
      <w:r w:rsidR="000B2DB4" w:rsidRPr="000B2DB4">
        <w:rPr>
          <w:rFonts w:ascii="Arial" w:hAnsi="Arial" w:cs="Arial"/>
        </w:rPr>
        <w:t xml:space="preserve">. </w:t>
      </w:r>
      <w:r w:rsidRPr="000B2DB4">
        <w:rPr>
          <w:rFonts w:ascii="Arial" w:hAnsi="Arial" w:cs="Arial"/>
        </w:rPr>
        <w:t>J</w:t>
      </w:r>
      <w:r w:rsidR="000B2DB4" w:rsidRPr="000B2DB4">
        <w:rPr>
          <w:rFonts w:ascii="Arial" w:hAnsi="Arial" w:cs="Arial"/>
        </w:rPr>
        <w:t>.,</w:t>
      </w:r>
      <w:r w:rsidRPr="000B2DB4">
        <w:rPr>
          <w:rFonts w:ascii="Arial" w:hAnsi="Arial" w:cs="Arial"/>
        </w:rPr>
        <w:t xml:space="preserve"> Allen</w:t>
      </w:r>
      <w:r w:rsidR="000B2DB4" w:rsidRPr="000B2DB4">
        <w:rPr>
          <w:rFonts w:ascii="Arial" w:hAnsi="Arial" w:cs="Arial"/>
        </w:rPr>
        <w:t>,</w:t>
      </w:r>
      <w:r w:rsidRPr="000B2DB4">
        <w:rPr>
          <w:rFonts w:ascii="Arial" w:hAnsi="Arial" w:cs="Arial"/>
        </w:rPr>
        <w:t xml:space="preserve"> J</w:t>
      </w:r>
      <w:r w:rsidR="000B2DB4" w:rsidRPr="000B2DB4">
        <w:rPr>
          <w:rFonts w:ascii="Arial" w:hAnsi="Arial" w:cs="Arial"/>
        </w:rPr>
        <w:t xml:space="preserve">. </w:t>
      </w:r>
      <w:r w:rsidRPr="000B2DB4">
        <w:rPr>
          <w:rFonts w:ascii="Arial" w:hAnsi="Arial" w:cs="Arial"/>
        </w:rPr>
        <w:t>D</w:t>
      </w:r>
      <w:r w:rsidR="000B2DB4" w:rsidRPr="000B2DB4">
        <w:rPr>
          <w:rFonts w:ascii="Arial" w:hAnsi="Arial" w:cs="Arial"/>
        </w:rPr>
        <w:t>.,</w:t>
      </w:r>
      <w:r w:rsidRPr="000B2DB4">
        <w:rPr>
          <w:rFonts w:ascii="Arial" w:hAnsi="Arial" w:cs="Arial"/>
        </w:rPr>
        <w:t xml:space="preserve"> Jones</w:t>
      </w:r>
      <w:r w:rsidR="000B2DB4" w:rsidRPr="000B2DB4">
        <w:rPr>
          <w:rFonts w:ascii="Arial" w:hAnsi="Arial" w:cs="Arial"/>
        </w:rPr>
        <w:t>,</w:t>
      </w:r>
      <w:r w:rsidRPr="000B2DB4">
        <w:rPr>
          <w:rFonts w:ascii="Arial" w:hAnsi="Arial" w:cs="Arial"/>
        </w:rPr>
        <w:t xml:space="preserve"> A</w:t>
      </w:r>
      <w:r w:rsidR="000B2DB4" w:rsidRPr="000B2DB4">
        <w:rPr>
          <w:rFonts w:ascii="Arial" w:hAnsi="Arial" w:cs="Arial"/>
        </w:rPr>
        <w:t xml:space="preserve">. </w:t>
      </w:r>
      <w:r w:rsidRPr="000B2DB4">
        <w:rPr>
          <w:rFonts w:ascii="Arial" w:hAnsi="Arial" w:cs="Arial"/>
        </w:rPr>
        <w:t>M</w:t>
      </w:r>
      <w:r w:rsidR="000B2DB4" w:rsidRPr="000B2DB4">
        <w:rPr>
          <w:rFonts w:ascii="Arial" w:hAnsi="Arial" w:cs="Arial"/>
        </w:rPr>
        <w:t>.</w:t>
      </w:r>
      <w:r w:rsidRPr="000B2DB4">
        <w:rPr>
          <w:rFonts w:ascii="Arial" w:hAnsi="Arial" w:cs="Arial"/>
        </w:rPr>
        <w:t>, Musch</w:t>
      </w:r>
      <w:r w:rsidR="000B2DB4" w:rsidRPr="000B2DB4">
        <w:rPr>
          <w:rFonts w:ascii="Arial" w:hAnsi="Arial" w:cs="Arial"/>
        </w:rPr>
        <w:t xml:space="preserve">, </w:t>
      </w:r>
      <w:r w:rsidRPr="000B2DB4">
        <w:rPr>
          <w:rFonts w:ascii="Arial" w:hAnsi="Arial" w:cs="Arial"/>
        </w:rPr>
        <w:t xml:space="preserve"> T</w:t>
      </w:r>
      <w:r w:rsidR="000B2DB4" w:rsidRPr="000B2DB4">
        <w:rPr>
          <w:rFonts w:ascii="Arial" w:hAnsi="Arial" w:cs="Arial"/>
        </w:rPr>
        <w:t xml:space="preserve">. </w:t>
      </w:r>
      <w:r w:rsidRPr="000B2DB4">
        <w:rPr>
          <w:rFonts w:ascii="Arial" w:hAnsi="Arial" w:cs="Arial"/>
        </w:rPr>
        <w:t>I</w:t>
      </w:r>
      <w:r w:rsidR="000B2DB4" w:rsidRPr="000B2DB4">
        <w:rPr>
          <w:rFonts w:ascii="Arial" w:hAnsi="Arial" w:cs="Arial"/>
        </w:rPr>
        <w:t xml:space="preserve">., &amp; </w:t>
      </w:r>
      <w:r w:rsidRPr="000B2DB4">
        <w:rPr>
          <w:rFonts w:ascii="Arial" w:hAnsi="Arial" w:cs="Arial"/>
        </w:rPr>
        <w:t>Poole</w:t>
      </w:r>
      <w:r w:rsidR="000B2DB4" w:rsidRPr="000B2DB4">
        <w:rPr>
          <w:rFonts w:ascii="Arial" w:hAnsi="Arial" w:cs="Arial"/>
        </w:rPr>
        <w:t xml:space="preserve">, </w:t>
      </w:r>
      <w:r w:rsidRPr="000B2DB4">
        <w:rPr>
          <w:rFonts w:ascii="Arial" w:hAnsi="Arial" w:cs="Arial"/>
        </w:rPr>
        <w:t>D</w:t>
      </w:r>
      <w:r w:rsidR="000B2DB4" w:rsidRPr="000B2DB4">
        <w:rPr>
          <w:rFonts w:ascii="Arial" w:hAnsi="Arial" w:cs="Arial"/>
        </w:rPr>
        <w:t xml:space="preserve">. </w:t>
      </w:r>
      <w:r w:rsidRPr="000B2DB4">
        <w:rPr>
          <w:rFonts w:ascii="Arial" w:hAnsi="Arial" w:cs="Arial"/>
        </w:rPr>
        <w:t>C</w:t>
      </w:r>
      <w:r w:rsidR="000B2DB4" w:rsidRPr="000B2DB4">
        <w:rPr>
          <w:rFonts w:ascii="Arial" w:hAnsi="Arial" w:cs="Arial"/>
        </w:rPr>
        <w:t xml:space="preserve">. (2015). Microvascular oxygen pressures in muscles comprised of different fiber types: Impact of dietary nitrate supplementation. </w:t>
      </w:r>
      <w:r w:rsidR="000B2DB4" w:rsidRPr="000B2DB4">
        <w:rPr>
          <w:rFonts w:ascii="Arial" w:hAnsi="Arial" w:cs="Arial"/>
          <w:i/>
        </w:rPr>
        <w:t>Nitric Oxide, 48</w:t>
      </w:r>
      <w:r w:rsidR="000B2DB4" w:rsidRPr="000B2DB4">
        <w:rPr>
          <w:rFonts w:ascii="Arial" w:hAnsi="Arial" w:cs="Arial"/>
        </w:rPr>
        <w:t xml:space="preserve">, 38-43. </w:t>
      </w:r>
    </w:p>
    <w:p w14:paraId="56D388B7" w14:textId="05E80F58" w:rsidR="00825CB7" w:rsidRPr="000B2DB4" w:rsidRDefault="00825CB7" w:rsidP="000B2DB4">
      <w:pPr>
        <w:spacing w:after="0" w:line="480" w:lineRule="auto"/>
        <w:ind w:left="567" w:hanging="567"/>
        <w:jc w:val="both"/>
        <w:rPr>
          <w:rFonts w:ascii="Arial" w:hAnsi="Arial" w:cs="Arial"/>
        </w:rPr>
      </w:pPr>
      <w:r w:rsidRPr="00940AB8">
        <w:rPr>
          <w:rFonts w:ascii="Arial" w:hAnsi="Arial" w:cs="Arial"/>
        </w:rPr>
        <w:t xml:space="preserve">Hayward, G.M., Bailey, S.J., Vanhatalo, A., Blackwell, J.R., &amp; Jones, A.M. (2012). Influence of acute dietary nitrate supplementation on 50 mile time trial performance in well-trained cyclists. </w:t>
      </w:r>
      <w:r w:rsidRPr="00940AB8">
        <w:rPr>
          <w:rFonts w:ascii="Arial" w:hAnsi="Arial" w:cs="Arial"/>
          <w:i/>
        </w:rPr>
        <w:t>European Journal of Applied Physiology</w:t>
      </w:r>
      <w:r w:rsidRPr="00940AB8">
        <w:rPr>
          <w:rFonts w:ascii="Arial" w:hAnsi="Arial" w:cs="Arial"/>
        </w:rPr>
        <w:t>, 112, 4127–4134</w:t>
      </w:r>
      <w:r>
        <w:rPr>
          <w:rFonts w:ascii="Arial" w:hAnsi="Arial" w:cs="Arial"/>
        </w:rPr>
        <w:t>.</w:t>
      </w:r>
    </w:p>
    <w:p w14:paraId="105E274B" w14:textId="2C172E67" w:rsidR="005E185D" w:rsidRPr="00D50DB8" w:rsidRDefault="005E185D" w:rsidP="00D50DB8">
      <w:pPr>
        <w:spacing w:after="0" w:line="480" w:lineRule="auto"/>
        <w:ind w:left="567" w:hanging="567"/>
        <w:jc w:val="both"/>
        <w:rPr>
          <w:rFonts w:ascii="Arial" w:hAnsi="Arial" w:cs="Arial"/>
        </w:rPr>
      </w:pPr>
      <w:r w:rsidRPr="00D50DB8">
        <w:rPr>
          <w:rFonts w:ascii="Arial" w:hAnsi="Arial" w:cs="Arial"/>
        </w:rPr>
        <w:t>J</w:t>
      </w:r>
      <w:r w:rsidR="00A43387" w:rsidRPr="00D50DB8">
        <w:rPr>
          <w:rFonts w:ascii="Arial" w:hAnsi="Arial" w:cs="Arial"/>
        </w:rPr>
        <w:t>ones</w:t>
      </w:r>
      <w:r w:rsidR="007442C5" w:rsidRPr="00D50DB8">
        <w:rPr>
          <w:rFonts w:ascii="Arial" w:hAnsi="Arial" w:cs="Arial"/>
        </w:rPr>
        <w:t>, A.</w:t>
      </w:r>
      <w:r w:rsidR="000B2DB4">
        <w:rPr>
          <w:rFonts w:ascii="Arial" w:hAnsi="Arial" w:cs="Arial"/>
        </w:rPr>
        <w:t xml:space="preserve"> </w:t>
      </w:r>
      <w:r w:rsidR="007442C5" w:rsidRPr="00D50DB8">
        <w:rPr>
          <w:rFonts w:ascii="Arial" w:hAnsi="Arial" w:cs="Arial"/>
        </w:rPr>
        <w:t>M. (</w:t>
      </w:r>
      <w:r w:rsidRPr="00D50DB8">
        <w:rPr>
          <w:rFonts w:ascii="Arial" w:hAnsi="Arial" w:cs="Arial"/>
        </w:rPr>
        <w:t>2014</w:t>
      </w:r>
      <w:r w:rsidR="007442C5" w:rsidRPr="00D50DB8">
        <w:rPr>
          <w:rFonts w:ascii="Arial" w:hAnsi="Arial" w:cs="Arial"/>
        </w:rPr>
        <w:t>)</w:t>
      </w:r>
      <w:r w:rsidRPr="00D50DB8">
        <w:rPr>
          <w:rFonts w:ascii="Arial" w:hAnsi="Arial" w:cs="Arial"/>
        </w:rPr>
        <w:t>. Dietary nitrate supplementation and exercise performance.</w:t>
      </w:r>
      <w:r w:rsidR="007442C5" w:rsidRPr="00D50DB8">
        <w:rPr>
          <w:rFonts w:ascii="Arial" w:hAnsi="Arial" w:cs="Arial"/>
        </w:rPr>
        <w:t xml:space="preserve"> </w:t>
      </w:r>
      <w:r w:rsidRPr="00D50DB8">
        <w:rPr>
          <w:rFonts w:ascii="Arial" w:hAnsi="Arial" w:cs="Arial"/>
          <w:i/>
          <w:iCs/>
        </w:rPr>
        <w:t>Sports Medicine</w:t>
      </w:r>
      <w:r w:rsidR="00A43387" w:rsidRPr="00D50DB8">
        <w:rPr>
          <w:rFonts w:ascii="Arial" w:hAnsi="Arial" w:cs="Arial"/>
        </w:rPr>
        <w:t xml:space="preserve">, </w:t>
      </w:r>
      <w:r w:rsidRPr="00D50DB8">
        <w:rPr>
          <w:rFonts w:ascii="Arial" w:hAnsi="Arial" w:cs="Arial"/>
          <w:i/>
          <w:iCs/>
        </w:rPr>
        <w:t>44</w:t>
      </w:r>
      <w:r w:rsidR="007442C5" w:rsidRPr="00D50DB8">
        <w:rPr>
          <w:rFonts w:ascii="Arial" w:hAnsi="Arial" w:cs="Arial"/>
        </w:rPr>
        <w:t xml:space="preserve">, </w:t>
      </w:r>
      <w:r w:rsidRPr="00D50DB8">
        <w:rPr>
          <w:rFonts w:ascii="Arial" w:hAnsi="Arial" w:cs="Arial"/>
        </w:rPr>
        <w:t>35-45.</w:t>
      </w:r>
    </w:p>
    <w:p w14:paraId="18A1A8B3" w14:textId="5A2A9580" w:rsidR="00065379" w:rsidRPr="000B2DB4" w:rsidRDefault="00065379" w:rsidP="00D50DB8">
      <w:pPr>
        <w:spacing w:after="0" w:line="480" w:lineRule="auto"/>
        <w:ind w:left="567" w:hanging="567"/>
        <w:jc w:val="both"/>
        <w:rPr>
          <w:rFonts w:ascii="Arial" w:hAnsi="Arial" w:cs="Arial"/>
        </w:rPr>
      </w:pPr>
      <w:r w:rsidRPr="00D50DB8">
        <w:rPr>
          <w:rFonts w:ascii="Arial" w:hAnsi="Arial" w:cs="Arial"/>
        </w:rPr>
        <w:t xml:space="preserve">Jones, H.S., Williams, E.L., Marchant, D., Sparks, S.A., Midgley, A.W., Bridge, C.A., </w:t>
      </w:r>
      <w:r w:rsidR="000B2DB4">
        <w:rPr>
          <w:rFonts w:ascii="Arial" w:hAnsi="Arial" w:cs="Arial"/>
        </w:rPr>
        <w:t xml:space="preserve">&amp; </w:t>
      </w:r>
      <w:r w:rsidRPr="00D50DB8">
        <w:rPr>
          <w:rFonts w:ascii="Arial" w:hAnsi="Arial" w:cs="Arial"/>
        </w:rPr>
        <w:t xml:space="preserve">McNaughton, L. (2015). Distance-dependent association of affect with pacing strategy </w:t>
      </w:r>
      <w:r w:rsidRPr="000B2DB4">
        <w:rPr>
          <w:rFonts w:ascii="Arial" w:hAnsi="Arial" w:cs="Arial"/>
        </w:rPr>
        <w:t xml:space="preserve">in cycling time trials. </w:t>
      </w:r>
      <w:r w:rsidRPr="000B2DB4">
        <w:rPr>
          <w:rFonts w:ascii="Arial" w:hAnsi="Arial" w:cs="Arial"/>
          <w:i/>
        </w:rPr>
        <w:t>Medicine and Science in Sports and Exercise, 47</w:t>
      </w:r>
      <w:r w:rsidR="000B2DB4" w:rsidRPr="000B2DB4">
        <w:rPr>
          <w:rFonts w:ascii="Arial" w:hAnsi="Arial" w:cs="Arial"/>
        </w:rPr>
        <w:t xml:space="preserve">, </w:t>
      </w:r>
      <w:r w:rsidRPr="000B2DB4">
        <w:rPr>
          <w:rFonts w:ascii="Arial" w:hAnsi="Arial" w:cs="Arial"/>
        </w:rPr>
        <w:t>825-32.</w:t>
      </w:r>
    </w:p>
    <w:p w14:paraId="3A880FED" w14:textId="5BBC5A43" w:rsidR="000B2DB4" w:rsidRPr="00940AB8" w:rsidRDefault="000B70B9" w:rsidP="000B2DB4">
      <w:pPr>
        <w:spacing w:after="0" w:line="480" w:lineRule="auto"/>
        <w:ind w:left="567" w:hanging="567"/>
        <w:jc w:val="both"/>
        <w:rPr>
          <w:rFonts w:ascii="Arial" w:hAnsi="Arial" w:cs="Arial"/>
        </w:rPr>
      </w:pPr>
      <w:r w:rsidRPr="00940AB8">
        <w:rPr>
          <w:rFonts w:ascii="Arial" w:hAnsi="Arial" w:cs="Arial"/>
        </w:rPr>
        <w:t>Kelly</w:t>
      </w:r>
      <w:r w:rsidR="000B2DB4" w:rsidRPr="00940AB8">
        <w:rPr>
          <w:rFonts w:ascii="Arial" w:hAnsi="Arial" w:cs="Arial"/>
        </w:rPr>
        <w:t>,</w:t>
      </w:r>
      <w:r w:rsidRPr="00940AB8">
        <w:rPr>
          <w:rFonts w:ascii="Arial" w:hAnsi="Arial" w:cs="Arial"/>
        </w:rPr>
        <w:t xml:space="preserve"> J</w:t>
      </w:r>
      <w:r w:rsidR="000B2DB4" w:rsidRPr="00940AB8">
        <w:rPr>
          <w:rFonts w:ascii="Arial" w:hAnsi="Arial" w:cs="Arial"/>
        </w:rPr>
        <w:t>.</w:t>
      </w:r>
      <w:r w:rsidRPr="00940AB8">
        <w:rPr>
          <w:rFonts w:ascii="Arial" w:hAnsi="Arial" w:cs="Arial"/>
        </w:rPr>
        <w:t>, Vanhatalo</w:t>
      </w:r>
      <w:r w:rsidR="000B2DB4" w:rsidRPr="00940AB8">
        <w:rPr>
          <w:rFonts w:ascii="Arial" w:hAnsi="Arial" w:cs="Arial"/>
        </w:rPr>
        <w:t xml:space="preserve">, </w:t>
      </w:r>
      <w:r w:rsidRPr="00940AB8">
        <w:rPr>
          <w:rFonts w:ascii="Arial" w:hAnsi="Arial" w:cs="Arial"/>
        </w:rPr>
        <w:t>A</w:t>
      </w:r>
      <w:r w:rsidR="000B2DB4" w:rsidRPr="00940AB8">
        <w:rPr>
          <w:rFonts w:ascii="Arial" w:hAnsi="Arial" w:cs="Arial"/>
        </w:rPr>
        <w:t xml:space="preserve">., </w:t>
      </w:r>
      <w:r w:rsidRPr="00940AB8">
        <w:rPr>
          <w:rFonts w:ascii="Arial" w:hAnsi="Arial" w:cs="Arial"/>
        </w:rPr>
        <w:t>Bailey</w:t>
      </w:r>
      <w:r w:rsidR="000B2DB4" w:rsidRPr="00940AB8">
        <w:rPr>
          <w:rFonts w:ascii="Arial" w:hAnsi="Arial" w:cs="Arial"/>
        </w:rPr>
        <w:t>,</w:t>
      </w:r>
      <w:r w:rsidRPr="00940AB8">
        <w:rPr>
          <w:rFonts w:ascii="Arial" w:hAnsi="Arial" w:cs="Arial"/>
        </w:rPr>
        <w:t xml:space="preserve"> S</w:t>
      </w:r>
      <w:r w:rsidR="000B2DB4" w:rsidRPr="00940AB8">
        <w:rPr>
          <w:rFonts w:ascii="Arial" w:hAnsi="Arial" w:cs="Arial"/>
        </w:rPr>
        <w:t xml:space="preserve">. </w:t>
      </w:r>
      <w:r w:rsidRPr="00940AB8">
        <w:rPr>
          <w:rFonts w:ascii="Arial" w:hAnsi="Arial" w:cs="Arial"/>
        </w:rPr>
        <w:t>J</w:t>
      </w:r>
      <w:r w:rsidR="000B2DB4" w:rsidRPr="00940AB8">
        <w:rPr>
          <w:rFonts w:ascii="Arial" w:hAnsi="Arial" w:cs="Arial"/>
        </w:rPr>
        <w:t xml:space="preserve">., </w:t>
      </w:r>
      <w:r w:rsidRPr="00940AB8">
        <w:rPr>
          <w:rFonts w:ascii="Arial" w:hAnsi="Arial" w:cs="Arial"/>
        </w:rPr>
        <w:t>Wylie</w:t>
      </w:r>
      <w:r w:rsidR="000B2DB4" w:rsidRPr="00940AB8">
        <w:rPr>
          <w:rFonts w:ascii="Arial" w:hAnsi="Arial" w:cs="Arial"/>
        </w:rPr>
        <w:t>,</w:t>
      </w:r>
      <w:r w:rsidRPr="00940AB8">
        <w:rPr>
          <w:rFonts w:ascii="Arial" w:hAnsi="Arial" w:cs="Arial"/>
        </w:rPr>
        <w:t xml:space="preserve"> L</w:t>
      </w:r>
      <w:r w:rsidR="000B2DB4" w:rsidRPr="00940AB8">
        <w:rPr>
          <w:rFonts w:ascii="Arial" w:hAnsi="Arial" w:cs="Arial"/>
        </w:rPr>
        <w:t xml:space="preserve">. </w:t>
      </w:r>
      <w:r w:rsidRPr="00940AB8">
        <w:rPr>
          <w:rFonts w:ascii="Arial" w:hAnsi="Arial" w:cs="Arial"/>
        </w:rPr>
        <w:t>J</w:t>
      </w:r>
      <w:r w:rsidR="000B2DB4" w:rsidRPr="00940AB8">
        <w:rPr>
          <w:rFonts w:ascii="Arial" w:hAnsi="Arial" w:cs="Arial"/>
        </w:rPr>
        <w:t>.</w:t>
      </w:r>
      <w:r w:rsidRPr="00940AB8">
        <w:rPr>
          <w:rFonts w:ascii="Arial" w:hAnsi="Arial" w:cs="Arial"/>
        </w:rPr>
        <w:t>, Tucker</w:t>
      </w:r>
      <w:r w:rsidR="000B2DB4" w:rsidRPr="00940AB8">
        <w:rPr>
          <w:rFonts w:ascii="Arial" w:hAnsi="Arial" w:cs="Arial"/>
        </w:rPr>
        <w:t>,</w:t>
      </w:r>
      <w:r w:rsidRPr="00940AB8">
        <w:rPr>
          <w:rFonts w:ascii="Arial" w:hAnsi="Arial" w:cs="Arial"/>
        </w:rPr>
        <w:t xml:space="preserve"> C</w:t>
      </w:r>
      <w:r w:rsidR="000B2DB4" w:rsidRPr="00940AB8">
        <w:rPr>
          <w:rFonts w:ascii="Arial" w:hAnsi="Arial" w:cs="Arial"/>
        </w:rPr>
        <w:t>.</w:t>
      </w:r>
      <w:r w:rsidRPr="00940AB8">
        <w:rPr>
          <w:rFonts w:ascii="Arial" w:hAnsi="Arial" w:cs="Arial"/>
        </w:rPr>
        <w:t>, List</w:t>
      </w:r>
      <w:r w:rsidR="000B2DB4" w:rsidRPr="00940AB8">
        <w:rPr>
          <w:rFonts w:ascii="Arial" w:hAnsi="Arial" w:cs="Arial"/>
        </w:rPr>
        <w:t>,</w:t>
      </w:r>
      <w:r w:rsidRPr="00940AB8">
        <w:rPr>
          <w:rFonts w:ascii="Arial" w:hAnsi="Arial" w:cs="Arial"/>
        </w:rPr>
        <w:t xml:space="preserve"> S</w:t>
      </w:r>
      <w:r w:rsidR="000B2DB4" w:rsidRPr="00940AB8">
        <w:rPr>
          <w:rFonts w:ascii="Arial" w:hAnsi="Arial" w:cs="Arial"/>
        </w:rPr>
        <w:t>.</w:t>
      </w:r>
      <w:r w:rsidRPr="00940AB8">
        <w:rPr>
          <w:rFonts w:ascii="Arial" w:hAnsi="Arial" w:cs="Arial"/>
        </w:rPr>
        <w:t>, Winyard</w:t>
      </w:r>
      <w:r w:rsidR="000B2DB4" w:rsidRPr="00940AB8">
        <w:rPr>
          <w:rFonts w:ascii="Arial" w:hAnsi="Arial" w:cs="Arial"/>
        </w:rPr>
        <w:t>,</w:t>
      </w:r>
      <w:r w:rsidRPr="00940AB8">
        <w:rPr>
          <w:rFonts w:ascii="Arial" w:hAnsi="Arial" w:cs="Arial"/>
        </w:rPr>
        <w:t xml:space="preserve"> P</w:t>
      </w:r>
      <w:r w:rsidR="000B2DB4" w:rsidRPr="00940AB8">
        <w:rPr>
          <w:rFonts w:ascii="Arial" w:hAnsi="Arial" w:cs="Arial"/>
        </w:rPr>
        <w:t xml:space="preserve">. </w:t>
      </w:r>
      <w:r w:rsidRPr="00940AB8">
        <w:rPr>
          <w:rFonts w:ascii="Arial" w:hAnsi="Arial" w:cs="Arial"/>
        </w:rPr>
        <w:t>G</w:t>
      </w:r>
      <w:r w:rsidR="000B2DB4" w:rsidRPr="00940AB8">
        <w:rPr>
          <w:rFonts w:ascii="Arial" w:hAnsi="Arial" w:cs="Arial"/>
        </w:rPr>
        <w:t>.</w:t>
      </w:r>
      <w:r w:rsidRPr="00940AB8">
        <w:rPr>
          <w:rFonts w:ascii="Arial" w:hAnsi="Arial" w:cs="Arial"/>
        </w:rPr>
        <w:t>,</w:t>
      </w:r>
      <w:r w:rsidR="000B2DB4" w:rsidRPr="00940AB8">
        <w:rPr>
          <w:rFonts w:ascii="Arial" w:hAnsi="Arial" w:cs="Arial"/>
        </w:rPr>
        <w:t xml:space="preserve"> &amp;</w:t>
      </w:r>
      <w:r w:rsidRPr="00940AB8">
        <w:rPr>
          <w:rFonts w:ascii="Arial" w:hAnsi="Arial" w:cs="Arial"/>
        </w:rPr>
        <w:t xml:space="preserve"> Jones A</w:t>
      </w:r>
      <w:r w:rsidR="000B2DB4" w:rsidRPr="00940AB8">
        <w:rPr>
          <w:rFonts w:ascii="Arial" w:hAnsi="Arial" w:cs="Arial"/>
        </w:rPr>
        <w:t xml:space="preserve">. </w:t>
      </w:r>
      <w:r w:rsidRPr="00940AB8">
        <w:rPr>
          <w:rFonts w:ascii="Arial" w:hAnsi="Arial" w:cs="Arial"/>
        </w:rPr>
        <w:t>M.</w:t>
      </w:r>
      <w:r w:rsidR="000B2DB4" w:rsidRPr="00940AB8">
        <w:rPr>
          <w:rFonts w:ascii="Arial" w:hAnsi="Arial" w:cs="Arial"/>
        </w:rPr>
        <w:t xml:space="preserve"> (2014). Dietary nitrate supplementation: effects on plasma nitrite and pulmonary O2 uptake dynamics during exercise in hypoxia and normoxia. </w:t>
      </w:r>
      <w:r w:rsidR="000B2DB4" w:rsidRPr="00940AB8">
        <w:rPr>
          <w:rFonts w:ascii="Arial" w:hAnsi="Arial" w:cs="Arial"/>
          <w:i/>
        </w:rPr>
        <w:t>American Journal of Physiol</w:t>
      </w:r>
      <w:r w:rsidR="00412515" w:rsidRPr="00940AB8">
        <w:rPr>
          <w:rFonts w:ascii="Arial" w:hAnsi="Arial" w:cs="Arial"/>
          <w:i/>
        </w:rPr>
        <w:t xml:space="preserve">ogy, </w:t>
      </w:r>
      <w:r w:rsidR="000B2DB4" w:rsidRPr="00940AB8">
        <w:rPr>
          <w:rFonts w:ascii="Arial" w:hAnsi="Arial" w:cs="Arial"/>
          <w:i/>
        </w:rPr>
        <w:t>Regulat</w:t>
      </w:r>
      <w:r w:rsidR="00412515" w:rsidRPr="00940AB8">
        <w:rPr>
          <w:rFonts w:ascii="Arial" w:hAnsi="Arial" w:cs="Arial"/>
          <w:i/>
        </w:rPr>
        <w:t>ory</w:t>
      </w:r>
      <w:r w:rsidR="000B2DB4" w:rsidRPr="00940AB8">
        <w:rPr>
          <w:rFonts w:ascii="Arial" w:hAnsi="Arial" w:cs="Arial"/>
          <w:i/>
        </w:rPr>
        <w:t xml:space="preserve"> Integrati</w:t>
      </w:r>
      <w:r w:rsidR="00412515" w:rsidRPr="00940AB8">
        <w:rPr>
          <w:rFonts w:ascii="Arial" w:hAnsi="Arial" w:cs="Arial"/>
          <w:i/>
        </w:rPr>
        <w:t xml:space="preserve">ve and </w:t>
      </w:r>
      <w:r w:rsidR="000B2DB4" w:rsidRPr="00940AB8">
        <w:rPr>
          <w:rFonts w:ascii="Arial" w:hAnsi="Arial" w:cs="Arial"/>
          <w:i/>
        </w:rPr>
        <w:t>Comp</w:t>
      </w:r>
      <w:r w:rsidR="00412515" w:rsidRPr="00940AB8">
        <w:rPr>
          <w:rFonts w:ascii="Arial" w:hAnsi="Arial" w:cs="Arial"/>
          <w:i/>
        </w:rPr>
        <w:t>arative</w:t>
      </w:r>
      <w:r w:rsidR="000B2DB4" w:rsidRPr="00940AB8">
        <w:rPr>
          <w:rFonts w:ascii="Arial" w:hAnsi="Arial" w:cs="Arial"/>
          <w:i/>
        </w:rPr>
        <w:t xml:space="preserve"> Physiol</w:t>
      </w:r>
      <w:r w:rsidR="00412515" w:rsidRPr="00940AB8">
        <w:rPr>
          <w:rFonts w:ascii="Arial" w:hAnsi="Arial" w:cs="Arial"/>
          <w:i/>
        </w:rPr>
        <w:t>ogy</w:t>
      </w:r>
      <w:r w:rsidR="000B2DB4" w:rsidRPr="00940AB8">
        <w:rPr>
          <w:rFonts w:ascii="Arial" w:hAnsi="Arial" w:cs="Arial"/>
          <w:i/>
        </w:rPr>
        <w:t>, 307</w:t>
      </w:r>
      <w:r w:rsidR="000B2DB4" w:rsidRPr="00940AB8">
        <w:rPr>
          <w:rFonts w:ascii="Arial" w:hAnsi="Arial" w:cs="Arial"/>
        </w:rPr>
        <w:t>, R920-30.</w:t>
      </w:r>
    </w:p>
    <w:p w14:paraId="0716228B" w14:textId="225BF325" w:rsidR="005E185D" w:rsidRPr="00940AB8" w:rsidRDefault="00A43387" w:rsidP="00D50DB8">
      <w:pPr>
        <w:spacing w:after="0" w:line="480" w:lineRule="auto"/>
        <w:ind w:left="567" w:hanging="567"/>
        <w:jc w:val="both"/>
        <w:rPr>
          <w:rFonts w:ascii="Arial" w:hAnsi="Arial" w:cs="Arial"/>
        </w:rPr>
      </w:pPr>
      <w:r w:rsidRPr="00940AB8">
        <w:rPr>
          <w:rFonts w:ascii="Arial" w:hAnsi="Arial" w:cs="Arial"/>
        </w:rPr>
        <w:t>Kelm, M., &amp;</w:t>
      </w:r>
      <w:r w:rsidR="005E185D" w:rsidRPr="00940AB8">
        <w:rPr>
          <w:rFonts w:ascii="Arial" w:hAnsi="Arial" w:cs="Arial"/>
        </w:rPr>
        <w:t xml:space="preserve"> S</w:t>
      </w:r>
      <w:r w:rsidRPr="00940AB8">
        <w:rPr>
          <w:rFonts w:ascii="Arial" w:hAnsi="Arial" w:cs="Arial"/>
        </w:rPr>
        <w:t>chrader</w:t>
      </w:r>
      <w:r w:rsidR="007442C5" w:rsidRPr="00940AB8">
        <w:rPr>
          <w:rFonts w:ascii="Arial" w:hAnsi="Arial" w:cs="Arial"/>
        </w:rPr>
        <w:t>, J.</w:t>
      </w:r>
      <w:r w:rsidR="005E185D" w:rsidRPr="00940AB8">
        <w:rPr>
          <w:rFonts w:ascii="Arial" w:hAnsi="Arial" w:cs="Arial"/>
        </w:rPr>
        <w:t xml:space="preserve"> </w:t>
      </w:r>
      <w:r w:rsidR="007442C5" w:rsidRPr="00940AB8">
        <w:rPr>
          <w:rFonts w:ascii="Arial" w:hAnsi="Arial" w:cs="Arial"/>
        </w:rPr>
        <w:t>(</w:t>
      </w:r>
      <w:r w:rsidR="005E185D" w:rsidRPr="00940AB8">
        <w:rPr>
          <w:rFonts w:ascii="Arial" w:hAnsi="Arial" w:cs="Arial"/>
        </w:rPr>
        <w:t>1990</w:t>
      </w:r>
      <w:r w:rsidR="007442C5" w:rsidRPr="00940AB8">
        <w:rPr>
          <w:rFonts w:ascii="Arial" w:hAnsi="Arial" w:cs="Arial"/>
        </w:rPr>
        <w:t>)</w:t>
      </w:r>
      <w:r w:rsidR="005E185D" w:rsidRPr="00940AB8">
        <w:rPr>
          <w:rFonts w:ascii="Arial" w:hAnsi="Arial" w:cs="Arial"/>
        </w:rPr>
        <w:t xml:space="preserve">. Control of coronary vascular tone by nitric oxide. </w:t>
      </w:r>
      <w:r w:rsidR="005E185D" w:rsidRPr="00940AB8">
        <w:rPr>
          <w:rFonts w:ascii="Arial" w:hAnsi="Arial" w:cs="Arial"/>
          <w:i/>
        </w:rPr>
        <w:t>Circulation Research</w:t>
      </w:r>
      <w:r w:rsidR="007442C5" w:rsidRPr="00940AB8">
        <w:rPr>
          <w:rFonts w:ascii="Arial" w:hAnsi="Arial" w:cs="Arial"/>
        </w:rPr>
        <w:t>, 66,</w:t>
      </w:r>
      <w:r w:rsidR="002A7283" w:rsidRPr="00940AB8">
        <w:rPr>
          <w:rFonts w:ascii="Arial" w:hAnsi="Arial" w:cs="Arial"/>
        </w:rPr>
        <w:t xml:space="preserve"> </w:t>
      </w:r>
      <w:r w:rsidR="005E185D" w:rsidRPr="00940AB8">
        <w:rPr>
          <w:rFonts w:ascii="Arial" w:hAnsi="Arial" w:cs="Arial"/>
        </w:rPr>
        <w:t>1561- 1575</w:t>
      </w:r>
    </w:p>
    <w:p w14:paraId="70DFD0AA" w14:textId="3CBE67DF" w:rsidR="005E185D" w:rsidRPr="00940AB8" w:rsidRDefault="00A43387" w:rsidP="00412515">
      <w:pPr>
        <w:pStyle w:val="NoSpacing"/>
        <w:spacing w:line="480" w:lineRule="auto"/>
        <w:ind w:left="567" w:hanging="567"/>
        <w:rPr>
          <w:rFonts w:cs="Arial"/>
          <w:sz w:val="22"/>
        </w:rPr>
      </w:pPr>
      <w:r w:rsidRPr="00940AB8">
        <w:rPr>
          <w:rFonts w:cs="Arial"/>
          <w:sz w:val="22"/>
          <w:shd w:val="clear" w:color="auto" w:fill="FFFFFF"/>
        </w:rPr>
        <w:t>Lane, S.C., Hawley, J.A., Desbrow, B., Jones, A.M., Blackwell, J.R., Ross, M.L., Zemski, A.J. &amp;</w:t>
      </w:r>
      <w:r w:rsidR="007442C5" w:rsidRPr="00940AB8">
        <w:rPr>
          <w:rFonts w:cs="Arial"/>
          <w:sz w:val="22"/>
          <w:shd w:val="clear" w:color="auto" w:fill="FFFFFF"/>
        </w:rPr>
        <w:t xml:space="preserve"> Burke, L.M.</w:t>
      </w:r>
      <w:r w:rsidRPr="00940AB8">
        <w:rPr>
          <w:rFonts w:cs="Arial"/>
          <w:sz w:val="22"/>
          <w:shd w:val="clear" w:color="auto" w:fill="FFFFFF"/>
        </w:rPr>
        <w:t xml:space="preserve"> </w:t>
      </w:r>
      <w:r w:rsidR="007442C5" w:rsidRPr="00940AB8">
        <w:rPr>
          <w:rFonts w:cs="Arial"/>
          <w:sz w:val="22"/>
          <w:shd w:val="clear" w:color="auto" w:fill="FFFFFF"/>
        </w:rPr>
        <w:t>(</w:t>
      </w:r>
      <w:r w:rsidR="005E185D" w:rsidRPr="00940AB8">
        <w:rPr>
          <w:rFonts w:cs="Arial"/>
          <w:sz w:val="22"/>
          <w:shd w:val="clear" w:color="auto" w:fill="FFFFFF"/>
        </w:rPr>
        <w:t>2013</w:t>
      </w:r>
      <w:r w:rsidR="007442C5" w:rsidRPr="00940AB8">
        <w:rPr>
          <w:rFonts w:cs="Arial"/>
          <w:sz w:val="22"/>
          <w:shd w:val="clear" w:color="auto" w:fill="FFFFFF"/>
        </w:rPr>
        <w:t>)</w:t>
      </w:r>
      <w:r w:rsidR="005E185D" w:rsidRPr="00940AB8">
        <w:rPr>
          <w:rFonts w:cs="Arial"/>
          <w:sz w:val="22"/>
          <w:shd w:val="clear" w:color="auto" w:fill="FFFFFF"/>
        </w:rPr>
        <w:t>. Single and combined effects of beetroot juice and caffeine supplementation on cycling time trial performance 1. </w:t>
      </w:r>
      <w:r w:rsidR="005E185D" w:rsidRPr="00940AB8">
        <w:rPr>
          <w:rFonts w:cs="Arial"/>
          <w:i/>
          <w:iCs/>
          <w:sz w:val="22"/>
          <w:shd w:val="clear" w:color="auto" w:fill="FFFFFF"/>
        </w:rPr>
        <w:t>Applied Physiology, Nutrition, and Metabolism</w:t>
      </w:r>
      <w:r w:rsidR="007442C5" w:rsidRPr="00940AB8">
        <w:rPr>
          <w:rFonts w:cs="Arial"/>
          <w:sz w:val="22"/>
          <w:shd w:val="clear" w:color="auto" w:fill="FFFFFF"/>
        </w:rPr>
        <w:t xml:space="preserve">, </w:t>
      </w:r>
      <w:r w:rsidR="005E185D" w:rsidRPr="00940AB8">
        <w:rPr>
          <w:rFonts w:cs="Arial"/>
          <w:i/>
          <w:iCs/>
          <w:sz w:val="22"/>
          <w:shd w:val="clear" w:color="auto" w:fill="FFFFFF"/>
        </w:rPr>
        <w:t>39</w:t>
      </w:r>
      <w:r w:rsidR="007442C5" w:rsidRPr="00940AB8">
        <w:rPr>
          <w:rFonts w:cs="Arial"/>
          <w:sz w:val="22"/>
          <w:shd w:val="clear" w:color="auto" w:fill="FFFFFF"/>
        </w:rPr>
        <w:t xml:space="preserve">, </w:t>
      </w:r>
      <w:r w:rsidR="005E185D" w:rsidRPr="00940AB8">
        <w:rPr>
          <w:rFonts w:cs="Arial"/>
          <w:sz w:val="22"/>
          <w:shd w:val="clear" w:color="auto" w:fill="FFFFFF"/>
        </w:rPr>
        <w:t>1050-1057.</w:t>
      </w:r>
    </w:p>
    <w:p w14:paraId="5554EE50" w14:textId="649F1966" w:rsidR="005E185D" w:rsidRPr="00940AB8" w:rsidRDefault="00A43387" w:rsidP="00412515">
      <w:pPr>
        <w:pStyle w:val="NoSpacing"/>
        <w:spacing w:line="480" w:lineRule="auto"/>
        <w:ind w:left="567" w:hanging="567"/>
        <w:rPr>
          <w:rFonts w:cs="Arial"/>
          <w:sz w:val="22"/>
        </w:rPr>
      </w:pPr>
      <w:r w:rsidRPr="00940AB8">
        <w:rPr>
          <w:rFonts w:cs="Arial"/>
          <w:sz w:val="22"/>
        </w:rPr>
        <w:t xml:space="preserve">Lansley, K.E., Winyard, P.G., Bailey, S.J., Vanhatalo, A., Wilkerson, D.P., Blackwell, J.R., Gilchrist, M., Benjamin, N. &amp; Jones, A.M. </w:t>
      </w:r>
      <w:r w:rsidR="007442C5" w:rsidRPr="00940AB8">
        <w:rPr>
          <w:rFonts w:cs="Arial"/>
          <w:sz w:val="22"/>
        </w:rPr>
        <w:t>(</w:t>
      </w:r>
      <w:r w:rsidR="005E185D" w:rsidRPr="00940AB8">
        <w:rPr>
          <w:rFonts w:cs="Arial"/>
          <w:sz w:val="22"/>
        </w:rPr>
        <w:t>2011</w:t>
      </w:r>
      <w:r w:rsidR="007442C5" w:rsidRPr="00940AB8">
        <w:rPr>
          <w:rFonts w:cs="Arial"/>
          <w:sz w:val="22"/>
        </w:rPr>
        <w:t>)</w:t>
      </w:r>
      <w:r w:rsidR="005E185D" w:rsidRPr="00940AB8">
        <w:rPr>
          <w:rFonts w:cs="Arial"/>
          <w:sz w:val="22"/>
        </w:rPr>
        <w:t>. Acute dietary nitrate supplementation improves cycling time trial performan</w:t>
      </w:r>
      <w:r w:rsidRPr="00940AB8">
        <w:rPr>
          <w:rFonts w:cs="Arial"/>
          <w:sz w:val="22"/>
        </w:rPr>
        <w:t xml:space="preserve">ce. </w:t>
      </w:r>
      <w:r w:rsidR="005E185D" w:rsidRPr="00940AB8">
        <w:rPr>
          <w:rFonts w:cs="Arial"/>
          <w:i/>
          <w:iCs/>
          <w:sz w:val="22"/>
        </w:rPr>
        <w:t>Medicine and Science in Sports and Exercise</w:t>
      </w:r>
      <w:r w:rsidR="005E185D" w:rsidRPr="00940AB8">
        <w:rPr>
          <w:rFonts w:cs="Arial"/>
          <w:sz w:val="22"/>
        </w:rPr>
        <w:t xml:space="preserve">, </w:t>
      </w:r>
      <w:r w:rsidR="005E185D" w:rsidRPr="00940AB8">
        <w:rPr>
          <w:rFonts w:cs="Arial"/>
          <w:i/>
          <w:iCs/>
          <w:sz w:val="22"/>
        </w:rPr>
        <w:t>43</w:t>
      </w:r>
      <w:r w:rsidR="007442C5" w:rsidRPr="00940AB8">
        <w:rPr>
          <w:rFonts w:cs="Arial"/>
          <w:sz w:val="22"/>
        </w:rPr>
        <w:t xml:space="preserve">, </w:t>
      </w:r>
      <w:r w:rsidR="005E185D" w:rsidRPr="00940AB8">
        <w:rPr>
          <w:rFonts w:cs="Arial"/>
          <w:sz w:val="22"/>
        </w:rPr>
        <w:t>1125-1131.</w:t>
      </w:r>
    </w:p>
    <w:p w14:paraId="17A2F2EF" w14:textId="77777777" w:rsidR="00412515" w:rsidRPr="00940AB8" w:rsidRDefault="004B2698" w:rsidP="00412515">
      <w:pPr>
        <w:pStyle w:val="NoSpacing"/>
        <w:spacing w:line="480" w:lineRule="auto"/>
        <w:ind w:left="567" w:hanging="567"/>
        <w:rPr>
          <w:rFonts w:cs="Arial"/>
          <w:color w:val="000000"/>
          <w:sz w:val="22"/>
        </w:rPr>
      </w:pPr>
      <w:r w:rsidRPr="00940AB8">
        <w:rPr>
          <w:rFonts w:cs="Arial"/>
          <w:color w:val="000000"/>
          <w:sz w:val="22"/>
        </w:rPr>
        <w:t>Larsen</w:t>
      </w:r>
      <w:r w:rsidR="00412515" w:rsidRPr="00940AB8">
        <w:rPr>
          <w:rFonts w:cs="Arial"/>
          <w:color w:val="000000"/>
          <w:sz w:val="22"/>
        </w:rPr>
        <w:t>,</w:t>
      </w:r>
      <w:r w:rsidRPr="00940AB8">
        <w:rPr>
          <w:rFonts w:cs="Arial"/>
          <w:color w:val="000000"/>
          <w:sz w:val="22"/>
        </w:rPr>
        <w:t xml:space="preserve"> F</w:t>
      </w:r>
      <w:r w:rsidR="00412515" w:rsidRPr="00940AB8">
        <w:rPr>
          <w:rFonts w:cs="Arial"/>
          <w:color w:val="000000"/>
          <w:sz w:val="22"/>
        </w:rPr>
        <w:t xml:space="preserve">. </w:t>
      </w:r>
      <w:r w:rsidRPr="00940AB8">
        <w:rPr>
          <w:rFonts w:cs="Arial"/>
          <w:color w:val="000000"/>
          <w:sz w:val="22"/>
        </w:rPr>
        <w:t>J</w:t>
      </w:r>
      <w:r w:rsidR="00412515" w:rsidRPr="00940AB8">
        <w:rPr>
          <w:rFonts w:cs="Arial"/>
          <w:color w:val="000000"/>
          <w:sz w:val="22"/>
        </w:rPr>
        <w:t>.</w:t>
      </w:r>
      <w:r w:rsidRPr="00940AB8">
        <w:rPr>
          <w:rFonts w:cs="Arial"/>
          <w:color w:val="000000"/>
          <w:sz w:val="22"/>
        </w:rPr>
        <w:t>, Schiffer</w:t>
      </w:r>
      <w:r w:rsidR="00412515" w:rsidRPr="00940AB8">
        <w:rPr>
          <w:rFonts w:cs="Arial"/>
          <w:color w:val="000000"/>
          <w:sz w:val="22"/>
        </w:rPr>
        <w:t>,</w:t>
      </w:r>
      <w:r w:rsidRPr="00940AB8">
        <w:rPr>
          <w:rFonts w:cs="Arial"/>
          <w:color w:val="000000"/>
          <w:sz w:val="22"/>
        </w:rPr>
        <w:t xml:space="preserve"> T</w:t>
      </w:r>
      <w:r w:rsidR="00412515" w:rsidRPr="00940AB8">
        <w:rPr>
          <w:rFonts w:cs="Arial"/>
          <w:color w:val="000000"/>
          <w:sz w:val="22"/>
        </w:rPr>
        <w:t xml:space="preserve">. </w:t>
      </w:r>
      <w:r w:rsidRPr="00940AB8">
        <w:rPr>
          <w:rFonts w:cs="Arial"/>
          <w:color w:val="000000"/>
          <w:sz w:val="22"/>
        </w:rPr>
        <w:t>A</w:t>
      </w:r>
      <w:r w:rsidR="00412515" w:rsidRPr="00940AB8">
        <w:rPr>
          <w:rFonts w:cs="Arial"/>
          <w:color w:val="000000"/>
          <w:sz w:val="22"/>
        </w:rPr>
        <w:t>.</w:t>
      </w:r>
      <w:r w:rsidRPr="00940AB8">
        <w:rPr>
          <w:rFonts w:cs="Arial"/>
          <w:color w:val="000000"/>
          <w:sz w:val="22"/>
        </w:rPr>
        <w:t>, Borniquel</w:t>
      </w:r>
      <w:r w:rsidR="00412515" w:rsidRPr="00940AB8">
        <w:rPr>
          <w:rFonts w:cs="Arial"/>
          <w:color w:val="000000"/>
          <w:sz w:val="22"/>
        </w:rPr>
        <w:t>,</w:t>
      </w:r>
      <w:r w:rsidRPr="00940AB8">
        <w:rPr>
          <w:rFonts w:cs="Arial"/>
          <w:color w:val="000000"/>
          <w:sz w:val="22"/>
        </w:rPr>
        <w:t xml:space="preserve"> S</w:t>
      </w:r>
      <w:r w:rsidR="00412515" w:rsidRPr="00940AB8">
        <w:rPr>
          <w:rFonts w:cs="Arial"/>
          <w:color w:val="000000"/>
          <w:sz w:val="22"/>
        </w:rPr>
        <w:t>.</w:t>
      </w:r>
      <w:r w:rsidRPr="00940AB8">
        <w:rPr>
          <w:rFonts w:cs="Arial"/>
          <w:color w:val="000000"/>
          <w:sz w:val="22"/>
        </w:rPr>
        <w:t xml:space="preserve">, </w:t>
      </w:r>
      <w:r w:rsidR="00412515" w:rsidRPr="00940AB8">
        <w:rPr>
          <w:rFonts w:cs="Arial"/>
          <w:color w:val="000000"/>
          <w:sz w:val="22"/>
        </w:rPr>
        <w:t xml:space="preserve">Sahlin, K., Ekblom, B., Lundberg, J. O., &amp; Weitzberg, E. (2011). </w:t>
      </w:r>
      <w:r w:rsidRPr="00940AB8">
        <w:rPr>
          <w:rFonts w:cs="Arial"/>
          <w:color w:val="000000"/>
          <w:sz w:val="22"/>
        </w:rPr>
        <w:t>Dietary inorganic nitrate improves mito</w:t>
      </w:r>
      <w:r w:rsidR="00412515" w:rsidRPr="00940AB8">
        <w:rPr>
          <w:rFonts w:cs="Arial"/>
          <w:color w:val="000000"/>
          <w:sz w:val="22"/>
        </w:rPr>
        <w:t xml:space="preserve">chondrial efficiency in humans. </w:t>
      </w:r>
      <w:r w:rsidRPr="00940AB8">
        <w:rPr>
          <w:rFonts w:cs="Arial"/>
          <w:i/>
          <w:color w:val="000000"/>
          <w:sz w:val="22"/>
        </w:rPr>
        <w:t>Cell Metab</w:t>
      </w:r>
      <w:r w:rsidR="00412515" w:rsidRPr="00940AB8">
        <w:rPr>
          <w:rFonts w:cs="Arial"/>
          <w:i/>
          <w:color w:val="000000"/>
          <w:sz w:val="22"/>
        </w:rPr>
        <w:t xml:space="preserve">olism, </w:t>
      </w:r>
      <w:r w:rsidRPr="00940AB8">
        <w:rPr>
          <w:rFonts w:cs="Arial"/>
          <w:i/>
          <w:color w:val="000000"/>
          <w:sz w:val="22"/>
        </w:rPr>
        <w:t>13</w:t>
      </w:r>
      <w:r w:rsidR="00412515" w:rsidRPr="00940AB8">
        <w:rPr>
          <w:rFonts w:cs="Arial"/>
          <w:color w:val="000000"/>
          <w:sz w:val="22"/>
        </w:rPr>
        <w:t xml:space="preserve">, </w:t>
      </w:r>
      <w:r w:rsidRPr="00940AB8">
        <w:rPr>
          <w:rFonts w:cs="Arial"/>
          <w:color w:val="000000"/>
          <w:sz w:val="22"/>
        </w:rPr>
        <w:t xml:space="preserve">149–59. </w:t>
      </w:r>
      <w:r w:rsidRPr="00940AB8">
        <w:rPr>
          <w:rFonts w:ascii="Tahoma" w:eastAsia="MS Mincho" w:hAnsi="Tahoma" w:cs="Tahoma"/>
          <w:color w:val="000000"/>
          <w:sz w:val="22"/>
        </w:rPr>
        <w:t> </w:t>
      </w:r>
    </w:p>
    <w:p w14:paraId="364743E9" w14:textId="614E6A41" w:rsidR="005E185D" w:rsidRPr="00940AB8" w:rsidRDefault="00A43387" w:rsidP="00412515">
      <w:pPr>
        <w:pStyle w:val="NoSpacing"/>
        <w:spacing w:line="480" w:lineRule="auto"/>
        <w:ind w:left="567" w:hanging="567"/>
        <w:rPr>
          <w:rFonts w:cs="Arial"/>
          <w:color w:val="000000"/>
          <w:sz w:val="22"/>
        </w:rPr>
      </w:pPr>
      <w:r w:rsidRPr="00940AB8">
        <w:rPr>
          <w:rFonts w:cs="Arial"/>
          <w:sz w:val="22"/>
        </w:rPr>
        <w:t>Larsen, F.J., Weitzberg , E.,  Lundberg , J.O., &amp;</w:t>
      </w:r>
      <w:r w:rsidR="007442C5" w:rsidRPr="00940AB8">
        <w:rPr>
          <w:rFonts w:cs="Arial"/>
          <w:sz w:val="22"/>
        </w:rPr>
        <w:t xml:space="preserve"> Ekblom, B. (</w:t>
      </w:r>
      <w:r w:rsidR="005E185D" w:rsidRPr="00940AB8">
        <w:rPr>
          <w:rFonts w:cs="Arial"/>
          <w:sz w:val="22"/>
        </w:rPr>
        <w:t>2010</w:t>
      </w:r>
      <w:r w:rsidR="007442C5" w:rsidRPr="00940AB8">
        <w:rPr>
          <w:rFonts w:cs="Arial"/>
          <w:sz w:val="22"/>
        </w:rPr>
        <w:t>)</w:t>
      </w:r>
      <w:r w:rsidR="005E185D" w:rsidRPr="00940AB8">
        <w:rPr>
          <w:rFonts w:cs="Arial"/>
          <w:sz w:val="22"/>
        </w:rPr>
        <w:t>, Dietary nitrate reduces maximal oxygen consumption while maintaining work pe</w:t>
      </w:r>
      <w:r w:rsidR="002A7283" w:rsidRPr="00940AB8">
        <w:rPr>
          <w:rFonts w:cs="Arial"/>
          <w:sz w:val="22"/>
        </w:rPr>
        <w:t xml:space="preserve">rformance in maximal exercise. </w:t>
      </w:r>
      <w:r w:rsidR="005E185D" w:rsidRPr="00940AB8">
        <w:rPr>
          <w:rFonts w:cs="Arial"/>
          <w:i/>
          <w:sz w:val="22"/>
        </w:rPr>
        <w:t>Free Radical Biology &amp; Medicine</w:t>
      </w:r>
      <w:r w:rsidR="002A7283" w:rsidRPr="00940AB8">
        <w:rPr>
          <w:rFonts w:cs="Arial"/>
          <w:sz w:val="22"/>
        </w:rPr>
        <w:t>,</w:t>
      </w:r>
      <w:r w:rsidR="007442C5" w:rsidRPr="00940AB8">
        <w:rPr>
          <w:rFonts w:cs="Arial"/>
          <w:sz w:val="22"/>
        </w:rPr>
        <w:t xml:space="preserve"> 48, </w:t>
      </w:r>
      <w:r w:rsidR="005E185D" w:rsidRPr="00940AB8">
        <w:rPr>
          <w:rFonts w:cs="Arial"/>
          <w:sz w:val="22"/>
        </w:rPr>
        <w:t>342–347</w:t>
      </w:r>
    </w:p>
    <w:p w14:paraId="44459BC8" w14:textId="085BE647" w:rsidR="005E185D" w:rsidRPr="00420D7D" w:rsidRDefault="00A43387" w:rsidP="00420D7D">
      <w:pPr>
        <w:pStyle w:val="NoSpacing"/>
        <w:spacing w:line="480" w:lineRule="auto"/>
        <w:ind w:left="567" w:hanging="567"/>
        <w:rPr>
          <w:rFonts w:cs="Arial"/>
          <w:sz w:val="22"/>
        </w:rPr>
      </w:pPr>
      <w:r w:rsidRPr="00940AB8">
        <w:rPr>
          <w:rFonts w:cs="Arial"/>
          <w:sz w:val="22"/>
        </w:rPr>
        <w:t>Larsen, F.J., Weitzberg, E.,</w:t>
      </w:r>
      <w:r w:rsidR="007442C5" w:rsidRPr="00940AB8">
        <w:rPr>
          <w:rFonts w:cs="Arial"/>
          <w:sz w:val="22"/>
        </w:rPr>
        <w:t xml:space="preserve"> Lundberg, J.O. And Ekblom, B. (</w:t>
      </w:r>
      <w:r w:rsidR="005E185D" w:rsidRPr="00940AB8">
        <w:rPr>
          <w:rFonts w:cs="Arial"/>
          <w:sz w:val="22"/>
        </w:rPr>
        <w:t>2007</w:t>
      </w:r>
      <w:r w:rsidR="007442C5" w:rsidRPr="00940AB8">
        <w:rPr>
          <w:rFonts w:cs="Arial"/>
          <w:sz w:val="22"/>
        </w:rPr>
        <w:t>)</w:t>
      </w:r>
      <w:r w:rsidR="005E185D" w:rsidRPr="00940AB8">
        <w:rPr>
          <w:rFonts w:cs="Arial"/>
          <w:sz w:val="22"/>
        </w:rPr>
        <w:t>. Effects of dietary nitrate on oxygen cost during exercise.</w:t>
      </w:r>
      <w:r w:rsidR="002A7283" w:rsidRPr="00940AB8">
        <w:rPr>
          <w:rFonts w:cs="Arial"/>
          <w:sz w:val="22"/>
        </w:rPr>
        <w:t xml:space="preserve"> </w:t>
      </w:r>
      <w:r w:rsidR="005E185D" w:rsidRPr="00940AB8">
        <w:rPr>
          <w:rFonts w:cs="Arial"/>
          <w:i/>
          <w:iCs/>
          <w:sz w:val="22"/>
        </w:rPr>
        <w:t>Acta Physiologica</w:t>
      </w:r>
      <w:r w:rsidR="005E185D" w:rsidRPr="00940AB8">
        <w:rPr>
          <w:rFonts w:cs="Arial"/>
          <w:sz w:val="22"/>
        </w:rPr>
        <w:t xml:space="preserve">, </w:t>
      </w:r>
      <w:r w:rsidR="005E185D" w:rsidRPr="00940AB8">
        <w:rPr>
          <w:rFonts w:cs="Arial"/>
          <w:i/>
          <w:iCs/>
          <w:sz w:val="22"/>
        </w:rPr>
        <w:t>191</w:t>
      </w:r>
      <w:r w:rsidR="007442C5" w:rsidRPr="00940AB8">
        <w:rPr>
          <w:rFonts w:cs="Arial"/>
          <w:sz w:val="22"/>
        </w:rPr>
        <w:t xml:space="preserve">, </w:t>
      </w:r>
      <w:r w:rsidR="005E185D" w:rsidRPr="00940AB8">
        <w:rPr>
          <w:rFonts w:cs="Arial"/>
          <w:sz w:val="22"/>
        </w:rPr>
        <w:t>59-66.</w:t>
      </w:r>
    </w:p>
    <w:p w14:paraId="3D761402" w14:textId="69E7B808" w:rsidR="005E185D" w:rsidRPr="00940AB8" w:rsidRDefault="00A43387" w:rsidP="00D50DB8">
      <w:pPr>
        <w:spacing w:after="0" w:line="480" w:lineRule="auto"/>
        <w:ind w:left="567" w:hanging="567"/>
        <w:jc w:val="both"/>
        <w:rPr>
          <w:rFonts w:ascii="Arial" w:hAnsi="Arial" w:cs="Arial"/>
        </w:rPr>
      </w:pPr>
      <w:r w:rsidRPr="00940AB8">
        <w:rPr>
          <w:rFonts w:ascii="Arial" w:hAnsi="Arial" w:cs="Arial"/>
        </w:rPr>
        <w:t xml:space="preserve">Lundberg, J.O., Weitzberg, E., Cole, J.A., &amp; Benjamin, N. </w:t>
      </w:r>
      <w:r w:rsidR="007442C5" w:rsidRPr="00940AB8">
        <w:rPr>
          <w:rFonts w:ascii="Arial" w:hAnsi="Arial" w:cs="Arial"/>
        </w:rPr>
        <w:t>(</w:t>
      </w:r>
      <w:r w:rsidRPr="00940AB8">
        <w:rPr>
          <w:rFonts w:ascii="Arial" w:hAnsi="Arial" w:cs="Arial"/>
        </w:rPr>
        <w:t>2004</w:t>
      </w:r>
      <w:r w:rsidR="007442C5" w:rsidRPr="00940AB8">
        <w:rPr>
          <w:rFonts w:ascii="Arial" w:hAnsi="Arial" w:cs="Arial"/>
        </w:rPr>
        <w:t>)</w:t>
      </w:r>
      <w:r w:rsidR="005E185D" w:rsidRPr="00940AB8">
        <w:rPr>
          <w:rFonts w:ascii="Arial" w:hAnsi="Arial" w:cs="Arial"/>
        </w:rPr>
        <w:t xml:space="preserve">. Nitrate, bacteria and human health. </w:t>
      </w:r>
      <w:r w:rsidR="005E185D" w:rsidRPr="00940AB8">
        <w:rPr>
          <w:rFonts w:ascii="Arial" w:hAnsi="Arial" w:cs="Arial"/>
          <w:i/>
        </w:rPr>
        <w:t>Nature Reviews Microbiology</w:t>
      </w:r>
      <w:r w:rsidR="005E185D" w:rsidRPr="00940AB8">
        <w:rPr>
          <w:rFonts w:ascii="Arial" w:hAnsi="Arial" w:cs="Arial"/>
        </w:rPr>
        <w:t>, 2,</w:t>
      </w:r>
      <w:r w:rsidR="007442C5" w:rsidRPr="00940AB8">
        <w:rPr>
          <w:rFonts w:ascii="Arial" w:hAnsi="Arial" w:cs="Arial"/>
        </w:rPr>
        <w:t xml:space="preserve"> </w:t>
      </w:r>
      <w:r w:rsidR="005E185D" w:rsidRPr="00940AB8">
        <w:rPr>
          <w:rFonts w:ascii="Arial" w:hAnsi="Arial" w:cs="Arial"/>
        </w:rPr>
        <w:t>593–602.</w:t>
      </w:r>
    </w:p>
    <w:p w14:paraId="319AEBAC" w14:textId="743EDF18" w:rsidR="00412515" w:rsidRPr="00940AB8" w:rsidRDefault="00412515" w:rsidP="00412515">
      <w:pPr>
        <w:spacing w:after="0" w:line="480" w:lineRule="auto"/>
        <w:ind w:left="567" w:hanging="567"/>
        <w:jc w:val="both"/>
        <w:rPr>
          <w:rFonts w:ascii="Arial" w:hAnsi="Arial" w:cs="Arial"/>
        </w:rPr>
      </w:pPr>
      <w:r w:rsidRPr="00940AB8">
        <w:rPr>
          <w:rFonts w:ascii="Arial" w:hAnsi="Arial" w:cs="Arial"/>
        </w:rPr>
        <w:t>McMahon, N. F.</w:t>
      </w:r>
      <w:r w:rsidR="00387ED4" w:rsidRPr="00940AB8">
        <w:rPr>
          <w:rFonts w:ascii="Arial" w:hAnsi="Arial" w:cs="Arial"/>
        </w:rPr>
        <w:t>, Leveritt</w:t>
      </w:r>
      <w:r w:rsidRPr="00940AB8">
        <w:rPr>
          <w:rFonts w:ascii="Arial" w:hAnsi="Arial" w:cs="Arial"/>
        </w:rPr>
        <w:t>,</w:t>
      </w:r>
      <w:r w:rsidR="00387ED4" w:rsidRPr="00940AB8">
        <w:rPr>
          <w:rFonts w:ascii="Arial" w:hAnsi="Arial" w:cs="Arial"/>
        </w:rPr>
        <w:t xml:space="preserve"> M</w:t>
      </w:r>
      <w:r w:rsidRPr="00940AB8">
        <w:rPr>
          <w:rFonts w:ascii="Arial" w:hAnsi="Arial" w:cs="Arial"/>
        </w:rPr>
        <w:t>.</w:t>
      </w:r>
      <w:r w:rsidR="00387ED4" w:rsidRPr="00940AB8">
        <w:rPr>
          <w:rFonts w:ascii="Arial" w:hAnsi="Arial" w:cs="Arial"/>
        </w:rPr>
        <w:t>D</w:t>
      </w:r>
      <w:r w:rsidRPr="00940AB8">
        <w:rPr>
          <w:rFonts w:ascii="Arial" w:hAnsi="Arial" w:cs="Arial"/>
        </w:rPr>
        <w:t>.,</w:t>
      </w:r>
      <w:r w:rsidR="00387ED4" w:rsidRPr="00940AB8">
        <w:rPr>
          <w:rFonts w:ascii="Arial" w:hAnsi="Arial" w:cs="Arial"/>
        </w:rPr>
        <w:t xml:space="preserve"> </w:t>
      </w:r>
      <w:r w:rsidRPr="00940AB8">
        <w:rPr>
          <w:rFonts w:ascii="Arial" w:hAnsi="Arial" w:cs="Arial"/>
        </w:rPr>
        <w:t xml:space="preserve">&amp; </w:t>
      </w:r>
      <w:r w:rsidR="00387ED4" w:rsidRPr="00940AB8">
        <w:rPr>
          <w:rFonts w:ascii="Arial" w:hAnsi="Arial" w:cs="Arial"/>
        </w:rPr>
        <w:t>Pavey</w:t>
      </w:r>
      <w:r w:rsidRPr="00940AB8">
        <w:rPr>
          <w:rFonts w:ascii="Arial" w:hAnsi="Arial" w:cs="Arial"/>
        </w:rPr>
        <w:t>,</w:t>
      </w:r>
      <w:r w:rsidR="00387ED4" w:rsidRPr="00940AB8">
        <w:rPr>
          <w:rFonts w:ascii="Arial" w:hAnsi="Arial" w:cs="Arial"/>
        </w:rPr>
        <w:t xml:space="preserve"> T</w:t>
      </w:r>
      <w:r w:rsidRPr="00940AB8">
        <w:rPr>
          <w:rFonts w:ascii="Arial" w:hAnsi="Arial" w:cs="Arial"/>
        </w:rPr>
        <w:t xml:space="preserve">. </w:t>
      </w:r>
      <w:r w:rsidR="00387ED4" w:rsidRPr="00940AB8">
        <w:rPr>
          <w:rFonts w:ascii="Arial" w:hAnsi="Arial" w:cs="Arial"/>
        </w:rPr>
        <w:t xml:space="preserve">G. </w:t>
      </w:r>
      <w:r w:rsidRPr="00940AB8">
        <w:rPr>
          <w:rFonts w:ascii="Arial" w:hAnsi="Arial" w:cs="Arial"/>
        </w:rPr>
        <w:t xml:space="preserve">(2016). The Effect of Dietary Nitrate Supplementation on Endurance Exercise Performance in Healthy Adults: A Systematic Review and Meta-Analysis. </w:t>
      </w:r>
      <w:r w:rsidRPr="00940AB8">
        <w:rPr>
          <w:rFonts w:ascii="Arial" w:hAnsi="Arial" w:cs="Arial"/>
          <w:i/>
        </w:rPr>
        <w:t>Sports Medicine</w:t>
      </w:r>
      <w:r w:rsidRPr="00940AB8">
        <w:rPr>
          <w:rFonts w:ascii="Arial" w:hAnsi="Arial" w:cs="Arial"/>
        </w:rPr>
        <w:t>, Sep 6. [Epub ahead of print]</w:t>
      </w:r>
    </w:p>
    <w:p w14:paraId="56190C47" w14:textId="528F2E64" w:rsidR="00387ED4" w:rsidRPr="00940AB8" w:rsidRDefault="00387ED4" w:rsidP="00412515">
      <w:pPr>
        <w:spacing w:after="0" w:line="480" w:lineRule="auto"/>
        <w:ind w:left="567" w:hanging="567"/>
        <w:jc w:val="both"/>
        <w:rPr>
          <w:rFonts w:ascii="Arial" w:hAnsi="Arial" w:cs="Arial"/>
        </w:rPr>
      </w:pPr>
      <w:r w:rsidRPr="00940AB8">
        <w:rPr>
          <w:rFonts w:ascii="Arial" w:hAnsi="Arial" w:cs="Arial"/>
        </w:rPr>
        <w:t>Moncada</w:t>
      </w:r>
      <w:r w:rsidR="00412515" w:rsidRPr="00940AB8">
        <w:rPr>
          <w:rFonts w:ascii="Arial" w:hAnsi="Arial" w:cs="Arial"/>
        </w:rPr>
        <w:t xml:space="preserve">, </w:t>
      </w:r>
      <w:r w:rsidRPr="00940AB8">
        <w:rPr>
          <w:rFonts w:ascii="Arial" w:hAnsi="Arial" w:cs="Arial"/>
        </w:rPr>
        <w:t>S</w:t>
      </w:r>
      <w:r w:rsidR="00412515" w:rsidRPr="00940AB8">
        <w:rPr>
          <w:rFonts w:ascii="Arial" w:hAnsi="Arial" w:cs="Arial"/>
        </w:rPr>
        <w:t>.</w:t>
      </w:r>
      <w:r w:rsidRPr="00940AB8">
        <w:rPr>
          <w:rFonts w:ascii="Arial" w:hAnsi="Arial" w:cs="Arial"/>
        </w:rPr>
        <w:t xml:space="preserve">, </w:t>
      </w:r>
      <w:r w:rsidR="00412515" w:rsidRPr="00940AB8">
        <w:rPr>
          <w:rFonts w:ascii="Arial" w:hAnsi="Arial" w:cs="Arial"/>
        </w:rPr>
        <w:t xml:space="preserve">&amp; </w:t>
      </w:r>
      <w:r w:rsidRPr="00940AB8">
        <w:rPr>
          <w:rFonts w:ascii="Arial" w:hAnsi="Arial" w:cs="Arial"/>
        </w:rPr>
        <w:t>Higgs</w:t>
      </w:r>
      <w:r w:rsidR="00412515" w:rsidRPr="00940AB8">
        <w:rPr>
          <w:rFonts w:ascii="Arial" w:hAnsi="Arial" w:cs="Arial"/>
        </w:rPr>
        <w:t>,</w:t>
      </w:r>
      <w:r w:rsidRPr="00940AB8">
        <w:rPr>
          <w:rFonts w:ascii="Arial" w:hAnsi="Arial" w:cs="Arial"/>
        </w:rPr>
        <w:t xml:space="preserve"> A.</w:t>
      </w:r>
      <w:r w:rsidR="00412515" w:rsidRPr="00940AB8">
        <w:rPr>
          <w:rFonts w:ascii="Arial" w:hAnsi="Arial" w:cs="Arial"/>
        </w:rPr>
        <w:t xml:space="preserve"> (1993). The L-arginine-nitric oxide pathway. </w:t>
      </w:r>
      <w:r w:rsidR="00412515" w:rsidRPr="00940AB8">
        <w:rPr>
          <w:rFonts w:ascii="Arial" w:hAnsi="Arial" w:cs="Arial"/>
          <w:i/>
        </w:rPr>
        <w:t>New England Journal of Medicine</w:t>
      </w:r>
      <w:r w:rsidR="00412515" w:rsidRPr="00940AB8">
        <w:rPr>
          <w:rFonts w:ascii="Arial" w:hAnsi="Arial" w:cs="Arial"/>
        </w:rPr>
        <w:t>, 329(27):2002-12.</w:t>
      </w:r>
    </w:p>
    <w:p w14:paraId="2F125F09" w14:textId="28C6144D" w:rsidR="005E185D" w:rsidRPr="00940AB8" w:rsidRDefault="00A43387" w:rsidP="00D50DB8">
      <w:pPr>
        <w:spacing w:after="0" w:line="480" w:lineRule="auto"/>
        <w:ind w:left="567" w:hanging="567"/>
        <w:jc w:val="both"/>
        <w:rPr>
          <w:rFonts w:ascii="Arial" w:hAnsi="Arial" w:cs="Arial"/>
        </w:rPr>
      </w:pPr>
      <w:r w:rsidRPr="00940AB8">
        <w:rPr>
          <w:rFonts w:ascii="Arial" w:hAnsi="Arial" w:cs="Arial"/>
        </w:rPr>
        <w:t>Reid</w:t>
      </w:r>
      <w:r w:rsidR="007442C5" w:rsidRPr="00940AB8">
        <w:rPr>
          <w:rFonts w:ascii="Arial" w:hAnsi="Arial" w:cs="Arial"/>
        </w:rPr>
        <w:t>, M.</w:t>
      </w:r>
      <w:r w:rsidR="00412515" w:rsidRPr="00940AB8">
        <w:rPr>
          <w:rFonts w:ascii="Arial" w:hAnsi="Arial" w:cs="Arial"/>
        </w:rPr>
        <w:t xml:space="preserve"> </w:t>
      </w:r>
      <w:r w:rsidR="007442C5" w:rsidRPr="00940AB8">
        <w:rPr>
          <w:rFonts w:ascii="Arial" w:hAnsi="Arial" w:cs="Arial"/>
        </w:rPr>
        <w:t>B.</w:t>
      </w:r>
      <w:r w:rsidR="005E185D" w:rsidRPr="00940AB8">
        <w:rPr>
          <w:rFonts w:ascii="Arial" w:hAnsi="Arial" w:cs="Arial"/>
        </w:rPr>
        <w:t xml:space="preserve"> </w:t>
      </w:r>
      <w:r w:rsidR="007442C5" w:rsidRPr="00940AB8">
        <w:rPr>
          <w:rFonts w:ascii="Arial" w:hAnsi="Arial" w:cs="Arial"/>
        </w:rPr>
        <w:t>(</w:t>
      </w:r>
      <w:r w:rsidR="005E185D" w:rsidRPr="00940AB8">
        <w:rPr>
          <w:rFonts w:ascii="Arial" w:hAnsi="Arial" w:cs="Arial"/>
        </w:rPr>
        <w:t>2001</w:t>
      </w:r>
      <w:r w:rsidR="007442C5" w:rsidRPr="00940AB8">
        <w:rPr>
          <w:rFonts w:ascii="Arial" w:hAnsi="Arial" w:cs="Arial"/>
        </w:rPr>
        <w:t>)</w:t>
      </w:r>
      <w:r w:rsidR="005E185D" w:rsidRPr="00940AB8">
        <w:rPr>
          <w:rFonts w:ascii="Arial" w:hAnsi="Arial" w:cs="Arial"/>
        </w:rPr>
        <w:t xml:space="preserve">. Nitric oxide, reactive oxygen species, and skeletal muscle contraction. </w:t>
      </w:r>
      <w:r w:rsidR="005E185D" w:rsidRPr="00940AB8">
        <w:rPr>
          <w:rFonts w:ascii="Arial" w:hAnsi="Arial" w:cs="Arial"/>
          <w:i/>
        </w:rPr>
        <w:t>Medicine and Science in Sports and Exercise</w:t>
      </w:r>
      <w:r w:rsidR="007442C5" w:rsidRPr="00940AB8">
        <w:rPr>
          <w:rFonts w:ascii="Arial" w:hAnsi="Arial" w:cs="Arial"/>
        </w:rPr>
        <w:t xml:space="preserve">, 33, </w:t>
      </w:r>
      <w:r w:rsidR="005E185D" w:rsidRPr="00940AB8">
        <w:rPr>
          <w:rFonts w:ascii="Arial" w:hAnsi="Arial" w:cs="Arial"/>
        </w:rPr>
        <w:t>371–376.</w:t>
      </w:r>
    </w:p>
    <w:p w14:paraId="5AFF0729" w14:textId="1DDEACB6" w:rsidR="009542D3" w:rsidRPr="00940AB8" w:rsidRDefault="009542D3" w:rsidP="00D50DB8">
      <w:pPr>
        <w:spacing w:after="0" w:line="480" w:lineRule="auto"/>
        <w:ind w:left="567" w:hanging="567"/>
        <w:jc w:val="both"/>
        <w:rPr>
          <w:rFonts w:ascii="Arial" w:hAnsi="Arial" w:cs="Arial"/>
        </w:rPr>
      </w:pPr>
      <w:r w:rsidRPr="00940AB8">
        <w:rPr>
          <w:rFonts w:ascii="Arial" w:hAnsi="Arial" w:cs="Arial"/>
        </w:rPr>
        <w:t>Shannon, O.</w:t>
      </w:r>
      <w:r w:rsidR="00412515" w:rsidRPr="00940AB8">
        <w:rPr>
          <w:rFonts w:ascii="Arial" w:hAnsi="Arial" w:cs="Arial"/>
        </w:rPr>
        <w:t xml:space="preserve"> </w:t>
      </w:r>
      <w:r w:rsidRPr="00940AB8">
        <w:rPr>
          <w:rFonts w:ascii="Arial" w:hAnsi="Arial" w:cs="Arial"/>
        </w:rPr>
        <w:t>M., Barlow, M.</w:t>
      </w:r>
      <w:r w:rsidR="00412515" w:rsidRPr="00940AB8">
        <w:rPr>
          <w:rFonts w:ascii="Arial" w:hAnsi="Arial" w:cs="Arial"/>
        </w:rPr>
        <w:t xml:space="preserve"> </w:t>
      </w:r>
      <w:r w:rsidRPr="00940AB8">
        <w:rPr>
          <w:rFonts w:ascii="Arial" w:hAnsi="Arial" w:cs="Arial"/>
        </w:rPr>
        <w:t>J., Duckworth, L., Williams, E., Wort, G., Woods, D., Siervo, M., &amp; O’Hara, J.</w:t>
      </w:r>
      <w:r w:rsidR="00412515" w:rsidRPr="00940AB8">
        <w:rPr>
          <w:rFonts w:ascii="Arial" w:hAnsi="Arial" w:cs="Arial"/>
        </w:rPr>
        <w:t xml:space="preserve"> </w:t>
      </w:r>
      <w:r w:rsidRPr="00940AB8">
        <w:rPr>
          <w:rFonts w:ascii="Arial" w:hAnsi="Arial" w:cs="Arial"/>
        </w:rPr>
        <w:t xml:space="preserve">P. (2017). Dietary nitrate supplementation enhances short but not longer duration running time-trial performance. </w:t>
      </w:r>
      <w:r w:rsidR="00AA1182" w:rsidRPr="00940AB8">
        <w:rPr>
          <w:rFonts w:ascii="Arial" w:hAnsi="Arial" w:cs="Arial"/>
          <w:i/>
        </w:rPr>
        <w:t>E</w:t>
      </w:r>
      <w:r w:rsidR="003A0EAB" w:rsidRPr="00940AB8">
        <w:rPr>
          <w:rFonts w:ascii="Arial" w:hAnsi="Arial" w:cs="Arial"/>
          <w:i/>
        </w:rPr>
        <w:t>uropean Jo</w:t>
      </w:r>
      <w:r w:rsidR="00AA1182" w:rsidRPr="00940AB8">
        <w:rPr>
          <w:rFonts w:ascii="Arial" w:hAnsi="Arial" w:cs="Arial"/>
          <w:i/>
        </w:rPr>
        <w:t xml:space="preserve">urnal of Applied Physiology </w:t>
      </w:r>
      <w:r w:rsidRPr="00940AB8">
        <w:rPr>
          <w:rFonts w:ascii="Arial" w:hAnsi="Arial" w:cs="Arial"/>
          <w:i/>
        </w:rPr>
        <w:t>(In Press).</w:t>
      </w:r>
      <w:r w:rsidR="00412515" w:rsidRPr="00940AB8">
        <w:rPr>
          <w:rFonts w:ascii="Arial" w:hAnsi="Arial" w:cs="Arial"/>
        </w:rPr>
        <w:t xml:space="preserve"> doi:10.1007/s00421-017-3580-6</w:t>
      </w:r>
    </w:p>
    <w:p w14:paraId="6ED4AC97" w14:textId="4733908B" w:rsidR="005E185D" w:rsidRPr="00940AB8" w:rsidRDefault="00A43387" w:rsidP="00D50DB8">
      <w:pPr>
        <w:spacing w:after="0" w:line="480" w:lineRule="auto"/>
        <w:ind w:left="567" w:hanging="567"/>
        <w:jc w:val="both"/>
        <w:rPr>
          <w:rFonts w:ascii="Arial" w:hAnsi="Arial" w:cs="Arial"/>
        </w:rPr>
      </w:pPr>
      <w:r w:rsidRPr="00940AB8">
        <w:rPr>
          <w:rFonts w:ascii="Arial" w:hAnsi="Arial" w:cs="Arial"/>
        </w:rPr>
        <w:t>Shannon, O.M., Duckworth, L., Barlow, M.J., Woods, D., Lara, J., Siervo, M. &amp; O'hara, J.P</w:t>
      </w:r>
      <w:r w:rsidR="007442C5" w:rsidRPr="00940AB8">
        <w:rPr>
          <w:rFonts w:ascii="Arial" w:hAnsi="Arial" w:cs="Arial"/>
        </w:rPr>
        <w:t>. (</w:t>
      </w:r>
      <w:r w:rsidR="005E185D" w:rsidRPr="00940AB8">
        <w:rPr>
          <w:rFonts w:ascii="Arial" w:hAnsi="Arial" w:cs="Arial"/>
        </w:rPr>
        <w:t>2016</w:t>
      </w:r>
      <w:r w:rsidR="007442C5" w:rsidRPr="00940AB8">
        <w:rPr>
          <w:rFonts w:ascii="Arial" w:hAnsi="Arial" w:cs="Arial"/>
        </w:rPr>
        <w:t>)</w:t>
      </w:r>
      <w:r w:rsidR="005E185D" w:rsidRPr="00940AB8">
        <w:rPr>
          <w:rFonts w:ascii="Arial" w:hAnsi="Arial" w:cs="Arial"/>
        </w:rPr>
        <w:t xml:space="preserve">. Dietary nitrate supplementation enhances high-intensity running performance in moderate normobaric hypoxia, </w:t>
      </w:r>
      <w:r w:rsidR="007442C5" w:rsidRPr="00940AB8">
        <w:rPr>
          <w:rFonts w:ascii="Arial" w:hAnsi="Arial" w:cs="Arial"/>
        </w:rPr>
        <w:t xml:space="preserve">independent of aerobic fitness. </w:t>
      </w:r>
      <w:r w:rsidR="005E185D" w:rsidRPr="00940AB8">
        <w:rPr>
          <w:rFonts w:ascii="Arial" w:hAnsi="Arial" w:cs="Arial"/>
          <w:i/>
          <w:iCs/>
        </w:rPr>
        <w:t>Nitric Oxide</w:t>
      </w:r>
      <w:r w:rsidR="007442C5" w:rsidRPr="00940AB8">
        <w:rPr>
          <w:rFonts w:ascii="Arial" w:hAnsi="Arial" w:cs="Arial"/>
        </w:rPr>
        <w:t xml:space="preserve">, </w:t>
      </w:r>
      <w:r w:rsidR="005E185D" w:rsidRPr="00940AB8">
        <w:rPr>
          <w:rFonts w:ascii="Arial" w:hAnsi="Arial" w:cs="Arial"/>
          <w:i/>
          <w:iCs/>
        </w:rPr>
        <w:t>59</w:t>
      </w:r>
      <w:r w:rsidR="007442C5" w:rsidRPr="00940AB8">
        <w:rPr>
          <w:rFonts w:ascii="Arial" w:hAnsi="Arial" w:cs="Arial"/>
        </w:rPr>
        <w:t xml:space="preserve">, </w:t>
      </w:r>
      <w:r w:rsidR="005E185D" w:rsidRPr="00940AB8">
        <w:rPr>
          <w:rFonts w:ascii="Arial" w:hAnsi="Arial" w:cs="Arial"/>
        </w:rPr>
        <w:t xml:space="preserve">63-70. </w:t>
      </w:r>
    </w:p>
    <w:p w14:paraId="74D5C057" w14:textId="6B0CEBAE" w:rsidR="005E185D" w:rsidRPr="00940AB8" w:rsidRDefault="00A43387" w:rsidP="00D50DB8">
      <w:pPr>
        <w:spacing w:after="0" w:line="480" w:lineRule="auto"/>
        <w:ind w:left="567" w:hanging="567"/>
        <w:jc w:val="both"/>
        <w:rPr>
          <w:rFonts w:ascii="Arial" w:hAnsi="Arial" w:cs="Arial"/>
        </w:rPr>
      </w:pPr>
      <w:r w:rsidRPr="00940AB8">
        <w:rPr>
          <w:rFonts w:ascii="Arial" w:hAnsi="Arial" w:cs="Arial"/>
        </w:rPr>
        <w:t>Svebak, S. &amp; Murgatroyd</w:t>
      </w:r>
      <w:r w:rsidR="007442C5" w:rsidRPr="00940AB8">
        <w:rPr>
          <w:rFonts w:ascii="Arial" w:hAnsi="Arial" w:cs="Arial"/>
        </w:rPr>
        <w:t>, S. (</w:t>
      </w:r>
      <w:r w:rsidR="005E185D" w:rsidRPr="00940AB8">
        <w:rPr>
          <w:rFonts w:ascii="Arial" w:hAnsi="Arial" w:cs="Arial"/>
        </w:rPr>
        <w:t>1985</w:t>
      </w:r>
      <w:r w:rsidR="007442C5" w:rsidRPr="00940AB8">
        <w:rPr>
          <w:rFonts w:ascii="Arial" w:hAnsi="Arial" w:cs="Arial"/>
        </w:rPr>
        <w:t>)</w:t>
      </w:r>
      <w:r w:rsidR="005E185D" w:rsidRPr="00940AB8">
        <w:rPr>
          <w:rFonts w:ascii="Arial" w:hAnsi="Arial" w:cs="Arial"/>
        </w:rPr>
        <w:t xml:space="preserve">. Metamotivational dominance: a multimethod validation of reversal theory constructs. </w:t>
      </w:r>
      <w:r w:rsidR="005E185D" w:rsidRPr="00940AB8">
        <w:rPr>
          <w:rFonts w:ascii="Arial" w:hAnsi="Arial" w:cs="Arial"/>
          <w:i/>
        </w:rPr>
        <w:t>Journal of Personality and Social Psychology</w:t>
      </w:r>
      <w:r w:rsidR="007442C5" w:rsidRPr="00940AB8">
        <w:rPr>
          <w:rFonts w:ascii="Arial" w:hAnsi="Arial" w:cs="Arial"/>
        </w:rPr>
        <w:t xml:space="preserve">, 48, </w:t>
      </w:r>
      <w:r w:rsidR="005E185D" w:rsidRPr="00940AB8">
        <w:rPr>
          <w:rFonts w:ascii="Arial" w:hAnsi="Arial" w:cs="Arial"/>
        </w:rPr>
        <w:t>107.</w:t>
      </w:r>
    </w:p>
    <w:p w14:paraId="03328F2E" w14:textId="2E469786" w:rsidR="005E185D" w:rsidRPr="00940AB8" w:rsidRDefault="000B70B9" w:rsidP="00825CB7">
      <w:pPr>
        <w:spacing w:after="0" w:line="480" w:lineRule="auto"/>
        <w:ind w:left="567" w:hanging="567"/>
        <w:jc w:val="both"/>
        <w:rPr>
          <w:rFonts w:ascii="Arial" w:hAnsi="Arial" w:cs="Arial"/>
        </w:rPr>
      </w:pPr>
      <w:r w:rsidRPr="00940AB8">
        <w:rPr>
          <w:rFonts w:ascii="Arial" w:hAnsi="Arial" w:cs="Arial"/>
        </w:rPr>
        <w:t>Vanhatalo</w:t>
      </w:r>
      <w:r w:rsidR="00227339" w:rsidRPr="00940AB8">
        <w:rPr>
          <w:rFonts w:ascii="Arial" w:hAnsi="Arial" w:cs="Arial"/>
        </w:rPr>
        <w:t xml:space="preserve">, </w:t>
      </w:r>
      <w:r w:rsidRPr="00940AB8">
        <w:rPr>
          <w:rFonts w:ascii="Arial" w:hAnsi="Arial" w:cs="Arial"/>
        </w:rPr>
        <w:t>A</w:t>
      </w:r>
      <w:r w:rsidR="00227339" w:rsidRPr="00940AB8">
        <w:rPr>
          <w:rFonts w:ascii="Arial" w:hAnsi="Arial" w:cs="Arial"/>
        </w:rPr>
        <w:t>.</w:t>
      </w:r>
      <w:r w:rsidRPr="00940AB8">
        <w:rPr>
          <w:rFonts w:ascii="Arial" w:hAnsi="Arial" w:cs="Arial"/>
        </w:rPr>
        <w:t>, Fulford</w:t>
      </w:r>
      <w:r w:rsidR="00227339" w:rsidRPr="00940AB8">
        <w:rPr>
          <w:rFonts w:ascii="Arial" w:hAnsi="Arial" w:cs="Arial"/>
        </w:rPr>
        <w:t>,</w:t>
      </w:r>
      <w:r w:rsidRPr="00940AB8">
        <w:rPr>
          <w:rFonts w:ascii="Arial" w:hAnsi="Arial" w:cs="Arial"/>
        </w:rPr>
        <w:t xml:space="preserve"> J</w:t>
      </w:r>
      <w:r w:rsidR="00227339" w:rsidRPr="00940AB8">
        <w:rPr>
          <w:rFonts w:ascii="Arial" w:hAnsi="Arial" w:cs="Arial"/>
        </w:rPr>
        <w:t>.</w:t>
      </w:r>
      <w:r w:rsidRPr="00940AB8">
        <w:rPr>
          <w:rFonts w:ascii="Arial" w:hAnsi="Arial" w:cs="Arial"/>
        </w:rPr>
        <w:t>, Bailey</w:t>
      </w:r>
      <w:r w:rsidR="00227339" w:rsidRPr="00940AB8">
        <w:rPr>
          <w:rFonts w:ascii="Arial" w:hAnsi="Arial" w:cs="Arial"/>
        </w:rPr>
        <w:t>,</w:t>
      </w:r>
      <w:r w:rsidRPr="00940AB8">
        <w:rPr>
          <w:rFonts w:ascii="Arial" w:hAnsi="Arial" w:cs="Arial"/>
        </w:rPr>
        <w:t xml:space="preserve"> S</w:t>
      </w:r>
      <w:r w:rsidR="00227339" w:rsidRPr="00940AB8">
        <w:rPr>
          <w:rFonts w:ascii="Arial" w:hAnsi="Arial" w:cs="Arial"/>
        </w:rPr>
        <w:t xml:space="preserve">. </w:t>
      </w:r>
      <w:r w:rsidRPr="00940AB8">
        <w:rPr>
          <w:rFonts w:ascii="Arial" w:hAnsi="Arial" w:cs="Arial"/>
        </w:rPr>
        <w:t>J</w:t>
      </w:r>
      <w:r w:rsidR="00227339" w:rsidRPr="00940AB8">
        <w:rPr>
          <w:rFonts w:ascii="Arial" w:hAnsi="Arial" w:cs="Arial"/>
        </w:rPr>
        <w:t>.</w:t>
      </w:r>
      <w:r w:rsidRPr="00940AB8">
        <w:rPr>
          <w:rFonts w:ascii="Arial" w:hAnsi="Arial" w:cs="Arial"/>
        </w:rPr>
        <w:t>, Blackwell</w:t>
      </w:r>
      <w:r w:rsidR="00227339" w:rsidRPr="00940AB8">
        <w:rPr>
          <w:rFonts w:ascii="Arial" w:hAnsi="Arial" w:cs="Arial"/>
        </w:rPr>
        <w:t>,</w:t>
      </w:r>
      <w:r w:rsidRPr="00940AB8">
        <w:rPr>
          <w:rFonts w:ascii="Arial" w:hAnsi="Arial" w:cs="Arial"/>
        </w:rPr>
        <w:t xml:space="preserve"> J</w:t>
      </w:r>
      <w:r w:rsidR="00227339" w:rsidRPr="00940AB8">
        <w:rPr>
          <w:rFonts w:ascii="Arial" w:hAnsi="Arial" w:cs="Arial"/>
        </w:rPr>
        <w:t xml:space="preserve">. </w:t>
      </w:r>
      <w:r w:rsidRPr="00940AB8">
        <w:rPr>
          <w:rFonts w:ascii="Arial" w:hAnsi="Arial" w:cs="Arial"/>
        </w:rPr>
        <w:t>R</w:t>
      </w:r>
      <w:r w:rsidR="00227339" w:rsidRPr="00940AB8">
        <w:rPr>
          <w:rFonts w:ascii="Arial" w:hAnsi="Arial" w:cs="Arial"/>
        </w:rPr>
        <w:t>.</w:t>
      </w:r>
      <w:r w:rsidRPr="00940AB8">
        <w:rPr>
          <w:rFonts w:ascii="Arial" w:hAnsi="Arial" w:cs="Arial"/>
        </w:rPr>
        <w:t>, Winyard</w:t>
      </w:r>
      <w:r w:rsidR="00227339" w:rsidRPr="00940AB8">
        <w:rPr>
          <w:rFonts w:ascii="Arial" w:hAnsi="Arial" w:cs="Arial"/>
        </w:rPr>
        <w:t>,</w:t>
      </w:r>
      <w:r w:rsidRPr="00940AB8">
        <w:rPr>
          <w:rFonts w:ascii="Arial" w:hAnsi="Arial" w:cs="Arial"/>
        </w:rPr>
        <w:t xml:space="preserve"> P</w:t>
      </w:r>
      <w:r w:rsidR="00227339" w:rsidRPr="00940AB8">
        <w:rPr>
          <w:rFonts w:ascii="Arial" w:hAnsi="Arial" w:cs="Arial"/>
        </w:rPr>
        <w:t xml:space="preserve">. </w:t>
      </w:r>
      <w:r w:rsidRPr="00940AB8">
        <w:rPr>
          <w:rFonts w:ascii="Arial" w:hAnsi="Arial" w:cs="Arial"/>
        </w:rPr>
        <w:t>G</w:t>
      </w:r>
      <w:r w:rsidR="00227339" w:rsidRPr="00940AB8">
        <w:rPr>
          <w:rFonts w:ascii="Arial" w:hAnsi="Arial" w:cs="Arial"/>
        </w:rPr>
        <w:t>.</w:t>
      </w:r>
      <w:r w:rsidRPr="00940AB8">
        <w:rPr>
          <w:rFonts w:ascii="Arial" w:hAnsi="Arial" w:cs="Arial"/>
        </w:rPr>
        <w:t>, Jones</w:t>
      </w:r>
      <w:r w:rsidR="00227339" w:rsidRPr="00940AB8">
        <w:rPr>
          <w:rFonts w:ascii="Arial" w:hAnsi="Arial" w:cs="Arial"/>
        </w:rPr>
        <w:t>,</w:t>
      </w:r>
      <w:r w:rsidRPr="00940AB8">
        <w:rPr>
          <w:rFonts w:ascii="Arial" w:hAnsi="Arial" w:cs="Arial"/>
        </w:rPr>
        <w:t xml:space="preserve"> A</w:t>
      </w:r>
      <w:r w:rsidR="00227339" w:rsidRPr="00940AB8">
        <w:rPr>
          <w:rFonts w:ascii="Arial" w:hAnsi="Arial" w:cs="Arial"/>
        </w:rPr>
        <w:t xml:space="preserve">. </w:t>
      </w:r>
      <w:r w:rsidRPr="00940AB8">
        <w:rPr>
          <w:rFonts w:ascii="Arial" w:hAnsi="Arial" w:cs="Arial"/>
        </w:rPr>
        <w:t>M.</w:t>
      </w:r>
      <w:r w:rsidR="00227339" w:rsidRPr="00940AB8">
        <w:rPr>
          <w:rFonts w:ascii="Arial" w:hAnsi="Arial" w:cs="Arial"/>
        </w:rPr>
        <w:t xml:space="preserve"> &amp; </w:t>
      </w:r>
      <w:r w:rsidR="00A43387" w:rsidRPr="00940AB8">
        <w:rPr>
          <w:rFonts w:ascii="Arial" w:hAnsi="Arial" w:cs="Arial"/>
        </w:rPr>
        <w:t>Wilkerson, D.</w:t>
      </w:r>
      <w:r w:rsidR="00227339" w:rsidRPr="00940AB8">
        <w:rPr>
          <w:rFonts w:ascii="Arial" w:hAnsi="Arial" w:cs="Arial"/>
        </w:rPr>
        <w:t xml:space="preserve"> </w:t>
      </w:r>
      <w:r w:rsidR="00A43387" w:rsidRPr="00940AB8">
        <w:rPr>
          <w:rFonts w:ascii="Arial" w:hAnsi="Arial" w:cs="Arial"/>
        </w:rPr>
        <w:t>P.</w:t>
      </w:r>
      <w:r w:rsidR="00227339" w:rsidRPr="00940AB8">
        <w:rPr>
          <w:rFonts w:ascii="Arial" w:hAnsi="Arial" w:cs="Arial"/>
        </w:rPr>
        <w:t xml:space="preserve"> (2011). Dietary nitrate reduces muscle metabolic perturbation and improves exercise tolerance in hypoxia. </w:t>
      </w:r>
      <w:r w:rsidR="00227339" w:rsidRPr="00940AB8">
        <w:rPr>
          <w:rFonts w:ascii="Arial" w:hAnsi="Arial" w:cs="Arial"/>
          <w:i/>
        </w:rPr>
        <w:t>Journal of Physiology, 15</w:t>
      </w:r>
      <w:r w:rsidR="00227339" w:rsidRPr="00940AB8">
        <w:rPr>
          <w:rFonts w:ascii="Arial" w:hAnsi="Arial" w:cs="Arial"/>
        </w:rPr>
        <w:t>, 589(22), 5517-28.</w:t>
      </w:r>
    </w:p>
    <w:p w14:paraId="611E8113" w14:textId="0B2638D1" w:rsidR="005E185D" w:rsidRPr="00940AB8" w:rsidRDefault="00A43387" w:rsidP="00D50DB8">
      <w:pPr>
        <w:spacing w:after="0" w:line="480" w:lineRule="auto"/>
        <w:ind w:left="567" w:hanging="567"/>
        <w:jc w:val="both"/>
        <w:rPr>
          <w:rFonts w:ascii="Arial" w:hAnsi="Arial" w:cs="Arial"/>
        </w:rPr>
      </w:pPr>
      <w:r w:rsidRPr="00940AB8">
        <w:rPr>
          <w:rFonts w:ascii="Arial" w:hAnsi="Arial" w:cs="Arial"/>
        </w:rPr>
        <w:t xml:space="preserve">Wylie, L. J., Kelly, J., Bailey, S. J., Blackwell, J. R., Skiba, P. F., Winyard, P. G. &amp; </w:t>
      </w:r>
      <w:r w:rsidR="007442C5" w:rsidRPr="00940AB8">
        <w:rPr>
          <w:rFonts w:ascii="Arial" w:hAnsi="Arial" w:cs="Arial"/>
        </w:rPr>
        <w:t>Jones, A. M.</w:t>
      </w:r>
      <w:r w:rsidRPr="00940AB8">
        <w:rPr>
          <w:rFonts w:ascii="Arial" w:hAnsi="Arial" w:cs="Arial"/>
        </w:rPr>
        <w:t xml:space="preserve"> </w:t>
      </w:r>
      <w:r w:rsidR="007442C5" w:rsidRPr="00940AB8">
        <w:rPr>
          <w:rFonts w:ascii="Arial" w:hAnsi="Arial" w:cs="Arial"/>
        </w:rPr>
        <w:t>(</w:t>
      </w:r>
      <w:r w:rsidRPr="00940AB8">
        <w:rPr>
          <w:rFonts w:ascii="Arial" w:hAnsi="Arial" w:cs="Arial"/>
        </w:rPr>
        <w:t>2013</w:t>
      </w:r>
      <w:r w:rsidR="007442C5" w:rsidRPr="00940AB8">
        <w:rPr>
          <w:rFonts w:ascii="Arial" w:hAnsi="Arial" w:cs="Arial"/>
        </w:rPr>
        <w:t>)</w:t>
      </w:r>
      <w:r w:rsidR="005E185D" w:rsidRPr="00940AB8">
        <w:rPr>
          <w:rFonts w:ascii="Arial" w:hAnsi="Arial" w:cs="Arial"/>
        </w:rPr>
        <w:t xml:space="preserve">. Beetroot juice and exercise: pharmacodynamic and dose-response relationships. </w:t>
      </w:r>
      <w:r w:rsidR="005E185D" w:rsidRPr="00940AB8">
        <w:rPr>
          <w:rFonts w:ascii="Arial" w:hAnsi="Arial" w:cs="Arial"/>
          <w:i/>
        </w:rPr>
        <w:t>Journal of Applied Physiology</w:t>
      </w:r>
      <w:r w:rsidR="007442C5" w:rsidRPr="00940AB8">
        <w:rPr>
          <w:rFonts w:ascii="Arial" w:hAnsi="Arial" w:cs="Arial"/>
        </w:rPr>
        <w:t xml:space="preserve">, 115, </w:t>
      </w:r>
      <w:r w:rsidR="005E185D" w:rsidRPr="00940AB8">
        <w:rPr>
          <w:rFonts w:ascii="Arial" w:hAnsi="Arial" w:cs="Arial"/>
        </w:rPr>
        <w:t>325-336.</w:t>
      </w:r>
    </w:p>
    <w:p w14:paraId="1950887A" w14:textId="77777777" w:rsidR="00535417" w:rsidRPr="00940AB8" w:rsidRDefault="00535417" w:rsidP="00D50DB8">
      <w:pPr>
        <w:spacing w:after="0" w:line="480" w:lineRule="auto"/>
        <w:ind w:left="567" w:hanging="567"/>
        <w:jc w:val="both"/>
        <w:rPr>
          <w:rFonts w:ascii="Arial" w:hAnsi="Arial" w:cs="Arial"/>
        </w:rPr>
      </w:pPr>
    </w:p>
    <w:p w14:paraId="10F61AA0" w14:textId="77777777" w:rsidR="00940AB8" w:rsidRDefault="00940AB8">
      <w:pPr>
        <w:rPr>
          <w:rFonts w:ascii="Arial" w:hAnsi="Arial" w:cs="Arial"/>
          <w:b/>
        </w:rPr>
      </w:pPr>
      <w:r>
        <w:rPr>
          <w:rFonts w:cs="Arial"/>
          <w:b/>
        </w:rPr>
        <w:br w:type="page"/>
      </w:r>
    </w:p>
    <w:p w14:paraId="3622E787" w14:textId="7B65F1B1" w:rsidR="00EB3E4C" w:rsidRPr="00940AB8" w:rsidRDefault="00027814" w:rsidP="00D50DB8">
      <w:pPr>
        <w:pStyle w:val="NoSpacing"/>
        <w:spacing w:line="480" w:lineRule="auto"/>
        <w:jc w:val="both"/>
        <w:rPr>
          <w:rFonts w:cs="Arial"/>
          <w:b/>
          <w:sz w:val="22"/>
        </w:rPr>
      </w:pPr>
      <w:r w:rsidRPr="00940AB8">
        <w:rPr>
          <w:rFonts w:cs="Arial"/>
          <w:b/>
          <w:sz w:val="22"/>
        </w:rPr>
        <w:t>Figure Legends</w:t>
      </w:r>
    </w:p>
    <w:p w14:paraId="7418EBE0" w14:textId="437DF257" w:rsidR="00027814" w:rsidRPr="00940AB8" w:rsidRDefault="00027814" w:rsidP="00D50DB8">
      <w:pPr>
        <w:spacing w:line="360" w:lineRule="auto"/>
        <w:jc w:val="both"/>
        <w:rPr>
          <w:rFonts w:ascii="Arial" w:hAnsi="Arial" w:cs="Arial"/>
        </w:rPr>
      </w:pPr>
      <w:r w:rsidRPr="00940AB8">
        <w:rPr>
          <w:rFonts w:ascii="Arial" w:hAnsi="Arial" w:cs="Arial"/>
          <w:b/>
        </w:rPr>
        <w:t>Figure 1</w:t>
      </w:r>
      <w:r w:rsidR="00E8288F" w:rsidRPr="00940AB8">
        <w:rPr>
          <w:rFonts w:ascii="Arial" w:hAnsi="Arial" w:cs="Arial"/>
          <w:b/>
        </w:rPr>
        <w:t>.</w:t>
      </w:r>
      <w:r w:rsidRPr="00940AB8">
        <w:rPr>
          <w:rFonts w:ascii="Arial" w:hAnsi="Arial" w:cs="Arial"/>
        </w:rPr>
        <w:t xml:space="preserve"> Mean (± S</w:t>
      </w:r>
      <w:r w:rsidR="00940AB8">
        <w:rPr>
          <w:rFonts w:ascii="Arial" w:hAnsi="Arial" w:cs="Arial"/>
        </w:rPr>
        <w:t>D</w:t>
      </w:r>
      <w:r w:rsidRPr="00940AB8">
        <w:rPr>
          <w:rFonts w:ascii="Arial" w:hAnsi="Arial" w:cs="Arial"/>
        </w:rPr>
        <w:t xml:space="preserve">) </w:t>
      </w:r>
      <w:r w:rsidR="00B504BC" w:rsidRPr="00940AB8">
        <w:rPr>
          <w:rFonts w:ascii="Arial" w:hAnsi="Arial" w:cs="Arial"/>
        </w:rPr>
        <w:t xml:space="preserve">overall 40 km performance </w:t>
      </w:r>
      <w:r w:rsidRPr="00940AB8">
        <w:rPr>
          <w:rFonts w:ascii="Arial" w:hAnsi="Arial" w:cs="Arial"/>
        </w:rPr>
        <w:t>time</w:t>
      </w:r>
      <w:r w:rsidR="00B504BC" w:rsidRPr="00940AB8">
        <w:rPr>
          <w:rFonts w:ascii="Arial" w:hAnsi="Arial" w:cs="Arial"/>
        </w:rPr>
        <w:t xml:space="preserve"> for each experimental condition</w:t>
      </w:r>
      <w:r w:rsidR="007B3294">
        <w:rPr>
          <w:rFonts w:ascii="Arial" w:hAnsi="Arial" w:cs="Arial"/>
        </w:rPr>
        <w:t xml:space="preserve"> (a) and individual performance responses (b)</w:t>
      </w:r>
      <w:r w:rsidR="00B504BC" w:rsidRPr="00940AB8">
        <w:rPr>
          <w:rFonts w:ascii="Arial" w:hAnsi="Arial" w:cs="Arial"/>
        </w:rPr>
        <w:t>.</w:t>
      </w:r>
    </w:p>
    <w:p w14:paraId="7B1DD54D" w14:textId="59C04984" w:rsidR="00027814" w:rsidRPr="00940AB8" w:rsidRDefault="00027814" w:rsidP="00D50DB8">
      <w:pPr>
        <w:pStyle w:val="NoSpacing"/>
        <w:spacing w:line="480" w:lineRule="auto"/>
        <w:jc w:val="both"/>
        <w:rPr>
          <w:rFonts w:cs="Arial"/>
          <w:sz w:val="22"/>
        </w:rPr>
      </w:pPr>
    </w:p>
    <w:p w14:paraId="6BE6D1D3" w14:textId="687439E0" w:rsidR="00E8288F" w:rsidRPr="00940AB8" w:rsidRDefault="00E8288F" w:rsidP="00D50DB8">
      <w:pPr>
        <w:spacing w:line="360" w:lineRule="auto"/>
        <w:jc w:val="both"/>
        <w:rPr>
          <w:rFonts w:ascii="Arial" w:hAnsi="Arial" w:cs="Arial"/>
        </w:rPr>
      </w:pPr>
      <w:r w:rsidRPr="00940AB8">
        <w:rPr>
          <w:rFonts w:ascii="Arial" w:hAnsi="Arial" w:cs="Arial"/>
          <w:b/>
        </w:rPr>
        <w:t>Figure 2.</w:t>
      </w:r>
      <w:r w:rsidRPr="00940AB8">
        <w:rPr>
          <w:rFonts w:ascii="Arial" w:hAnsi="Arial" w:cs="Arial"/>
        </w:rPr>
        <w:t xml:space="preserve"> Mean (± S</w:t>
      </w:r>
      <w:r w:rsidR="00940AB8">
        <w:rPr>
          <w:rFonts w:ascii="Arial" w:hAnsi="Arial" w:cs="Arial"/>
        </w:rPr>
        <w:t>D</w:t>
      </w:r>
      <w:r w:rsidRPr="00940AB8">
        <w:rPr>
          <w:rFonts w:ascii="Arial" w:hAnsi="Arial" w:cs="Arial"/>
        </w:rPr>
        <w:t>) VO</w:t>
      </w:r>
      <w:r w:rsidRPr="00940AB8">
        <w:rPr>
          <w:rFonts w:ascii="Arial" w:hAnsi="Arial" w:cs="Arial"/>
          <w:vertAlign w:val="subscript"/>
        </w:rPr>
        <w:t>2</w:t>
      </w:r>
      <w:r w:rsidRPr="00940AB8">
        <w:rPr>
          <w:rFonts w:ascii="Arial" w:hAnsi="Arial" w:cs="Arial"/>
        </w:rPr>
        <w:t xml:space="preserve"> responses during each experimental condition during the 40 km time trials. (*) Denotes a significant increase in VO</w:t>
      </w:r>
      <w:r w:rsidRPr="00940AB8">
        <w:rPr>
          <w:rFonts w:ascii="Arial" w:hAnsi="Arial" w:cs="Arial"/>
          <w:vertAlign w:val="subscript"/>
        </w:rPr>
        <w:t>2</w:t>
      </w:r>
      <w:r w:rsidRPr="00940AB8">
        <w:rPr>
          <w:rFonts w:ascii="Arial" w:hAnsi="Arial" w:cs="Arial"/>
        </w:rPr>
        <w:t xml:space="preserve"> from the other distances in all conditions (p &lt; 0.01). </w:t>
      </w:r>
    </w:p>
    <w:p w14:paraId="60D0BD6A" w14:textId="07BD9CA9" w:rsidR="00E8288F" w:rsidRPr="00940AB8" w:rsidRDefault="00E8288F" w:rsidP="00D50DB8">
      <w:pPr>
        <w:pStyle w:val="NoSpacing"/>
        <w:spacing w:line="480" w:lineRule="auto"/>
        <w:jc w:val="both"/>
        <w:rPr>
          <w:rFonts w:cs="Arial"/>
          <w:b/>
          <w:sz w:val="22"/>
        </w:rPr>
      </w:pPr>
    </w:p>
    <w:p w14:paraId="102FA1CA" w14:textId="75AFF72A" w:rsidR="00E8288F" w:rsidRPr="00D50DB8" w:rsidRDefault="00E8288F" w:rsidP="00D50DB8">
      <w:pPr>
        <w:pStyle w:val="NoSpacing"/>
        <w:spacing w:line="480" w:lineRule="auto"/>
        <w:jc w:val="both"/>
        <w:rPr>
          <w:rFonts w:cs="Arial"/>
          <w:b/>
          <w:sz w:val="22"/>
        </w:rPr>
      </w:pPr>
    </w:p>
    <w:p w14:paraId="7AAA0FE6" w14:textId="265C8838" w:rsidR="00E8288F" w:rsidRPr="00D50DB8" w:rsidRDefault="00E8288F" w:rsidP="00D50DB8">
      <w:pPr>
        <w:pStyle w:val="NoSpacing"/>
        <w:spacing w:line="480" w:lineRule="auto"/>
        <w:jc w:val="both"/>
        <w:rPr>
          <w:rFonts w:cs="Arial"/>
          <w:b/>
          <w:sz w:val="22"/>
        </w:rPr>
      </w:pPr>
    </w:p>
    <w:p w14:paraId="5CC50312" w14:textId="77777777" w:rsidR="0032760B" w:rsidRPr="00D50DB8" w:rsidRDefault="0032760B" w:rsidP="00D50DB8">
      <w:pPr>
        <w:jc w:val="both"/>
        <w:rPr>
          <w:rFonts w:ascii="Arial" w:hAnsi="Arial" w:cs="Arial"/>
          <w:b/>
        </w:rPr>
      </w:pPr>
      <w:r w:rsidRPr="00D50DB8">
        <w:rPr>
          <w:rFonts w:ascii="Arial" w:hAnsi="Arial" w:cs="Arial"/>
          <w:b/>
        </w:rPr>
        <w:br w:type="page"/>
      </w:r>
    </w:p>
    <w:p w14:paraId="53995133" w14:textId="77777777" w:rsidR="0032760B" w:rsidRPr="00D50DB8" w:rsidRDefault="0032760B" w:rsidP="00D50DB8">
      <w:pPr>
        <w:pStyle w:val="NoSpacing"/>
        <w:spacing w:line="480" w:lineRule="auto"/>
        <w:jc w:val="both"/>
        <w:rPr>
          <w:rFonts w:cs="Arial"/>
          <w:b/>
          <w:sz w:val="22"/>
        </w:rPr>
        <w:sectPr w:rsidR="0032760B" w:rsidRPr="00D50DB8" w:rsidSect="0040023B">
          <w:headerReference w:type="default" r:id="rId8"/>
          <w:pgSz w:w="11906" w:h="16838"/>
          <w:pgMar w:top="1440" w:right="1440" w:bottom="1440" w:left="1440" w:header="708" w:footer="708" w:gutter="0"/>
          <w:lnNumType w:countBy="1" w:restart="continuous"/>
          <w:cols w:space="708"/>
          <w:docGrid w:linePitch="360"/>
        </w:sectPr>
      </w:pPr>
    </w:p>
    <w:p w14:paraId="3CB15747" w14:textId="5D711136" w:rsidR="0032760B" w:rsidRPr="00D50DB8" w:rsidRDefault="0032760B" w:rsidP="008B4EED">
      <w:pPr>
        <w:pStyle w:val="NoSpacing"/>
        <w:spacing w:line="480" w:lineRule="auto"/>
        <w:jc w:val="both"/>
        <w:rPr>
          <w:rFonts w:cs="Arial"/>
          <w:sz w:val="22"/>
        </w:rPr>
      </w:pPr>
      <w:r w:rsidRPr="00D50DB8">
        <w:rPr>
          <w:rFonts w:cs="Arial"/>
          <w:b/>
          <w:sz w:val="22"/>
        </w:rPr>
        <w:t>Table 1.</w:t>
      </w:r>
      <w:r w:rsidR="00A364AB" w:rsidRPr="00D50DB8">
        <w:rPr>
          <w:rFonts w:cs="Arial"/>
          <w:b/>
          <w:sz w:val="22"/>
        </w:rPr>
        <w:t xml:space="preserve"> </w:t>
      </w:r>
      <w:r w:rsidR="006B1518" w:rsidRPr="00D50DB8">
        <w:rPr>
          <w:rFonts w:cs="Arial"/>
          <w:sz w:val="22"/>
        </w:rPr>
        <w:t>Mean (±SD) Blood metabolite and subjective rating scale responses to nitrate and placebo ingestion during 40 km cycle time trials.</w:t>
      </w:r>
      <w:r w:rsidR="006B1518" w:rsidRPr="00D50DB8">
        <w:rPr>
          <w:rFonts w:cs="Arial"/>
          <w:b/>
          <w:sz w:val="22"/>
        </w:rPr>
        <w:t xml:space="preserve"> </w:t>
      </w:r>
      <w:r w:rsidR="00A364AB" w:rsidRPr="00D50DB8">
        <w:rPr>
          <w:rFonts w:cs="Arial"/>
          <w:sz w:val="22"/>
        </w:rPr>
        <w:t>(*</w:t>
      </w:r>
      <w:r w:rsidR="002B75FC" w:rsidRPr="00D50DB8">
        <w:rPr>
          <w:rFonts w:cs="Arial"/>
          <w:sz w:val="22"/>
        </w:rPr>
        <w:t xml:space="preserve">) Represents </w:t>
      </w:r>
      <w:r w:rsidR="00A364AB" w:rsidRPr="00D50DB8">
        <w:rPr>
          <w:rFonts w:cs="Arial"/>
          <w:sz w:val="22"/>
        </w:rPr>
        <w:t xml:space="preserve">a significantly increase from all other distances (p &lt; </w:t>
      </w:r>
      <w:r w:rsidR="002B75FC" w:rsidRPr="00D50DB8">
        <w:rPr>
          <w:rFonts w:cs="Arial"/>
          <w:sz w:val="22"/>
        </w:rPr>
        <w:t>0.001); (</w:t>
      </w:r>
      <w:r w:rsidR="002B75FC" w:rsidRPr="00D50DB8">
        <w:rPr>
          <w:rFonts w:cs="Arial"/>
          <w:sz w:val="22"/>
        </w:rPr>
        <w:sym w:font="Symbol" w:char="F0B7"/>
      </w:r>
      <w:r w:rsidR="002B75FC" w:rsidRPr="00D50DB8">
        <w:rPr>
          <w:rFonts w:cs="Arial"/>
          <w:sz w:val="22"/>
        </w:rPr>
        <w:t>) represents a significant change over the previous 30 km (p</w:t>
      </w:r>
      <w:r w:rsidR="006B1518" w:rsidRPr="00D50DB8">
        <w:rPr>
          <w:rFonts w:cs="Arial"/>
          <w:sz w:val="22"/>
        </w:rPr>
        <w:t xml:space="preserve"> &lt; 0.01</w:t>
      </w:r>
      <w:r w:rsidR="002B75FC" w:rsidRPr="00D50DB8">
        <w:rPr>
          <w:rFonts w:cs="Arial"/>
          <w:sz w:val="22"/>
        </w:rPr>
        <w:t>); (</w:t>
      </w:r>
      <w:r w:rsidR="002B75FC" w:rsidRPr="00D50DB8">
        <w:rPr>
          <w:rFonts w:cs="Arial"/>
          <w:sz w:val="22"/>
        </w:rPr>
        <w:sym w:font="Symbol" w:char="F0D1"/>
      </w:r>
      <w:r w:rsidR="002B75FC" w:rsidRPr="00D50DB8">
        <w:rPr>
          <w:rFonts w:cs="Arial"/>
          <w:sz w:val="22"/>
        </w:rPr>
        <w:t>) Denotes a significant decrease over the previous 10 km (p &lt; 0.05); and (</w:t>
      </w:r>
      <w:r w:rsidR="002B75FC" w:rsidRPr="00D50DB8">
        <w:rPr>
          <w:rFonts w:cs="Arial"/>
          <w:sz w:val="22"/>
        </w:rPr>
        <w:sym w:font="Symbol" w:char="F044"/>
      </w:r>
      <w:r w:rsidR="002B75FC" w:rsidRPr="00D50DB8">
        <w:rPr>
          <w:rFonts w:cs="Arial"/>
          <w:sz w:val="22"/>
        </w:rPr>
        <w:t>) represents a significant increase over the previous 10 km (p &lt; 0.05).</w:t>
      </w:r>
    </w:p>
    <w:p w14:paraId="76AE15A9" w14:textId="77777777" w:rsidR="00A72447" w:rsidRPr="00D50DB8" w:rsidRDefault="00A72447" w:rsidP="00D50DB8">
      <w:pPr>
        <w:pStyle w:val="NoSpacing"/>
        <w:jc w:val="both"/>
        <w:rPr>
          <w:rFonts w:cs="Arial"/>
          <w:b/>
          <w:sz w:val="22"/>
        </w:rPr>
      </w:pPr>
    </w:p>
    <w:tbl>
      <w:tblPr>
        <w:tblStyle w:val="TableGrid"/>
        <w:tblW w:w="0" w:type="auto"/>
        <w:tblLook w:val="04A0" w:firstRow="1" w:lastRow="0" w:firstColumn="1" w:lastColumn="0" w:noHBand="0" w:noVBand="1"/>
      </w:tblPr>
      <w:tblGrid>
        <w:gridCol w:w="1980"/>
        <w:gridCol w:w="1626"/>
        <w:gridCol w:w="1803"/>
        <w:gridCol w:w="1803"/>
        <w:gridCol w:w="1804"/>
      </w:tblGrid>
      <w:tr w:rsidR="00B0583A" w14:paraId="4E567BD6" w14:textId="77777777" w:rsidTr="00817576">
        <w:tc>
          <w:tcPr>
            <w:tcW w:w="1980" w:type="dxa"/>
            <w:tcBorders>
              <w:top w:val="double" w:sz="4" w:space="0" w:color="auto"/>
              <w:left w:val="nil"/>
              <w:bottom w:val="nil"/>
              <w:right w:val="nil"/>
            </w:tcBorders>
          </w:tcPr>
          <w:p w14:paraId="5A385A55" w14:textId="77777777" w:rsidR="00B0583A" w:rsidRPr="009705F7" w:rsidRDefault="00B0583A">
            <w:pPr>
              <w:rPr>
                <w:rFonts w:ascii="Arial" w:hAnsi="Arial" w:cs="Arial"/>
              </w:rPr>
            </w:pPr>
          </w:p>
        </w:tc>
        <w:tc>
          <w:tcPr>
            <w:tcW w:w="7036" w:type="dxa"/>
            <w:gridSpan w:val="4"/>
            <w:tcBorders>
              <w:top w:val="double" w:sz="4" w:space="0" w:color="auto"/>
              <w:left w:val="nil"/>
              <w:bottom w:val="nil"/>
              <w:right w:val="nil"/>
            </w:tcBorders>
          </w:tcPr>
          <w:p w14:paraId="27B10D43" w14:textId="0CFCA64F" w:rsidR="00B0583A" w:rsidRPr="009705F7" w:rsidRDefault="00B0583A" w:rsidP="00B0583A">
            <w:pPr>
              <w:jc w:val="center"/>
              <w:rPr>
                <w:rFonts w:ascii="Arial" w:hAnsi="Arial" w:cs="Arial"/>
              </w:rPr>
            </w:pPr>
            <w:r w:rsidRPr="009705F7">
              <w:rPr>
                <w:rFonts w:ascii="Arial" w:hAnsi="Arial" w:cs="Arial"/>
              </w:rPr>
              <w:t>Distance (km)</w:t>
            </w:r>
          </w:p>
        </w:tc>
      </w:tr>
      <w:tr w:rsidR="00B0583A" w14:paraId="0FD1D403" w14:textId="77777777" w:rsidTr="00817576">
        <w:tc>
          <w:tcPr>
            <w:tcW w:w="1980" w:type="dxa"/>
            <w:tcBorders>
              <w:top w:val="nil"/>
              <w:left w:val="nil"/>
              <w:bottom w:val="single" w:sz="4" w:space="0" w:color="auto"/>
              <w:right w:val="nil"/>
            </w:tcBorders>
          </w:tcPr>
          <w:p w14:paraId="66D998EE" w14:textId="77777777" w:rsidR="00B0583A" w:rsidRPr="009705F7" w:rsidRDefault="00B0583A">
            <w:pPr>
              <w:rPr>
                <w:rFonts w:ascii="Arial" w:hAnsi="Arial" w:cs="Arial"/>
              </w:rPr>
            </w:pPr>
          </w:p>
        </w:tc>
        <w:tc>
          <w:tcPr>
            <w:tcW w:w="1626" w:type="dxa"/>
            <w:tcBorders>
              <w:top w:val="nil"/>
              <w:left w:val="nil"/>
              <w:bottom w:val="single" w:sz="4" w:space="0" w:color="auto"/>
              <w:right w:val="nil"/>
            </w:tcBorders>
          </w:tcPr>
          <w:p w14:paraId="44CCDAA5" w14:textId="762DC137" w:rsidR="00B0583A" w:rsidRPr="009705F7" w:rsidRDefault="00B0583A" w:rsidP="00B0583A">
            <w:pPr>
              <w:jc w:val="center"/>
              <w:rPr>
                <w:rFonts w:ascii="Arial" w:hAnsi="Arial" w:cs="Arial"/>
              </w:rPr>
            </w:pPr>
            <w:r w:rsidRPr="009705F7">
              <w:rPr>
                <w:rFonts w:ascii="Arial" w:hAnsi="Arial" w:cs="Arial"/>
              </w:rPr>
              <w:t>10</w:t>
            </w:r>
          </w:p>
        </w:tc>
        <w:tc>
          <w:tcPr>
            <w:tcW w:w="1803" w:type="dxa"/>
            <w:tcBorders>
              <w:top w:val="nil"/>
              <w:left w:val="nil"/>
              <w:bottom w:val="single" w:sz="4" w:space="0" w:color="auto"/>
              <w:right w:val="nil"/>
            </w:tcBorders>
          </w:tcPr>
          <w:p w14:paraId="01ECD346" w14:textId="2A54A138" w:rsidR="00B0583A" w:rsidRPr="009705F7" w:rsidRDefault="00B0583A" w:rsidP="00B0583A">
            <w:pPr>
              <w:jc w:val="center"/>
              <w:rPr>
                <w:rFonts w:ascii="Arial" w:hAnsi="Arial" w:cs="Arial"/>
              </w:rPr>
            </w:pPr>
            <w:r w:rsidRPr="009705F7">
              <w:rPr>
                <w:rFonts w:ascii="Arial" w:hAnsi="Arial" w:cs="Arial"/>
              </w:rPr>
              <w:t>20</w:t>
            </w:r>
          </w:p>
        </w:tc>
        <w:tc>
          <w:tcPr>
            <w:tcW w:w="1803" w:type="dxa"/>
            <w:tcBorders>
              <w:top w:val="nil"/>
              <w:left w:val="nil"/>
              <w:bottom w:val="single" w:sz="4" w:space="0" w:color="auto"/>
              <w:right w:val="nil"/>
            </w:tcBorders>
          </w:tcPr>
          <w:p w14:paraId="7571C40C" w14:textId="6BA2D609" w:rsidR="00B0583A" w:rsidRPr="009705F7" w:rsidRDefault="00B0583A" w:rsidP="00B0583A">
            <w:pPr>
              <w:jc w:val="center"/>
              <w:rPr>
                <w:rFonts w:ascii="Arial" w:hAnsi="Arial" w:cs="Arial"/>
              </w:rPr>
            </w:pPr>
            <w:r w:rsidRPr="009705F7">
              <w:rPr>
                <w:rFonts w:ascii="Arial" w:hAnsi="Arial" w:cs="Arial"/>
              </w:rPr>
              <w:t>30</w:t>
            </w:r>
          </w:p>
        </w:tc>
        <w:tc>
          <w:tcPr>
            <w:tcW w:w="1804" w:type="dxa"/>
            <w:tcBorders>
              <w:top w:val="nil"/>
              <w:left w:val="nil"/>
              <w:bottom w:val="single" w:sz="4" w:space="0" w:color="auto"/>
              <w:right w:val="nil"/>
            </w:tcBorders>
          </w:tcPr>
          <w:p w14:paraId="287AF33B" w14:textId="704D295C" w:rsidR="00B0583A" w:rsidRPr="009705F7" w:rsidRDefault="00B0583A" w:rsidP="00B0583A">
            <w:pPr>
              <w:jc w:val="center"/>
              <w:rPr>
                <w:rFonts w:ascii="Arial" w:hAnsi="Arial" w:cs="Arial"/>
              </w:rPr>
            </w:pPr>
            <w:r w:rsidRPr="009705F7">
              <w:rPr>
                <w:rFonts w:ascii="Arial" w:hAnsi="Arial" w:cs="Arial"/>
              </w:rPr>
              <w:t>40</w:t>
            </w:r>
          </w:p>
        </w:tc>
      </w:tr>
      <w:tr w:rsidR="00B0583A" w14:paraId="657C2C86" w14:textId="77777777" w:rsidTr="00817576">
        <w:tc>
          <w:tcPr>
            <w:tcW w:w="1980" w:type="dxa"/>
            <w:tcBorders>
              <w:top w:val="single" w:sz="4" w:space="0" w:color="auto"/>
              <w:left w:val="nil"/>
              <w:bottom w:val="nil"/>
              <w:right w:val="nil"/>
            </w:tcBorders>
          </w:tcPr>
          <w:p w14:paraId="3A209FB2" w14:textId="77777777" w:rsidR="009705F7" w:rsidRDefault="009705F7">
            <w:pPr>
              <w:rPr>
                <w:rFonts w:ascii="Arial" w:hAnsi="Arial" w:cs="Arial"/>
              </w:rPr>
            </w:pPr>
          </w:p>
          <w:p w14:paraId="7FBF25B1" w14:textId="7593974F" w:rsidR="00B0583A" w:rsidRPr="009705F7" w:rsidRDefault="00B0583A">
            <w:pPr>
              <w:rPr>
                <w:rFonts w:ascii="Arial" w:hAnsi="Arial" w:cs="Arial"/>
              </w:rPr>
            </w:pPr>
            <w:r w:rsidRPr="009705F7">
              <w:rPr>
                <w:rFonts w:ascii="Arial" w:hAnsi="Arial" w:cs="Arial"/>
              </w:rPr>
              <w:t>Lactate (mmol.l</w:t>
            </w:r>
            <w:r w:rsidRPr="009705F7">
              <w:rPr>
                <w:rFonts w:ascii="Arial" w:hAnsi="Arial" w:cs="Arial"/>
                <w:vertAlign w:val="superscript"/>
              </w:rPr>
              <w:t>-1</w:t>
            </w:r>
            <w:r w:rsidRPr="009705F7">
              <w:rPr>
                <w:rFonts w:ascii="Arial" w:hAnsi="Arial" w:cs="Arial"/>
              </w:rPr>
              <w:t>)</w:t>
            </w:r>
          </w:p>
        </w:tc>
        <w:tc>
          <w:tcPr>
            <w:tcW w:w="1626" w:type="dxa"/>
            <w:tcBorders>
              <w:top w:val="single" w:sz="4" w:space="0" w:color="auto"/>
              <w:left w:val="nil"/>
              <w:bottom w:val="nil"/>
              <w:right w:val="nil"/>
            </w:tcBorders>
          </w:tcPr>
          <w:p w14:paraId="6315F6C1" w14:textId="77777777" w:rsidR="00B0583A" w:rsidRPr="009705F7" w:rsidRDefault="00B0583A">
            <w:pPr>
              <w:rPr>
                <w:rFonts w:ascii="Arial" w:hAnsi="Arial" w:cs="Arial"/>
              </w:rPr>
            </w:pPr>
          </w:p>
        </w:tc>
        <w:tc>
          <w:tcPr>
            <w:tcW w:w="1803" w:type="dxa"/>
            <w:tcBorders>
              <w:top w:val="single" w:sz="4" w:space="0" w:color="auto"/>
              <w:left w:val="nil"/>
              <w:bottom w:val="nil"/>
              <w:right w:val="nil"/>
            </w:tcBorders>
          </w:tcPr>
          <w:p w14:paraId="5CA822E7" w14:textId="77777777" w:rsidR="00B0583A" w:rsidRPr="009705F7" w:rsidRDefault="00B0583A">
            <w:pPr>
              <w:rPr>
                <w:rFonts w:ascii="Arial" w:hAnsi="Arial" w:cs="Arial"/>
              </w:rPr>
            </w:pPr>
          </w:p>
        </w:tc>
        <w:tc>
          <w:tcPr>
            <w:tcW w:w="1803" w:type="dxa"/>
            <w:tcBorders>
              <w:top w:val="single" w:sz="4" w:space="0" w:color="auto"/>
              <w:left w:val="nil"/>
              <w:bottom w:val="nil"/>
              <w:right w:val="nil"/>
            </w:tcBorders>
          </w:tcPr>
          <w:p w14:paraId="394FDB20" w14:textId="77777777" w:rsidR="00B0583A" w:rsidRPr="009705F7" w:rsidRDefault="00B0583A">
            <w:pPr>
              <w:rPr>
                <w:rFonts w:ascii="Arial" w:hAnsi="Arial" w:cs="Arial"/>
              </w:rPr>
            </w:pPr>
          </w:p>
        </w:tc>
        <w:tc>
          <w:tcPr>
            <w:tcW w:w="1804" w:type="dxa"/>
            <w:tcBorders>
              <w:top w:val="single" w:sz="4" w:space="0" w:color="auto"/>
              <w:left w:val="nil"/>
              <w:bottom w:val="nil"/>
              <w:right w:val="nil"/>
            </w:tcBorders>
          </w:tcPr>
          <w:p w14:paraId="479620FC" w14:textId="77777777" w:rsidR="00B0583A" w:rsidRPr="009705F7" w:rsidRDefault="00B0583A">
            <w:pPr>
              <w:rPr>
                <w:rFonts w:ascii="Arial" w:hAnsi="Arial" w:cs="Arial"/>
              </w:rPr>
            </w:pPr>
          </w:p>
        </w:tc>
      </w:tr>
      <w:tr w:rsidR="00B0583A" w14:paraId="2207942A" w14:textId="77777777" w:rsidTr="00817576">
        <w:tc>
          <w:tcPr>
            <w:tcW w:w="1980" w:type="dxa"/>
            <w:tcBorders>
              <w:top w:val="nil"/>
              <w:left w:val="nil"/>
              <w:bottom w:val="nil"/>
              <w:right w:val="nil"/>
            </w:tcBorders>
          </w:tcPr>
          <w:p w14:paraId="67C50DBC" w14:textId="661D2DB1" w:rsidR="00B0583A" w:rsidRPr="009705F7" w:rsidRDefault="00B0583A" w:rsidP="00420D7D">
            <w:pPr>
              <w:rPr>
                <w:rFonts w:ascii="Arial" w:hAnsi="Arial" w:cs="Arial"/>
              </w:rPr>
            </w:pPr>
            <w:r w:rsidRPr="009705F7">
              <w:rPr>
                <w:rFonts w:ascii="Arial" w:hAnsi="Arial" w:cs="Arial"/>
              </w:rPr>
              <w:t>Control</w:t>
            </w:r>
          </w:p>
        </w:tc>
        <w:tc>
          <w:tcPr>
            <w:tcW w:w="1626" w:type="dxa"/>
            <w:tcBorders>
              <w:top w:val="nil"/>
              <w:left w:val="nil"/>
              <w:bottom w:val="nil"/>
              <w:right w:val="nil"/>
            </w:tcBorders>
          </w:tcPr>
          <w:p w14:paraId="0DACC535" w14:textId="1743B334" w:rsidR="00B0583A" w:rsidRPr="009705F7" w:rsidRDefault="00B0583A" w:rsidP="00817576">
            <w:pPr>
              <w:jc w:val="center"/>
              <w:rPr>
                <w:rFonts w:ascii="Arial" w:hAnsi="Arial" w:cs="Arial"/>
              </w:rPr>
            </w:pPr>
            <w:r w:rsidRPr="009705F7">
              <w:rPr>
                <w:rFonts w:ascii="Arial" w:hAnsi="Arial" w:cs="Arial"/>
              </w:rPr>
              <w:t>5.15 ± 2.04</w:t>
            </w:r>
          </w:p>
        </w:tc>
        <w:tc>
          <w:tcPr>
            <w:tcW w:w="1803" w:type="dxa"/>
            <w:tcBorders>
              <w:top w:val="nil"/>
              <w:left w:val="nil"/>
              <w:bottom w:val="nil"/>
              <w:right w:val="nil"/>
            </w:tcBorders>
          </w:tcPr>
          <w:p w14:paraId="381648E9" w14:textId="4B75D834" w:rsidR="00B0583A" w:rsidRPr="009705F7" w:rsidRDefault="00B0583A" w:rsidP="00817576">
            <w:pPr>
              <w:jc w:val="center"/>
              <w:rPr>
                <w:rFonts w:ascii="Arial" w:hAnsi="Arial" w:cs="Arial"/>
              </w:rPr>
            </w:pPr>
            <w:r w:rsidRPr="009705F7">
              <w:rPr>
                <w:rFonts w:ascii="Arial" w:hAnsi="Arial" w:cs="Arial"/>
              </w:rPr>
              <w:t>5.04 ± 2.47</w:t>
            </w:r>
          </w:p>
        </w:tc>
        <w:tc>
          <w:tcPr>
            <w:tcW w:w="1803" w:type="dxa"/>
            <w:tcBorders>
              <w:top w:val="nil"/>
              <w:left w:val="nil"/>
              <w:bottom w:val="nil"/>
              <w:right w:val="nil"/>
            </w:tcBorders>
          </w:tcPr>
          <w:p w14:paraId="49F7F77F" w14:textId="5EF1AC41" w:rsidR="00B0583A" w:rsidRPr="009705F7" w:rsidRDefault="00B0583A" w:rsidP="00817576">
            <w:pPr>
              <w:jc w:val="center"/>
              <w:rPr>
                <w:rFonts w:ascii="Arial" w:hAnsi="Arial" w:cs="Arial"/>
              </w:rPr>
            </w:pPr>
            <w:r w:rsidRPr="009705F7">
              <w:rPr>
                <w:rFonts w:ascii="Arial" w:hAnsi="Arial" w:cs="Arial"/>
              </w:rPr>
              <w:t>6.56 ± 3.70</w:t>
            </w:r>
          </w:p>
        </w:tc>
        <w:tc>
          <w:tcPr>
            <w:tcW w:w="1804" w:type="dxa"/>
            <w:tcBorders>
              <w:top w:val="nil"/>
              <w:left w:val="nil"/>
              <w:bottom w:val="nil"/>
              <w:right w:val="nil"/>
            </w:tcBorders>
          </w:tcPr>
          <w:p w14:paraId="48DEAFB5" w14:textId="4342B04C" w:rsidR="00B0583A" w:rsidRPr="009705F7" w:rsidRDefault="00B0583A" w:rsidP="00817576">
            <w:pPr>
              <w:jc w:val="center"/>
              <w:rPr>
                <w:rFonts w:ascii="Arial" w:hAnsi="Arial" w:cs="Arial"/>
              </w:rPr>
            </w:pPr>
            <w:r w:rsidRPr="009705F7">
              <w:rPr>
                <w:rFonts w:ascii="Arial" w:hAnsi="Arial" w:cs="Arial"/>
              </w:rPr>
              <w:t>9.15 ± 3.47</w:t>
            </w:r>
            <w:r w:rsidR="003B1687" w:rsidRPr="009705F7">
              <w:rPr>
                <w:rFonts w:ascii="Arial" w:hAnsi="Arial" w:cs="Arial"/>
              </w:rPr>
              <w:t>*</w:t>
            </w:r>
            <w:r w:rsidR="003B1687" w:rsidRPr="009705F7">
              <w:rPr>
                <w:rFonts w:ascii="Arial" w:hAnsi="Arial" w:cs="Arial"/>
              </w:rPr>
              <w:sym w:font="Symbol" w:char="F0B7"/>
            </w:r>
          </w:p>
        </w:tc>
      </w:tr>
      <w:tr w:rsidR="00B0583A" w14:paraId="49397C94" w14:textId="77777777" w:rsidTr="00817576">
        <w:tc>
          <w:tcPr>
            <w:tcW w:w="1980" w:type="dxa"/>
            <w:tcBorders>
              <w:top w:val="nil"/>
              <w:left w:val="nil"/>
              <w:bottom w:val="nil"/>
              <w:right w:val="nil"/>
            </w:tcBorders>
          </w:tcPr>
          <w:p w14:paraId="17CBC7D5" w14:textId="5F79DC86" w:rsidR="00B0583A" w:rsidRPr="009705F7" w:rsidRDefault="00B0583A" w:rsidP="00420D7D">
            <w:pPr>
              <w:rPr>
                <w:rFonts w:ascii="Arial" w:hAnsi="Arial" w:cs="Arial"/>
              </w:rPr>
            </w:pPr>
            <w:r w:rsidRPr="009705F7">
              <w:rPr>
                <w:rFonts w:ascii="Arial" w:hAnsi="Arial" w:cs="Arial"/>
              </w:rPr>
              <w:t>Placebo</w:t>
            </w:r>
          </w:p>
        </w:tc>
        <w:tc>
          <w:tcPr>
            <w:tcW w:w="1626" w:type="dxa"/>
            <w:tcBorders>
              <w:top w:val="nil"/>
              <w:left w:val="nil"/>
              <w:bottom w:val="nil"/>
              <w:right w:val="nil"/>
            </w:tcBorders>
          </w:tcPr>
          <w:p w14:paraId="7FBDEF2C" w14:textId="45B13EE8" w:rsidR="00B0583A" w:rsidRPr="009705F7" w:rsidRDefault="00B0583A" w:rsidP="00817576">
            <w:pPr>
              <w:jc w:val="center"/>
              <w:rPr>
                <w:rFonts w:ascii="Arial" w:hAnsi="Arial" w:cs="Arial"/>
              </w:rPr>
            </w:pPr>
            <w:r w:rsidRPr="009705F7">
              <w:rPr>
                <w:rFonts w:ascii="Arial" w:hAnsi="Arial" w:cs="Arial"/>
              </w:rPr>
              <w:t>5.05 ± 2.14</w:t>
            </w:r>
          </w:p>
        </w:tc>
        <w:tc>
          <w:tcPr>
            <w:tcW w:w="1803" w:type="dxa"/>
            <w:tcBorders>
              <w:top w:val="nil"/>
              <w:left w:val="nil"/>
              <w:bottom w:val="nil"/>
              <w:right w:val="nil"/>
            </w:tcBorders>
          </w:tcPr>
          <w:p w14:paraId="348D5F0D" w14:textId="6AA0B28B" w:rsidR="00B0583A" w:rsidRPr="009705F7" w:rsidRDefault="00B0583A" w:rsidP="00817576">
            <w:pPr>
              <w:jc w:val="center"/>
              <w:rPr>
                <w:rFonts w:ascii="Arial" w:hAnsi="Arial" w:cs="Arial"/>
              </w:rPr>
            </w:pPr>
            <w:r w:rsidRPr="009705F7">
              <w:rPr>
                <w:rFonts w:ascii="Arial" w:hAnsi="Arial" w:cs="Arial"/>
              </w:rPr>
              <w:t>4.95 ± 2.93</w:t>
            </w:r>
          </w:p>
        </w:tc>
        <w:tc>
          <w:tcPr>
            <w:tcW w:w="1803" w:type="dxa"/>
            <w:tcBorders>
              <w:top w:val="nil"/>
              <w:left w:val="nil"/>
              <w:bottom w:val="nil"/>
              <w:right w:val="nil"/>
            </w:tcBorders>
          </w:tcPr>
          <w:p w14:paraId="2E843723" w14:textId="42A6AED5" w:rsidR="00B0583A" w:rsidRPr="009705F7" w:rsidRDefault="00B0583A" w:rsidP="00817576">
            <w:pPr>
              <w:jc w:val="center"/>
              <w:rPr>
                <w:rFonts w:ascii="Arial" w:hAnsi="Arial" w:cs="Arial"/>
              </w:rPr>
            </w:pPr>
            <w:r w:rsidRPr="009705F7">
              <w:rPr>
                <w:rFonts w:ascii="Arial" w:hAnsi="Arial" w:cs="Arial"/>
              </w:rPr>
              <w:t>5.09 ± 3.03</w:t>
            </w:r>
          </w:p>
        </w:tc>
        <w:tc>
          <w:tcPr>
            <w:tcW w:w="1804" w:type="dxa"/>
            <w:tcBorders>
              <w:top w:val="nil"/>
              <w:left w:val="nil"/>
              <w:bottom w:val="nil"/>
              <w:right w:val="nil"/>
            </w:tcBorders>
          </w:tcPr>
          <w:p w14:paraId="21440326" w14:textId="0C66E7DA" w:rsidR="00B0583A" w:rsidRPr="009705F7" w:rsidRDefault="00B0583A" w:rsidP="00817576">
            <w:pPr>
              <w:jc w:val="center"/>
              <w:rPr>
                <w:rFonts w:ascii="Arial" w:hAnsi="Arial" w:cs="Arial"/>
              </w:rPr>
            </w:pPr>
            <w:r w:rsidRPr="009705F7">
              <w:rPr>
                <w:rFonts w:ascii="Arial" w:hAnsi="Arial" w:cs="Arial"/>
              </w:rPr>
              <w:t xml:space="preserve">8.75 ± </w:t>
            </w:r>
            <w:r w:rsidR="003B1687" w:rsidRPr="009705F7">
              <w:rPr>
                <w:rFonts w:ascii="Arial" w:hAnsi="Arial" w:cs="Arial"/>
              </w:rPr>
              <w:t>3.38*</w:t>
            </w:r>
            <w:r w:rsidR="003B1687" w:rsidRPr="009705F7">
              <w:rPr>
                <w:rFonts w:ascii="Arial" w:hAnsi="Arial" w:cs="Arial"/>
              </w:rPr>
              <w:sym w:font="Symbol" w:char="F0B7"/>
            </w:r>
          </w:p>
        </w:tc>
      </w:tr>
      <w:tr w:rsidR="00B0583A" w14:paraId="6525ABE5" w14:textId="77777777" w:rsidTr="00817576">
        <w:tc>
          <w:tcPr>
            <w:tcW w:w="1980" w:type="dxa"/>
            <w:tcBorders>
              <w:top w:val="nil"/>
              <w:left w:val="nil"/>
              <w:bottom w:val="nil"/>
              <w:right w:val="nil"/>
            </w:tcBorders>
          </w:tcPr>
          <w:p w14:paraId="3D6D2750" w14:textId="2868ADCF" w:rsidR="00B0583A" w:rsidRPr="009705F7" w:rsidRDefault="00B0583A" w:rsidP="00420D7D">
            <w:pPr>
              <w:rPr>
                <w:rFonts w:ascii="Arial" w:hAnsi="Arial" w:cs="Arial"/>
              </w:rPr>
            </w:pPr>
            <w:r w:rsidRPr="009705F7">
              <w:rPr>
                <w:rFonts w:ascii="Arial" w:hAnsi="Arial" w:cs="Arial"/>
              </w:rPr>
              <w:t>Nitrate</w:t>
            </w:r>
          </w:p>
        </w:tc>
        <w:tc>
          <w:tcPr>
            <w:tcW w:w="1626" w:type="dxa"/>
            <w:tcBorders>
              <w:top w:val="nil"/>
              <w:left w:val="nil"/>
              <w:bottom w:val="nil"/>
              <w:right w:val="nil"/>
            </w:tcBorders>
          </w:tcPr>
          <w:p w14:paraId="1F89F0F8" w14:textId="30024D1C" w:rsidR="00B0583A" w:rsidRPr="009705F7" w:rsidRDefault="00B0583A" w:rsidP="00817576">
            <w:pPr>
              <w:jc w:val="center"/>
              <w:rPr>
                <w:rFonts w:ascii="Arial" w:hAnsi="Arial" w:cs="Arial"/>
              </w:rPr>
            </w:pPr>
            <w:r w:rsidRPr="009705F7">
              <w:rPr>
                <w:rFonts w:ascii="Arial" w:hAnsi="Arial" w:cs="Arial"/>
              </w:rPr>
              <w:t>4.33 ± 2.05</w:t>
            </w:r>
          </w:p>
        </w:tc>
        <w:tc>
          <w:tcPr>
            <w:tcW w:w="1803" w:type="dxa"/>
            <w:tcBorders>
              <w:top w:val="nil"/>
              <w:left w:val="nil"/>
              <w:bottom w:val="nil"/>
              <w:right w:val="nil"/>
            </w:tcBorders>
          </w:tcPr>
          <w:p w14:paraId="09EE29D2" w14:textId="55AE11ED" w:rsidR="00B0583A" w:rsidRPr="009705F7" w:rsidRDefault="00B0583A" w:rsidP="00817576">
            <w:pPr>
              <w:jc w:val="center"/>
              <w:rPr>
                <w:rFonts w:ascii="Arial" w:hAnsi="Arial" w:cs="Arial"/>
              </w:rPr>
            </w:pPr>
            <w:r w:rsidRPr="009705F7">
              <w:rPr>
                <w:rFonts w:ascii="Arial" w:hAnsi="Arial" w:cs="Arial"/>
              </w:rPr>
              <w:t>3.97 ± 2.00</w:t>
            </w:r>
          </w:p>
        </w:tc>
        <w:tc>
          <w:tcPr>
            <w:tcW w:w="1803" w:type="dxa"/>
            <w:tcBorders>
              <w:top w:val="nil"/>
              <w:left w:val="nil"/>
              <w:bottom w:val="nil"/>
              <w:right w:val="nil"/>
            </w:tcBorders>
          </w:tcPr>
          <w:p w14:paraId="10C71AF5" w14:textId="1940E96C" w:rsidR="00B0583A" w:rsidRPr="009705F7" w:rsidRDefault="00B0583A" w:rsidP="00817576">
            <w:pPr>
              <w:jc w:val="center"/>
              <w:rPr>
                <w:rFonts w:ascii="Arial" w:hAnsi="Arial" w:cs="Arial"/>
              </w:rPr>
            </w:pPr>
            <w:r w:rsidRPr="009705F7">
              <w:rPr>
                <w:rFonts w:ascii="Arial" w:hAnsi="Arial" w:cs="Arial"/>
              </w:rPr>
              <w:t>3.99 ± 2.06</w:t>
            </w:r>
          </w:p>
        </w:tc>
        <w:tc>
          <w:tcPr>
            <w:tcW w:w="1804" w:type="dxa"/>
            <w:tcBorders>
              <w:top w:val="nil"/>
              <w:left w:val="nil"/>
              <w:bottom w:val="nil"/>
              <w:right w:val="nil"/>
            </w:tcBorders>
          </w:tcPr>
          <w:p w14:paraId="4161EF49" w14:textId="767B953E" w:rsidR="00B0583A" w:rsidRPr="009705F7" w:rsidRDefault="003B1687" w:rsidP="00817576">
            <w:pPr>
              <w:jc w:val="center"/>
              <w:rPr>
                <w:rFonts w:ascii="Arial" w:hAnsi="Arial" w:cs="Arial"/>
              </w:rPr>
            </w:pPr>
            <w:r w:rsidRPr="009705F7">
              <w:rPr>
                <w:rFonts w:ascii="Arial" w:hAnsi="Arial" w:cs="Arial"/>
              </w:rPr>
              <w:t>7.79 ± 2.00*</w:t>
            </w:r>
            <w:r w:rsidRPr="009705F7">
              <w:rPr>
                <w:rFonts w:ascii="Arial" w:hAnsi="Arial" w:cs="Arial"/>
              </w:rPr>
              <w:sym w:font="Symbol" w:char="F0B7"/>
            </w:r>
          </w:p>
        </w:tc>
      </w:tr>
      <w:tr w:rsidR="00B0583A" w14:paraId="762C1465" w14:textId="77777777" w:rsidTr="00817576">
        <w:tc>
          <w:tcPr>
            <w:tcW w:w="1980" w:type="dxa"/>
            <w:tcBorders>
              <w:top w:val="nil"/>
              <w:left w:val="nil"/>
              <w:bottom w:val="nil"/>
              <w:right w:val="nil"/>
            </w:tcBorders>
          </w:tcPr>
          <w:p w14:paraId="71404B00" w14:textId="77777777" w:rsidR="00B0583A" w:rsidRPr="009705F7" w:rsidRDefault="00B0583A">
            <w:pPr>
              <w:rPr>
                <w:rFonts w:ascii="Arial" w:hAnsi="Arial" w:cs="Arial"/>
              </w:rPr>
            </w:pPr>
          </w:p>
        </w:tc>
        <w:tc>
          <w:tcPr>
            <w:tcW w:w="1626" w:type="dxa"/>
            <w:tcBorders>
              <w:top w:val="nil"/>
              <w:left w:val="nil"/>
              <w:bottom w:val="nil"/>
              <w:right w:val="nil"/>
            </w:tcBorders>
          </w:tcPr>
          <w:p w14:paraId="4A8A44E6" w14:textId="77777777" w:rsidR="00B0583A" w:rsidRPr="009705F7" w:rsidRDefault="00B0583A" w:rsidP="00817576">
            <w:pPr>
              <w:jc w:val="center"/>
              <w:rPr>
                <w:rFonts w:ascii="Arial" w:hAnsi="Arial" w:cs="Arial"/>
              </w:rPr>
            </w:pPr>
          </w:p>
        </w:tc>
        <w:tc>
          <w:tcPr>
            <w:tcW w:w="1803" w:type="dxa"/>
            <w:tcBorders>
              <w:top w:val="nil"/>
              <w:left w:val="nil"/>
              <w:bottom w:val="nil"/>
              <w:right w:val="nil"/>
            </w:tcBorders>
          </w:tcPr>
          <w:p w14:paraId="3581F5CF" w14:textId="77777777" w:rsidR="00B0583A" w:rsidRPr="009705F7" w:rsidRDefault="00B0583A" w:rsidP="00817576">
            <w:pPr>
              <w:jc w:val="center"/>
              <w:rPr>
                <w:rFonts w:ascii="Arial" w:hAnsi="Arial" w:cs="Arial"/>
              </w:rPr>
            </w:pPr>
          </w:p>
        </w:tc>
        <w:tc>
          <w:tcPr>
            <w:tcW w:w="1803" w:type="dxa"/>
            <w:tcBorders>
              <w:top w:val="nil"/>
              <w:left w:val="nil"/>
              <w:bottom w:val="nil"/>
              <w:right w:val="nil"/>
            </w:tcBorders>
          </w:tcPr>
          <w:p w14:paraId="55BFE043" w14:textId="77777777" w:rsidR="00B0583A" w:rsidRPr="009705F7" w:rsidRDefault="00B0583A" w:rsidP="00817576">
            <w:pPr>
              <w:jc w:val="center"/>
              <w:rPr>
                <w:rFonts w:ascii="Arial" w:hAnsi="Arial" w:cs="Arial"/>
              </w:rPr>
            </w:pPr>
          </w:p>
        </w:tc>
        <w:tc>
          <w:tcPr>
            <w:tcW w:w="1804" w:type="dxa"/>
            <w:tcBorders>
              <w:top w:val="nil"/>
              <w:left w:val="nil"/>
              <w:bottom w:val="nil"/>
              <w:right w:val="nil"/>
            </w:tcBorders>
          </w:tcPr>
          <w:p w14:paraId="3D0B50EB" w14:textId="77777777" w:rsidR="00B0583A" w:rsidRPr="009705F7" w:rsidRDefault="00B0583A" w:rsidP="00817576">
            <w:pPr>
              <w:jc w:val="center"/>
              <w:rPr>
                <w:rFonts w:ascii="Arial" w:hAnsi="Arial" w:cs="Arial"/>
              </w:rPr>
            </w:pPr>
          </w:p>
        </w:tc>
      </w:tr>
      <w:tr w:rsidR="00B0583A" w14:paraId="29F0A37A" w14:textId="77777777" w:rsidTr="00817576">
        <w:tc>
          <w:tcPr>
            <w:tcW w:w="1980" w:type="dxa"/>
            <w:tcBorders>
              <w:top w:val="nil"/>
              <w:left w:val="nil"/>
              <w:bottom w:val="nil"/>
              <w:right w:val="nil"/>
            </w:tcBorders>
          </w:tcPr>
          <w:p w14:paraId="14175C68" w14:textId="6735251C" w:rsidR="00B0583A" w:rsidRPr="009705F7" w:rsidRDefault="00B0583A">
            <w:pPr>
              <w:rPr>
                <w:rFonts w:ascii="Arial" w:hAnsi="Arial" w:cs="Arial"/>
              </w:rPr>
            </w:pPr>
            <w:r w:rsidRPr="009705F7">
              <w:rPr>
                <w:rFonts w:ascii="Arial" w:hAnsi="Arial" w:cs="Arial"/>
              </w:rPr>
              <w:t>pH</w:t>
            </w:r>
          </w:p>
        </w:tc>
        <w:tc>
          <w:tcPr>
            <w:tcW w:w="1626" w:type="dxa"/>
            <w:tcBorders>
              <w:top w:val="nil"/>
              <w:left w:val="nil"/>
              <w:bottom w:val="nil"/>
              <w:right w:val="nil"/>
            </w:tcBorders>
          </w:tcPr>
          <w:p w14:paraId="5F40C30B" w14:textId="77777777" w:rsidR="00B0583A" w:rsidRPr="009705F7" w:rsidRDefault="00B0583A" w:rsidP="00817576">
            <w:pPr>
              <w:jc w:val="center"/>
              <w:rPr>
                <w:rFonts w:ascii="Arial" w:hAnsi="Arial" w:cs="Arial"/>
              </w:rPr>
            </w:pPr>
          </w:p>
        </w:tc>
        <w:tc>
          <w:tcPr>
            <w:tcW w:w="1803" w:type="dxa"/>
            <w:tcBorders>
              <w:top w:val="nil"/>
              <w:left w:val="nil"/>
              <w:bottom w:val="nil"/>
              <w:right w:val="nil"/>
            </w:tcBorders>
          </w:tcPr>
          <w:p w14:paraId="52875EDA" w14:textId="77777777" w:rsidR="00B0583A" w:rsidRPr="009705F7" w:rsidRDefault="00B0583A" w:rsidP="00817576">
            <w:pPr>
              <w:jc w:val="center"/>
              <w:rPr>
                <w:rFonts w:ascii="Arial" w:hAnsi="Arial" w:cs="Arial"/>
              </w:rPr>
            </w:pPr>
          </w:p>
        </w:tc>
        <w:tc>
          <w:tcPr>
            <w:tcW w:w="1803" w:type="dxa"/>
            <w:tcBorders>
              <w:top w:val="nil"/>
              <w:left w:val="nil"/>
              <w:bottom w:val="nil"/>
              <w:right w:val="nil"/>
            </w:tcBorders>
          </w:tcPr>
          <w:p w14:paraId="2E4EB394" w14:textId="77777777" w:rsidR="00B0583A" w:rsidRPr="009705F7" w:rsidRDefault="00B0583A" w:rsidP="00817576">
            <w:pPr>
              <w:jc w:val="center"/>
              <w:rPr>
                <w:rFonts w:ascii="Arial" w:hAnsi="Arial" w:cs="Arial"/>
              </w:rPr>
            </w:pPr>
          </w:p>
        </w:tc>
        <w:tc>
          <w:tcPr>
            <w:tcW w:w="1804" w:type="dxa"/>
            <w:tcBorders>
              <w:top w:val="nil"/>
              <w:left w:val="nil"/>
              <w:bottom w:val="nil"/>
              <w:right w:val="nil"/>
            </w:tcBorders>
          </w:tcPr>
          <w:p w14:paraId="1C4BFB33" w14:textId="77777777" w:rsidR="00B0583A" w:rsidRPr="009705F7" w:rsidRDefault="00B0583A" w:rsidP="00817576">
            <w:pPr>
              <w:jc w:val="center"/>
              <w:rPr>
                <w:rFonts w:ascii="Arial" w:hAnsi="Arial" w:cs="Arial"/>
              </w:rPr>
            </w:pPr>
          </w:p>
        </w:tc>
      </w:tr>
      <w:tr w:rsidR="00B0583A" w14:paraId="70277B2E" w14:textId="77777777" w:rsidTr="00817576">
        <w:tc>
          <w:tcPr>
            <w:tcW w:w="1980" w:type="dxa"/>
            <w:tcBorders>
              <w:top w:val="nil"/>
              <w:left w:val="nil"/>
              <w:bottom w:val="nil"/>
              <w:right w:val="nil"/>
            </w:tcBorders>
          </w:tcPr>
          <w:p w14:paraId="1E5D27B3" w14:textId="0450B9D4" w:rsidR="00B0583A" w:rsidRPr="009705F7" w:rsidRDefault="00B0583A" w:rsidP="00420D7D">
            <w:pPr>
              <w:rPr>
                <w:rFonts w:ascii="Arial" w:hAnsi="Arial" w:cs="Arial"/>
              </w:rPr>
            </w:pPr>
            <w:r w:rsidRPr="009705F7">
              <w:rPr>
                <w:rFonts w:ascii="Arial" w:hAnsi="Arial" w:cs="Arial"/>
              </w:rPr>
              <w:t>Control</w:t>
            </w:r>
          </w:p>
        </w:tc>
        <w:tc>
          <w:tcPr>
            <w:tcW w:w="1626" w:type="dxa"/>
            <w:tcBorders>
              <w:top w:val="nil"/>
              <w:left w:val="nil"/>
              <w:bottom w:val="nil"/>
              <w:right w:val="nil"/>
            </w:tcBorders>
          </w:tcPr>
          <w:p w14:paraId="76C8CECC" w14:textId="39AC05CD" w:rsidR="00B0583A" w:rsidRPr="009705F7" w:rsidRDefault="003B1687" w:rsidP="00817576">
            <w:pPr>
              <w:jc w:val="center"/>
              <w:rPr>
                <w:rFonts w:ascii="Arial" w:hAnsi="Arial" w:cs="Arial"/>
              </w:rPr>
            </w:pPr>
            <w:r w:rsidRPr="009705F7">
              <w:rPr>
                <w:rFonts w:ascii="Arial" w:hAnsi="Arial" w:cs="Arial"/>
              </w:rPr>
              <w:t>7.37 ± 0.05</w:t>
            </w:r>
          </w:p>
        </w:tc>
        <w:tc>
          <w:tcPr>
            <w:tcW w:w="1803" w:type="dxa"/>
            <w:tcBorders>
              <w:top w:val="nil"/>
              <w:left w:val="nil"/>
              <w:bottom w:val="nil"/>
              <w:right w:val="nil"/>
            </w:tcBorders>
          </w:tcPr>
          <w:p w14:paraId="10B260F9" w14:textId="5CB1B063" w:rsidR="00B0583A" w:rsidRPr="009705F7" w:rsidRDefault="003B1687" w:rsidP="00817576">
            <w:pPr>
              <w:jc w:val="center"/>
              <w:rPr>
                <w:rFonts w:ascii="Arial" w:hAnsi="Arial" w:cs="Arial"/>
              </w:rPr>
            </w:pPr>
            <w:r w:rsidRPr="009705F7">
              <w:rPr>
                <w:rFonts w:ascii="Arial" w:hAnsi="Arial" w:cs="Arial"/>
              </w:rPr>
              <w:t>7.39 ± 0.06</w:t>
            </w:r>
          </w:p>
        </w:tc>
        <w:tc>
          <w:tcPr>
            <w:tcW w:w="1803" w:type="dxa"/>
            <w:tcBorders>
              <w:top w:val="nil"/>
              <w:left w:val="nil"/>
              <w:bottom w:val="nil"/>
              <w:right w:val="nil"/>
            </w:tcBorders>
          </w:tcPr>
          <w:p w14:paraId="263EE37C" w14:textId="4F127F3C" w:rsidR="00B0583A" w:rsidRPr="009705F7" w:rsidRDefault="003B1687" w:rsidP="00817576">
            <w:pPr>
              <w:jc w:val="center"/>
              <w:rPr>
                <w:rFonts w:ascii="Arial" w:hAnsi="Arial" w:cs="Arial"/>
              </w:rPr>
            </w:pPr>
            <w:r w:rsidRPr="009705F7">
              <w:rPr>
                <w:rFonts w:ascii="Arial" w:hAnsi="Arial" w:cs="Arial"/>
              </w:rPr>
              <w:t>7.40 ± 0.05</w:t>
            </w:r>
          </w:p>
        </w:tc>
        <w:tc>
          <w:tcPr>
            <w:tcW w:w="1804" w:type="dxa"/>
            <w:tcBorders>
              <w:top w:val="nil"/>
              <w:left w:val="nil"/>
              <w:bottom w:val="nil"/>
              <w:right w:val="nil"/>
            </w:tcBorders>
          </w:tcPr>
          <w:p w14:paraId="55A9DA45" w14:textId="191B1DA4" w:rsidR="00B0583A" w:rsidRPr="009705F7" w:rsidRDefault="003B1687" w:rsidP="00817576">
            <w:pPr>
              <w:jc w:val="center"/>
              <w:rPr>
                <w:rFonts w:ascii="Arial" w:hAnsi="Arial" w:cs="Arial"/>
              </w:rPr>
            </w:pPr>
            <w:r w:rsidRPr="009705F7">
              <w:rPr>
                <w:rFonts w:ascii="Arial" w:hAnsi="Arial" w:cs="Arial"/>
              </w:rPr>
              <w:t>7.34 ± 0.06</w:t>
            </w:r>
            <w:r w:rsidRPr="009705F7">
              <w:rPr>
                <w:rFonts w:ascii="Arial" w:hAnsi="Arial" w:cs="Arial"/>
              </w:rPr>
              <w:sym w:font="Symbol" w:char="F0D1"/>
            </w:r>
          </w:p>
        </w:tc>
      </w:tr>
      <w:tr w:rsidR="00B0583A" w14:paraId="5B95F9A6" w14:textId="77777777" w:rsidTr="00817576">
        <w:tc>
          <w:tcPr>
            <w:tcW w:w="1980" w:type="dxa"/>
            <w:tcBorders>
              <w:top w:val="nil"/>
              <w:left w:val="nil"/>
              <w:bottom w:val="nil"/>
              <w:right w:val="nil"/>
            </w:tcBorders>
          </w:tcPr>
          <w:p w14:paraId="7EB94F14" w14:textId="27F5A7A6" w:rsidR="00B0583A" w:rsidRPr="009705F7" w:rsidRDefault="00B0583A" w:rsidP="00420D7D">
            <w:pPr>
              <w:rPr>
                <w:rFonts w:ascii="Arial" w:hAnsi="Arial" w:cs="Arial"/>
              </w:rPr>
            </w:pPr>
            <w:r w:rsidRPr="009705F7">
              <w:rPr>
                <w:rFonts w:ascii="Arial" w:hAnsi="Arial" w:cs="Arial"/>
              </w:rPr>
              <w:t>Placebo</w:t>
            </w:r>
          </w:p>
        </w:tc>
        <w:tc>
          <w:tcPr>
            <w:tcW w:w="1626" w:type="dxa"/>
            <w:tcBorders>
              <w:top w:val="nil"/>
              <w:left w:val="nil"/>
              <w:bottom w:val="nil"/>
              <w:right w:val="nil"/>
            </w:tcBorders>
          </w:tcPr>
          <w:p w14:paraId="261BB757" w14:textId="7EAC42AE" w:rsidR="00B0583A" w:rsidRPr="009705F7" w:rsidRDefault="003B1687" w:rsidP="00817576">
            <w:pPr>
              <w:jc w:val="center"/>
              <w:rPr>
                <w:rFonts w:ascii="Arial" w:hAnsi="Arial" w:cs="Arial"/>
              </w:rPr>
            </w:pPr>
            <w:r w:rsidRPr="009705F7">
              <w:rPr>
                <w:rFonts w:ascii="Arial" w:hAnsi="Arial" w:cs="Arial"/>
              </w:rPr>
              <w:t>7.40 ± 0.04</w:t>
            </w:r>
          </w:p>
        </w:tc>
        <w:tc>
          <w:tcPr>
            <w:tcW w:w="1803" w:type="dxa"/>
            <w:tcBorders>
              <w:top w:val="nil"/>
              <w:left w:val="nil"/>
              <w:bottom w:val="nil"/>
              <w:right w:val="nil"/>
            </w:tcBorders>
          </w:tcPr>
          <w:p w14:paraId="10554EDD" w14:textId="16440E5F" w:rsidR="00B0583A" w:rsidRPr="009705F7" w:rsidRDefault="003B1687" w:rsidP="00817576">
            <w:pPr>
              <w:jc w:val="center"/>
              <w:rPr>
                <w:rFonts w:ascii="Arial" w:hAnsi="Arial" w:cs="Arial"/>
              </w:rPr>
            </w:pPr>
            <w:r w:rsidRPr="009705F7">
              <w:rPr>
                <w:rFonts w:ascii="Arial" w:hAnsi="Arial" w:cs="Arial"/>
              </w:rPr>
              <w:t>7.41 ± 0.05</w:t>
            </w:r>
          </w:p>
        </w:tc>
        <w:tc>
          <w:tcPr>
            <w:tcW w:w="1803" w:type="dxa"/>
            <w:tcBorders>
              <w:top w:val="nil"/>
              <w:left w:val="nil"/>
              <w:bottom w:val="nil"/>
              <w:right w:val="nil"/>
            </w:tcBorders>
          </w:tcPr>
          <w:p w14:paraId="33BF27FD" w14:textId="1DB20689" w:rsidR="00B0583A" w:rsidRPr="009705F7" w:rsidRDefault="003B1687" w:rsidP="00817576">
            <w:pPr>
              <w:jc w:val="center"/>
              <w:rPr>
                <w:rFonts w:ascii="Arial" w:hAnsi="Arial" w:cs="Arial"/>
              </w:rPr>
            </w:pPr>
            <w:r w:rsidRPr="009705F7">
              <w:rPr>
                <w:rFonts w:ascii="Arial" w:hAnsi="Arial" w:cs="Arial"/>
              </w:rPr>
              <w:t>7.42 ± 0.05</w:t>
            </w:r>
          </w:p>
        </w:tc>
        <w:tc>
          <w:tcPr>
            <w:tcW w:w="1804" w:type="dxa"/>
            <w:tcBorders>
              <w:top w:val="nil"/>
              <w:left w:val="nil"/>
              <w:bottom w:val="nil"/>
              <w:right w:val="nil"/>
            </w:tcBorders>
          </w:tcPr>
          <w:p w14:paraId="476DD520" w14:textId="0558C960" w:rsidR="00B0583A" w:rsidRPr="009705F7" w:rsidRDefault="003B1687" w:rsidP="00817576">
            <w:pPr>
              <w:jc w:val="center"/>
              <w:rPr>
                <w:rFonts w:ascii="Arial" w:hAnsi="Arial" w:cs="Arial"/>
              </w:rPr>
            </w:pPr>
            <w:r w:rsidRPr="009705F7">
              <w:rPr>
                <w:rFonts w:ascii="Arial" w:hAnsi="Arial" w:cs="Arial"/>
              </w:rPr>
              <w:t>7.34 ± 0.06</w:t>
            </w:r>
            <w:r w:rsidRPr="009705F7">
              <w:rPr>
                <w:rFonts w:ascii="Arial" w:hAnsi="Arial" w:cs="Arial"/>
              </w:rPr>
              <w:sym w:font="Symbol" w:char="F0D1"/>
            </w:r>
          </w:p>
        </w:tc>
      </w:tr>
      <w:tr w:rsidR="00B0583A" w14:paraId="2414A90B" w14:textId="77777777" w:rsidTr="00817576">
        <w:tc>
          <w:tcPr>
            <w:tcW w:w="1980" w:type="dxa"/>
            <w:tcBorders>
              <w:top w:val="nil"/>
              <w:left w:val="nil"/>
              <w:bottom w:val="nil"/>
              <w:right w:val="nil"/>
            </w:tcBorders>
          </w:tcPr>
          <w:p w14:paraId="458969C0" w14:textId="162D5689" w:rsidR="00B0583A" w:rsidRPr="009705F7" w:rsidRDefault="00B0583A" w:rsidP="00420D7D">
            <w:pPr>
              <w:rPr>
                <w:rFonts w:ascii="Arial" w:hAnsi="Arial" w:cs="Arial"/>
              </w:rPr>
            </w:pPr>
            <w:r w:rsidRPr="009705F7">
              <w:rPr>
                <w:rFonts w:ascii="Arial" w:hAnsi="Arial" w:cs="Arial"/>
              </w:rPr>
              <w:t>Nitrate</w:t>
            </w:r>
          </w:p>
        </w:tc>
        <w:tc>
          <w:tcPr>
            <w:tcW w:w="1626" w:type="dxa"/>
            <w:tcBorders>
              <w:top w:val="nil"/>
              <w:left w:val="nil"/>
              <w:bottom w:val="nil"/>
              <w:right w:val="nil"/>
            </w:tcBorders>
          </w:tcPr>
          <w:p w14:paraId="43AAC2EF" w14:textId="76607482" w:rsidR="00B0583A" w:rsidRPr="009705F7" w:rsidRDefault="003B1687" w:rsidP="00817576">
            <w:pPr>
              <w:jc w:val="center"/>
              <w:rPr>
                <w:rFonts w:ascii="Arial" w:hAnsi="Arial" w:cs="Arial"/>
              </w:rPr>
            </w:pPr>
            <w:r w:rsidRPr="009705F7">
              <w:rPr>
                <w:rFonts w:ascii="Arial" w:hAnsi="Arial" w:cs="Arial"/>
              </w:rPr>
              <w:t>7.39 ± 0.05</w:t>
            </w:r>
          </w:p>
        </w:tc>
        <w:tc>
          <w:tcPr>
            <w:tcW w:w="1803" w:type="dxa"/>
            <w:tcBorders>
              <w:top w:val="nil"/>
              <w:left w:val="nil"/>
              <w:bottom w:val="nil"/>
              <w:right w:val="nil"/>
            </w:tcBorders>
          </w:tcPr>
          <w:p w14:paraId="090532C1" w14:textId="39DDEA0D" w:rsidR="00B0583A" w:rsidRPr="009705F7" w:rsidRDefault="003B1687" w:rsidP="00817576">
            <w:pPr>
              <w:jc w:val="center"/>
              <w:rPr>
                <w:rFonts w:ascii="Arial" w:hAnsi="Arial" w:cs="Arial"/>
              </w:rPr>
            </w:pPr>
            <w:r w:rsidRPr="009705F7">
              <w:rPr>
                <w:rFonts w:ascii="Arial" w:hAnsi="Arial" w:cs="Arial"/>
              </w:rPr>
              <w:t>7.40 ± 0.06</w:t>
            </w:r>
          </w:p>
        </w:tc>
        <w:tc>
          <w:tcPr>
            <w:tcW w:w="1803" w:type="dxa"/>
            <w:tcBorders>
              <w:top w:val="nil"/>
              <w:left w:val="nil"/>
              <w:bottom w:val="nil"/>
              <w:right w:val="nil"/>
            </w:tcBorders>
          </w:tcPr>
          <w:p w14:paraId="2778C71E" w14:textId="0A0D0D2D" w:rsidR="00B0583A" w:rsidRPr="009705F7" w:rsidRDefault="003B1687" w:rsidP="00817576">
            <w:pPr>
              <w:jc w:val="center"/>
              <w:rPr>
                <w:rFonts w:ascii="Arial" w:hAnsi="Arial" w:cs="Arial"/>
              </w:rPr>
            </w:pPr>
            <w:r w:rsidRPr="009705F7">
              <w:rPr>
                <w:rFonts w:ascii="Arial" w:hAnsi="Arial" w:cs="Arial"/>
              </w:rPr>
              <w:t>7.41 ± 0.06</w:t>
            </w:r>
          </w:p>
        </w:tc>
        <w:tc>
          <w:tcPr>
            <w:tcW w:w="1804" w:type="dxa"/>
            <w:tcBorders>
              <w:top w:val="nil"/>
              <w:left w:val="nil"/>
              <w:bottom w:val="nil"/>
              <w:right w:val="nil"/>
            </w:tcBorders>
          </w:tcPr>
          <w:p w14:paraId="5F7B9BCB" w14:textId="07E52CE0" w:rsidR="00B0583A" w:rsidRPr="009705F7" w:rsidRDefault="003B1687" w:rsidP="00817576">
            <w:pPr>
              <w:jc w:val="center"/>
              <w:rPr>
                <w:rFonts w:ascii="Arial" w:hAnsi="Arial" w:cs="Arial"/>
              </w:rPr>
            </w:pPr>
            <w:r w:rsidRPr="009705F7">
              <w:rPr>
                <w:rFonts w:ascii="Arial" w:hAnsi="Arial" w:cs="Arial"/>
              </w:rPr>
              <w:t>7.34 ± 0.07</w:t>
            </w:r>
            <w:r w:rsidRPr="009705F7">
              <w:rPr>
                <w:rFonts w:ascii="Arial" w:hAnsi="Arial" w:cs="Arial"/>
              </w:rPr>
              <w:sym w:font="Symbol" w:char="F0D1"/>
            </w:r>
          </w:p>
        </w:tc>
      </w:tr>
      <w:tr w:rsidR="003B1687" w14:paraId="0253A813" w14:textId="77777777" w:rsidTr="00817576">
        <w:tc>
          <w:tcPr>
            <w:tcW w:w="1980" w:type="dxa"/>
            <w:tcBorders>
              <w:top w:val="nil"/>
              <w:left w:val="nil"/>
              <w:bottom w:val="nil"/>
              <w:right w:val="nil"/>
            </w:tcBorders>
          </w:tcPr>
          <w:p w14:paraId="07331A78" w14:textId="77777777" w:rsidR="003B1687" w:rsidRPr="009705F7" w:rsidRDefault="003B1687" w:rsidP="00B0583A">
            <w:pPr>
              <w:rPr>
                <w:rFonts w:ascii="Arial" w:hAnsi="Arial" w:cs="Arial"/>
              </w:rPr>
            </w:pPr>
          </w:p>
        </w:tc>
        <w:tc>
          <w:tcPr>
            <w:tcW w:w="1626" w:type="dxa"/>
            <w:tcBorders>
              <w:top w:val="nil"/>
              <w:left w:val="nil"/>
              <w:bottom w:val="nil"/>
              <w:right w:val="nil"/>
            </w:tcBorders>
          </w:tcPr>
          <w:p w14:paraId="4E8B1262"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484D1A8F"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5100BB70" w14:textId="77777777" w:rsidR="003B1687" w:rsidRPr="009705F7" w:rsidRDefault="003B1687" w:rsidP="00817576">
            <w:pPr>
              <w:jc w:val="center"/>
              <w:rPr>
                <w:rFonts w:ascii="Arial" w:hAnsi="Arial" w:cs="Arial"/>
              </w:rPr>
            </w:pPr>
          </w:p>
        </w:tc>
        <w:tc>
          <w:tcPr>
            <w:tcW w:w="1804" w:type="dxa"/>
            <w:tcBorders>
              <w:top w:val="nil"/>
              <w:left w:val="nil"/>
              <w:bottom w:val="nil"/>
              <w:right w:val="nil"/>
            </w:tcBorders>
          </w:tcPr>
          <w:p w14:paraId="24238936" w14:textId="77777777" w:rsidR="003B1687" w:rsidRPr="009705F7" w:rsidRDefault="003B1687" w:rsidP="00817576">
            <w:pPr>
              <w:jc w:val="center"/>
              <w:rPr>
                <w:rFonts w:ascii="Arial" w:hAnsi="Arial" w:cs="Arial"/>
              </w:rPr>
            </w:pPr>
          </w:p>
        </w:tc>
      </w:tr>
      <w:tr w:rsidR="003B1687" w14:paraId="64109604" w14:textId="77777777" w:rsidTr="00817576">
        <w:tc>
          <w:tcPr>
            <w:tcW w:w="1980" w:type="dxa"/>
            <w:tcBorders>
              <w:top w:val="nil"/>
              <w:left w:val="nil"/>
              <w:bottom w:val="nil"/>
              <w:right w:val="nil"/>
            </w:tcBorders>
          </w:tcPr>
          <w:p w14:paraId="44FA1188" w14:textId="584D2588" w:rsidR="003B1687" w:rsidRPr="009705F7" w:rsidRDefault="003B1687" w:rsidP="00B0583A">
            <w:pPr>
              <w:rPr>
                <w:rFonts w:ascii="Arial" w:hAnsi="Arial" w:cs="Arial"/>
              </w:rPr>
            </w:pPr>
            <w:r w:rsidRPr="009705F7">
              <w:rPr>
                <w:rFonts w:ascii="Arial" w:hAnsi="Arial" w:cs="Arial"/>
              </w:rPr>
              <w:t>HCO</w:t>
            </w:r>
            <w:r w:rsidRPr="009705F7">
              <w:rPr>
                <w:rFonts w:ascii="Arial" w:hAnsi="Arial" w:cs="Arial"/>
                <w:vertAlign w:val="subscript"/>
              </w:rPr>
              <w:t>3</w:t>
            </w:r>
            <w:r w:rsidRPr="009705F7">
              <w:rPr>
                <w:rFonts w:ascii="Arial" w:hAnsi="Arial" w:cs="Arial"/>
              </w:rPr>
              <w:t>- (mmol.l</w:t>
            </w:r>
            <w:r w:rsidRPr="009705F7">
              <w:rPr>
                <w:rFonts w:ascii="Arial" w:hAnsi="Arial" w:cs="Arial"/>
                <w:vertAlign w:val="superscript"/>
              </w:rPr>
              <w:t>-1</w:t>
            </w:r>
            <w:r w:rsidRPr="009705F7">
              <w:rPr>
                <w:rFonts w:ascii="Arial" w:hAnsi="Arial" w:cs="Arial"/>
              </w:rPr>
              <w:t>)</w:t>
            </w:r>
          </w:p>
        </w:tc>
        <w:tc>
          <w:tcPr>
            <w:tcW w:w="1626" w:type="dxa"/>
            <w:tcBorders>
              <w:top w:val="nil"/>
              <w:left w:val="nil"/>
              <w:bottom w:val="nil"/>
              <w:right w:val="nil"/>
            </w:tcBorders>
          </w:tcPr>
          <w:p w14:paraId="487F604D"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599E5844"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2AAD10EE" w14:textId="77777777" w:rsidR="003B1687" w:rsidRPr="009705F7" w:rsidRDefault="003B1687" w:rsidP="00817576">
            <w:pPr>
              <w:jc w:val="center"/>
              <w:rPr>
                <w:rFonts w:ascii="Arial" w:hAnsi="Arial" w:cs="Arial"/>
              </w:rPr>
            </w:pPr>
          </w:p>
        </w:tc>
        <w:tc>
          <w:tcPr>
            <w:tcW w:w="1804" w:type="dxa"/>
            <w:tcBorders>
              <w:top w:val="nil"/>
              <w:left w:val="nil"/>
              <w:bottom w:val="nil"/>
              <w:right w:val="nil"/>
            </w:tcBorders>
          </w:tcPr>
          <w:p w14:paraId="4C6F4756" w14:textId="77777777" w:rsidR="003B1687" w:rsidRPr="009705F7" w:rsidRDefault="003B1687" w:rsidP="00817576">
            <w:pPr>
              <w:jc w:val="center"/>
              <w:rPr>
                <w:rFonts w:ascii="Arial" w:hAnsi="Arial" w:cs="Arial"/>
              </w:rPr>
            </w:pPr>
          </w:p>
        </w:tc>
      </w:tr>
      <w:tr w:rsidR="003B1687" w14:paraId="15FBFA45" w14:textId="77777777" w:rsidTr="00817576">
        <w:tc>
          <w:tcPr>
            <w:tcW w:w="1980" w:type="dxa"/>
            <w:tcBorders>
              <w:top w:val="nil"/>
              <w:left w:val="nil"/>
              <w:bottom w:val="nil"/>
              <w:right w:val="nil"/>
            </w:tcBorders>
          </w:tcPr>
          <w:p w14:paraId="5E639101" w14:textId="591F5456" w:rsidR="003B1687" w:rsidRPr="009705F7" w:rsidRDefault="003B1687" w:rsidP="00420D7D">
            <w:pPr>
              <w:rPr>
                <w:rFonts w:ascii="Arial" w:hAnsi="Arial" w:cs="Arial"/>
              </w:rPr>
            </w:pPr>
            <w:r w:rsidRPr="009705F7">
              <w:rPr>
                <w:rFonts w:ascii="Arial" w:hAnsi="Arial" w:cs="Arial"/>
              </w:rPr>
              <w:t>Control</w:t>
            </w:r>
          </w:p>
        </w:tc>
        <w:tc>
          <w:tcPr>
            <w:tcW w:w="1626" w:type="dxa"/>
            <w:tcBorders>
              <w:top w:val="nil"/>
              <w:left w:val="nil"/>
              <w:bottom w:val="nil"/>
              <w:right w:val="nil"/>
            </w:tcBorders>
          </w:tcPr>
          <w:p w14:paraId="2CBEC4BC" w14:textId="0DE5DF51" w:rsidR="003B1687" w:rsidRPr="009705F7" w:rsidRDefault="003B1687" w:rsidP="00817576">
            <w:pPr>
              <w:jc w:val="center"/>
              <w:rPr>
                <w:rFonts w:ascii="Arial" w:hAnsi="Arial" w:cs="Arial"/>
              </w:rPr>
            </w:pPr>
            <w:r w:rsidRPr="009705F7">
              <w:rPr>
                <w:rFonts w:ascii="Arial" w:hAnsi="Arial" w:cs="Arial"/>
              </w:rPr>
              <w:t>20.81 ± 2.86</w:t>
            </w:r>
          </w:p>
        </w:tc>
        <w:tc>
          <w:tcPr>
            <w:tcW w:w="1803" w:type="dxa"/>
            <w:tcBorders>
              <w:top w:val="nil"/>
              <w:left w:val="nil"/>
              <w:bottom w:val="nil"/>
              <w:right w:val="nil"/>
            </w:tcBorders>
          </w:tcPr>
          <w:p w14:paraId="2D8E23F5" w14:textId="1932C3BD" w:rsidR="003B1687" w:rsidRPr="009705F7" w:rsidRDefault="003B1687" w:rsidP="00817576">
            <w:pPr>
              <w:jc w:val="center"/>
              <w:rPr>
                <w:rFonts w:ascii="Arial" w:hAnsi="Arial" w:cs="Arial"/>
              </w:rPr>
            </w:pPr>
            <w:r w:rsidRPr="009705F7">
              <w:rPr>
                <w:rFonts w:ascii="Arial" w:hAnsi="Arial" w:cs="Arial"/>
              </w:rPr>
              <w:t>20.79 ± 3.13</w:t>
            </w:r>
          </w:p>
        </w:tc>
        <w:tc>
          <w:tcPr>
            <w:tcW w:w="1803" w:type="dxa"/>
            <w:tcBorders>
              <w:top w:val="nil"/>
              <w:left w:val="nil"/>
              <w:bottom w:val="nil"/>
              <w:right w:val="nil"/>
            </w:tcBorders>
          </w:tcPr>
          <w:p w14:paraId="410648AB" w14:textId="1B82E70C" w:rsidR="003B1687" w:rsidRPr="009705F7" w:rsidRDefault="003B1687" w:rsidP="00817576">
            <w:pPr>
              <w:jc w:val="center"/>
              <w:rPr>
                <w:rFonts w:ascii="Arial" w:hAnsi="Arial" w:cs="Arial"/>
              </w:rPr>
            </w:pPr>
            <w:r w:rsidRPr="009705F7">
              <w:rPr>
                <w:rFonts w:ascii="Arial" w:hAnsi="Arial" w:cs="Arial"/>
              </w:rPr>
              <w:t>21.20 ± 2.56</w:t>
            </w:r>
          </w:p>
        </w:tc>
        <w:tc>
          <w:tcPr>
            <w:tcW w:w="1804" w:type="dxa"/>
            <w:tcBorders>
              <w:top w:val="nil"/>
              <w:left w:val="nil"/>
              <w:bottom w:val="nil"/>
              <w:right w:val="nil"/>
            </w:tcBorders>
          </w:tcPr>
          <w:p w14:paraId="291E99B8" w14:textId="00633233" w:rsidR="003B1687" w:rsidRPr="009705F7" w:rsidRDefault="003B1687" w:rsidP="00817576">
            <w:pPr>
              <w:jc w:val="center"/>
              <w:rPr>
                <w:rFonts w:ascii="Arial" w:hAnsi="Arial" w:cs="Arial"/>
              </w:rPr>
            </w:pPr>
            <w:r w:rsidRPr="009705F7">
              <w:rPr>
                <w:rFonts w:ascii="Arial" w:hAnsi="Arial" w:cs="Arial"/>
              </w:rPr>
              <w:t>18.33 ± 2.43</w:t>
            </w:r>
            <w:r w:rsidRPr="009705F7">
              <w:rPr>
                <w:rFonts w:ascii="Arial" w:hAnsi="Arial" w:cs="Arial"/>
              </w:rPr>
              <w:sym w:font="Symbol" w:char="F0D1"/>
            </w:r>
          </w:p>
        </w:tc>
      </w:tr>
      <w:tr w:rsidR="003B1687" w14:paraId="54507331" w14:textId="77777777" w:rsidTr="00817576">
        <w:tc>
          <w:tcPr>
            <w:tcW w:w="1980" w:type="dxa"/>
            <w:tcBorders>
              <w:top w:val="nil"/>
              <w:left w:val="nil"/>
              <w:bottom w:val="nil"/>
              <w:right w:val="nil"/>
            </w:tcBorders>
          </w:tcPr>
          <w:p w14:paraId="7EBCD50C" w14:textId="21F3541D" w:rsidR="003B1687" w:rsidRPr="009705F7" w:rsidRDefault="003B1687" w:rsidP="00420D7D">
            <w:pPr>
              <w:rPr>
                <w:rFonts w:ascii="Arial" w:hAnsi="Arial" w:cs="Arial"/>
              </w:rPr>
            </w:pPr>
            <w:r w:rsidRPr="009705F7">
              <w:rPr>
                <w:rFonts w:ascii="Arial" w:hAnsi="Arial" w:cs="Arial"/>
              </w:rPr>
              <w:t>Placebo</w:t>
            </w:r>
          </w:p>
        </w:tc>
        <w:tc>
          <w:tcPr>
            <w:tcW w:w="1626" w:type="dxa"/>
            <w:tcBorders>
              <w:top w:val="nil"/>
              <w:left w:val="nil"/>
              <w:bottom w:val="nil"/>
              <w:right w:val="nil"/>
            </w:tcBorders>
          </w:tcPr>
          <w:p w14:paraId="2D461F1A" w14:textId="2E141E58" w:rsidR="003B1687" w:rsidRPr="009705F7" w:rsidRDefault="003B1687" w:rsidP="00817576">
            <w:pPr>
              <w:jc w:val="center"/>
              <w:rPr>
                <w:rFonts w:ascii="Arial" w:hAnsi="Arial" w:cs="Arial"/>
              </w:rPr>
            </w:pPr>
            <w:r w:rsidRPr="009705F7">
              <w:rPr>
                <w:rFonts w:ascii="Arial" w:hAnsi="Arial" w:cs="Arial"/>
              </w:rPr>
              <w:t>21.43 ± 2.17</w:t>
            </w:r>
          </w:p>
        </w:tc>
        <w:tc>
          <w:tcPr>
            <w:tcW w:w="1803" w:type="dxa"/>
            <w:tcBorders>
              <w:top w:val="nil"/>
              <w:left w:val="nil"/>
              <w:bottom w:val="nil"/>
              <w:right w:val="nil"/>
            </w:tcBorders>
          </w:tcPr>
          <w:p w14:paraId="7623F817" w14:textId="7E008E2F" w:rsidR="003B1687" w:rsidRPr="009705F7" w:rsidRDefault="003B1687" w:rsidP="00817576">
            <w:pPr>
              <w:jc w:val="center"/>
              <w:rPr>
                <w:rFonts w:ascii="Arial" w:hAnsi="Arial" w:cs="Arial"/>
              </w:rPr>
            </w:pPr>
            <w:r w:rsidRPr="009705F7">
              <w:rPr>
                <w:rFonts w:ascii="Arial" w:hAnsi="Arial" w:cs="Arial"/>
              </w:rPr>
              <w:t>21.88 ± 2.41</w:t>
            </w:r>
          </w:p>
        </w:tc>
        <w:tc>
          <w:tcPr>
            <w:tcW w:w="1803" w:type="dxa"/>
            <w:tcBorders>
              <w:top w:val="nil"/>
              <w:left w:val="nil"/>
              <w:bottom w:val="nil"/>
              <w:right w:val="nil"/>
            </w:tcBorders>
          </w:tcPr>
          <w:p w14:paraId="5CF18DC7" w14:textId="0E93A815" w:rsidR="003B1687" w:rsidRPr="009705F7" w:rsidRDefault="003B1687" w:rsidP="00817576">
            <w:pPr>
              <w:jc w:val="center"/>
              <w:rPr>
                <w:rFonts w:ascii="Arial" w:hAnsi="Arial" w:cs="Arial"/>
              </w:rPr>
            </w:pPr>
            <w:r w:rsidRPr="009705F7">
              <w:rPr>
                <w:rFonts w:ascii="Arial" w:hAnsi="Arial" w:cs="Arial"/>
              </w:rPr>
              <w:t>22.25 ± 2.52</w:t>
            </w:r>
          </w:p>
        </w:tc>
        <w:tc>
          <w:tcPr>
            <w:tcW w:w="1804" w:type="dxa"/>
            <w:tcBorders>
              <w:top w:val="nil"/>
              <w:left w:val="nil"/>
              <w:bottom w:val="nil"/>
              <w:right w:val="nil"/>
            </w:tcBorders>
          </w:tcPr>
          <w:p w14:paraId="39D8FC36" w14:textId="1C5705EA" w:rsidR="003B1687" w:rsidRPr="009705F7" w:rsidRDefault="003B1687" w:rsidP="00817576">
            <w:pPr>
              <w:jc w:val="center"/>
              <w:rPr>
                <w:rFonts w:ascii="Arial" w:hAnsi="Arial" w:cs="Arial"/>
              </w:rPr>
            </w:pPr>
            <w:r w:rsidRPr="009705F7">
              <w:rPr>
                <w:rFonts w:ascii="Arial" w:hAnsi="Arial" w:cs="Arial"/>
              </w:rPr>
              <w:t>18.58 ± 2.46</w:t>
            </w:r>
            <w:r w:rsidRPr="009705F7">
              <w:rPr>
                <w:rFonts w:ascii="Arial" w:hAnsi="Arial" w:cs="Arial"/>
              </w:rPr>
              <w:sym w:font="Symbol" w:char="F0D1"/>
            </w:r>
          </w:p>
        </w:tc>
      </w:tr>
      <w:tr w:rsidR="003B1687" w14:paraId="59524340" w14:textId="77777777" w:rsidTr="00817576">
        <w:tc>
          <w:tcPr>
            <w:tcW w:w="1980" w:type="dxa"/>
            <w:tcBorders>
              <w:top w:val="nil"/>
              <w:left w:val="nil"/>
              <w:bottom w:val="nil"/>
              <w:right w:val="nil"/>
            </w:tcBorders>
          </w:tcPr>
          <w:p w14:paraId="2D5FF4E5" w14:textId="0EEEB375" w:rsidR="003B1687" w:rsidRPr="009705F7" w:rsidRDefault="003B1687" w:rsidP="00420D7D">
            <w:pPr>
              <w:rPr>
                <w:rFonts w:ascii="Arial" w:hAnsi="Arial" w:cs="Arial"/>
              </w:rPr>
            </w:pPr>
            <w:r w:rsidRPr="009705F7">
              <w:rPr>
                <w:rFonts w:ascii="Arial" w:hAnsi="Arial" w:cs="Arial"/>
              </w:rPr>
              <w:t>Nitrate</w:t>
            </w:r>
          </w:p>
        </w:tc>
        <w:tc>
          <w:tcPr>
            <w:tcW w:w="1626" w:type="dxa"/>
            <w:tcBorders>
              <w:top w:val="nil"/>
              <w:left w:val="nil"/>
              <w:bottom w:val="nil"/>
              <w:right w:val="nil"/>
            </w:tcBorders>
          </w:tcPr>
          <w:p w14:paraId="5542C3B7" w14:textId="172F5B0E" w:rsidR="003B1687" w:rsidRPr="009705F7" w:rsidRDefault="003B1687" w:rsidP="00817576">
            <w:pPr>
              <w:jc w:val="center"/>
              <w:rPr>
                <w:rFonts w:ascii="Arial" w:hAnsi="Arial" w:cs="Arial"/>
              </w:rPr>
            </w:pPr>
            <w:r w:rsidRPr="009705F7">
              <w:rPr>
                <w:rFonts w:ascii="Arial" w:hAnsi="Arial" w:cs="Arial"/>
              </w:rPr>
              <w:t>21.26 ± 2.37</w:t>
            </w:r>
          </w:p>
        </w:tc>
        <w:tc>
          <w:tcPr>
            <w:tcW w:w="1803" w:type="dxa"/>
            <w:tcBorders>
              <w:top w:val="nil"/>
              <w:left w:val="nil"/>
              <w:bottom w:val="nil"/>
              <w:right w:val="nil"/>
            </w:tcBorders>
          </w:tcPr>
          <w:p w14:paraId="7D5B2B1A" w14:textId="4C29BC4B" w:rsidR="003B1687" w:rsidRPr="009705F7" w:rsidRDefault="003B1687" w:rsidP="00817576">
            <w:pPr>
              <w:jc w:val="center"/>
              <w:rPr>
                <w:rFonts w:ascii="Arial" w:hAnsi="Arial" w:cs="Arial"/>
              </w:rPr>
            </w:pPr>
            <w:r w:rsidRPr="009705F7">
              <w:rPr>
                <w:rFonts w:ascii="Arial" w:hAnsi="Arial" w:cs="Arial"/>
              </w:rPr>
              <w:t>21.43 ± 2.60</w:t>
            </w:r>
          </w:p>
        </w:tc>
        <w:tc>
          <w:tcPr>
            <w:tcW w:w="1803" w:type="dxa"/>
            <w:tcBorders>
              <w:top w:val="nil"/>
              <w:left w:val="nil"/>
              <w:bottom w:val="nil"/>
              <w:right w:val="nil"/>
            </w:tcBorders>
          </w:tcPr>
          <w:p w14:paraId="2D918CAB" w14:textId="3FED1711" w:rsidR="003B1687" w:rsidRPr="009705F7" w:rsidRDefault="003B1687" w:rsidP="00817576">
            <w:pPr>
              <w:jc w:val="center"/>
              <w:rPr>
                <w:rFonts w:ascii="Arial" w:hAnsi="Arial" w:cs="Arial"/>
              </w:rPr>
            </w:pPr>
            <w:r w:rsidRPr="009705F7">
              <w:rPr>
                <w:rFonts w:ascii="Arial" w:hAnsi="Arial" w:cs="Arial"/>
              </w:rPr>
              <w:t>21.94 ± 2.91</w:t>
            </w:r>
          </w:p>
        </w:tc>
        <w:tc>
          <w:tcPr>
            <w:tcW w:w="1804" w:type="dxa"/>
            <w:tcBorders>
              <w:top w:val="nil"/>
              <w:left w:val="nil"/>
              <w:bottom w:val="nil"/>
              <w:right w:val="nil"/>
            </w:tcBorders>
          </w:tcPr>
          <w:p w14:paraId="43CE384A" w14:textId="739BEF02" w:rsidR="003B1687" w:rsidRPr="009705F7" w:rsidRDefault="003B1687" w:rsidP="00817576">
            <w:pPr>
              <w:jc w:val="center"/>
              <w:rPr>
                <w:rFonts w:ascii="Arial" w:hAnsi="Arial" w:cs="Arial"/>
              </w:rPr>
            </w:pPr>
            <w:r w:rsidRPr="009705F7">
              <w:rPr>
                <w:rFonts w:ascii="Arial" w:hAnsi="Arial" w:cs="Arial"/>
              </w:rPr>
              <w:t>17.79 ± 2.20</w:t>
            </w:r>
            <w:r w:rsidRPr="009705F7">
              <w:rPr>
                <w:rFonts w:ascii="Arial" w:hAnsi="Arial" w:cs="Arial"/>
              </w:rPr>
              <w:sym w:font="Symbol" w:char="F0D1"/>
            </w:r>
          </w:p>
        </w:tc>
      </w:tr>
      <w:tr w:rsidR="003B1687" w14:paraId="34D779D0" w14:textId="77777777" w:rsidTr="00817576">
        <w:tc>
          <w:tcPr>
            <w:tcW w:w="1980" w:type="dxa"/>
            <w:tcBorders>
              <w:top w:val="nil"/>
              <w:left w:val="nil"/>
              <w:bottom w:val="nil"/>
              <w:right w:val="nil"/>
            </w:tcBorders>
          </w:tcPr>
          <w:p w14:paraId="28DBE1C6" w14:textId="77777777" w:rsidR="003B1687" w:rsidRPr="009705F7" w:rsidRDefault="003B1687" w:rsidP="003B1687">
            <w:pPr>
              <w:rPr>
                <w:rFonts w:ascii="Arial" w:hAnsi="Arial" w:cs="Arial"/>
              </w:rPr>
            </w:pPr>
          </w:p>
        </w:tc>
        <w:tc>
          <w:tcPr>
            <w:tcW w:w="1626" w:type="dxa"/>
            <w:tcBorders>
              <w:top w:val="nil"/>
              <w:left w:val="nil"/>
              <w:bottom w:val="nil"/>
              <w:right w:val="nil"/>
            </w:tcBorders>
          </w:tcPr>
          <w:p w14:paraId="16713B81"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11047DC9"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745A4B27" w14:textId="77777777" w:rsidR="003B1687" w:rsidRPr="009705F7" w:rsidRDefault="003B1687" w:rsidP="00817576">
            <w:pPr>
              <w:jc w:val="center"/>
              <w:rPr>
                <w:rFonts w:ascii="Arial" w:hAnsi="Arial" w:cs="Arial"/>
              </w:rPr>
            </w:pPr>
          </w:p>
        </w:tc>
        <w:tc>
          <w:tcPr>
            <w:tcW w:w="1804" w:type="dxa"/>
            <w:tcBorders>
              <w:top w:val="nil"/>
              <w:left w:val="nil"/>
              <w:bottom w:val="nil"/>
              <w:right w:val="nil"/>
            </w:tcBorders>
          </w:tcPr>
          <w:p w14:paraId="47020DC8" w14:textId="77777777" w:rsidR="003B1687" w:rsidRPr="009705F7" w:rsidRDefault="003B1687" w:rsidP="00817576">
            <w:pPr>
              <w:jc w:val="center"/>
              <w:rPr>
                <w:rFonts w:ascii="Arial" w:hAnsi="Arial" w:cs="Arial"/>
              </w:rPr>
            </w:pPr>
          </w:p>
        </w:tc>
      </w:tr>
      <w:tr w:rsidR="003B1687" w14:paraId="2C10B359" w14:textId="77777777" w:rsidTr="00817576">
        <w:tc>
          <w:tcPr>
            <w:tcW w:w="1980" w:type="dxa"/>
            <w:tcBorders>
              <w:top w:val="nil"/>
              <w:left w:val="nil"/>
              <w:bottom w:val="nil"/>
              <w:right w:val="nil"/>
            </w:tcBorders>
          </w:tcPr>
          <w:p w14:paraId="4968F754" w14:textId="6B135BF2" w:rsidR="003B1687" w:rsidRPr="009705F7" w:rsidRDefault="003B1687" w:rsidP="003B1687">
            <w:pPr>
              <w:rPr>
                <w:rFonts w:ascii="Arial" w:hAnsi="Arial" w:cs="Arial"/>
              </w:rPr>
            </w:pPr>
            <w:r w:rsidRPr="009705F7">
              <w:rPr>
                <w:rFonts w:ascii="Arial" w:hAnsi="Arial" w:cs="Arial"/>
              </w:rPr>
              <w:t>RPE</w:t>
            </w:r>
          </w:p>
        </w:tc>
        <w:tc>
          <w:tcPr>
            <w:tcW w:w="1626" w:type="dxa"/>
            <w:tcBorders>
              <w:top w:val="nil"/>
              <w:left w:val="nil"/>
              <w:bottom w:val="nil"/>
              <w:right w:val="nil"/>
            </w:tcBorders>
          </w:tcPr>
          <w:p w14:paraId="5AE53864"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26B13D3B"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7886BF4C" w14:textId="77777777" w:rsidR="003B1687" w:rsidRPr="009705F7" w:rsidRDefault="003B1687" w:rsidP="00817576">
            <w:pPr>
              <w:jc w:val="center"/>
              <w:rPr>
                <w:rFonts w:ascii="Arial" w:hAnsi="Arial" w:cs="Arial"/>
              </w:rPr>
            </w:pPr>
          </w:p>
        </w:tc>
        <w:tc>
          <w:tcPr>
            <w:tcW w:w="1804" w:type="dxa"/>
            <w:tcBorders>
              <w:top w:val="nil"/>
              <w:left w:val="nil"/>
              <w:bottom w:val="nil"/>
              <w:right w:val="nil"/>
            </w:tcBorders>
          </w:tcPr>
          <w:p w14:paraId="6465AFA8" w14:textId="77777777" w:rsidR="003B1687" w:rsidRPr="009705F7" w:rsidRDefault="003B1687" w:rsidP="00817576">
            <w:pPr>
              <w:jc w:val="center"/>
              <w:rPr>
                <w:rFonts w:ascii="Arial" w:hAnsi="Arial" w:cs="Arial"/>
              </w:rPr>
            </w:pPr>
          </w:p>
        </w:tc>
      </w:tr>
      <w:tr w:rsidR="003B1687" w14:paraId="12E1738B" w14:textId="77777777" w:rsidTr="00817576">
        <w:tc>
          <w:tcPr>
            <w:tcW w:w="1980" w:type="dxa"/>
            <w:tcBorders>
              <w:top w:val="nil"/>
              <w:left w:val="nil"/>
              <w:bottom w:val="nil"/>
              <w:right w:val="nil"/>
            </w:tcBorders>
          </w:tcPr>
          <w:p w14:paraId="17BD25B7" w14:textId="3263A618" w:rsidR="003B1687" w:rsidRPr="009705F7" w:rsidRDefault="003B1687" w:rsidP="00420D7D">
            <w:pPr>
              <w:rPr>
                <w:rFonts w:ascii="Arial" w:hAnsi="Arial" w:cs="Arial"/>
              </w:rPr>
            </w:pPr>
            <w:r w:rsidRPr="009705F7">
              <w:rPr>
                <w:rFonts w:ascii="Arial" w:hAnsi="Arial" w:cs="Arial"/>
              </w:rPr>
              <w:t>Control</w:t>
            </w:r>
          </w:p>
        </w:tc>
        <w:tc>
          <w:tcPr>
            <w:tcW w:w="1626" w:type="dxa"/>
            <w:tcBorders>
              <w:top w:val="nil"/>
              <w:left w:val="nil"/>
              <w:bottom w:val="nil"/>
              <w:right w:val="nil"/>
            </w:tcBorders>
          </w:tcPr>
          <w:p w14:paraId="4E5CA2CA" w14:textId="2F0F2B6E" w:rsidR="003B1687" w:rsidRPr="009705F7" w:rsidRDefault="00817576" w:rsidP="00817576">
            <w:pPr>
              <w:jc w:val="center"/>
              <w:rPr>
                <w:rFonts w:ascii="Arial" w:hAnsi="Arial" w:cs="Arial"/>
              </w:rPr>
            </w:pPr>
            <w:r w:rsidRPr="009705F7">
              <w:rPr>
                <w:rFonts w:ascii="Arial" w:hAnsi="Arial" w:cs="Arial"/>
              </w:rPr>
              <w:t>14.0 ± 1.31</w:t>
            </w:r>
          </w:p>
        </w:tc>
        <w:tc>
          <w:tcPr>
            <w:tcW w:w="1803" w:type="dxa"/>
            <w:tcBorders>
              <w:top w:val="nil"/>
              <w:left w:val="nil"/>
              <w:bottom w:val="nil"/>
              <w:right w:val="nil"/>
            </w:tcBorders>
          </w:tcPr>
          <w:p w14:paraId="52DDF9E5" w14:textId="0D453C2D" w:rsidR="003B1687" w:rsidRPr="009705F7" w:rsidRDefault="00817576" w:rsidP="00817576">
            <w:pPr>
              <w:jc w:val="center"/>
              <w:rPr>
                <w:rFonts w:ascii="Arial" w:hAnsi="Arial" w:cs="Arial"/>
              </w:rPr>
            </w:pPr>
            <w:r w:rsidRPr="009705F7">
              <w:rPr>
                <w:rFonts w:ascii="Arial" w:hAnsi="Arial" w:cs="Arial"/>
              </w:rPr>
              <w:t>14.9 ± 2.0</w:t>
            </w:r>
            <w:r w:rsidRPr="009705F7">
              <w:rPr>
                <w:rFonts w:ascii="Arial" w:hAnsi="Arial" w:cs="Arial"/>
              </w:rPr>
              <w:sym w:font="Symbol" w:char="F044"/>
            </w:r>
          </w:p>
        </w:tc>
        <w:tc>
          <w:tcPr>
            <w:tcW w:w="1803" w:type="dxa"/>
            <w:tcBorders>
              <w:top w:val="nil"/>
              <w:left w:val="nil"/>
              <w:bottom w:val="nil"/>
              <w:right w:val="nil"/>
            </w:tcBorders>
          </w:tcPr>
          <w:p w14:paraId="28C8B037" w14:textId="69DA068A" w:rsidR="003B1687" w:rsidRPr="009705F7" w:rsidRDefault="00817576" w:rsidP="00817576">
            <w:pPr>
              <w:jc w:val="center"/>
              <w:rPr>
                <w:rFonts w:ascii="Arial" w:hAnsi="Arial" w:cs="Arial"/>
              </w:rPr>
            </w:pPr>
            <w:r w:rsidRPr="009705F7">
              <w:rPr>
                <w:rFonts w:ascii="Arial" w:hAnsi="Arial" w:cs="Arial"/>
              </w:rPr>
              <w:t>15.8 ± 2.6</w:t>
            </w:r>
          </w:p>
        </w:tc>
        <w:tc>
          <w:tcPr>
            <w:tcW w:w="1804" w:type="dxa"/>
            <w:tcBorders>
              <w:top w:val="nil"/>
              <w:left w:val="nil"/>
              <w:bottom w:val="nil"/>
              <w:right w:val="nil"/>
            </w:tcBorders>
          </w:tcPr>
          <w:p w14:paraId="361D08A5" w14:textId="5B8623F4" w:rsidR="003B1687" w:rsidRPr="009705F7" w:rsidRDefault="00817576" w:rsidP="00817576">
            <w:pPr>
              <w:jc w:val="center"/>
              <w:rPr>
                <w:rFonts w:ascii="Arial" w:hAnsi="Arial" w:cs="Arial"/>
              </w:rPr>
            </w:pPr>
            <w:r w:rsidRPr="009705F7">
              <w:rPr>
                <w:rFonts w:ascii="Arial" w:hAnsi="Arial" w:cs="Arial"/>
              </w:rPr>
              <w:t>19.4 ± 1.1</w:t>
            </w:r>
            <w:r w:rsidRPr="009705F7">
              <w:rPr>
                <w:rFonts w:ascii="Arial" w:hAnsi="Arial" w:cs="Arial"/>
              </w:rPr>
              <w:sym w:font="Symbol" w:char="F0B7"/>
            </w:r>
          </w:p>
        </w:tc>
      </w:tr>
      <w:tr w:rsidR="003B1687" w14:paraId="096C2A35" w14:textId="77777777" w:rsidTr="00817576">
        <w:tc>
          <w:tcPr>
            <w:tcW w:w="1980" w:type="dxa"/>
            <w:tcBorders>
              <w:top w:val="nil"/>
              <w:left w:val="nil"/>
              <w:bottom w:val="nil"/>
              <w:right w:val="nil"/>
            </w:tcBorders>
          </w:tcPr>
          <w:p w14:paraId="6E1A478D" w14:textId="33E7BFF6" w:rsidR="003B1687" w:rsidRPr="009705F7" w:rsidRDefault="003B1687" w:rsidP="00420D7D">
            <w:pPr>
              <w:rPr>
                <w:rFonts w:ascii="Arial" w:hAnsi="Arial" w:cs="Arial"/>
              </w:rPr>
            </w:pPr>
            <w:r w:rsidRPr="009705F7">
              <w:rPr>
                <w:rFonts w:ascii="Arial" w:hAnsi="Arial" w:cs="Arial"/>
              </w:rPr>
              <w:t>Placebo</w:t>
            </w:r>
          </w:p>
        </w:tc>
        <w:tc>
          <w:tcPr>
            <w:tcW w:w="1626" w:type="dxa"/>
            <w:tcBorders>
              <w:top w:val="nil"/>
              <w:left w:val="nil"/>
              <w:bottom w:val="nil"/>
              <w:right w:val="nil"/>
            </w:tcBorders>
          </w:tcPr>
          <w:p w14:paraId="0137E4F0" w14:textId="49E15B3B" w:rsidR="003B1687" w:rsidRPr="009705F7" w:rsidRDefault="00817576" w:rsidP="00817576">
            <w:pPr>
              <w:jc w:val="center"/>
              <w:rPr>
                <w:rFonts w:ascii="Arial" w:hAnsi="Arial" w:cs="Arial"/>
              </w:rPr>
            </w:pPr>
            <w:r w:rsidRPr="009705F7">
              <w:rPr>
                <w:rFonts w:ascii="Arial" w:hAnsi="Arial" w:cs="Arial"/>
              </w:rPr>
              <w:t>14.1 ± 1.7</w:t>
            </w:r>
          </w:p>
        </w:tc>
        <w:tc>
          <w:tcPr>
            <w:tcW w:w="1803" w:type="dxa"/>
            <w:tcBorders>
              <w:top w:val="nil"/>
              <w:left w:val="nil"/>
              <w:bottom w:val="nil"/>
              <w:right w:val="nil"/>
            </w:tcBorders>
          </w:tcPr>
          <w:p w14:paraId="58567047" w14:textId="5B157362" w:rsidR="003B1687" w:rsidRPr="009705F7" w:rsidRDefault="00817576" w:rsidP="00817576">
            <w:pPr>
              <w:jc w:val="center"/>
              <w:rPr>
                <w:rFonts w:ascii="Arial" w:hAnsi="Arial" w:cs="Arial"/>
              </w:rPr>
            </w:pPr>
            <w:r w:rsidRPr="009705F7">
              <w:rPr>
                <w:rFonts w:ascii="Arial" w:hAnsi="Arial" w:cs="Arial"/>
              </w:rPr>
              <w:t>15.3 ± 2.0</w:t>
            </w:r>
            <w:r w:rsidRPr="009705F7">
              <w:rPr>
                <w:rFonts w:ascii="Arial" w:hAnsi="Arial" w:cs="Arial"/>
              </w:rPr>
              <w:sym w:font="Symbol" w:char="F044"/>
            </w:r>
          </w:p>
        </w:tc>
        <w:tc>
          <w:tcPr>
            <w:tcW w:w="1803" w:type="dxa"/>
            <w:tcBorders>
              <w:top w:val="nil"/>
              <w:left w:val="nil"/>
              <w:bottom w:val="nil"/>
              <w:right w:val="nil"/>
            </w:tcBorders>
          </w:tcPr>
          <w:p w14:paraId="071E2A44" w14:textId="15A5AC44" w:rsidR="003B1687" w:rsidRPr="009705F7" w:rsidRDefault="00817576" w:rsidP="00817576">
            <w:pPr>
              <w:jc w:val="center"/>
              <w:rPr>
                <w:rFonts w:ascii="Arial" w:hAnsi="Arial" w:cs="Arial"/>
              </w:rPr>
            </w:pPr>
            <w:r w:rsidRPr="009705F7">
              <w:rPr>
                <w:rFonts w:ascii="Arial" w:hAnsi="Arial" w:cs="Arial"/>
              </w:rPr>
              <w:t>16.0 ± 2.2</w:t>
            </w:r>
          </w:p>
        </w:tc>
        <w:tc>
          <w:tcPr>
            <w:tcW w:w="1804" w:type="dxa"/>
            <w:tcBorders>
              <w:top w:val="nil"/>
              <w:left w:val="nil"/>
              <w:bottom w:val="nil"/>
              <w:right w:val="nil"/>
            </w:tcBorders>
          </w:tcPr>
          <w:p w14:paraId="2B4822CF" w14:textId="7262920C" w:rsidR="003B1687" w:rsidRPr="009705F7" w:rsidRDefault="00817576" w:rsidP="00817576">
            <w:pPr>
              <w:jc w:val="center"/>
              <w:rPr>
                <w:rFonts w:ascii="Arial" w:hAnsi="Arial" w:cs="Arial"/>
              </w:rPr>
            </w:pPr>
            <w:r w:rsidRPr="009705F7">
              <w:rPr>
                <w:rFonts w:ascii="Arial" w:hAnsi="Arial" w:cs="Arial"/>
              </w:rPr>
              <w:t>19.0 ± 1.2</w:t>
            </w:r>
            <w:r w:rsidRPr="009705F7">
              <w:rPr>
                <w:rFonts w:ascii="Arial" w:hAnsi="Arial" w:cs="Arial"/>
              </w:rPr>
              <w:sym w:font="Symbol" w:char="F0B7"/>
            </w:r>
          </w:p>
        </w:tc>
      </w:tr>
      <w:tr w:rsidR="003B1687" w14:paraId="6DE22946" w14:textId="77777777" w:rsidTr="00817576">
        <w:tc>
          <w:tcPr>
            <w:tcW w:w="1980" w:type="dxa"/>
            <w:tcBorders>
              <w:top w:val="nil"/>
              <w:left w:val="nil"/>
              <w:bottom w:val="nil"/>
              <w:right w:val="nil"/>
            </w:tcBorders>
          </w:tcPr>
          <w:p w14:paraId="159BDFEA" w14:textId="5CBC00A7" w:rsidR="003B1687" w:rsidRPr="009705F7" w:rsidRDefault="003B1687" w:rsidP="00420D7D">
            <w:pPr>
              <w:rPr>
                <w:rFonts w:ascii="Arial" w:hAnsi="Arial" w:cs="Arial"/>
              </w:rPr>
            </w:pPr>
            <w:r w:rsidRPr="009705F7">
              <w:rPr>
                <w:rFonts w:ascii="Arial" w:hAnsi="Arial" w:cs="Arial"/>
              </w:rPr>
              <w:t>Nitrate</w:t>
            </w:r>
          </w:p>
        </w:tc>
        <w:tc>
          <w:tcPr>
            <w:tcW w:w="1626" w:type="dxa"/>
            <w:tcBorders>
              <w:top w:val="nil"/>
              <w:left w:val="nil"/>
              <w:bottom w:val="nil"/>
              <w:right w:val="nil"/>
            </w:tcBorders>
          </w:tcPr>
          <w:p w14:paraId="17E9D160" w14:textId="724274E5" w:rsidR="003B1687" w:rsidRPr="009705F7" w:rsidRDefault="00817576" w:rsidP="00817576">
            <w:pPr>
              <w:jc w:val="center"/>
              <w:rPr>
                <w:rFonts w:ascii="Arial" w:hAnsi="Arial" w:cs="Arial"/>
              </w:rPr>
            </w:pPr>
            <w:r w:rsidRPr="009705F7">
              <w:rPr>
                <w:rFonts w:ascii="Arial" w:hAnsi="Arial" w:cs="Arial"/>
              </w:rPr>
              <w:t>14.5 ± 2.3</w:t>
            </w:r>
          </w:p>
        </w:tc>
        <w:tc>
          <w:tcPr>
            <w:tcW w:w="1803" w:type="dxa"/>
            <w:tcBorders>
              <w:top w:val="nil"/>
              <w:left w:val="nil"/>
              <w:bottom w:val="nil"/>
              <w:right w:val="nil"/>
            </w:tcBorders>
          </w:tcPr>
          <w:p w14:paraId="001220A7" w14:textId="169C272D" w:rsidR="003B1687" w:rsidRPr="009705F7" w:rsidRDefault="00817576" w:rsidP="00817576">
            <w:pPr>
              <w:jc w:val="center"/>
              <w:rPr>
                <w:rFonts w:ascii="Arial" w:hAnsi="Arial" w:cs="Arial"/>
              </w:rPr>
            </w:pPr>
            <w:r w:rsidRPr="009705F7">
              <w:rPr>
                <w:rFonts w:ascii="Arial" w:hAnsi="Arial" w:cs="Arial"/>
              </w:rPr>
              <w:t>15.8 ± 1.6</w:t>
            </w:r>
            <w:r w:rsidRPr="009705F7">
              <w:rPr>
                <w:rFonts w:ascii="Arial" w:hAnsi="Arial" w:cs="Arial"/>
              </w:rPr>
              <w:sym w:font="Symbol" w:char="F044"/>
            </w:r>
          </w:p>
        </w:tc>
        <w:tc>
          <w:tcPr>
            <w:tcW w:w="1803" w:type="dxa"/>
            <w:tcBorders>
              <w:top w:val="nil"/>
              <w:left w:val="nil"/>
              <w:bottom w:val="nil"/>
              <w:right w:val="nil"/>
            </w:tcBorders>
          </w:tcPr>
          <w:p w14:paraId="527B52CD" w14:textId="1A8EE0E3" w:rsidR="003B1687" w:rsidRPr="009705F7" w:rsidRDefault="00817576" w:rsidP="00817576">
            <w:pPr>
              <w:jc w:val="center"/>
              <w:rPr>
                <w:rFonts w:ascii="Arial" w:hAnsi="Arial" w:cs="Arial"/>
              </w:rPr>
            </w:pPr>
            <w:r w:rsidRPr="009705F7">
              <w:rPr>
                <w:rFonts w:ascii="Arial" w:hAnsi="Arial" w:cs="Arial"/>
              </w:rPr>
              <w:t>16.5 ± 1.9</w:t>
            </w:r>
          </w:p>
        </w:tc>
        <w:tc>
          <w:tcPr>
            <w:tcW w:w="1804" w:type="dxa"/>
            <w:tcBorders>
              <w:top w:val="nil"/>
              <w:left w:val="nil"/>
              <w:bottom w:val="nil"/>
              <w:right w:val="nil"/>
            </w:tcBorders>
          </w:tcPr>
          <w:p w14:paraId="60245BC9" w14:textId="6C6B24AA" w:rsidR="003B1687" w:rsidRPr="009705F7" w:rsidRDefault="00817576" w:rsidP="00817576">
            <w:pPr>
              <w:jc w:val="center"/>
              <w:rPr>
                <w:rFonts w:ascii="Arial" w:hAnsi="Arial" w:cs="Arial"/>
              </w:rPr>
            </w:pPr>
            <w:r w:rsidRPr="009705F7">
              <w:rPr>
                <w:rFonts w:ascii="Arial" w:hAnsi="Arial" w:cs="Arial"/>
              </w:rPr>
              <w:t>19.4 ± 1.2</w:t>
            </w:r>
            <w:r w:rsidRPr="009705F7">
              <w:rPr>
                <w:rFonts w:ascii="Arial" w:hAnsi="Arial" w:cs="Arial"/>
              </w:rPr>
              <w:sym w:font="Symbol" w:char="F0B7"/>
            </w:r>
          </w:p>
        </w:tc>
      </w:tr>
      <w:tr w:rsidR="003B1687" w14:paraId="13946F78" w14:textId="77777777" w:rsidTr="00817576">
        <w:tc>
          <w:tcPr>
            <w:tcW w:w="1980" w:type="dxa"/>
            <w:tcBorders>
              <w:top w:val="nil"/>
              <w:left w:val="nil"/>
              <w:bottom w:val="nil"/>
              <w:right w:val="nil"/>
            </w:tcBorders>
          </w:tcPr>
          <w:p w14:paraId="41FCFB1A" w14:textId="77777777" w:rsidR="003B1687" w:rsidRPr="009705F7" w:rsidRDefault="003B1687" w:rsidP="003B1687">
            <w:pPr>
              <w:rPr>
                <w:rFonts w:ascii="Arial" w:hAnsi="Arial" w:cs="Arial"/>
              </w:rPr>
            </w:pPr>
          </w:p>
        </w:tc>
        <w:tc>
          <w:tcPr>
            <w:tcW w:w="1626" w:type="dxa"/>
            <w:tcBorders>
              <w:top w:val="nil"/>
              <w:left w:val="nil"/>
              <w:bottom w:val="nil"/>
              <w:right w:val="nil"/>
            </w:tcBorders>
          </w:tcPr>
          <w:p w14:paraId="2139DF13"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442FB272"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74DD9162" w14:textId="77777777" w:rsidR="003B1687" w:rsidRPr="009705F7" w:rsidRDefault="003B1687" w:rsidP="00817576">
            <w:pPr>
              <w:jc w:val="center"/>
              <w:rPr>
                <w:rFonts w:ascii="Arial" w:hAnsi="Arial" w:cs="Arial"/>
              </w:rPr>
            </w:pPr>
          </w:p>
        </w:tc>
        <w:tc>
          <w:tcPr>
            <w:tcW w:w="1804" w:type="dxa"/>
            <w:tcBorders>
              <w:top w:val="nil"/>
              <w:left w:val="nil"/>
              <w:bottom w:val="nil"/>
              <w:right w:val="nil"/>
            </w:tcBorders>
          </w:tcPr>
          <w:p w14:paraId="731F51DD" w14:textId="77777777" w:rsidR="003B1687" w:rsidRPr="009705F7" w:rsidRDefault="003B1687" w:rsidP="00817576">
            <w:pPr>
              <w:jc w:val="center"/>
              <w:rPr>
                <w:rFonts w:ascii="Arial" w:hAnsi="Arial" w:cs="Arial"/>
              </w:rPr>
            </w:pPr>
          </w:p>
        </w:tc>
      </w:tr>
      <w:tr w:rsidR="003B1687" w14:paraId="52B0C097" w14:textId="77777777" w:rsidTr="00817576">
        <w:tc>
          <w:tcPr>
            <w:tcW w:w="1980" w:type="dxa"/>
            <w:tcBorders>
              <w:top w:val="nil"/>
              <w:left w:val="nil"/>
              <w:bottom w:val="nil"/>
              <w:right w:val="nil"/>
            </w:tcBorders>
          </w:tcPr>
          <w:p w14:paraId="4084FC86" w14:textId="18D1F179" w:rsidR="003B1687" w:rsidRPr="009705F7" w:rsidRDefault="003B1687" w:rsidP="003B1687">
            <w:pPr>
              <w:rPr>
                <w:rFonts w:ascii="Arial" w:hAnsi="Arial" w:cs="Arial"/>
              </w:rPr>
            </w:pPr>
            <w:r w:rsidRPr="009705F7">
              <w:rPr>
                <w:rFonts w:ascii="Arial" w:hAnsi="Arial" w:cs="Arial"/>
              </w:rPr>
              <w:t>Felt Arousal</w:t>
            </w:r>
          </w:p>
        </w:tc>
        <w:tc>
          <w:tcPr>
            <w:tcW w:w="1626" w:type="dxa"/>
            <w:tcBorders>
              <w:top w:val="nil"/>
              <w:left w:val="nil"/>
              <w:bottom w:val="nil"/>
              <w:right w:val="nil"/>
            </w:tcBorders>
          </w:tcPr>
          <w:p w14:paraId="48D887C8"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35DDDB19" w14:textId="77777777" w:rsidR="003B1687" w:rsidRPr="009705F7" w:rsidRDefault="003B1687" w:rsidP="00817576">
            <w:pPr>
              <w:jc w:val="center"/>
              <w:rPr>
                <w:rFonts w:ascii="Arial" w:hAnsi="Arial" w:cs="Arial"/>
              </w:rPr>
            </w:pPr>
          </w:p>
        </w:tc>
        <w:tc>
          <w:tcPr>
            <w:tcW w:w="1803" w:type="dxa"/>
            <w:tcBorders>
              <w:top w:val="nil"/>
              <w:left w:val="nil"/>
              <w:bottom w:val="nil"/>
              <w:right w:val="nil"/>
            </w:tcBorders>
          </w:tcPr>
          <w:p w14:paraId="1B2B26F3" w14:textId="77777777" w:rsidR="003B1687" w:rsidRPr="009705F7" w:rsidRDefault="003B1687" w:rsidP="00817576">
            <w:pPr>
              <w:jc w:val="center"/>
              <w:rPr>
                <w:rFonts w:ascii="Arial" w:hAnsi="Arial" w:cs="Arial"/>
              </w:rPr>
            </w:pPr>
          </w:p>
        </w:tc>
        <w:tc>
          <w:tcPr>
            <w:tcW w:w="1804" w:type="dxa"/>
            <w:tcBorders>
              <w:top w:val="nil"/>
              <w:left w:val="nil"/>
              <w:bottom w:val="nil"/>
              <w:right w:val="nil"/>
            </w:tcBorders>
          </w:tcPr>
          <w:p w14:paraId="6181FC16" w14:textId="77777777" w:rsidR="003B1687" w:rsidRPr="009705F7" w:rsidRDefault="003B1687" w:rsidP="00817576">
            <w:pPr>
              <w:jc w:val="center"/>
              <w:rPr>
                <w:rFonts w:ascii="Arial" w:hAnsi="Arial" w:cs="Arial"/>
              </w:rPr>
            </w:pPr>
          </w:p>
        </w:tc>
      </w:tr>
      <w:tr w:rsidR="003B1687" w14:paraId="2632548D" w14:textId="77777777" w:rsidTr="00817576">
        <w:tc>
          <w:tcPr>
            <w:tcW w:w="1980" w:type="dxa"/>
            <w:tcBorders>
              <w:top w:val="nil"/>
              <w:left w:val="nil"/>
              <w:bottom w:val="nil"/>
              <w:right w:val="nil"/>
            </w:tcBorders>
          </w:tcPr>
          <w:p w14:paraId="61D95092" w14:textId="5123125F" w:rsidR="003B1687" w:rsidRPr="009705F7" w:rsidRDefault="003B1687" w:rsidP="00420D7D">
            <w:pPr>
              <w:rPr>
                <w:rFonts w:ascii="Arial" w:hAnsi="Arial" w:cs="Arial"/>
              </w:rPr>
            </w:pPr>
            <w:r w:rsidRPr="009705F7">
              <w:rPr>
                <w:rFonts w:ascii="Arial" w:hAnsi="Arial" w:cs="Arial"/>
              </w:rPr>
              <w:t>Control</w:t>
            </w:r>
          </w:p>
        </w:tc>
        <w:tc>
          <w:tcPr>
            <w:tcW w:w="1626" w:type="dxa"/>
            <w:tcBorders>
              <w:top w:val="nil"/>
              <w:left w:val="nil"/>
              <w:bottom w:val="nil"/>
              <w:right w:val="nil"/>
            </w:tcBorders>
          </w:tcPr>
          <w:p w14:paraId="68F4EA92" w14:textId="72EB8107" w:rsidR="003B1687" w:rsidRPr="009705F7" w:rsidRDefault="00817576" w:rsidP="00817576">
            <w:pPr>
              <w:jc w:val="center"/>
              <w:rPr>
                <w:rFonts w:ascii="Arial" w:hAnsi="Arial" w:cs="Arial"/>
              </w:rPr>
            </w:pPr>
            <w:r w:rsidRPr="009705F7">
              <w:rPr>
                <w:rFonts w:ascii="Arial" w:hAnsi="Arial" w:cs="Arial"/>
              </w:rPr>
              <w:t>4.18 ± 0.75</w:t>
            </w:r>
          </w:p>
        </w:tc>
        <w:tc>
          <w:tcPr>
            <w:tcW w:w="1803" w:type="dxa"/>
            <w:tcBorders>
              <w:top w:val="nil"/>
              <w:left w:val="nil"/>
              <w:bottom w:val="nil"/>
              <w:right w:val="nil"/>
            </w:tcBorders>
          </w:tcPr>
          <w:p w14:paraId="16D7D4B5" w14:textId="00BBF0D0" w:rsidR="003B1687" w:rsidRPr="009705F7" w:rsidRDefault="00817576" w:rsidP="00817576">
            <w:pPr>
              <w:jc w:val="center"/>
              <w:rPr>
                <w:rFonts w:ascii="Arial" w:hAnsi="Arial" w:cs="Arial"/>
              </w:rPr>
            </w:pPr>
            <w:r w:rsidRPr="009705F7">
              <w:rPr>
                <w:rFonts w:ascii="Arial" w:hAnsi="Arial" w:cs="Arial"/>
              </w:rPr>
              <w:t>4.45 ± 1.04</w:t>
            </w:r>
          </w:p>
        </w:tc>
        <w:tc>
          <w:tcPr>
            <w:tcW w:w="1803" w:type="dxa"/>
            <w:tcBorders>
              <w:top w:val="nil"/>
              <w:left w:val="nil"/>
              <w:bottom w:val="nil"/>
              <w:right w:val="nil"/>
            </w:tcBorders>
          </w:tcPr>
          <w:p w14:paraId="7107EC48" w14:textId="34E10ED4" w:rsidR="003B1687" w:rsidRPr="009705F7" w:rsidRDefault="00817576" w:rsidP="00817576">
            <w:pPr>
              <w:jc w:val="center"/>
              <w:rPr>
                <w:rFonts w:ascii="Arial" w:hAnsi="Arial" w:cs="Arial"/>
              </w:rPr>
            </w:pPr>
            <w:r w:rsidRPr="009705F7">
              <w:rPr>
                <w:rFonts w:ascii="Arial" w:hAnsi="Arial" w:cs="Arial"/>
              </w:rPr>
              <w:t>4.64 ± 0.67</w:t>
            </w:r>
          </w:p>
        </w:tc>
        <w:tc>
          <w:tcPr>
            <w:tcW w:w="1804" w:type="dxa"/>
            <w:tcBorders>
              <w:top w:val="nil"/>
              <w:left w:val="nil"/>
              <w:bottom w:val="nil"/>
              <w:right w:val="nil"/>
            </w:tcBorders>
          </w:tcPr>
          <w:p w14:paraId="58007FC4" w14:textId="44078FC0" w:rsidR="003B1687" w:rsidRPr="009705F7" w:rsidRDefault="00817576" w:rsidP="00817576">
            <w:pPr>
              <w:jc w:val="center"/>
              <w:rPr>
                <w:rFonts w:ascii="Arial" w:hAnsi="Arial" w:cs="Arial"/>
              </w:rPr>
            </w:pPr>
            <w:r w:rsidRPr="009705F7">
              <w:rPr>
                <w:rFonts w:ascii="Arial" w:hAnsi="Arial" w:cs="Arial"/>
              </w:rPr>
              <w:t>4.00 ± 0.77</w:t>
            </w:r>
          </w:p>
        </w:tc>
      </w:tr>
      <w:tr w:rsidR="003B1687" w14:paraId="566F3613" w14:textId="77777777" w:rsidTr="009705F7">
        <w:tc>
          <w:tcPr>
            <w:tcW w:w="1980" w:type="dxa"/>
            <w:tcBorders>
              <w:top w:val="nil"/>
              <w:left w:val="nil"/>
              <w:bottom w:val="nil"/>
              <w:right w:val="nil"/>
            </w:tcBorders>
          </w:tcPr>
          <w:p w14:paraId="73E27099" w14:textId="4984B003" w:rsidR="003B1687" w:rsidRPr="009705F7" w:rsidRDefault="003B1687" w:rsidP="00420D7D">
            <w:pPr>
              <w:rPr>
                <w:rFonts w:ascii="Arial" w:hAnsi="Arial" w:cs="Arial"/>
              </w:rPr>
            </w:pPr>
            <w:r w:rsidRPr="009705F7">
              <w:rPr>
                <w:rFonts w:ascii="Arial" w:hAnsi="Arial" w:cs="Arial"/>
              </w:rPr>
              <w:t>Placebo</w:t>
            </w:r>
          </w:p>
        </w:tc>
        <w:tc>
          <w:tcPr>
            <w:tcW w:w="1626" w:type="dxa"/>
            <w:tcBorders>
              <w:top w:val="nil"/>
              <w:left w:val="nil"/>
              <w:bottom w:val="nil"/>
              <w:right w:val="nil"/>
            </w:tcBorders>
          </w:tcPr>
          <w:p w14:paraId="51069372" w14:textId="0544E1AC" w:rsidR="003B1687" w:rsidRPr="009705F7" w:rsidRDefault="00817576" w:rsidP="00817576">
            <w:pPr>
              <w:jc w:val="center"/>
              <w:rPr>
                <w:rFonts w:ascii="Arial" w:hAnsi="Arial" w:cs="Arial"/>
              </w:rPr>
            </w:pPr>
            <w:r w:rsidRPr="009705F7">
              <w:rPr>
                <w:rFonts w:ascii="Arial" w:hAnsi="Arial" w:cs="Arial"/>
              </w:rPr>
              <w:t>4.00 ± 0.77</w:t>
            </w:r>
          </w:p>
        </w:tc>
        <w:tc>
          <w:tcPr>
            <w:tcW w:w="1803" w:type="dxa"/>
            <w:tcBorders>
              <w:top w:val="nil"/>
              <w:left w:val="nil"/>
              <w:bottom w:val="nil"/>
              <w:right w:val="nil"/>
            </w:tcBorders>
          </w:tcPr>
          <w:p w14:paraId="04534B9E" w14:textId="6767D8CD" w:rsidR="003B1687" w:rsidRPr="009705F7" w:rsidRDefault="00817576" w:rsidP="00817576">
            <w:pPr>
              <w:jc w:val="center"/>
              <w:rPr>
                <w:rFonts w:ascii="Arial" w:hAnsi="Arial" w:cs="Arial"/>
              </w:rPr>
            </w:pPr>
            <w:r w:rsidRPr="009705F7">
              <w:rPr>
                <w:rFonts w:ascii="Arial" w:hAnsi="Arial" w:cs="Arial"/>
              </w:rPr>
              <w:t>4.00 ± 1.10</w:t>
            </w:r>
          </w:p>
        </w:tc>
        <w:tc>
          <w:tcPr>
            <w:tcW w:w="1803" w:type="dxa"/>
            <w:tcBorders>
              <w:top w:val="nil"/>
              <w:left w:val="nil"/>
              <w:bottom w:val="nil"/>
              <w:right w:val="nil"/>
            </w:tcBorders>
          </w:tcPr>
          <w:p w14:paraId="0A889FA7" w14:textId="2809C01F" w:rsidR="003B1687" w:rsidRPr="009705F7" w:rsidRDefault="00817576" w:rsidP="00817576">
            <w:pPr>
              <w:jc w:val="center"/>
              <w:rPr>
                <w:rFonts w:ascii="Arial" w:hAnsi="Arial" w:cs="Arial"/>
              </w:rPr>
            </w:pPr>
            <w:r w:rsidRPr="009705F7">
              <w:rPr>
                <w:rFonts w:ascii="Arial" w:hAnsi="Arial" w:cs="Arial"/>
              </w:rPr>
              <w:t>4.00 ± 1.34</w:t>
            </w:r>
          </w:p>
        </w:tc>
        <w:tc>
          <w:tcPr>
            <w:tcW w:w="1804" w:type="dxa"/>
            <w:tcBorders>
              <w:top w:val="nil"/>
              <w:left w:val="nil"/>
              <w:bottom w:val="nil"/>
              <w:right w:val="nil"/>
            </w:tcBorders>
          </w:tcPr>
          <w:p w14:paraId="36618670" w14:textId="59D2E6B2" w:rsidR="003B1687" w:rsidRPr="009705F7" w:rsidRDefault="00817576" w:rsidP="00817576">
            <w:pPr>
              <w:jc w:val="center"/>
              <w:rPr>
                <w:rFonts w:ascii="Arial" w:hAnsi="Arial" w:cs="Arial"/>
              </w:rPr>
            </w:pPr>
            <w:r w:rsidRPr="009705F7">
              <w:rPr>
                <w:rFonts w:ascii="Arial" w:hAnsi="Arial" w:cs="Arial"/>
              </w:rPr>
              <w:t>4.18 ± 1.33</w:t>
            </w:r>
          </w:p>
        </w:tc>
      </w:tr>
      <w:tr w:rsidR="003B1687" w14:paraId="40A59EE8" w14:textId="77777777" w:rsidTr="009705F7">
        <w:tc>
          <w:tcPr>
            <w:tcW w:w="1980" w:type="dxa"/>
            <w:tcBorders>
              <w:top w:val="nil"/>
              <w:left w:val="nil"/>
              <w:bottom w:val="double" w:sz="4" w:space="0" w:color="auto"/>
              <w:right w:val="nil"/>
            </w:tcBorders>
          </w:tcPr>
          <w:p w14:paraId="037A6A5F" w14:textId="02613358" w:rsidR="003B1687" w:rsidRPr="009705F7" w:rsidRDefault="003B1687" w:rsidP="00420D7D">
            <w:pPr>
              <w:rPr>
                <w:rFonts w:ascii="Arial" w:hAnsi="Arial" w:cs="Arial"/>
              </w:rPr>
            </w:pPr>
            <w:r w:rsidRPr="009705F7">
              <w:rPr>
                <w:rFonts w:ascii="Arial" w:hAnsi="Arial" w:cs="Arial"/>
              </w:rPr>
              <w:t>Nitrate</w:t>
            </w:r>
          </w:p>
        </w:tc>
        <w:tc>
          <w:tcPr>
            <w:tcW w:w="1626" w:type="dxa"/>
            <w:tcBorders>
              <w:top w:val="nil"/>
              <w:left w:val="nil"/>
              <w:bottom w:val="double" w:sz="4" w:space="0" w:color="auto"/>
              <w:right w:val="nil"/>
            </w:tcBorders>
          </w:tcPr>
          <w:p w14:paraId="0A4F6E78" w14:textId="5ABA7788" w:rsidR="003B1687" w:rsidRPr="009705F7" w:rsidRDefault="00817576" w:rsidP="00817576">
            <w:pPr>
              <w:jc w:val="center"/>
              <w:rPr>
                <w:rFonts w:ascii="Arial" w:hAnsi="Arial" w:cs="Arial"/>
              </w:rPr>
            </w:pPr>
            <w:r w:rsidRPr="009705F7">
              <w:rPr>
                <w:rFonts w:ascii="Arial" w:hAnsi="Arial" w:cs="Arial"/>
              </w:rPr>
              <w:t>4.27 ± 1.01</w:t>
            </w:r>
          </w:p>
        </w:tc>
        <w:tc>
          <w:tcPr>
            <w:tcW w:w="1803" w:type="dxa"/>
            <w:tcBorders>
              <w:top w:val="nil"/>
              <w:left w:val="nil"/>
              <w:bottom w:val="double" w:sz="4" w:space="0" w:color="auto"/>
              <w:right w:val="nil"/>
            </w:tcBorders>
          </w:tcPr>
          <w:p w14:paraId="244DAEAA" w14:textId="1571F2C3" w:rsidR="003B1687" w:rsidRPr="009705F7" w:rsidRDefault="00817576" w:rsidP="00817576">
            <w:pPr>
              <w:jc w:val="center"/>
              <w:rPr>
                <w:rFonts w:ascii="Arial" w:hAnsi="Arial" w:cs="Arial"/>
              </w:rPr>
            </w:pPr>
            <w:r w:rsidRPr="009705F7">
              <w:rPr>
                <w:rFonts w:ascii="Arial" w:hAnsi="Arial" w:cs="Arial"/>
              </w:rPr>
              <w:t>4.45 ± 0.82</w:t>
            </w:r>
          </w:p>
        </w:tc>
        <w:tc>
          <w:tcPr>
            <w:tcW w:w="1803" w:type="dxa"/>
            <w:tcBorders>
              <w:top w:val="nil"/>
              <w:left w:val="nil"/>
              <w:bottom w:val="double" w:sz="4" w:space="0" w:color="auto"/>
              <w:right w:val="nil"/>
            </w:tcBorders>
          </w:tcPr>
          <w:p w14:paraId="533264A8" w14:textId="7723AE36" w:rsidR="003B1687" w:rsidRPr="009705F7" w:rsidRDefault="00817576" w:rsidP="00817576">
            <w:pPr>
              <w:jc w:val="center"/>
              <w:rPr>
                <w:rFonts w:ascii="Arial" w:hAnsi="Arial" w:cs="Arial"/>
              </w:rPr>
            </w:pPr>
            <w:r w:rsidRPr="009705F7">
              <w:rPr>
                <w:rFonts w:ascii="Arial" w:hAnsi="Arial" w:cs="Arial"/>
              </w:rPr>
              <w:t>4.45 ± 0.69</w:t>
            </w:r>
          </w:p>
        </w:tc>
        <w:tc>
          <w:tcPr>
            <w:tcW w:w="1804" w:type="dxa"/>
            <w:tcBorders>
              <w:top w:val="nil"/>
              <w:left w:val="nil"/>
              <w:bottom w:val="double" w:sz="4" w:space="0" w:color="auto"/>
              <w:right w:val="nil"/>
            </w:tcBorders>
          </w:tcPr>
          <w:p w14:paraId="263BB81A" w14:textId="77777777" w:rsidR="003B1687" w:rsidRDefault="00817576" w:rsidP="00817576">
            <w:pPr>
              <w:jc w:val="center"/>
              <w:rPr>
                <w:rFonts w:ascii="Arial" w:hAnsi="Arial" w:cs="Arial"/>
              </w:rPr>
            </w:pPr>
            <w:r w:rsidRPr="009705F7">
              <w:rPr>
                <w:rFonts w:ascii="Arial" w:hAnsi="Arial" w:cs="Arial"/>
              </w:rPr>
              <w:t>4.64 ± 0.81</w:t>
            </w:r>
          </w:p>
          <w:p w14:paraId="4F4C6403" w14:textId="727C50FC" w:rsidR="009705F7" w:rsidRPr="009705F7" w:rsidRDefault="009705F7" w:rsidP="00817576">
            <w:pPr>
              <w:jc w:val="center"/>
              <w:rPr>
                <w:rFonts w:ascii="Arial" w:hAnsi="Arial" w:cs="Arial"/>
              </w:rPr>
            </w:pPr>
          </w:p>
        </w:tc>
      </w:tr>
    </w:tbl>
    <w:p w14:paraId="7CDC285D" w14:textId="3FF2BFE1" w:rsidR="00FC48D8" w:rsidRDefault="00FC48D8">
      <w:pPr>
        <w:rPr>
          <w:rFonts w:ascii="Arial" w:hAnsi="Arial" w:cs="Arial"/>
          <w:b/>
        </w:rPr>
      </w:pPr>
      <w:r>
        <w:rPr>
          <w:rFonts w:cs="Arial"/>
          <w:b/>
        </w:rPr>
        <w:br w:type="page"/>
      </w:r>
    </w:p>
    <w:p w14:paraId="5EB7DED9" w14:textId="53886D43" w:rsidR="0032760B" w:rsidRDefault="00FC48D8" w:rsidP="00D50DB8">
      <w:pPr>
        <w:pStyle w:val="NoSpacing"/>
        <w:spacing w:line="480" w:lineRule="auto"/>
        <w:jc w:val="both"/>
        <w:rPr>
          <w:rFonts w:cs="Arial"/>
          <w:b/>
          <w:sz w:val="22"/>
        </w:rPr>
      </w:pPr>
      <w:r>
        <w:rPr>
          <w:rFonts w:cs="Arial"/>
          <w:b/>
          <w:noProof/>
          <w:sz w:val="22"/>
          <w:lang w:eastAsia="en-GB"/>
        </w:rPr>
        <w:drawing>
          <wp:inline distT="0" distB="0" distL="0" distR="0" wp14:anchorId="6C99EEC6" wp14:editId="7F575488">
            <wp:extent cx="5731510" cy="39954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_1a&amp;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995420"/>
                    </a:xfrm>
                    <a:prstGeom prst="rect">
                      <a:avLst/>
                    </a:prstGeom>
                  </pic:spPr>
                </pic:pic>
              </a:graphicData>
            </a:graphic>
          </wp:inline>
        </w:drawing>
      </w:r>
    </w:p>
    <w:p w14:paraId="33D47ADB" w14:textId="3143FD5B" w:rsidR="00FC48D8" w:rsidRDefault="00FC48D8" w:rsidP="00D50DB8">
      <w:pPr>
        <w:pStyle w:val="NoSpacing"/>
        <w:spacing w:line="480" w:lineRule="auto"/>
        <w:jc w:val="both"/>
        <w:rPr>
          <w:rFonts w:cs="Arial"/>
          <w:b/>
          <w:sz w:val="22"/>
        </w:rPr>
      </w:pPr>
    </w:p>
    <w:p w14:paraId="185B624E" w14:textId="7424D44A" w:rsidR="00FC48D8" w:rsidRPr="00D50DB8" w:rsidRDefault="00FC48D8" w:rsidP="00D50DB8">
      <w:pPr>
        <w:pStyle w:val="NoSpacing"/>
        <w:spacing w:line="480" w:lineRule="auto"/>
        <w:jc w:val="both"/>
        <w:rPr>
          <w:rFonts w:cs="Arial"/>
          <w:b/>
          <w:sz w:val="22"/>
        </w:rPr>
      </w:pPr>
      <w:r>
        <w:rPr>
          <w:rFonts w:cs="Arial"/>
          <w:b/>
          <w:noProof/>
          <w:sz w:val="22"/>
          <w:lang w:eastAsia="en-GB"/>
        </w:rPr>
        <w:drawing>
          <wp:inline distT="0" distB="0" distL="0" distR="0" wp14:anchorId="43F116F7" wp14:editId="2CC8B7E1">
            <wp:extent cx="4681728" cy="3348228"/>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1728" cy="3348228"/>
                    </a:xfrm>
                    <a:prstGeom prst="rect">
                      <a:avLst/>
                    </a:prstGeom>
                  </pic:spPr>
                </pic:pic>
              </a:graphicData>
            </a:graphic>
          </wp:inline>
        </w:drawing>
      </w:r>
    </w:p>
    <w:sectPr w:rsidR="00FC48D8" w:rsidRPr="00D50DB8" w:rsidSect="00DE30FA">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609E" w14:textId="77777777" w:rsidR="00D44B5C" w:rsidRDefault="00D44B5C" w:rsidP="00027814">
      <w:pPr>
        <w:spacing w:after="0" w:line="240" w:lineRule="auto"/>
      </w:pPr>
      <w:r>
        <w:separator/>
      </w:r>
    </w:p>
  </w:endnote>
  <w:endnote w:type="continuationSeparator" w:id="0">
    <w:p w14:paraId="1E0A0F68" w14:textId="77777777" w:rsidR="00D44B5C" w:rsidRDefault="00D44B5C" w:rsidP="0002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8C1A7" w14:textId="77777777" w:rsidR="00D44B5C" w:rsidRDefault="00D44B5C" w:rsidP="00027814">
      <w:pPr>
        <w:spacing w:after="0" w:line="240" w:lineRule="auto"/>
      </w:pPr>
      <w:r>
        <w:separator/>
      </w:r>
    </w:p>
  </w:footnote>
  <w:footnote w:type="continuationSeparator" w:id="0">
    <w:p w14:paraId="00531F16" w14:textId="77777777" w:rsidR="00D44B5C" w:rsidRDefault="00D44B5C" w:rsidP="00027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768404"/>
      <w:docPartObj>
        <w:docPartGallery w:val="Page Numbers (Top of Page)"/>
        <w:docPartUnique/>
      </w:docPartObj>
    </w:sdtPr>
    <w:sdtEndPr>
      <w:rPr>
        <w:noProof/>
      </w:rPr>
    </w:sdtEndPr>
    <w:sdtContent>
      <w:p w14:paraId="3C0F208E" w14:textId="6925B4FD" w:rsidR="006206CB" w:rsidRDefault="006206CB">
        <w:pPr>
          <w:pStyle w:val="Header"/>
          <w:jc w:val="right"/>
        </w:pPr>
        <w:r>
          <w:fldChar w:fldCharType="begin"/>
        </w:r>
        <w:r>
          <w:instrText xml:space="preserve"> PAGE   \* MERGEFORMAT </w:instrText>
        </w:r>
        <w:r>
          <w:fldChar w:fldCharType="separate"/>
        </w:r>
        <w:r w:rsidR="00880F10">
          <w:rPr>
            <w:noProof/>
          </w:rPr>
          <w:t>1</w:t>
        </w:r>
        <w:r>
          <w:rPr>
            <w:noProof/>
          </w:rPr>
          <w:fldChar w:fldCharType="end"/>
        </w:r>
      </w:p>
    </w:sdtContent>
  </w:sdt>
  <w:p w14:paraId="46DB4271" w14:textId="77777777" w:rsidR="006206CB" w:rsidRDefault="00620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4C"/>
    <w:rsid w:val="00001D72"/>
    <w:rsid w:val="000054C0"/>
    <w:rsid w:val="00006348"/>
    <w:rsid w:val="00027814"/>
    <w:rsid w:val="00041367"/>
    <w:rsid w:val="00050D95"/>
    <w:rsid w:val="00065379"/>
    <w:rsid w:val="000967C2"/>
    <w:rsid w:val="000978B2"/>
    <w:rsid w:val="000A0F94"/>
    <w:rsid w:val="000A2662"/>
    <w:rsid w:val="000A3695"/>
    <w:rsid w:val="000B2DB4"/>
    <w:rsid w:val="000B70B9"/>
    <w:rsid w:val="000C0A07"/>
    <w:rsid w:val="000E53FE"/>
    <w:rsid w:val="000E721A"/>
    <w:rsid w:val="000F3143"/>
    <w:rsid w:val="000F5FFC"/>
    <w:rsid w:val="00105C10"/>
    <w:rsid w:val="00110DC8"/>
    <w:rsid w:val="00121AE6"/>
    <w:rsid w:val="00123650"/>
    <w:rsid w:val="00125057"/>
    <w:rsid w:val="00125597"/>
    <w:rsid w:val="0012611E"/>
    <w:rsid w:val="00140E8D"/>
    <w:rsid w:val="0014396F"/>
    <w:rsid w:val="001715D2"/>
    <w:rsid w:val="00176FCE"/>
    <w:rsid w:val="00177088"/>
    <w:rsid w:val="00181E57"/>
    <w:rsid w:val="00184766"/>
    <w:rsid w:val="00185AF1"/>
    <w:rsid w:val="0019006F"/>
    <w:rsid w:val="00190E06"/>
    <w:rsid w:val="001954A1"/>
    <w:rsid w:val="001A1E73"/>
    <w:rsid w:val="001B55AD"/>
    <w:rsid w:val="001B6D5C"/>
    <w:rsid w:val="001C7436"/>
    <w:rsid w:val="001D20F7"/>
    <w:rsid w:val="001D77E2"/>
    <w:rsid w:val="001E784C"/>
    <w:rsid w:val="001E7EF3"/>
    <w:rsid w:val="0020237B"/>
    <w:rsid w:val="00212048"/>
    <w:rsid w:val="00212786"/>
    <w:rsid w:val="002267B1"/>
    <w:rsid w:val="00227339"/>
    <w:rsid w:val="0023698A"/>
    <w:rsid w:val="00244B05"/>
    <w:rsid w:val="00245B54"/>
    <w:rsid w:val="00281B64"/>
    <w:rsid w:val="0028275E"/>
    <w:rsid w:val="002A7283"/>
    <w:rsid w:val="002B032B"/>
    <w:rsid w:val="002B2271"/>
    <w:rsid w:val="002B75FC"/>
    <w:rsid w:val="002D36E1"/>
    <w:rsid w:val="002D3A97"/>
    <w:rsid w:val="002D6C83"/>
    <w:rsid w:val="002E06DF"/>
    <w:rsid w:val="002E5667"/>
    <w:rsid w:val="003005EE"/>
    <w:rsid w:val="00300BA5"/>
    <w:rsid w:val="00301162"/>
    <w:rsid w:val="00302055"/>
    <w:rsid w:val="00302DA5"/>
    <w:rsid w:val="003039FE"/>
    <w:rsid w:val="00311B2E"/>
    <w:rsid w:val="003145EC"/>
    <w:rsid w:val="00317242"/>
    <w:rsid w:val="00326A8E"/>
    <w:rsid w:val="0032760B"/>
    <w:rsid w:val="003534CD"/>
    <w:rsid w:val="00356F2F"/>
    <w:rsid w:val="00357B98"/>
    <w:rsid w:val="00360363"/>
    <w:rsid w:val="00367F9C"/>
    <w:rsid w:val="00375934"/>
    <w:rsid w:val="00377418"/>
    <w:rsid w:val="00380354"/>
    <w:rsid w:val="00387ED4"/>
    <w:rsid w:val="003904F5"/>
    <w:rsid w:val="003960A8"/>
    <w:rsid w:val="003A0EAB"/>
    <w:rsid w:val="003B1687"/>
    <w:rsid w:val="003B34C0"/>
    <w:rsid w:val="003D642D"/>
    <w:rsid w:val="003E102D"/>
    <w:rsid w:val="003E1389"/>
    <w:rsid w:val="003E60E8"/>
    <w:rsid w:val="003F6CB1"/>
    <w:rsid w:val="0040023B"/>
    <w:rsid w:val="004028D4"/>
    <w:rsid w:val="00412515"/>
    <w:rsid w:val="0041303B"/>
    <w:rsid w:val="00414CD0"/>
    <w:rsid w:val="00416270"/>
    <w:rsid w:val="00420D7D"/>
    <w:rsid w:val="00425BBB"/>
    <w:rsid w:val="00425C4C"/>
    <w:rsid w:val="00451334"/>
    <w:rsid w:val="00482603"/>
    <w:rsid w:val="0048343C"/>
    <w:rsid w:val="00484F2E"/>
    <w:rsid w:val="00485D9B"/>
    <w:rsid w:val="0049471D"/>
    <w:rsid w:val="004A2D90"/>
    <w:rsid w:val="004B2698"/>
    <w:rsid w:val="004B3D1E"/>
    <w:rsid w:val="004D2292"/>
    <w:rsid w:val="004E010D"/>
    <w:rsid w:val="004F3753"/>
    <w:rsid w:val="004F77F8"/>
    <w:rsid w:val="00506119"/>
    <w:rsid w:val="00506494"/>
    <w:rsid w:val="005165A0"/>
    <w:rsid w:val="0052091B"/>
    <w:rsid w:val="0052269F"/>
    <w:rsid w:val="00523F39"/>
    <w:rsid w:val="00535417"/>
    <w:rsid w:val="00540E0D"/>
    <w:rsid w:val="00545BC7"/>
    <w:rsid w:val="0055433A"/>
    <w:rsid w:val="00560F40"/>
    <w:rsid w:val="0056118C"/>
    <w:rsid w:val="00565B87"/>
    <w:rsid w:val="005853C8"/>
    <w:rsid w:val="005A52F4"/>
    <w:rsid w:val="005B0B06"/>
    <w:rsid w:val="005C2BF1"/>
    <w:rsid w:val="005C4779"/>
    <w:rsid w:val="005C6C39"/>
    <w:rsid w:val="005E185D"/>
    <w:rsid w:val="005F1730"/>
    <w:rsid w:val="005F6976"/>
    <w:rsid w:val="00607A9C"/>
    <w:rsid w:val="006206CB"/>
    <w:rsid w:val="00623558"/>
    <w:rsid w:val="00624F86"/>
    <w:rsid w:val="006275E6"/>
    <w:rsid w:val="0063793D"/>
    <w:rsid w:val="0064265F"/>
    <w:rsid w:val="00646CF1"/>
    <w:rsid w:val="00667441"/>
    <w:rsid w:val="006730A0"/>
    <w:rsid w:val="00680C95"/>
    <w:rsid w:val="00682E8C"/>
    <w:rsid w:val="006837F6"/>
    <w:rsid w:val="00694A60"/>
    <w:rsid w:val="00696C6F"/>
    <w:rsid w:val="006A0C4C"/>
    <w:rsid w:val="006A21E9"/>
    <w:rsid w:val="006B1518"/>
    <w:rsid w:val="006B3434"/>
    <w:rsid w:val="006D1540"/>
    <w:rsid w:val="006E0BBC"/>
    <w:rsid w:val="006E3FA3"/>
    <w:rsid w:val="006E62BB"/>
    <w:rsid w:val="00701F51"/>
    <w:rsid w:val="00711AFD"/>
    <w:rsid w:val="00711B48"/>
    <w:rsid w:val="007216E8"/>
    <w:rsid w:val="00722685"/>
    <w:rsid w:val="007442C5"/>
    <w:rsid w:val="0074543D"/>
    <w:rsid w:val="007649D0"/>
    <w:rsid w:val="00775141"/>
    <w:rsid w:val="0078071D"/>
    <w:rsid w:val="00785789"/>
    <w:rsid w:val="00786903"/>
    <w:rsid w:val="00792CA1"/>
    <w:rsid w:val="007B3294"/>
    <w:rsid w:val="007C06A5"/>
    <w:rsid w:val="007C58EF"/>
    <w:rsid w:val="007D2FC2"/>
    <w:rsid w:val="007E019A"/>
    <w:rsid w:val="00805106"/>
    <w:rsid w:val="0081570C"/>
    <w:rsid w:val="008168A2"/>
    <w:rsid w:val="00817576"/>
    <w:rsid w:val="0082258E"/>
    <w:rsid w:val="00825B52"/>
    <w:rsid w:val="00825CB7"/>
    <w:rsid w:val="00830AD4"/>
    <w:rsid w:val="008404E3"/>
    <w:rsid w:val="00841689"/>
    <w:rsid w:val="00842C61"/>
    <w:rsid w:val="00857E3C"/>
    <w:rsid w:val="008634A1"/>
    <w:rsid w:val="00871F88"/>
    <w:rsid w:val="00876BCB"/>
    <w:rsid w:val="00880F10"/>
    <w:rsid w:val="008A22E1"/>
    <w:rsid w:val="008B4EED"/>
    <w:rsid w:val="008C3DA4"/>
    <w:rsid w:val="008C5CAB"/>
    <w:rsid w:val="008D5845"/>
    <w:rsid w:val="008E1D67"/>
    <w:rsid w:val="008F7556"/>
    <w:rsid w:val="00916361"/>
    <w:rsid w:val="00924D19"/>
    <w:rsid w:val="009256FA"/>
    <w:rsid w:val="00930455"/>
    <w:rsid w:val="00934AF6"/>
    <w:rsid w:val="00936F8D"/>
    <w:rsid w:val="00940AB8"/>
    <w:rsid w:val="009443F2"/>
    <w:rsid w:val="00951542"/>
    <w:rsid w:val="00953B02"/>
    <w:rsid w:val="009542D3"/>
    <w:rsid w:val="009640AA"/>
    <w:rsid w:val="009705F7"/>
    <w:rsid w:val="00971F84"/>
    <w:rsid w:val="00971FBE"/>
    <w:rsid w:val="00972A66"/>
    <w:rsid w:val="0097411F"/>
    <w:rsid w:val="0098215C"/>
    <w:rsid w:val="00995DA3"/>
    <w:rsid w:val="009C6AE0"/>
    <w:rsid w:val="009D2DCF"/>
    <w:rsid w:val="009D64D9"/>
    <w:rsid w:val="009D6E7B"/>
    <w:rsid w:val="009F1CFA"/>
    <w:rsid w:val="009F1D3F"/>
    <w:rsid w:val="009F5027"/>
    <w:rsid w:val="009F786E"/>
    <w:rsid w:val="00A02B36"/>
    <w:rsid w:val="00A05331"/>
    <w:rsid w:val="00A06229"/>
    <w:rsid w:val="00A13059"/>
    <w:rsid w:val="00A20568"/>
    <w:rsid w:val="00A2131B"/>
    <w:rsid w:val="00A36073"/>
    <w:rsid w:val="00A364AB"/>
    <w:rsid w:val="00A429BC"/>
    <w:rsid w:val="00A43387"/>
    <w:rsid w:val="00A4774B"/>
    <w:rsid w:val="00A56CD6"/>
    <w:rsid w:val="00A60AC9"/>
    <w:rsid w:val="00A72447"/>
    <w:rsid w:val="00A74896"/>
    <w:rsid w:val="00A845FC"/>
    <w:rsid w:val="00A85909"/>
    <w:rsid w:val="00A86C17"/>
    <w:rsid w:val="00A94E65"/>
    <w:rsid w:val="00A96C5F"/>
    <w:rsid w:val="00AA1182"/>
    <w:rsid w:val="00AA2505"/>
    <w:rsid w:val="00AA35A1"/>
    <w:rsid w:val="00AB510F"/>
    <w:rsid w:val="00AD03A6"/>
    <w:rsid w:val="00AD57BD"/>
    <w:rsid w:val="00AD607E"/>
    <w:rsid w:val="00AD73DD"/>
    <w:rsid w:val="00B0583A"/>
    <w:rsid w:val="00B06D40"/>
    <w:rsid w:val="00B10D34"/>
    <w:rsid w:val="00B13CDB"/>
    <w:rsid w:val="00B13F8C"/>
    <w:rsid w:val="00B23635"/>
    <w:rsid w:val="00B25AD3"/>
    <w:rsid w:val="00B34146"/>
    <w:rsid w:val="00B43E92"/>
    <w:rsid w:val="00B440A4"/>
    <w:rsid w:val="00B504BC"/>
    <w:rsid w:val="00B56595"/>
    <w:rsid w:val="00B822EF"/>
    <w:rsid w:val="00B823BC"/>
    <w:rsid w:val="00B86CEE"/>
    <w:rsid w:val="00BA07E7"/>
    <w:rsid w:val="00BB2846"/>
    <w:rsid w:val="00BC1138"/>
    <w:rsid w:val="00BC1FD2"/>
    <w:rsid w:val="00BC4D2A"/>
    <w:rsid w:val="00BD251F"/>
    <w:rsid w:val="00BD707C"/>
    <w:rsid w:val="00BE1803"/>
    <w:rsid w:val="00C10B2F"/>
    <w:rsid w:val="00C11918"/>
    <w:rsid w:val="00C15768"/>
    <w:rsid w:val="00C169CC"/>
    <w:rsid w:val="00C30A41"/>
    <w:rsid w:val="00C34EE8"/>
    <w:rsid w:val="00C3724E"/>
    <w:rsid w:val="00C41CDF"/>
    <w:rsid w:val="00C42FF5"/>
    <w:rsid w:val="00C568D3"/>
    <w:rsid w:val="00C57601"/>
    <w:rsid w:val="00C67734"/>
    <w:rsid w:val="00C8233B"/>
    <w:rsid w:val="00C86243"/>
    <w:rsid w:val="00C87D0B"/>
    <w:rsid w:val="00C95DEC"/>
    <w:rsid w:val="00C971C6"/>
    <w:rsid w:val="00C97760"/>
    <w:rsid w:val="00CA558A"/>
    <w:rsid w:val="00CA6E35"/>
    <w:rsid w:val="00CB10B0"/>
    <w:rsid w:val="00CC36BD"/>
    <w:rsid w:val="00CD0DAB"/>
    <w:rsid w:val="00CF3345"/>
    <w:rsid w:val="00CF75EE"/>
    <w:rsid w:val="00D02A2C"/>
    <w:rsid w:val="00D16388"/>
    <w:rsid w:val="00D1685D"/>
    <w:rsid w:val="00D3679D"/>
    <w:rsid w:val="00D44B5C"/>
    <w:rsid w:val="00D50DB8"/>
    <w:rsid w:val="00D5780E"/>
    <w:rsid w:val="00D626C2"/>
    <w:rsid w:val="00D62CA6"/>
    <w:rsid w:val="00D63297"/>
    <w:rsid w:val="00D63E81"/>
    <w:rsid w:val="00D7086A"/>
    <w:rsid w:val="00D73C91"/>
    <w:rsid w:val="00D74D6E"/>
    <w:rsid w:val="00D7768D"/>
    <w:rsid w:val="00D819B8"/>
    <w:rsid w:val="00D90CCB"/>
    <w:rsid w:val="00DA1B0C"/>
    <w:rsid w:val="00DB42D2"/>
    <w:rsid w:val="00DB462C"/>
    <w:rsid w:val="00DC6954"/>
    <w:rsid w:val="00DC6ACC"/>
    <w:rsid w:val="00DD2A6A"/>
    <w:rsid w:val="00DE1775"/>
    <w:rsid w:val="00DE1CD5"/>
    <w:rsid w:val="00DE30FA"/>
    <w:rsid w:val="00E053D1"/>
    <w:rsid w:val="00E12B7C"/>
    <w:rsid w:val="00E17072"/>
    <w:rsid w:val="00E24444"/>
    <w:rsid w:val="00E30B4A"/>
    <w:rsid w:val="00E30EB8"/>
    <w:rsid w:val="00E3644D"/>
    <w:rsid w:val="00E366A7"/>
    <w:rsid w:val="00E40A8A"/>
    <w:rsid w:val="00E4323A"/>
    <w:rsid w:val="00E63B8D"/>
    <w:rsid w:val="00E65162"/>
    <w:rsid w:val="00E67EF8"/>
    <w:rsid w:val="00E76F75"/>
    <w:rsid w:val="00E77A8D"/>
    <w:rsid w:val="00E8288F"/>
    <w:rsid w:val="00E82F37"/>
    <w:rsid w:val="00E83500"/>
    <w:rsid w:val="00E86667"/>
    <w:rsid w:val="00E86D97"/>
    <w:rsid w:val="00E90E7D"/>
    <w:rsid w:val="00E960D5"/>
    <w:rsid w:val="00EA1AA0"/>
    <w:rsid w:val="00EA3424"/>
    <w:rsid w:val="00EB3AEF"/>
    <w:rsid w:val="00EB3E4C"/>
    <w:rsid w:val="00EC027B"/>
    <w:rsid w:val="00EC07D9"/>
    <w:rsid w:val="00EE57E3"/>
    <w:rsid w:val="00EF7681"/>
    <w:rsid w:val="00F00903"/>
    <w:rsid w:val="00F14831"/>
    <w:rsid w:val="00F14E87"/>
    <w:rsid w:val="00F17A06"/>
    <w:rsid w:val="00F17D9A"/>
    <w:rsid w:val="00F44A94"/>
    <w:rsid w:val="00F46AF3"/>
    <w:rsid w:val="00F54176"/>
    <w:rsid w:val="00F62FC4"/>
    <w:rsid w:val="00F634D2"/>
    <w:rsid w:val="00F65A63"/>
    <w:rsid w:val="00F70087"/>
    <w:rsid w:val="00FA7AEA"/>
    <w:rsid w:val="00FB4677"/>
    <w:rsid w:val="00FC48D8"/>
    <w:rsid w:val="00FD4992"/>
    <w:rsid w:val="00FF0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3F23"/>
  <w15:docId w15:val="{0217C1C0-34EA-45C0-AAC6-ED93701D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EB3E4C"/>
    <w:pPr>
      <w:ind w:left="720"/>
      <w:contextualSpacing/>
    </w:pPr>
  </w:style>
  <w:style w:type="character" w:customStyle="1" w:styleId="apple-converted-space">
    <w:name w:val="apple-converted-space"/>
    <w:basedOn w:val="DefaultParagraphFont"/>
    <w:rsid w:val="005E185D"/>
  </w:style>
  <w:style w:type="character" w:customStyle="1" w:styleId="bold">
    <w:name w:val="bold"/>
    <w:basedOn w:val="DefaultParagraphFont"/>
    <w:rsid w:val="005E185D"/>
  </w:style>
  <w:style w:type="paragraph" w:styleId="Header">
    <w:name w:val="header"/>
    <w:basedOn w:val="Normal"/>
    <w:link w:val="HeaderChar"/>
    <w:uiPriority w:val="99"/>
    <w:unhideWhenUsed/>
    <w:rsid w:val="00027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814"/>
  </w:style>
  <w:style w:type="paragraph" w:styleId="Footer">
    <w:name w:val="footer"/>
    <w:basedOn w:val="Normal"/>
    <w:link w:val="FooterChar"/>
    <w:uiPriority w:val="99"/>
    <w:unhideWhenUsed/>
    <w:rsid w:val="00027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14"/>
  </w:style>
  <w:style w:type="character" w:styleId="CommentReference">
    <w:name w:val="annotation reference"/>
    <w:basedOn w:val="DefaultParagraphFont"/>
    <w:uiPriority w:val="99"/>
    <w:semiHidden/>
    <w:unhideWhenUsed/>
    <w:rsid w:val="00A4774B"/>
    <w:rPr>
      <w:sz w:val="16"/>
      <w:szCs w:val="16"/>
    </w:rPr>
  </w:style>
  <w:style w:type="paragraph" w:styleId="CommentText">
    <w:name w:val="annotation text"/>
    <w:basedOn w:val="Normal"/>
    <w:link w:val="CommentTextChar"/>
    <w:uiPriority w:val="99"/>
    <w:semiHidden/>
    <w:unhideWhenUsed/>
    <w:rsid w:val="00A4774B"/>
    <w:pPr>
      <w:spacing w:line="240" w:lineRule="auto"/>
    </w:pPr>
    <w:rPr>
      <w:sz w:val="20"/>
      <w:szCs w:val="20"/>
    </w:rPr>
  </w:style>
  <w:style w:type="character" w:customStyle="1" w:styleId="CommentTextChar">
    <w:name w:val="Comment Text Char"/>
    <w:basedOn w:val="DefaultParagraphFont"/>
    <w:link w:val="CommentText"/>
    <w:uiPriority w:val="99"/>
    <w:semiHidden/>
    <w:rsid w:val="00A4774B"/>
    <w:rPr>
      <w:sz w:val="20"/>
      <w:szCs w:val="20"/>
    </w:rPr>
  </w:style>
  <w:style w:type="paragraph" w:styleId="BalloonText">
    <w:name w:val="Balloon Text"/>
    <w:basedOn w:val="Normal"/>
    <w:link w:val="BalloonTextChar"/>
    <w:uiPriority w:val="99"/>
    <w:semiHidden/>
    <w:unhideWhenUsed/>
    <w:rsid w:val="00A47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74B"/>
    <w:rPr>
      <w:rFonts w:ascii="Segoe UI" w:hAnsi="Segoe UI" w:cs="Segoe UI"/>
      <w:sz w:val="18"/>
      <w:szCs w:val="18"/>
    </w:rPr>
  </w:style>
  <w:style w:type="table" w:styleId="TableGrid">
    <w:name w:val="Table Grid"/>
    <w:basedOn w:val="TableNormal"/>
    <w:uiPriority w:val="59"/>
    <w:rsid w:val="00E9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58A"/>
    <w:rPr>
      <w:color w:val="0000FF" w:themeColor="hyperlink"/>
      <w:u w:val="single"/>
    </w:rPr>
  </w:style>
  <w:style w:type="character" w:styleId="LineNumber">
    <w:name w:val="line number"/>
    <w:basedOn w:val="DefaultParagraphFont"/>
    <w:uiPriority w:val="99"/>
    <w:semiHidden/>
    <w:unhideWhenUsed/>
    <w:rsid w:val="0040023B"/>
  </w:style>
  <w:style w:type="paragraph" w:styleId="CommentSubject">
    <w:name w:val="annotation subject"/>
    <w:basedOn w:val="CommentText"/>
    <w:next w:val="CommentText"/>
    <w:link w:val="CommentSubjectChar"/>
    <w:uiPriority w:val="99"/>
    <w:semiHidden/>
    <w:unhideWhenUsed/>
    <w:rsid w:val="003D642D"/>
    <w:rPr>
      <w:b/>
      <w:bCs/>
    </w:rPr>
  </w:style>
  <w:style w:type="character" w:customStyle="1" w:styleId="CommentSubjectChar">
    <w:name w:val="Comment Subject Char"/>
    <w:basedOn w:val="CommentTextChar"/>
    <w:link w:val="CommentSubject"/>
    <w:uiPriority w:val="99"/>
    <w:semiHidden/>
    <w:rsid w:val="003D642D"/>
    <w:rPr>
      <w:b/>
      <w:bCs/>
      <w:sz w:val="20"/>
      <w:szCs w:val="20"/>
    </w:rPr>
  </w:style>
  <w:style w:type="paragraph" w:styleId="Revision">
    <w:name w:val="Revision"/>
    <w:hidden/>
    <w:uiPriority w:val="99"/>
    <w:semiHidden/>
    <w:rsid w:val="00177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73">
      <w:bodyDiv w:val="1"/>
      <w:marLeft w:val="0"/>
      <w:marRight w:val="0"/>
      <w:marTop w:val="0"/>
      <w:marBottom w:val="0"/>
      <w:divBdr>
        <w:top w:val="none" w:sz="0" w:space="0" w:color="auto"/>
        <w:left w:val="none" w:sz="0" w:space="0" w:color="auto"/>
        <w:bottom w:val="none" w:sz="0" w:space="0" w:color="auto"/>
        <w:right w:val="none" w:sz="0" w:space="0" w:color="auto"/>
      </w:divBdr>
      <w:divsChild>
        <w:div w:id="425274676">
          <w:marLeft w:val="0"/>
          <w:marRight w:val="0"/>
          <w:marTop w:val="0"/>
          <w:marBottom w:val="0"/>
          <w:divBdr>
            <w:top w:val="none" w:sz="0" w:space="0" w:color="auto"/>
            <w:left w:val="none" w:sz="0" w:space="0" w:color="auto"/>
            <w:bottom w:val="none" w:sz="0" w:space="0" w:color="auto"/>
            <w:right w:val="none" w:sz="0" w:space="0" w:color="auto"/>
          </w:divBdr>
        </w:div>
        <w:div w:id="866521813">
          <w:marLeft w:val="0"/>
          <w:marRight w:val="0"/>
          <w:marTop w:val="0"/>
          <w:marBottom w:val="0"/>
          <w:divBdr>
            <w:top w:val="none" w:sz="0" w:space="0" w:color="auto"/>
            <w:left w:val="none" w:sz="0" w:space="0" w:color="auto"/>
            <w:bottom w:val="none" w:sz="0" w:space="0" w:color="auto"/>
            <w:right w:val="none" w:sz="0" w:space="0" w:color="auto"/>
          </w:divBdr>
        </w:div>
      </w:divsChild>
    </w:div>
    <w:div w:id="247547866">
      <w:bodyDiv w:val="1"/>
      <w:marLeft w:val="0"/>
      <w:marRight w:val="0"/>
      <w:marTop w:val="0"/>
      <w:marBottom w:val="0"/>
      <w:divBdr>
        <w:top w:val="none" w:sz="0" w:space="0" w:color="auto"/>
        <w:left w:val="none" w:sz="0" w:space="0" w:color="auto"/>
        <w:bottom w:val="none" w:sz="0" w:space="0" w:color="auto"/>
        <w:right w:val="none" w:sz="0" w:space="0" w:color="auto"/>
      </w:divBdr>
      <w:divsChild>
        <w:div w:id="239868235">
          <w:marLeft w:val="0"/>
          <w:marRight w:val="0"/>
          <w:marTop w:val="0"/>
          <w:marBottom w:val="0"/>
          <w:divBdr>
            <w:top w:val="none" w:sz="0" w:space="0" w:color="auto"/>
            <w:left w:val="none" w:sz="0" w:space="0" w:color="auto"/>
            <w:bottom w:val="none" w:sz="0" w:space="0" w:color="auto"/>
            <w:right w:val="none" w:sz="0" w:space="0" w:color="auto"/>
          </w:divBdr>
        </w:div>
        <w:div w:id="1853495508">
          <w:marLeft w:val="0"/>
          <w:marRight w:val="0"/>
          <w:marTop w:val="0"/>
          <w:marBottom w:val="0"/>
          <w:divBdr>
            <w:top w:val="none" w:sz="0" w:space="0" w:color="auto"/>
            <w:left w:val="none" w:sz="0" w:space="0" w:color="auto"/>
            <w:bottom w:val="none" w:sz="0" w:space="0" w:color="auto"/>
            <w:right w:val="none" w:sz="0" w:space="0" w:color="auto"/>
          </w:divBdr>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
    <w:div w:id="768621450">
      <w:bodyDiv w:val="1"/>
      <w:marLeft w:val="0"/>
      <w:marRight w:val="0"/>
      <w:marTop w:val="0"/>
      <w:marBottom w:val="0"/>
      <w:divBdr>
        <w:top w:val="none" w:sz="0" w:space="0" w:color="auto"/>
        <w:left w:val="none" w:sz="0" w:space="0" w:color="auto"/>
        <w:bottom w:val="none" w:sz="0" w:space="0" w:color="auto"/>
        <w:right w:val="none" w:sz="0" w:space="0" w:color="auto"/>
      </w:divBdr>
    </w:div>
    <w:div w:id="1158036070">
      <w:bodyDiv w:val="1"/>
      <w:marLeft w:val="0"/>
      <w:marRight w:val="0"/>
      <w:marTop w:val="0"/>
      <w:marBottom w:val="0"/>
      <w:divBdr>
        <w:top w:val="none" w:sz="0" w:space="0" w:color="auto"/>
        <w:left w:val="none" w:sz="0" w:space="0" w:color="auto"/>
        <w:bottom w:val="none" w:sz="0" w:space="0" w:color="auto"/>
        <w:right w:val="none" w:sz="0" w:space="0" w:color="auto"/>
      </w:divBdr>
      <w:divsChild>
        <w:div w:id="1896307219">
          <w:marLeft w:val="0"/>
          <w:marRight w:val="0"/>
          <w:marTop w:val="0"/>
          <w:marBottom w:val="0"/>
          <w:divBdr>
            <w:top w:val="none" w:sz="0" w:space="0" w:color="auto"/>
            <w:left w:val="none" w:sz="0" w:space="0" w:color="auto"/>
            <w:bottom w:val="none" w:sz="0" w:space="0" w:color="auto"/>
            <w:right w:val="none" w:sz="0" w:space="0" w:color="auto"/>
          </w:divBdr>
        </w:div>
        <w:div w:id="579681112">
          <w:marLeft w:val="0"/>
          <w:marRight w:val="0"/>
          <w:marTop w:val="0"/>
          <w:marBottom w:val="0"/>
          <w:divBdr>
            <w:top w:val="none" w:sz="0" w:space="0" w:color="auto"/>
            <w:left w:val="none" w:sz="0" w:space="0" w:color="auto"/>
            <w:bottom w:val="none" w:sz="0" w:space="0" w:color="auto"/>
            <w:right w:val="none" w:sz="0" w:space="0" w:color="auto"/>
          </w:divBdr>
        </w:div>
      </w:divsChild>
    </w:div>
    <w:div w:id="1185169043">
      <w:bodyDiv w:val="1"/>
      <w:marLeft w:val="0"/>
      <w:marRight w:val="0"/>
      <w:marTop w:val="0"/>
      <w:marBottom w:val="0"/>
      <w:divBdr>
        <w:top w:val="none" w:sz="0" w:space="0" w:color="auto"/>
        <w:left w:val="none" w:sz="0" w:space="0" w:color="auto"/>
        <w:bottom w:val="none" w:sz="0" w:space="0" w:color="auto"/>
        <w:right w:val="none" w:sz="0" w:space="0" w:color="auto"/>
      </w:divBdr>
      <w:divsChild>
        <w:div w:id="1550334437">
          <w:marLeft w:val="0"/>
          <w:marRight w:val="0"/>
          <w:marTop w:val="0"/>
          <w:marBottom w:val="0"/>
          <w:divBdr>
            <w:top w:val="none" w:sz="0" w:space="0" w:color="auto"/>
            <w:left w:val="none" w:sz="0" w:space="0" w:color="auto"/>
            <w:bottom w:val="none" w:sz="0" w:space="0" w:color="auto"/>
            <w:right w:val="none" w:sz="0" w:space="0" w:color="auto"/>
          </w:divBdr>
        </w:div>
        <w:div w:id="416630407">
          <w:marLeft w:val="0"/>
          <w:marRight w:val="0"/>
          <w:marTop w:val="0"/>
          <w:marBottom w:val="0"/>
          <w:divBdr>
            <w:top w:val="none" w:sz="0" w:space="0" w:color="auto"/>
            <w:left w:val="none" w:sz="0" w:space="0" w:color="auto"/>
            <w:bottom w:val="none" w:sz="0" w:space="0" w:color="auto"/>
            <w:right w:val="none" w:sz="0" w:space="0" w:color="auto"/>
          </w:divBdr>
        </w:div>
      </w:divsChild>
    </w:div>
    <w:div w:id="1199585845">
      <w:bodyDiv w:val="1"/>
      <w:marLeft w:val="0"/>
      <w:marRight w:val="0"/>
      <w:marTop w:val="0"/>
      <w:marBottom w:val="0"/>
      <w:divBdr>
        <w:top w:val="none" w:sz="0" w:space="0" w:color="auto"/>
        <w:left w:val="none" w:sz="0" w:space="0" w:color="auto"/>
        <w:bottom w:val="none" w:sz="0" w:space="0" w:color="auto"/>
        <w:right w:val="none" w:sz="0" w:space="0" w:color="auto"/>
      </w:divBdr>
      <w:divsChild>
        <w:div w:id="2025009420">
          <w:marLeft w:val="0"/>
          <w:marRight w:val="0"/>
          <w:marTop w:val="0"/>
          <w:marBottom w:val="0"/>
          <w:divBdr>
            <w:top w:val="none" w:sz="0" w:space="0" w:color="auto"/>
            <w:left w:val="none" w:sz="0" w:space="0" w:color="auto"/>
            <w:bottom w:val="none" w:sz="0" w:space="0" w:color="auto"/>
            <w:right w:val="none" w:sz="0" w:space="0" w:color="auto"/>
          </w:divBdr>
        </w:div>
        <w:div w:id="741173741">
          <w:marLeft w:val="0"/>
          <w:marRight w:val="0"/>
          <w:marTop w:val="0"/>
          <w:marBottom w:val="0"/>
          <w:divBdr>
            <w:top w:val="none" w:sz="0" w:space="0" w:color="auto"/>
            <w:left w:val="none" w:sz="0" w:space="0" w:color="auto"/>
            <w:bottom w:val="none" w:sz="0" w:space="0" w:color="auto"/>
            <w:right w:val="none" w:sz="0" w:space="0" w:color="auto"/>
          </w:divBdr>
        </w:div>
      </w:divsChild>
    </w:div>
    <w:div w:id="1504473142">
      <w:bodyDiv w:val="1"/>
      <w:marLeft w:val="0"/>
      <w:marRight w:val="0"/>
      <w:marTop w:val="0"/>
      <w:marBottom w:val="0"/>
      <w:divBdr>
        <w:top w:val="none" w:sz="0" w:space="0" w:color="auto"/>
        <w:left w:val="none" w:sz="0" w:space="0" w:color="auto"/>
        <w:bottom w:val="none" w:sz="0" w:space="0" w:color="auto"/>
        <w:right w:val="none" w:sz="0" w:space="0" w:color="auto"/>
      </w:divBdr>
      <w:divsChild>
        <w:div w:id="256601922">
          <w:marLeft w:val="0"/>
          <w:marRight w:val="0"/>
          <w:marTop w:val="0"/>
          <w:marBottom w:val="0"/>
          <w:divBdr>
            <w:top w:val="none" w:sz="0" w:space="0" w:color="auto"/>
            <w:left w:val="none" w:sz="0" w:space="0" w:color="auto"/>
            <w:bottom w:val="none" w:sz="0" w:space="0" w:color="auto"/>
            <w:right w:val="none" w:sz="0" w:space="0" w:color="auto"/>
          </w:divBdr>
        </w:div>
        <w:div w:id="1609921943">
          <w:marLeft w:val="0"/>
          <w:marRight w:val="0"/>
          <w:marTop w:val="0"/>
          <w:marBottom w:val="0"/>
          <w:divBdr>
            <w:top w:val="none" w:sz="0" w:space="0" w:color="auto"/>
            <w:left w:val="none" w:sz="0" w:space="0" w:color="auto"/>
            <w:bottom w:val="none" w:sz="0" w:space="0" w:color="auto"/>
            <w:right w:val="none" w:sz="0" w:space="0" w:color="auto"/>
          </w:divBdr>
        </w:div>
      </w:divsChild>
    </w:div>
    <w:div w:id="1519584674">
      <w:bodyDiv w:val="1"/>
      <w:marLeft w:val="0"/>
      <w:marRight w:val="0"/>
      <w:marTop w:val="0"/>
      <w:marBottom w:val="0"/>
      <w:divBdr>
        <w:top w:val="none" w:sz="0" w:space="0" w:color="auto"/>
        <w:left w:val="none" w:sz="0" w:space="0" w:color="auto"/>
        <w:bottom w:val="none" w:sz="0" w:space="0" w:color="auto"/>
        <w:right w:val="none" w:sz="0" w:space="0" w:color="auto"/>
      </w:divBdr>
      <w:divsChild>
        <w:div w:id="3948107">
          <w:marLeft w:val="0"/>
          <w:marRight w:val="0"/>
          <w:marTop w:val="0"/>
          <w:marBottom w:val="0"/>
          <w:divBdr>
            <w:top w:val="none" w:sz="0" w:space="0" w:color="auto"/>
            <w:left w:val="none" w:sz="0" w:space="0" w:color="auto"/>
            <w:bottom w:val="none" w:sz="0" w:space="0" w:color="auto"/>
            <w:right w:val="none" w:sz="0" w:space="0" w:color="auto"/>
          </w:divBdr>
        </w:div>
        <w:div w:id="1632401542">
          <w:marLeft w:val="0"/>
          <w:marRight w:val="0"/>
          <w:marTop w:val="0"/>
          <w:marBottom w:val="0"/>
          <w:divBdr>
            <w:top w:val="none" w:sz="0" w:space="0" w:color="auto"/>
            <w:left w:val="none" w:sz="0" w:space="0" w:color="auto"/>
            <w:bottom w:val="none" w:sz="0" w:space="0" w:color="auto"/>
            <w:right w:val="none" w:sz="0" w:space="0" w:color="auto"/>
          </w:divBdr>
        </w:div>
      </w:divsChild>
    </w:div>
    <w:div w:id="1798449410">
      <w:bodyDiv w:val="1"/>
      <w:marLeft w:val="0"/>
      <w:marRight w:val="0"/>
      <w:marTop w:val="0"/>
      <w:marBottom w:val="0"/>
      <w:divBdr>
        <w:top w:val="none" w:sz="0" w:space="0" w:color="auto"/>
        <w:left w:val="none" w:sz="0" w:space="0" w:color="auto"/>
        <w:bottom w:val="none" w:sz="0" w:space="0" w:color="auto"/>
        <w:right w:val="none" w:sz="0" w:space="0" w:color="auto"/>
      </w:divBdr>
      <w:divsChild>
        <w:div w:id="181676064">
          <w:marLeft w:val="0"/>
          <w:marRight w:val="0"/>
          <w:marTop w:val="0"/>
          <w:marBottom w:val="0"/>
          <w:divBdr>
            <w:top w:val="none" w:sz="0" w:space="0" w:color="auto"/>
            <w:left w:val="none" w:sz="0" w:space="0" w:color="auto"/>
            <w:bottom w:val="none" w:sz="0" w:space="0" w:color="auto"/>
            <w:right w:val="none" w:sz="0" w:space="0" w:color="auto"/>
          </w:divBdr>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sChild>
        <w:div w:id="716663897">
          <w:marLeft w:val="0"/>
          <w:marRight w:val="0"/>
          <w:marTop w:val="0"/>
          <w:marBottom w:val="0"/>
          <w:divBdr>
            <w:top w:val="none" w:sz="0" w:space="0" w:color="auto"/>
            <w:left w:val="none" w:sz="0" w:space="0" w:color="auto"/>
            <w:bottom w:val="none" w:sz="0" w:space="0" w:color="auto"/>
            <w:right w:val="none" w:sz="0" w:space="0" w:color="auto"/>
          </w:divBdr>
        </w:div>
        <w:div w:id="120967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AA01-2A40-4A8F-A0BD-5560F924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4122</Words>
  <Characters>23497</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Sparks</dc:creator>
  <cp:lastModifiedBy>Lewis Gough</cp:lastModifiedBy>
  <cp:revision>2</cp:revision>
  <cp:lastPrinted>2017-03-09T13:43:00Z</cp:lastPrinted>
  <dcterms:created xsi:type="dcterms:W3CDTF">2019-04-04T13:16:00Z</dcterms:created>
  <dcterms:modified xsi:type="dcterms:W3CDTF">2019-04-04T13:16:00Z</dcterms:modified>
</cp:coreProperties>
</file>