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A4758" w14:textId="76C74224" w:rsidR="008616D2" w:rsidRPr="00E7341A" w:rsidRDefault="00A60A6F" w:rsidP="00CD1A0B">
      <w:pPr>
        <w:pStyle w:val="Articletitle"/>
      </w:pPr>
      <w:r w:rsidRPr="00E7341A">
        <w:t>Breathing new life into</w:t>
      </w:r>
      <w:r w:rsidR="00FE6CC9" w:rsidRPr="00E7341A">
        <w:t xml:space="preserve"> the observation of</w:t>
      </w:r>
      <w:r w:rsidR="008616D2" w:rsidRPr="00E7341A">
        <w:t xml:space="preserve"> teaching and learning</w:t>
      </w:r>
      <w:r w:rsidR="00123405" w:rsidRPr="00E7341A">
        <w:t xml:space="preserve"> in higher education</w:t>
      </w:r>
      <w:r w:rsidR="008616D2" w:rsidRPr="00E7341A">
        <w:t>: moving from the performative to the informative</w:t>
      </w:r>
      <w:r w:rsidR="00AA0BB1" w:rsidRPr="00E7341A">
        <w:t xml:space="preserve"> </w:t>
      </w:r>
      <w:bookmarkStart w:id="0" w:name="_GoBack"/>
      <w:bookmarkEnd w:id="0"/>
    </w:p>
    <w:p w14:paraId="024DEFA0" w14:textId="77777777" w:rsidR="008616D2" w:rsidRPr="00E7341A" w:rsidRDefault="008616D2" w:rsidP="00CD1A0B">
      <w:pPr>
        <w:pStyle w:val="Authornames"/>
      </w:pPr>
      <w:r w:rsidRPr="00E7341A">
        <w:t>Matt O’Leary and Suzanne Savage</w:t>
      </w:r>
    </w:p>
    <w:p w14:paraId="10BA5D4A" w14:textId="03BA523C" w:rsidR="008616D2" w:rsidRDefault="008616D2" w:rsidP="001C23CA">
      <w:pPr>
        <w:pStyle w:val="Affiliation"/>
      </w:pPr>
      <w:r w:rsidRPr="00E7341A">
        <w:t>Birmingham City University, Birmingham, UK</w:t>
      </w:r>
    </w:p>
    <w:p w14:paraId="640E83C7" w14:textId="77777777" w:rsidR="0002094C" w:rsidRDefault="0002094C">
      <w:pPr>
        <w:spacing w:after="160" w:line="259" w:lineRule="auto"/>
      </w:pPr>
    </w:p>
    <w:p w14:paraId="5499A1BD" w14:textId="7DB42DFC" w:rsidR="0002094C" w:rsidRPr="0002094C" w:rsidRDefault="0002094C" w:rsidP="0002094C">
      <w:pPr>
        <w:pStyle w:val="Correspondencedetails"/>
      </w:pPr>
      <w:r>
        <w:t xml:space="preserve">Corresponding author: </w:t>
      </w:r>
      <w:r w:rsidR="00CA080D">
        <w:t>Matt</w:t>
      </w:r>
      <w:r w:rsidRPr="0002094C">
        <w:t xml:space="preserve"> O’Leary </w:t>
      </w:r>
    </w:p>
    <w:p w14:paraId="7EEEE6B2" w14:textId="07AA29D3" w:rsidR="0002094C" w:rsidRPr="0002094C" w:rsidRDefault="0002094C" w:rsidP="007953F5">
      <w:pPr>
        <w:pStyle w:val="Notesoncontributors"/>
      </w:pPr>
      <w:r w:rsidRPr="0002094C">
        <w:t>Email: Matthew.O'Leary@bcu.ac.uk</w:t>
      </w:r>
      <w:r>
        <w:t xml:space="preserve"> </w:t>
      </w:r>
    </w:p>
    <w:p w14:paraId="2E03F266" w14:textId="6D385792" w:rsidR="00FC7B87" w:rsidRPr="00FC7B87" w:rsidRDefault="00FC7B87" w:rsidP="007953F5">
      <w:pPr>
        <w:pStyle w:val="Notesoncontributors"/>
        <w:rPr>
          <w:lang w:val="en"/>
        </w:rPr>
      </w:pPr>
      <w:proofErr w:type="spellStart"/>
      <w:r w:rsidRPr="00FC7B87">
        <w:t>ORCiD</w:t>
      </w:r>
      <w:proofErr w:type="spellEnd"/>
      <w:r w:rsidRPr="00FC7B87">
        <w:t xml:space="preserve"> ID: </w:t>
      </w:r>
      <w:hyperlink r:id="rId8" w:history="1">
        <w:r w:rsidRPr="00FC7B87">
          <w:rPr>
            <w:rStyle w:val="Hyperlink"/>
            <w:lang w:val="en"/>
          </w:rPr>
          <w:t>https://orcid.org/0000-0002-6493-5177</w:t>
        </w:r>
      </w:hyperlink>
      <w:r w:rsidRPr="00FC7B87">
        <w:rPr>
          <w:lang w:val="en"/>
        </w:rPr>
        <w:t xml:space="preserve"> </w:t>
      </w:r>
    </w:p>
    <w:p w14:paraId="770DEAD6" w14:textId="25846850" w:rsidR="0002094C" w:rsidRPr="0002094C" w:rsidRDefault="00CA080D" w:rsidP="00FC7B87">
      <w:pPr>
        <w:pStyle w:val="Notesoncontributors"/>
      </w:pPr>
      <w:r>
        <w:t>Twitter: @</w:t>
      </w:r>
      <w:proofErr w:type="spellStart"/>
      <w:r>
        <w:t>drmattoleary</w:t>
      </w:r>
      <w:proofErr w:type="spellEnd"/>
    </w:p>
    <w:p w14:paraId="1CCC8B10" w14:textId="77777777" w:rsidR="0002094C" w:rsidRDefault="0002094C" w:rsidP="00656606">
      <w:pPr>
        <w:pStyle w:val="Notesoncontributors"/>
      </w:pPr>
      <w:r w:rsidRPr="0002094C">
        <w:t>Suzanne Savage</w:t>
      </w:r>
      <w:r>
        <w:t xml:space="preserve"> </w:t>
      </w:r>
    </w:p>
    <w:p w14:paraId="251D19CD" w14:textId="26673771" w:rsidR="002B6042" w:rsidRPr="00FC7B87" w:rsidRDefault="0002094C" w:rsidP="00FC7B87">
      <w:pPr>
        <w:pStyle w:val="Notesoncontributors"/>
      </w:pPr>
      <w:r>
        <w:t>Twitter: @</w:t>
      </w:r>
      <w:proofErr w:type="spellStart"/>
      <w:r>
        <w:t>teachersavage</w:t>
      </w:r>
      <w:proofErr w:type="spellEnd"/>
      <w:r w:rsidR="00587755">
        <w:t xml:space="preserve"> </w:t>
      </w:r>
      <w:r w:rsidR="002B6042">
        <w:br w:type="page"/>
      </w:r>
    </w:p>
    <w:p w14:paraId="182103D0" w14:textId="5025BA3D" w:rsidR="00C45EF0" w:rsidRPr="00E7341A" w:rsidRDefault="001C4DCB" w:rsidP="001C4DCB">
      <w:pPr>
        <w:pStyle w:val="Abstract"/>
      </w:pPr>
      <w:r w:rsidRPr="001C4DCB">
        <w:rPr>
          <w:b/>
        </w:rPr>
        <w:lastRenderedPageBreak/>
        <w:t>Abstract</w:t>
      </w:r>
      <w:r>
        <w:t xml:space="preserve">: </w:t>
      </w:r>
      <w:r w:rsidR="007A7F24" w:rsidRPr="00E7341A">
        <w:t xml:space="preserve">Excellence in higher education </w:t>
      </w:r>
      <w:r w:rsidR="00C6051F" w:rsidRPr="00E7341A">
        <w:t xml:space="preserve">(HE) </w:t>
      </w:r>
      <w:r w:rsidR="007A7F24" w:rsidRPr="00E7341A">
        <w:t xml:space="preserve">teaching </w:t>
      </w:r>
      <w:r w:rsidR="00243E45" w:rsidRPr="00E7341A">
        <w:t>has become a</w:t>
      </w:r>
      <w:r w:rsidR="007A7F24" w:rsidRPr="00E7341A">
        <w:t xml:space="preserve"> policy </w:t>
      </w:r>
      <w:r w:rsidR="00243E45" w:rsidRPr="00E7341A">
        <w:t>priority</w:t>
      </w:r>
      <w:r w:rsidR="007A7F24" w:rsidRPr="00E7341A">
        <w:t xml:space="preserve"> of governments worldwide</w:t>
      </w:r>
      <w:r w:rsidR="0023078B" w:rsidRPr="00E7341A">
        <w:t xml:space="preserve"> in recent years</w:t>
      </w:r>
      <w:r w:rsidR="007A7F24" w:rsidRPr="00E7341A">
        <w:t xml:space="preserve">. In </w:t>
      </w:r>
      <w:r w:rsidR="00F974CC" w:rsidRPr="00E7341A">
        <w:t>the United Kingdom</w:t>
      </w:r>
      <w:r w:rsidR="007A7F24" w:rsidRPr="00E7341A">
        <w:t xml:space="preserve">, for example, the introduction of the Teaching Excellence Framework </w:t>
      </w:r>
      <w:r w:rsidR="0023078B" w:rsidRPr="00E7341A">
        <w:t xml:space="preserve">in 2016 </w:t>
      </w:r>
      <w:r w:rsidR="00603E96" w:rsidRPr="00E7341A">
        <w:t xml:space="preserve">heralded </w:t>
      </w:r>
      <w:r w:rsidR="007A7F24" w:rsidRPr="00E7341A">
        <w:t xml:space="preserve">an unprecedented focus on the quality of teaching. </w:t>
      </w:r>
      <w:r w:rsidR="00243E45" w:rsidRPr="00E7341A">
        <w:t>Set against the backdrop</w:t>
      </w:r>
      <w:r w:rsidR="00C6051F" w:rsidRPr="00E7341A">
        <w:t xml:space="preserve"> of such policy developments and </w:t>
      </w:r>
      <w:r w:rsidR="002927EC" w:rsidRPr="00E7341A">
        <w:t>wider</w:t>
      </w:r>
      <w:r w:rsidR="00C6051F" w:rsidRPr="00E7341A">
        <w:t xml:space="preserve"> global interest in HE </w:t>
      </w:r>
      <w:r w:rsidR="00243E45" w:rsidRPr="00E7341A">
        <w:t xml:space="preserve">teaching, this paper </w:t>
      </w:r>
      <w:r w:rsidR="00904E6A" w:rsidRPr="00E7341A">
        <w:t>discuss</w:t>
      </w:r>
      <w:r w:rsidR="00C45EF0" w:rsidRPr="00E7341A">
        <w:t>es the</w:t>
      </w:r>
      <w:r w:rsidR="00904E6A" w:rsidRPr="00E7341A">
        <w:t xml:space="preserve"> conceptualisation and</w:t>
      </w:r>
      <w:r w:rsidR="00C45EF0" w:rsidRPr="00E7341A">
        <w:t xml:space="preserve"> </w:t>
      </w:r>
      <w:r w:rsidR="007A7F24" w:rsidRPr="00E7341A">
        <w:t>implementation of an innovative approach to observing teaching and le</w:t>
      </w:r>
      <w:r w:rsidR="00243E45" w:rsidRPr="00E7341A">
        <w:t xml:space="preserve">arning </w:t>
      </w:r>
      <w:r w:rsidR="00603E96" w:rsidRPr="00E7341A">
        <w:t>as part of a faculty development pro</w:t>
      </w:r>
      <w:r w:rsidR="006B1291" w:rsidRPr="00E7341A">
        <w:t>ject</w:t>
      </w:r>
      <w:r w:rsidR="00603E96" w:rsidRPr="00E7341A">
        <w:t xml:space="preserve"> </w:t>
      </w:r>
      <w:r w:rsidR="00315814" w:rsidRPr="00E7341A">
        <w:t xml:space="preserve">in an English university. </w:t>
      </w:r>
      <w:r w:rsidR="002927EC" w:rsidRPr="00E7341A">
        <w:t>I</w:t>
      </w:r>
      <w:r w:rsidR="00243E45" w:rsidRPr="00E7341A">
        <w:t>t examines</w:t>
      </w:r>
      <w:r w:rsidR="00904E6A" w:rsidRPr="00E7341A">
        <w:t xml:space="preserve"> the attitudes, perceptions and </w:t>
      </w:r>
      <w:r w:rsidR="00C45EF0" w:rsidRPr="00E7341A">
        <w:t>experience</w:t>
      </w:r>
      <w:r w:rsidR="007A7F24" w:rsidRPr="00E7341A">
        <w:t>s</w:t>
      </w:r>
      <w:r w:rsidR="00C45EF0" w:rsidRPr="00E7341A">
        <w:t xml:space="preserve"> of </w:t>
      </w:r>
      <w:r w:rsidR="007A7F24" w:rsidRPr="00E7341A">
        <w:t>academic staff involved</w:t>
      </w:r>
      <w:r w:rsidR="00C45EF0" w:rsidRPr="00E7341A">
        <w:t xml:space="preserve">. </w:t>
      </w:r>
      <w:r w:rsidR="000C1891" w:rsidRPr="00E7341A">
        <w:t>In</w:t>
      </w:r>
      <w:r w:rsidR="00C45EF0" w:rsidRPr="00E7341A">
        <w:t xml:space="preserve"> reconceptualising and reconfiguring the application of observation as a method</w:t>
      </w:r>
      <w:r w:rsidR="000C1891" w:rsidRPr="00E7341A">
        <w:rPr>
          <w:rFonts w:eastAsia="Open Sans"/>
        </w:rPr>
        <w:t xml:space="preserve"> </w:t>
      </w:r>
      <w:r w:rsidR="000C1891" w:rsidRPr="00E7341A">
        <w:t xml:space="preserve">by removing it from an assessment </w:t>
      </w:r>
      <w:r w:rsidR="00653C3F">
        <w:t>domain</w:t>
      </w:r>
      <w:r w:rsidR="00603E96" w:rsidRPr="00E7341A">
        <w:t>, the paper</w:t>
      </w:r>
      <w:r w:rsidR="00C45EF0" w:rsidRPr="00E7341A">
        <w:t xml:space="preserve"> argue</w:t>
      </w:r>
      <w:r w:rsidR="00603E96" w:rsidRPr="00E7341A">
        <w:t>s</w:t>
      </w:r>
      <w:r w:rsidR="00C45EF0" w:rsidRPr="00E7341A">
        <w:t xml:space="preserve"> that </w:t>
      </w:r>
      <w:r w:rsidR="00603E96" w:rsidRPr="00E7341A">
        <w:t>this</w:t>
      </w:r>
      <w:r w:rsidR="000C1891" w:rsidRPr="00E7341A">
        <w:t xml:space="preserve"> approach has </w:t>
      </w:r>
      <w:r w:rsidR="00603E96" w:rsidRPr="00E7341A">
        <w:t>uncovered</w:t>
      </w:r>
      <w:r w:rsidR="00C45EF0" w:rsidRPr="00E7341A">
        <w:t xml:space="preserve"> new opportunities for </w:t>
      </w:r>
      <w:r w:rsidR="005D5D6E" w:rsidRPr="00E7341A">
        <w:t>using</w:t>
      </w:r>
      <w:r w:rsidR="00C45EF0" w:rsidRPr="00E7341A">
        <w:t xml:space="preserve"> </w:t>
      </w:r>
      <w:r w:rsidR="009609CB" w:rsidRPr="00E7341A">
        <w:t>observation</w:t>
      </w:r>
      <w:r w:rsidR="00C45EF0" w:rsidRPr="00E7341A">
        <w:t xml:space="preserve"> as a catalyst </w:t>
      </w:r>
      <w:r w:rsidR="0023078B" w:rsidRPr="00E7341A">
        <w:t>to develop</w:t>
      </w:r>
      <w:r w:rsidR="00C45EF0" w:rsidRPr="00E7341A">
        <w:t xml:space="preserve"> collegial understanding </w:t>
      </w:r>
      <w:r w:rsidR="007E6EFE" w:rsidRPr="00E7341A">
        <w:t xml:space="preserve">of what constitutes </w:t>
      </w:r>
      <w:r w:rsidR="00315814" w:rsidRPr="00E7341A">
        <w:t>effective teaching and learning and</w:t>
      </w:r>
      <w:r w:rsidR="005D5D6E" w:rsidRPr="00E7341A">
        <w:t xml:space="preserve"> </w:t>
      </w:r>
      <w:r w:rsidR="007E6EFE" w:rsidRPr="00E7341A">
        <w:t>how best to impro</w:t>
      </w:r>
      <w:r w:rsidR="0023078B" w:rsidRPr="00E7341A">
        <w:t xml:space="preserve">ve </w:t>
      </w:r>
      <w:r w:rsidR="003F3414" w:rsidRPr="00E7341A">
        <w:t xml:space="preserve">and share </w:t>
      </w:r>
      <w:r w:rsidR="0023078B" w:rsidRPr="00E7341A">
        <w:t xml:space="preserve">practice </w:t>
      </w:r>
      <w:r w:rsidR="00315814" w:rsidRPr="00E7341A">
        <w:t>meaningful</w:t>
      </w:r>
      <w:r w:rsidR="0023078B" w:rsidRPr="00E7341A">
        <w:t>ly and sustainably</w:t>
      </w:r>
      <w:r w:rsidR="007E6EFE" w:rsidRPr="00E7341A">
        <w:t>.</w:t>
      </w:r>
    </w:p>
    <w:p w14:paraId="0F5F5F96" w14:textId="418101EB" w:rsidR="0023078B" w:rsidRPr="00E7341A" w:rsidRDefault="008616D2" w:rsidP="001C4DCB">
      <w:pPr>
        <w:pStyle w:val="Keywords"/>
      </w:pPr>
      <w:r w:rsidRPr="00E7341A">
        <w:t xml:space="preserve">Keywords: </w:t>
      </w:r>
      <w:r w:rsidR="00260DA5" w:rsidRPr="00E7341A">
        <w:t>higher education</w:t>
      </w:r>
      <w:r w:rsidR="006B4626" w:rsidRPr="00E7341A">
        <w:t xml:space="preserve">, </w:t>
      </w:r>
      <w:r w:rsidR="007522EF" w:rsidRPr="00E7341A">
        <w:t xml:space="preserve">peer </w:t>
      </w:r>
      <w:r w:rsidR="00AA0BB1" w:rsidRPr="00E7341A">
        <w:t>observation,</w:t>
      </w:r>
      <w:r w:rsidR="00136713" w:rsidRPr="00E7341A">
        <w:t xml:space="preserve"> </w:t>
      </w:r>
      <w:r w:rsidR="00195697" w:rsidRPr="00E7341A">
        <w:t>collaboration</w:t>
      </w:r>
      <w:r w:rsidR="007522EF" w:rsidRPr="00E7341A">
        <w:t>, teaching</w:t>
      </w:r>
      <w:r w:rsidR="00AA0BB1" w:rsidRPr="00E7341A">
        <w:t>, learning</w:t>
      </w:r>
      <w:r w:rsidR="00146DEA" w:rsidRPr="00E7341A">
        <w:t>, teaching excellence</w:t>
      </w:r>
      <w:r w:rsidR="003D5F7C">
        <w:t>, coaching</w:t>
      </w:r>
      <w:r w:rsidR="007522EF" w:rsidRPr="00E7341A">
        <w:t xml:space="preserve"> </w:t>
      </w:r>
    </w:p>
    <w:p w14:paraId="789E1E3A" w14:textId="4E0D0830" w:rsidR="00A24A6C" w:rsidRDefault="00235501" w:rsidP="00A24A6C">
      <w:pPr>
        <w:pStyle w:val="Heading1"/>
      </w:pPr>
      <w:r>
        <w:t>Word Count: 7</w:t>
      </w:r>
      <w:r w:rsidR="005641D3">
        <w:t>4</w:t>
      </w:r>
      <w:r w:rsidR="00C23578">
        <w:t>00</w:t>
      </w:r>
    </w:p>
    <w:p w14:paraId="06CF9049" w14:textId="77777777" w:rsidR="00B1213B" w:rsidRPr="00B1213B" w:rsidRDefault="00B1213B" w:rsidP="00B1213B">
      <w:pPr>
        <w:pStyle w:val="Paragraph"/>
      </w:pPr>
    </w:p>
    <w:p w14:paraId="0DAE749F" w14:textId="450E7EEA" w:rsidR="00704AB1" w:rsidRPr="00E7341A" w:rsidRDefault="00DC0B81" w:rsidP="00BF628C">
      <w:pPr>
        <w:pStyle w:val="Heading1"/>
      </w:pPr>
      <w:r w:rsidRPr="00E7341A">
        <w:t>Introduction</w:t>
      </w:r>
    </w:p>
    <w:p w14:paraId="78BCA205" w14:textId="5B1694C8" w:rsidR="00B72254" w:rsidRPr="00E7341A" w:rsidRDefault="00B72254" w:rsidP="004D565C">
      <w:pPr>
        <w:pStyle w:val="Newparagraph"/>
      </w:pPr>
      <w:r w:rsidRPr="00E7341A">
        <w:t xml:space="preserve">Classroom observation has long occupied a prominent place in the formal assessment and development of teachers </w:t>
      </w:r>
      <w:r w:rsidR="00612D40" w:rsidRPr="00E7341A">
        <w:t>in primary, secondary and further</w:t>
      </w:r>
      <w:r w:rsidR="004E26E6" w:rsidRPr="00E7341A">
        <w:t>/tertiary</w:t>
      </w:r>
      <w:r w:rsidR="00612D40" w:rsidRPr="00E7341A">
        <w:t xml:space="preserve"> education </w:t>
      </w:r>
      <w:r w:rsidR="001612ED" w:rsidRPr="00E7341A">
        <w:t>globally</w:t>
      </w:r>
      <w:r w:rsidR="001A26BF" w:rsidRPr="00E7341A">
        <w:t xml:space="preserve">. </w:t>
      </w:r>
      <w:r w:rsidR="006301F1" w:rsidRPr="00E7341A">
        <w:t xml:space="preserve">In recent decades </w:t>
      </w:r>
      <w:r w:rsidR="006301F1">
        <w:t>it</w:t>
      </w:r>
      <w:r w:rsidR="006301F1" w:rsidRPr="00E7341A">
        <w:t xml:space="preserve"> has become predominantly associated with the performance management of teachers in </w:t>
      </w:r>
      <w:r w:rsidR="006301F1">
        <w:t>these</w:t>
      </w:r>
      <w:r w:rsidR="006301F1" w:rsidRPr="00E7341A">
        <w:t xml:space="preserve"> education sectors, with a reliance on its use as a performative tool of summative assessment with which to monitor and measure teacher effectiveness (e.g. O’Leary 2013, 2014).</w:t>
      </w:r>
      <w:r w:rsidR="006301F1">
        <w:t xml:space="preserve"> </w:t>
      </w:r>
      <w:r w:rsidR="001A26BF" w:rsidRPr="00E7341A">
        <w:t>In contrast, its use in higher e</w:t>
      </w:r>
      <w:r w:rsidRPr="00E7341A">
        <w:t>ducation (HE) has traditionally been less commonplace</w:t>
      </w:r>
      <w:r w:rsidR="00DD1703" w:rsidRPr="00E7341A">
        <w:t>, with practice</w:t>
      </w:r>
      <w:r w:rsidRPr="00E7341A">
        <w:t xml:space="preserve"> less developed across the sector. </w:t>
      </w:r>
      <w:r w:rsidR="00743193" w:rsidRPr="00E7341A">
        <w:t>Peer-based models of observation have largely accounted for engagement among HE staff</w:t>
      </w:r>
      <w:r w:rsidR="00FB4FDA" w:rsidRPr="00E7341A">
        <w:t xml:space="preserve"> to date</w:t>
      </w:r>
      <w:r w:rsidR="00743193" w:rsidRPr="00E7341A">
        <w:t xml:space="preserve">, though this has varied markedly within and across institutions and countries (e.g. Hendry and Oliver 2012). </w:t>
      </w:r>
      <w:r w:rsidRPr="00E7341A">
        <w:t xml:space="preserve">However, with teaching excellence now firmly on the policy agenda </w:t>
      </w:r>
      <w:r w:rsidR="001612ED" w:rsidRPr="00E7341A">
        <w:t xml:space="preserve">of governments </w:t>
      </w:r>
      <w:r w:rsidR="001612ED" w:rsidRPr="00E7341A">
        <w:lastRenderedPageBreak/>
        <w:t xml:space="preserve">worldwide, the use of observation is increasing in </w:t>
      </w:r>
      <w:proofErr w:type="gramStart"/>
      <w:r w:rsidR="001612ED" w:rsidRPr="00E7341A">
        <w:t>HE</w:t>
      </w:r>
      <w:proofErr w:type="gramEnd"/>
      <w:r w:rsidR="001612ED" w:rsidRPr="00E7341A">
        <w:t xml:space="preserve">. In </w:t>
      </w:r>
      <w:r w:rsidR="00F974CC" w:rsidRPr="00E7341A">
        <w:t>the United Kingdom (UK)</w:t>
      </w:r>
      <w:r w:rsidR="001612ED" w:rsidRPr="00E7341A">
        <w:t xml:space="preserve">, for example, </w:t>
      </w:r>
      <w:r w:rsidRPr="00E7341A">
        <w:t>following the introduction of the Teaching Excellence Framework (TEF)</w:t>
      </w:r>
      <w:r w:rsidR="001612ED" w:rsidRPr="00E7341A">
        <w:t xml:space="preserve">, observation </w:t>
      </w:r>
      <w:r w:rsidR="00844410">
        <w:t xml:space="preserve">is </w:t>
      </w:r>
      <w:r w:rsidRPr="00E7341A">
        <w:t>increasingly employed as a quality assurance tool to gather information on teaching standards and to evid</w:t>
      </w:r>
      <w:r w:rsidR="00743193" w:rsidRPr="00E7341A">
        <w:t>ence staff performance</w:t>
      </w:r>
      <w:r w:rsidR="00570728">
        <w:t xml:space="preserve"> (e.g. O’Leary, Cui and</w:t>
      </w:r>
      <w:r w:rsidR="00D4284D">
        <w:t xml:space="preserve"> French 2018)</w:t>
      </w:r>
      <w:r w:rsidRPr="00E7341A">
        <w:t>. It i</w:t>
      </w:r>
      <w:r w:rsidR="006301F1">
        <w:t>s in the context of these</w:t>
      </w:r>
      <w:r w:rsidRPr="00E7341A">
        <w:t xml:space="preserve"> policy developments and the wider global interest in understanding and improving teaching and learning in HE that this paper is situated. </w:t>
      </w:r>
      <w:r w:rsidR="006301F1">
        <w:t>D</w:t>
      </w:r>
      <w:r w:rsidRPr="00E7341A">
        <w:t xml:space="preserve">rawing on a recent </w:t>
      </w:r>
      <w:r w:rsidR="00612D40" w:rsidRPr="00E7341A">
        <w:t>faculty development pro</w:t>
      </w:r>
      <w:r w:rsidR="006B1291" w:rsidRPr="00E7341A">
        <w:t>ject</w:t>
      </w:r>
      <w:r w:rsidRPr="00E7341A">
        <w:t xml:space="preserve"> </w:t>
      </w:r>
      <w:r w:rsidR="00260DA5" w:rsidRPr="00E7341A">
        <w:t>involving</w:t>
      </w:r>
      <w:r w:rsidRPr="00E7341A">
        <w:t xml:space="preserve"> academic staff </w:t>
      </w:r>
      <w:r w:rsidR="00260DA5" w:rsidRPr="00E7341A">
        <w:t>from</w:t>
      </w:r>
      <w:r w:rsidRPr="00E7341A">
        <w:t xml:space="preserve"> a modern English university, the paper discusses the </w:t>
      </w:r>
      <w:r w:rsidR="00260DA5" w:rsidRPr="00E7341A">
        <w:t>conceptualisa</w:t>
      </w:r>
      <w:r w:rsidRPr="00E7341A">
        <w:t xml:space="preserve">tion, implementation and evaluation of an innovative, research-informed approach to the use of </w:t>
      </w:r>
      <w:r w:rsidR="00F5110E" w:rsidRPr="00E7341A">
        <w:t xml:space="preserve">the </w:t>
      </w:r>
      <w:r w:rsidRPr="00E7341A">
        <w:t>observation of teaching and learning.</w:t>
      </w:r>
    </w:p>
    <w:p w14:paraId="1DFA4D42" w14:textId="1949EB20" w:rsidR="002C05DA" w:rsidRPr="00E7341A" w:rsidRDefault="002C05DA" w:rsidP="004D565C">
      <w:pPr>
        <w:pStyle w:val="Newparagraph"/>
      </w:pPr>
      <w:r w:rsidRPr="00E7341A">
        <w:t xml:space="preserve">The first </w:t>
      </w:r>
      <w:r w:rsidR="00844991" w:rsidRPr="00E7341A">
        <w:t xml:space="preserve">section </w:t>
      </w:r>
      <w:r w:rsidRPr="00E7341A">
        <w:t xml:space="preserve">of this paper explores some of the literature on </w:t>
      </w:r>
      <w:r w:rsidR="005641D3">
        <w:t xml:space="preserve">the </w:t>
      </w:r>
      <w:r w:rsidRPr="00E7341A">
        <w:t xml:space="preserve">peer </w:t>
      </w:r>
      <w:r w:rsidR="005641D3">
        <w:t xml:space="preserve">review or </w:t>
      </w:r>
      <w:r w:rsidRPr="00E7341A">
        <w:t xml:space="preserve">observation </w:t>
      </w:r>
      <w:r w:rsidR="007A12F8" w:rsidRPr="00E7341A">
        <w:t xml:space="preserve">of </w:t>
      </w:r>
      <w:proofErr w:type="gramStart"/>
      <w:r w:rsidR="005641D3">
        <w:t>HE</w:t>
      </w:r>
      <w:proofErr w:type="gramEnd"/>
      <w:r w:rsidR="005641D3">
        <w:t xml:space="preserve"> </w:t>
      </w:r>
      <w:r w:rsidR="007A12F8" w:rsidRPr="00E7341A">
        <w:t xml:space="preserve">teaching </w:t>
      </w:r>
      <w:r w:rsidR="00872D00" w:rsidRPr="00E7341A">
        <w:t>as well as that of</w:t>
      </w:r>
      <w:r w:rsidRPr="00E7341A">
        <w:t xml:space="preserve"> coaching, </w:t>
      </w:r>
      <w:r w:rsidR="00EE2B39" w:rsidRPr="00E7341A">
        <w:t xml:space="preserve">with </w:t>
      </w:r>
      <w:r w:rsidRPr="00E7341A">
        <w:t xml:space="preserve">these two </w:t>
      </w:r>
      <w:r w:rsidR="00EE2B39" w:rsidRPr="00E7341A">
        <w:t xml:space="preserve">fields </w:t>
      </w:r>
      <w:r w:rsidR="005C0621" w:rsidRPr="00E7341A">
        <w:t>fra</w:t>
      </w:r>
      <w:r w:rsidR="00EE2B39" w:rsidRPr="00E7341A">
        <w:t>ming the conc</w:t>
      </w:r>
      <w:r w:rsidR="005C0621" w:rsidRPr="00E7341A">
        <w:t>eptual underpinnings</w:t>
      </w:r>
      <w:r w:rsidR="00EE2B39" w:rsidRPr="00E7341A">
        <w:t xml:space="preserve"> </w:t>
      </w:r>
      <w:r w:rsidR="00844991" w:rsidRPr="00E7341A">
        <w:t>of our approach</w:t>
      </w:r>
      <w:r w:rsidR="000D6476" w:rsidRPr="00E7341A">
        <w:t xml:space="preserve"> and its operationalisation</w:t>
      </w:r>
      <w:r w:rsidR="00844991" w:rsidRPr="00E7341A">
        <w:t>. The second section</w:t>
      </w:r>
      <w:r w:rsidR="00EE2B39" w:rsidRPr="00E7341A">
        <w:t xml:space="preserve"> of the paper moves on to discuss the methodology of the </w:t>
      </w:r>
      <w:r w:rsidR="00612D40" w:rsidRPr="00E7341A">
        <w:t>pro</w:t>
      </w:r>
      <w:r w:rsidR="006B1291" w:rsidRPr="00E7341A">
        <w:t>ject</w:t>
      </w:r>
      <w:r w:rsidR="00EE2B39" w:rsidRPr="00E7341A">
        <w:t xml:space="preserve">. From its conceptualisation to </w:t>
      </w:r>
      <w:r w:rsidR="00163190" w:rsidRPr="00E7341A">
        <w:t xml:space="preserve">subsequent </w:t>
      </w:r>
      <w:r w:rsidR="00EE2B39" w:rsidRPr="00E7341A">
        <w:t xml:space="preserve">implementation and evaluation, this </w:t>
      </w:r>
      <w:r w:rsidR="00844991" w:rsidRPr="00E7341A">
        <w:t>section</w:t>
      </w:r>
      <w:r w:rsidR="00EE2B39" w:rsidRPr="00E7341A">
        <w:t xml:space="preserve"> provides an outline of the </w:t>
      </w:r>
      <w:r w:rsidR="003F3414" w:rsidRPr="00E7341A">
        <w:t>origins</w:t>
      </w:r>
      <w:r w:rsidR="00EE2B39" w:rsidRPr="00E7341A">
        <w:t xml:space="preserve"> and development of our approach</w:t>
      </w:r>
      <w:r w:rsidR="00163190" w:rsidRPr="00E7341A">
        <w:t>, its rationale and its application</w:t>
      </w:r>
      <w:r w:rsidRPr="00E7341A">
        <w:t xml:space="preserve">. </w:t>
      </w:r>
      <w:r w:rsidR="005C0621" w:rsidRPr="00E7341A">
        <w:t xml:space="preserve">The final </w:t>
      </w:r>
      <w:r w:rsidR="00163190" w:rsidRPr="00E7341A">
        <w:t xml:space="preserve">section </w:t>
      </w:r>
      <w:r w:rsidR="007A12F8" w:rsidRPr="00E7341A">
        <w:t>discusses</w:t>
      </w:r>
      <w:r w:rsidR="00163190" w:rsidRPr="00E7341A">
        <w:t xml:space="preserve"> </w:t>
      </w:r>
      <w:r w:rsidR="006301F1" w:rsidRPr="00E7341A">
        <w:t xml:space="preserve">project </w:t>
      </w:r>
      <w:r w:rsidR="00163190" w:rsidRPr="00E7341A">
        <w:t xml:space="preserve">findings </w:t>
      </w:r>
      <w:r w:rsidR="005C0621" w:rsidRPr="00E7341A">
        <w:t>that relate to staff attitudes, perceptions and</w:t>
      </w:r>
      <w:r w:rsidR="002C69AE">
        <w:t xml:space="preserve"> experiences of this innovation</w:t>
      </w:r>
      <w:r w:rsidR="005C0621" w:rsidRPr="00E7341A">
        <w:t xml:space="preserve">. </w:t>
      </w:r>
    </w:p>
    <w:p w14:paraId="02F0784A" w14:textId="7F868ED8" w:rsidR="000B64A1" w:rsidRPr="006301F1" w:rsidRDefault="00136713" w:rsidP="00BF628C">
      <w:pPr>
        <w:pStyle w:val="Heading2"/>
        <w:rPr>
          <w:i w:val="0"/>
        </w:rPr>
      </w:pPr>
      <w:r w:rsidRPr="006301F1">
        <w:rPr>
          <w:i w:val="0"/>
        </w:rPr>
        <w:t>Peer review</w:t>
      </w:r>
      <w:r w:rsidR="000B64A1" w:rsidRPr="006301F1">
        <w:rPr>
          <w:i w:val="0"/>
        </w:rPr>
        <w:t xml:space="preserve"> of </w:t>
      </w:r>
      <w:r w:rsidR="0023023D" w:rsidRPr="006301F1">
        <w:rPr>
          <w:i w:val="0"/>
        </w:rPr>
        <w:t xml:space="preserve">higher education </w:t>
      </w:r>
      <w:r w:rsidR="000B64A1" w:rsidRPr="006301F1">
        <w:rPr>
          <w:i w:val="0"/>
        </w:rPr>
        <w:t xml:space="preserve">teaching </w:t>
      </w:r>
    </w:p>
    <w:p w14:paraId="5DE4D319" w14:textId="5C53544A" w:rsidR="009F382A" w:rsidRPr="00E7341A" w:rsidRDefault="00592938" w:rsidP="004D565C">
      <w:pPr>
        <w:pStyle w:val="Newparagraph"/>
      </w:pPr>
      <w:r>
        <w:t>The use of p</w:t>
      </w:r>
      <w:r w:rsidR="003860CA" w:rsidRPr="00E7341A">
        <w:t xml:space="preserve">eer review </w:t>
      </w:r>
      <w:r w:rsidR="00C0611C">
        <w:t>in</w:t>
      </w:r>
      <w:r w:rsidR="003860CA" w:rsidRPr="00E7341A">
        <w:t xml:space="preserve"> </w:t>
      </w:r>
      <w:proofErr w:type="gramStart"/>
      <w:r w:rsidR="00D036BA" w:rsidRPr="00E7341A">
        <w:t>HE</w:t>
      </w:r>
      <w:proofErr w:type="gramEnd"/>
      <w:r w:rsidR="00D036BA" w:rsidRPr="00E7341A">
        <w:t xml:space="preserve"> </w:t>
      </w:r>
      <w:r w:rsidR="003860CA" w:rsidRPr="00E7341A">
        <w:t>teaching</w:t>
      </w:r>
      <w:r w:rsidR="009F382A" w:rsidRPr="00E7341A">
        <w:t xml:space="preserve"> </w:t>
      </w:r>
      <w:r w:rsidR="00AD61BA" w:rsidRPr="00E7341A">
        <w:t>can differ markedly within and across institutions and countries</w:t>
      </w:r>
      <w:r w:rsidR="00033D1B" w:rsidRPr="00E7341A">
        <w:t>. I</w:t>
      </w:r>
      <w:r w:rsidR="00146DEA" w:rsidRPr="00E7341A">
        <w:t>n comparison</w:t>
      </w:r>
      <w:r w:rsidR="002C69AE">
        <w:t xml:space="preserve"> to the peer review of research</w:t>
      </w:r>
      <w:r w:rsidR="00A24A6C">
        <w:t xml:space="preserve">, </w:t>
      </w:r>
      <w:r w:rsidR="0023023D" w:rsidRPr="00E7341A">
        <w:t>arguably</w:t>
      </w:r>
      <w:r w:rsidR="00D911CE">
        <w:t xml:space="preserve"> </w:t>
      </w:r>
      <w:r w:rsidR="0023023D" w:rsidRPr="00E7341A">
        <w:t>a more well-established and familiar process to academics internationally</w:t>
      </w:r>
      <w:r w:rsidR="00A24A6C">
        <w:t xml:space="preserve">, </w:t>
      </w:r>
      <w:r w:rsidR="0023023D" w:rsidRPr="00E7341A">
        <w:t>the</w:t>
      </w:r>
      <w:r w:rsidR="002C69AE">
        <w:t xml:space="preserve"> </w:t>
      </w:r>
      <w:r w:rsidR="0023023D" w:rsidRPr="00E7341A">
        <w:t>peer review of teaching</w:t>
      </w:r>
      <w:r w:rsidR="00AD61BA" w:rsidRPr="00E7341A">
        <w:t xml:space="preserve"> </w:t>
      </w:r>
      <w:r w:rsidR="003751CA" w:rsidRPr="00E7341A">
        <w:t xml:space="preserve">is generally less </w:t>
      </w:r>
      <w:r w:rsidR="00AD61BA" w:rsidRPr="00E7341A">
        <w:t xml:space="preserve">developed or </w:t>
      </w:r>
      <w:r w:rsidR="00574AD8" w:rsidRPr="00E7341A">
        <w:t>systematic</w:t>
      </w:r>
      <w:r w:rsidR="00273745">
        <w:t xml:space="preserve">. For example, </w:t>
      </w:r>
      <w:proofErr w:type="spellStart"/>
      <w:r w:rsidR="003960F7" w:rsidRPr="00E7341A">
        <w:t>W</w:t>
      </w:r>
      <w:r w:rsidR="002C69AE">
        <w:t>ingrove</w:t>
      </w:r>
      <w:proofErr w:type="spellEnd"/>
      <w:r w:rsidR="002C69AE">
        <w:t xml:space="preserve"> et </w:t>
      </w:r>
      <w:proofErr w:type="spellStart"/>
      <w:r w:rsidR="002C69AE">
        <w:t>al</w:t>
      </w:r>
      <w:r w:rsidR="00273745">
        <w:t>’s</w:t>
      </w:r>
      <w:proofErr w:type="spellEnd"/>
      <w:r w:rsidR="00273745">
        <w:t xml:space="preserve"> </w:t>
      </w:r>
      <w:r w:rsidR="00C23578">
        <w:t>(2018</w:t>
      </w:r>
      <w:r w:rsidR="00C23578" w:rsidRPr="00E7341A">
        <w:t>)</w:t>
      </w:r>
      <w:r w:rsidR="00C23578">
        <w:t xml:space="preserve"> </w:t>
      </w:r>
      <w:r w:rsidR="00273745">
        <w:t>study</w:t>
      </w:r>
      <w:r w:rsidR="002C69AE">
        <w:t xml:space="preserve"> </w:t>
      </w:r>
      <w:r w:rsidR="00273745">
        <w:t xml:space="preserve">highlights how academics are used to their performance in research </w:t>
      </w:r>
      <w:r w:rsidR="00307922">
        <w:t>being measured but less so when it comes to teaching</w:t>
      </w:r>
      <w:r w:rsidR="002C69AE">
        <w:t xml:space="preserve">. </w:t>
      </w:r>
      <w:r w:rsidR="00574AD8" w:rsidRPr="00E7341A">
        <w:t>The differences between these two processes</w:t>
      </w:r>
      <w:r w:rsidR="003860CA" w:rsidRPr="00E7341A">
        <w:t xml:space="preserve"> is </w:t>
      </w:r>
      <w:r w:rsidR="00220567" w:rsidRPr="00E7341A">
        <w:t>un</w:t>
      </w:r>
      <w:r w:rsidR="003860CA" w:rsidRPr="00E7341A">
        <w:t>surprising given the</w:t>
      </w:r>
      <w:r w:rsidR="00097BFF">
        <w:t xml:space="preserve"> historic</w:t>
      </w:r>
      <w:r w:rsidR="003860CA" w:rsidRPr="00E7341A">
        <w:t xml:space="preserve"> importance attached to research and </w:t>
      </w:r>
      <w:r>
        <w:t xml:space="preserve">the priority it has </w:t>
      </w:r>
      <w:r w:rsidR="00C0611C">
        <w:t xml:space="preserve">traditionally </w:t>
      </w:r>
      <w:r>
        <w:t>held</w:t>
      </w:r>
      <w:r w:rsidR="003860CA" w:rsidRPr="00E7341A">
        <w:t xml:space="preserve"> over that of teaching in the HE sector. </w:t>
      </w:r>
    </w:p>
    <w:p w14:paraId="1003508E" w14:textId="30DFB54D" w:rsidR="00F71159" w:rsidRPr="00E7341A" w:rsidRDefault="00592938" w:rsidP="004D565C">
      <w:pPr>
        <w:pStyle w:val="Newparagraph"/>
      </w:pPr>
      <w:r>
        <w:lastRenderedPageBreak/>
        <w:t>There is conflation with p</w:t>
      </w:r>
      <w:r w:rsidR="00AF271C" w:rsidRPr="00E7341A">
        <w:t xml:space="preserve">eer review of </w:t>
      </w:r>
      <w:r>
        <w:t xml:space="preserve">HE </w:t>
      </w:r>
      <w:r w:rsidR="00AF271C" w:rsidRPr="00E7341A">
        <w:t xml:space="preserve">teaching </w:t>
      </w:r>
      <w:r>
        <w:t>and</w:t>
      </w:r>
      <w:r w:rsidR="00574AD8" w:rsidRPr="00E7341A">
        <w:t xml:space="preserve"> peer observation</w:t>
      </w:r>
      <w:r>
        <w:t>;</w:t>
      </w:r>
      <w:r w:rsidR="00574AD8" w:rsidRPr="00E7341A">
        <w:t xml:space="preserve"> </w:t>
      </w:r>
      <w:r w:rsidR="00F71159" w:rsidRPr="00E7341A">
        <w:t xml:space="preserve">both </w:t>
      </w:r>
      <w:r>
        <w:t xml:space="preserve">are commonly used for </w:t>
      </w:r>
      <w:r w:rsidR="00F71159" w:rsidRPr="00E7341A">
        <w:t>formative and summative purposes</w:t>
      </w:r>
      <w:r w:rsidR="000850E8" w:rsidRPr="00E7341A">
        <w:t xml:space="preserve"> (</w:t>
      </w:r>
      <w:r w:rsidR="00964BC4" w:rsidRPr="00E7341A">
        <w:t xml:space="preserve">Bell and </w:t>
      </w:r>
      <w:proofErr w:type="spellStart"/>
      <w:r w:rsidR="00964BC4" w:rsidRPr="00E7341A">
        <w:t>Mladenic</w:t>
      </w:r>
      <w:proofErr w:type="spellEnd"/>
      <w:r w:rsidR="00964BC4" w:rsidRPr="00E7341A">
        <w:t xml:space="preserve"> 2008; </w:t>
      </w:r>
      <w:r w:rsidR="000850E8" w:rsidRPr="00E7341A">
        <w:t xml:space="preserve">Sachs and </w:t>
      </w:r>
      <w:proofErr w:type="spellStart"/>
      <w:r w:rsidR="000850E8" w:rsidRPr="00E7341A">
        <w:t>Parsell</w:t>
      </w:r>
      <w:proofErr w:type="spellEnd"/>
      <w:r w:rsidR="000850E8" w:rsidRPr="00E7341A">
        <w:t xml:space="preserve"> 2014). </w:t>
      </w:r>
      <w:r w:rsidR="00D41167" w:rsidRPr="00E7341A">
        <w:t>T</w:t>
      </w:r>
      <w:r w:rsidR="008E0C17" w:rsidRPr="00E7341A">
        <w:t xml:space="preserve">raditionally </w:t>
      </w:r>
      <w:r w:rsidR="000D4872" w:rsidRPr="00E7341A">
        <w:t xml:space="preserve">peer observation </w:t>
      </w:r>
      <w:r w:rsidR="008E0C17" w:rsidRPr="00E7341A">
        <w:t xml:space="preserve">has </w:t>
      </w:r>
      <w:r w:rsidR="00D41167" w:rsidRPr="00E7341A">
        <w:t xml:space="preserve">operated </w:t>
      </w:r>
      <w:r w:rsidR="00AD61BA" w:rsidRPr="00E7341A">
        <w:t xml:space="preserve">largely </w:t>
      </w:r>
      <w:r w:rsidR="00D41167" w:rsidRPr="00E7341A">
        <w:t>on an informal, voluntary basis</w:t>
      </w:r>
      <w:r w:rsidR="00C0611C">
        <w:t>,</w:t>
      </w:r>
      <w:r w:rsidR="00D41167" w:rsidRPr="00E7341A">
        <w:t xml:space="preserve"> but </w:t>
      </w:r>
      <w:r w:rsidR="001F716A" w:rsidRPr="00E7341A">
        <w:t xml:space="preserve">more recently </w:t>
      </w:r>
      <w:r w:rsidR="00574AD8" w:rsidRPr="00E7341A">
        <w:t>it has become</w:t>
      </w:r>
      <w:r w:rsidR="00D41167" w:rsidRPr="00E7341A">
        <w:t xml:space="preserve"> part of formal programmes of professional study for staff</w:t>
      </w:r>
      <w:r w:rsidR="00574AD8" w:rsidRPr="00E7341A">
        <w:t xml:space="preserve"> new to teaching in HE. An example of this is </w:t>
      </w:r>
      <w:r w:rsidR="00D41167" w:rsidRPr="00E7341A">
        <w:t xml:space="preserve">the postgraduate certificate in learning and teaching in </w:t>
      </w:r>
      <w:r w:rsidR="00AC5CC0" w:rsidRPr="00E7341A">
        <w:t xml:space="preserve">the English </w:t>
      </w:r>
      <w:r w:rsidR="00D41167" w:rsidRPr="00E7341A">
        <w:t>HE</w:t>
      </w:r>
      <w:r w:rsidR="00AC5CC0" w:rsidRPr="00E7341A">
        <w:t xml:space="preserve"> sector</w:t>
      </w:r>
      <w:r w:rsidR="00D41167" w:rsidRPr="00E7341A">
        <w:t xml:space="preserve">, a compulsory qualification </w:t>
      </w:r>
      <w:r w:rsidR="00EF5EBB" w:rsidRPr="00E7341A">
        <w:t xml:space="preserve">that </w:t>
      </w:r>
      <w:r w:rsidR="00D41167" w:rsidRPr="00E7341A">
        <w:t xml:space="preserve">new staff </w:t>
      </w:r>
      <w:r w:rsidR="00EF5EBB" w:rsidRPr="00E7341A">
        <w:t xml:space="preserve">are </w:t>
      </w:r>
      <w:r w:rsidR="00566077" w:rsidRPr="00E7341A">
        <w:t>expect</w:t>
      </w:r>
      <w:r w:rsidR="00EF5EBB" w:rsidRPr="00E7341A">
        <w:t>ed to complete in order to satisfy</w:t>
      </w:r>
      <w:r w:rsidR="00D41167" w:rsidRPr="00E7341A">
        <w:t xml:space="preserve"> </w:t>
      </w:r>
      <w:r w:rsidR="00574AD8" w:rsidRPr="00E7341A">
        <w:t>their probationary requirements.</w:t>
      </w:r>
      <w:r w:rsidR="00FB6563" w:rsidRPr="00E7341A">
        <w:t xml:space="preserve"> In addition, it has increasingly </w:t>
      </w:r>
      <w:r w:rsidR="00491E50" w:rsidRPr="00E7341A">
        <w:t>been used as a tool</w:t>
      </w:r>
      <w:r w:rsidR="00EF5EBB" w:rsidRPr="00E7341A">
        <w:t xml:space="preserve"> </w:t>
      </w:r>
      <w:r w:rsidR="00FC51D1" w:rsidRPr="00E7341A">
        <w:t xml:space="preserve">of accountability </w:t>
      </w:r>
      <w:r w:rsidR="00EF5EBB" w:rsidRPr="00E7341A">
        <w:t xml:space="preserve">for evaluating teaching quality and standards across programmes. </w:t>
      </w:r>
    </w:p>
    <w:p w14:paraId="213DDF39" w14:textId="4A992799" w:rsidR="00FB1E73" w:rsidRPr="00E7341A" w:rsidRDefault="00BC4F1B" w:rsidP="004D565C">
      <w:pPr>
        <w:pStyle w:val="Newparagraph"/>
      </w:pPr>
      <w:r w:rsidRPr="00E7341A">
        <w:t>Despite the widespread use of p</w:t>
      </w:r>
      <w:r w:rsidR="005E0D56" w:rsidRPr="00E7341A">
        <w:t>eer observation</w:t>
      </w:r>
      <w:r w:rsidRPr="00E7341A">
        <w:t>, it</w:t>
      </w:r>
      <w:r w:rsidR="0006664F" w:rsidRPr="00E7341A">
        <w:t xml:space="preserve"> is not a term or practice that is </w:t>
      </w:r>
      <w:r w:rsidR="00665847" w:rsidRPr="00E7341A">
        <w:t xml:space="preserve">universally </w:t>
      </w:r>
      <w:r w:rsidR="00AC076C" w:rsidRPr="00E7341A">
        <w:t xml:space="preserve">or consistently </w:t>
      </w:r>
      <w:r w:rsidR="005E0D56" w:rsidRPr="00E7341A">
        <w:t xml:space="preserve">interpreted and applied in </w:t>
      </w:r>
      <w:r w:rsidR="0006664F" w:rsidRPr="00E7341A">
        <w:t>HE</w:t>
      </w:r>
      <w:r w:rsidR="00CC7380">
        <w:t>,</w:t>
      </w:r>
      <w:r w:rsidR="0006664F" w:rsidRPr="00E7341A">
        <w:t xml:space="preserve"> differ</w:t>
      </w:r>
      <w:r w:rsidR="00CC7380">
        <w:t>ing</w:t>
      </w:r>
      <w:r w:rsidR="0006664F" w:rsidRPr="00E7341A">
        <w:t xml:space="preserve"> significantly from one setting to another as a result </w:t>
      </w:r>
      <w:r w:rsidR="00665847" w:rsidRPr="00E7341A">
        <w:t xml:space="preserve">of variables such as </w:t>
      </w:r>
      <w:r w:rsidR="005E0D56" w:rsidRPr="00E7341A">
        <w:t xml:space="preserve">context, </w:t>
      </w:r>
      <w:r w:rsidR="00FB6563" w:rsidRPr="00E7341A">
        <w:t xml:space="preserve">ethos, </w:t>
      </w:r>
      <w:r w:rsidR="005E0D56" w:rsidRPr="00E7341A">
        <w:t xml:space="preserve">purpose, </w:t>
      </w:r>
      <w:r w:rsidR="00CF6BDA" w:rsidRPr="00E7341A">
        <w:t>method</w:t>
      </w:r>
      <w:r w:rsidR="00FB6563" w:rsidRPr="00E7341A">
        <w:t>, participants and their roles</w:t>
      </w:r>
      <w:r w:rsidR="00422985" w:rsidRPr="00E7341A">
        <w:t xml:space="preserve"> </w:t>
      </w:r>
      <w:proofErr w:type="spellStart"/>
      <w:r w:rsidR="00422985" w:rsidRPr="00E7341A">
        <w:t>etc</w:t>
      </w:r>
      <w:proofErr w:type="spellEnd"/>
      <w:r w:rsidR="00665847" w:rsidRPr="00E7341A">
        <w:t>,</w:t>
      </w:r>
      <w:r w:rsidR="0013648C">
        <w:t xml:space="preserve"> (e.g. Fullerton 2003; McMahon, Barrett and O’Neill </w:t>
      </w:r>
      <w:r w:rsidR="0006664F" w:rsidRPr="00E7341A">
        <w:t xml:space="preserve">2007). </w:t>
      </w:r>
      <w:r w:rsidR="00922BA2" w:rsidRPr="00E7341A">
        <w:t>In the case of the project discussed in this paper,</w:t>
      </w:r>
      <w:r w:rsidR="00574AD8" w:rsidRPr="00E7341A">
        <w:t xml:space="preserve"> our conceptualisation and application of the term </w:t>
      </w:r>
      <w:r w:rsidR="00E54453" w:rsidRPr="00E7341A">
        <w:t>‘</w:t>
      </w:r>
      <w:r w:rsidR="00574AD8" w:rsidRPr="00E7341A">
        <w:t>peer observation</w:t>
      </w:r>
      <w:r w:rsidR="00E54453" w:rsidRPr="00E7341A">
        <w:t>’</w:t>
      </w:r>
      <w:r w:rsidR="009470C6" w:rsidRPr="00E7341A">
        <w:t xml:space="preserve"> </w:t>
      </w:r>
      <w:r w:rsidR="00E03E3B" w:rsidRPr="00E7341A">
        <w:t>is</w:t>
      </w:r>
      <w:r w:rsidR="00E54453" w:rsidRPr="00E7341A">
        <w:t xml:space="preserve"> best described as </w:t>
      </w:r>
      <w:r w:rsidR="00405F98" w:rsidRPr="00E7341A">
        <w:t>‘</w:t>
      </w:r>
      <w:r w:rsidR="00E31C99" w:rsidRPr="00E7341A">
        <w:t>a collaborative, reciprocal, model of observation where peers get together to observe each other’s practice</w:t>
      </w:r>
      <w:r w:rsidR="00405F98" w:rsidRPr="00E7341A">
        <w:t xml:space="preserve">’ and where </w:t>
      </w:r>
      <w:r w:rsidR="00491E50" w:rsidRPr="00E7341A">
        <w:t>‘</w:t>
      </w:r>
      <w:r w:rsidR="00405F98" w:rsidRPr="00E7341A">
        <w:t>the</w:t>
      </w:r>
      <w:r w:rsidR="00E31C99" w:rsidRPr="00E7341A">
        <w:t xml:space="preserve"> observation is not regarded as an end in itself but as a springboard for sharing ideas and stimulating reflective dialogue</w:t>
      </w:r>
      <w:r w:rsidR="00405F98" w:rsidRPr="00E7341A">
        <w:t>’</w:t>
      </w:r>
      <w:r w:rsidR="00E31C99" w:rsidRPr="00E7341A">
        <w:t xml:space="preserve"> (</w:t>
      </w:r>
      <w:r w:rsidR="00E54453" w:rsidRPr="00E7341A">
        <w:t xml:space="preserve">O’Leary and Price 2016, </w:t>
      </w:r>
      <w:r w:rsidR="00E31C99" w:rsidRPr="00E7341A">
        <w:t>114-115).</w:t>
      </w:r>
      <w:r w:rsidR="00EF5EBB" w:rsidRPr="00E7341A">
        <w:t xml:space="preserve"> </w:t>
      </w:r>
      <w:r w:rsidR="00651E93" w:rsidRPr="00E7341A">
        <w:t>We also found</w:t>
      </w:r>
      <w:r w:rsidR="00422985" w:rsidRPr="00E7341A">
        <w:t xml:space="preserve"> </w:t>
      </w:r>
      <w:proofErr w:type="spellStart"/>
      <w:r w:rsidR="00422985" w:rsidRPr="00E7341A">
        <w:t>Tilstone’s</w:t>
      </w:r>
      <w:proofErr w:type="spellEnd"/>
      <w:r w:rsidR="00422985" w:rsidRPr="00E7341A">
        <w:t xml:space="preserve"> (2012, 59) term ‘partnership observation’</w:t>
      </w:r>
      <w:r w:rsidR="00651E93" w:rsidRPr="00E7341A">
        <w:t xml:space="preserve"> </w:t>
      </w:r>
      <w:r w:rsidR="00422985" w:rsidRPr="00E7341A">
        <w:t xml:space="preserve">useful in encapsulating the notions of equality, collaboration and collegiality that </w:t>
      </w:r>
      <w:r w:rsidR="00541D9C" w:rsidRPr="00E7341A">
        <w:t>unde</w:t>
      </w:r>
      <w:r w:rsidR="00E03E3B" w:rsidRPr="00E7341A">
        <w:t xml:space="preserve">rpin the approach adopted in </w:t>
      </w:r>
      <w:r w:rsidR="00651E93" w:rsidRPr="00E7341A">
        <w:t>our</w:t>
      </w:r>
      <w:r w:rsidR="00541D9C" w:rsidRPr="00E7341A">
        <w:t xml:space="preserve"> project. </w:t>
      </w:r>
    </w:p>
    <w:p w14:paraId="179AA42F" w14:textId="30A0704F" w:rsidR="00651E93" w:rsidRPr="00E7341A" w:rsidRDefault="00651E93" w:rsidP="004D565C">
      <w:pPr>
        <w:pStyle w:val="Newparagraph"/>
      </w:pPr>
      <w:r w:rsidRPr="00E7341A">
        <w:t xml:space="preserve">For </w:t>
      </w:r>
      <w:proofErr w:type="spellStart"/>
      <w:r w:rsidR="005F534A" w:rsidRPr="00E7341A">
        <w:t>Tilstone</w:t>
      </w:r>
      <w:proofErr w:type="spellEnd"/>
      <w:r w:rsidR="005F534A" w:rsidRPr="00E7341A">
        <w:t xml:space="preserve"> </w:t>
      </w:r>
      <w:r w:rsidRPr="00E7341A">
        <w:t>(2012</w:t>
      </w:r>
      <w:r w:rsidR="00FB1E73" w:rsidRPr="00E7341A">
        <w:t>, 60</w:t>
      </w:r>
      <w:r w:rsidRPr="00E7341A">
        <w:t xml:space="preserve">), </w:t>
      </w:r>
      <w:r w:rsidR="005F534A" w:rsidRPr="00E7341A">
        <w:t xml:space="preserve">the </w:t>
      </w:r>
      <w:r w:rsidRPr="00E7341A">
        <w:t xml:space="preserve">fundamental elements </w:t>
      </w:r>
      <w:r w:rsidR="005F534A" w:rsidRPr="00E7341A">
        <w:t xml:space="preserve">of any successful partnership </w:t>
      </w:r>
      <w:r w:rsidRPr="00E7341A">
        <w:t>are</w:t>
      </w:r>
      <w:r w:rsidR="005F534A" w:rsidRPr="00E7341A">
        <w:t xml:space="preserve"> ‘trust, commitment, common understanding and the identification of individual needs’. </w:t>
      </w:r>
      <w:r w:rsidR="00FB1E73" w:rsidRPr="00E7341A">
        <w:t>Similarly, other studies</w:t>
      </w:r>
      <w:r w:rsidRPr="00E7341A">
        <w:t xml:space="preserve"> in the field of peer observation </w:t>
      </w:r>
      <w:r w:rsidR="00FB1E73" w:rsidRPr="00E7341A">
        <w:t>have</w:t>
      </w:r>
      <w:r w:rsidRPr="00E7341A">
        <w:t xml:space="preserve"> identified the importance of trust and confidentiality between </w:t>
      </w:r>
      <w:r w:rsidR="00FB1E73" w:rsidRPr="00E7341A">
        <w:t>participants</w:t>
      </w:r>
      <w:r w:rsidRPr="00E7341A">
        <w:t xml:space="preserve"> as being central to the success of peer relationships and the process as a whole (e.g. Gosling 2002; Hammersley-Fletcher and </w:t>
      </w:r>
      <w:proofErr w:type="spellStart"/>
      <w:r w:rsidRPr="00E7341A">
        <w:t>Orsmond</w:t>
      </w:r>
      <w:proofErr w:type="spellEnd"/>
      <w:r w:rsidRPr="00E7341A">
        <w:t xml:space="preserve"> 2005; </w:t>
      </w:r>
      <w:r w:rsidRPr="00E7341A">
        <w:lastRenderedPageBreak/>
        <w:t xml:space="preserve">Shortland 2004). The nature of relationships within peer observation is </w:t>
      </w:r>
      <w:r w:rsidR="00AC5CC0" w:rsidRPr="00E7341A">
        <w:t xml:space="preserve">thus </w:t>
      </w:r>
      <w:r w:rsidRPr="00E7341A">
        <w:t xml:space="preserve">vital to the success and sustainability of </w:t>
      </w:r>
      <w:r w:rsidR="00FB1E73" w:rsidRPr="00E7341A">
        <w:t>any approach</w:t>
      </w:r>
      <w:r w:rsidR="0012200D">
        <w:t xml:space="preserve"> and </w:t>
      </w:r>
      <w:r w:rsidRPr="00E7341A">
        <w:t xml:space="preserve">is </w:t>
      </w:r>
      <w:r w:rsidR="00FB1E73" w:rsidRPr="00E7341A">
        <w:t>paramount to encouraging</w:t>
      </w:r>
      <w:r w:rsidRPr="00E7341A">
        <w:t xml:space="preserve"> </w:t>
      </w:r>
      <w:r w:rsidR="008F366A" w:rsidRPr="00E7341A">
        <w:t>authentic</w:t>
      </w:r>
      <w:r w:rsidRPr="00E7341A">
        <w:t xml:space="preserve"> </w:t>
      </w:r>
      <w:r w:rsidR="008F366A" w:rsidRPr="00E7341A">
        <w:t xml:space="preserve">engagement and </w:t>
      </w:r>
      <w:r w:rsidRPr="00E7341A">
        <w:t xml:space="preserve">commitment </w:t>
      </w:r>
      <w:r w:rsidR="008F366A" w:rsidRPr="00E7341A">
        <w:t>to developing thinking and practice</w:t>
      </w:r>
      <w:r w:rsidRPr="00E7341A">
        <w:t>.</w:t>
      </w:r>
      <w:r w:rsidR="00014CB8" w:rsidRPr="00E7341A">
        <w:t xml:space="preserve"> </w:t>
      </w:r>
      <w:r w:rsidR="00592938">
        <w:t>W</w:t>
      </w:r>
      <w:r w:rsidR="00014CB8" w:rsidRPr="00E7341A">
        <w:t>e worked hard to achieve and to protect</w:t>
      </w:r>
      <w:r w:rsidR="00592938">
        <w:t xml:space="preserve"> these elements</w:t>
      </w:r>
      <w:r w:rsidR="00014CB8" w:rsidRPr="00E7341A">
        <w:t xml:space="preserve"> </w:t>
      </w:r>
      <w:r w:rsidR="00592938">
        <w:t>when</w:t>
      </w:r>
      <w:r w:rsidR="00014CB8" w:rsidRPr="00E7341A">
        <w:t xml:space="preserve"> </w:t>
      </w:r>
      <w:r w:rsidR="003F3414" w:rsidRPr="00E7341A">
        <w:t xml:space="preserve">creating </w:t>
      </w:r>
      <w:r w:rsidR="00014CB8" w:rsidRPr="00E7341A">
        <w:t>our faculty scheme and the preparation and training of staff involved, as discussed further in the project methodology below.</w:t>
      </w:r>
    </w:p>
    <w:p w14:paraId="5D22C63E" w14:textId="10A38474" w:rsidR="0080227A" w:rsidRPr="00E7341A" w:rsidRDefault="0012200D" w:rsidP="004D565C">
      <w:pPr>
        <w:pStyle w:val="Newparagraph"/>
      </w:pPr>
      <w:r>
        <w:t>There is</w:t>
      </w:r>
      <w:r w:rsidR="00664DBA" w:rsidRPr="00E7341A">
        <w:t xml:space="preserve"> contention about the value of peer observation </w:t>
      </w:r>
      <w:r>
        <w:t>and</w:t>
      </w:r>
      <w:r w:rsidRPr="00E7341A">
        <w:t xml:space="preserve"> </w:t>
      </w:r>
      <w:r w:rsidR="00664DBA" w:rsidRPr="00E7341A">
        <w:t xml:space="preserve">the degree of formality associated with </w:t>
      </w:r>
      <w:r w:rsidR="00154E9C" w:rsidRPr="00E7341A">
        <w:t>its use and underpinning purpose</w:t>
      </w:r>
      <w:r w:rsidR="00C76A7D" w:rsidRPr="00E7341A">
        <w:t xml:space="preserve"> (Lomas and </w:t>
      </w:r>
      <w:proofErr w:type="spellStart"/>
      <w:r w:rsidR="00C76A7D" w:rsidRPr="00E7341A">
        <w:t>Kinchin</w:t>
      </w:r>
      <w:proofErr w:type="spellEnd"/>
      <w:r w:rsidR="00C76A7D" w:rsidRPr="00E7341A">
        <w:t xml:space="preserve"> 2006)</w:t>
      </w:r>
      <w:r w:rsidR="00154E9C" w:rsidRPr="00E7341A">
        <w:t xml:space="preserve">. </w:t>
      </w:r>
      <w:r w:rsidR="00C97973" w:rsidRPr="00E7341A">
        <w:t>T</w:t>
      </w:r>
      <w:r w:rsidR="00154E9C" w:rsidRPr="00E7341A">
        <w:t xml:space="preserve">he more informal the approach, the more prone it can </w:t>
      </w:r>
      <w:r w:rsidR="00E90F01" w:rsidRPr="00E7341A">
        <w:t xml:space="preserve">arguably </w:t>
      </w:r>
      <w:r w:rsidR="00216A7A" w:rsidRPr="00E7341A">
        <w:t>leave</w:t>
      </w:r>
      <w:r w:rsidR="00154E9C" w:rsidRPr="00E7341A">
        <w:t xml:space="preserve"> itself open to accusations of a lack of criticality and rigour</w:t>
      </w:r>
      <w:r w:rsidR="00E90F01" w:rsidRPr="00E7341A">
        <w:t>,</w:t>
      </w:r>
      <w:r w:rsidR="00216A7A" w:rsidRPr="00E7341A">
        <w:t xml:space="preserve"> with questionable value for those involved.</w:t>
      </w:r>
      <w:r w:rsidR="00154E9C" w:rsidRPr="00E7341A">
        <w:t xml:space="preserve"> </w:t>
      </w:r>
      <w:r w:rsidR="00216A7A" w:rsidRPr="00E7341A">
        <w:t xml:space="preserve">Yet </w:t>
      </w:r>
      <w:r w:rsidR="00C97973" w:rsidRPr="00E7341A">
        <w:t>equally</w:t>
      </w:r>
      <w:r w:rsidR="0080227A" w:rsidRPr="00E7341A">
        <w:t xml:space="preserve">, </w:t>
      </w:r>
      <w:r w:rsidR="00216A7A" w:rsidRPr="00E7341A">
        <w:t xml:space="preserve">high levels of formality </w:t>
      </w:r>
      <w:r w:rsidR="00BA0A03" w:rsidRPr="00E7341A">
        <w:t>can be considered to endorse performance management rather than performance enhancement agendas and thus may</w:t>
      </w:r>
      <w:r w:rsidR="00216A7A" w:rsidRPr="00E7341A">
        <w:t xml:space="preserve"> not necessarily increase the meaningfulness </w:t>
      </w:r>
      <w:r w:rsidR="00E90F01" w:rsidRPr="00E7341A">
        <w:t xml:space="preserve">and/or value </w:t>
      </w:r>
      <w:r w:rsidR="00216A7A" w:rsidRPr="00E7341A">
        <w:t>of the activity</w:t>
      </w:r>
      <w:r w:rsidR="000B7057" w:rsidRPr="00E7341A">
        <w:t xml:space="preserve"> (e.g. Thomson, Bell and Hendry 2015)</w:t>
      </w:r>
      <w:r w:rsidR="0080227A" w:rsidRPr="00E7341A">
        <w:t xml:space="preserve">. </w:t>
      </w:r>
      <w:r w:rsidR="00BA0A03" w:rsidRPr="00E7341A">
        <w:t>O</w:t>
      </w:r>
      <w:r w:rsidR="00D036BA" w:rsidRPr="00E7341A">
        <w:t>ne might</w:t>
      </w:r>
      <w:r w:rsidR="00AA1CEB" w:rsidRPr="00E7341A">
        <w:t xml:space="preserve"> also</w:t>
      </w:r>
      <w:r w:rsidR="00D036BA" w:rsidRPr="00E7341A">
        <w:t xml:space="preserve"> argue</w:t>
      </w:r>
      <w:r w:rsidR="0080227A" w:rsidRPr="00E7341A">
        <w:t xml:space="preserve"> that the greater the degree of formal processes introduced, the more onerous involvement can become for all </w:t>
      </w:r>
      <w:r w:rsidR="00216A7A" w:rsidRPr="00E7341A">
        <w:t>parties</w:t>
      </w:r>
      <w:r w:rsidR="00C97973" w:rsidRPr="00E7341A">
        <w:t xml:space="preserve">, thus </w:t>
      </w:r>
      <w:r w:rsidR="00D036BA" w:rsidRPr="00E7341A">
        <w:t>threatening to reduc</w:t>
      </w:r>
      <w:r w:rsidR="00940399" w:rsidRPr="00E7341A">
        <w:t>e</w:t>
      </w:r>
      <w:r w:rsidR="00C97973" w:rsidRPr="00E7341A">
        <w:t xml:space="preserve"> its overall effectiveness and impact. </w:t>
      </w:r>
      <w:r w:rsidR="00216A7A" w:rsidRPr="00E7341A">
        <w:t>That said</w:t>
      </w:r>
      <w:r w:rsidR="0080227A" w:rsidRPr="00E7341A">
        <w:t xml:space="preserve">, the application of a systematic </w:t>
      </w:r>
      <w:r w:rsidR="00216A7A" w:rsidRPr="00E7341A">
        <w:t xml:space="preserve">rather than a procedurally formal </w:t>
      </w:r>
      <w:r w:rsidR="0080227A" w:rsidRPr="00E7341A">
        <w:t xml:space="preserve">approach to peer observation can </w:t>
      </w:r>
      <w:r w:rsidR="00E90F01" w:rsidRPr="00E7341A">
        <w:t xml:space="preserve">conceivably </w:t>
      </w:r>
      <w:r w:rsidR="00216A7A" w:rsidRPr="00E7341A">
        <w:t xml:space="preserve">enhance its </w:t>
      </w:r>
      <w:r w:rsidR="0080227A" w:rsidRPr="00E7341A">
        <w:t>success</w:t>
      </w:r>
      <w:r w:rsidR="0013648C">
        <w:t xml:space="preserve"> and sustainability. As </w:t>
      </w:r>
      <w:proofErr w:type="spellStart"/>
      <w:r w:rsidR="0013648C">
        <w:t>Buskist</w:t>
      </w:r>
      <w:proofErr w:type="spellEnd"/>
      <w:r w:rsidR="0013648C">
        <w:t xml:space="preserve">, Ismail and </w:t>
      </w:r>
      <w:proofErr w:type="spellStart"/>
      <w:r w:rsidR="0013648C">
        <w:t>Groccia</w:t>
      </w:r>
      <w:proofErr w:type="spellEnd"/>
      <w:r w:rsidR="0013648C">
        <w:t xml:space="preserve"> </w:t>
      </w:r>
      <w:r w:rsidR="0080227A" w:rsidRPr="00E7341A">
        <w:t>(2014</w:t>
      </w:r>
      <w:r w:rsidR="00CF6BDA" w:rsidRPr="00E7341A">
        <w:t>,</w:t>
      </w:r>
      <w:r w:rsidR="0080227A" w:rsidRPr="00E7341A">
        <w:t xml:space="preserve"> 50) maintain, ‘successful peer review is the product of planned and intentional discussion of pedagogy with the teacher and detailed analysis of the teacher’s pedagogical practices and how those practices impact student learning’. Th</w:t>
      </w:r>
      <w:r w:rsidR="00C97973" w:rsidRPr="00E7341A">
        <w:t>us th</w:t>
      </w:r>
      <w:r w:rsidR="0080227A" w:rsidRPr="00E7341A">
        <w:t xml:space="preserve">ere is clearly a balance to </w:t>
      </w:r>
      <w:r w:rsidR="00940399" w:rsidRPr="00E7341A">
        <w:t>establish</w:t>
      </w:r>
      <w:r w:rsidR="0080227A" w:rsidRPr="00E7341A">
        <w:t xml:space="preserve"> in adopting a systematic approach, whilst allowing room for flexibility and spontaneity.</w:t>
      </w:r>
      <w:r w:rsidR="000D4872" w:rsidRPr="00E7341A">
        <w:t xml:space="preserve"> </w:t>
      </w:r>
    </w:p>
    <w:p w14:paraId="4AA60D12" w14:textId="3CFF6044" w:rsidR="0080227A" w:rsidRPr="00E7341A" w:rsidRDefault="005E0D56" w:rsidP="00A106B7">
      <w:pPr>
        <w:pStyle w:val="Newparagraph"/>
      </w:pPr>
      <w:r w:rsidRPr="00E7341A">
        <w:t xml:space="preserve"> </w:t>
      </w:r>
      <w:r w:rsidR="0080227A" w:rsidRPr="00E7341A">
        <w:t xml:space="preserve">In </w:t>
      </w:r>
      <w:r w:rsidR="00C97973" w:rsidRPr="00E7341A">
        <w:t>a</w:t>
      </w:r>
      <w:r w:rsidR="0080227A" w:rsidRPr="00E7341A">
        <w:t xml:space="preserve"> small-scale study </w:t>
      </w:r>
      <w:r w:rsidR="00C97973" w:rsidRPr="00E7341A">
        <w:t xml:space="preserve">of a </w:t>
      </w:r>
      <w:r w:rsidR="0080227A" w:rsidRPr="00E7341A">
        <w:t xml:space="preserve">peer observation scheme in </w:t>
      </w:r>
      <w:r w:rsidR="00C97973" w:rsidRPr="00E7341A">
        <w:t xml:space="preserve">a university in </w:t>
      </w:r>
      <w:r w:rsidR="0013648C">
        <w:t>Ireland, McMahon, Barrett and O’Neill</w:t>
      </w:r>
      <w:r w:rsidR="0080227A" w:rsidRPr="00E7341A">
        <w:t xml:space="preserve"> (2007</w:t>
      </w:r>
      <w:r w:rsidR="00AA1CEB" w:rsidRPr="00E7341A">
        <w:t>, 505</w:t>
      </w:r>
      <w:r w:rsidR="0080227A" w:rsidRPr="00E7341A">
        <w:t xml:space="preserve">) </w:t>
      </w:r>
      <w:r w:rsidR="00C97973" w:rsidRPr="00E7341A">
        <w:t>foun</w:t>
      </w:r>
      <w:r w:rsidR="0080227A" w:rsidRPr="00E7341A">
        <w:t>d that their research participants</w:t>
      </w:r>
      <w:r w:rsidR="00A106B7">
        <w:t xml:space="preserve"> </w:t>
      </w:r>
      <w:r w:rsidR="0080227A" w:rsidRPr="00E7341A">
        <w:t xml:space="preserve">were in no doubt that having control over the five key dimensions of choice of observer, focus of observation, form and method of feedback, resultant data flow and the next steps encouraged </w:t>
      </w:r>
      <w:r w:rsidR="0080227A" w:rsidRPr="00E7341A">
        <w:lastRenderedPageBreak/>
        <w:t xml:space="preserve">them to focus on improvement of practice rather than demonstration of existing good practice. </w:t>
      </w:r>
      <w:r w:rsidR="00DA6DAC" w:rsidRPr="00E7341A">
        <w:t xml:space="preserve">Similarly, in our project, </w:t>
      </w:r>
      <w:r w:rsidR="00905668" w:rsidRPr="00E7341A">
        <w:t xml:space="preserve">being able to exercise </w:t>
      </w:r>
      <w:r w:rsidR="00195854" w:rsidRPr="00E7341A">
        <w:t xml:space="preserve">professional </w:t>
      </w:r>
      <w:r w:rsidR="00905668" w:rsidRPr="00E7341A">
        <w:t>agency over</w:t>
      </w:r>
      <w:r w:rsidR="00DA6DAC" w:rsidRPr="00E7341A">
        <w:t xml:space="preserve"> these five dimensions proved crucial to ensuring staff engage</w:t>
      </w:r>
      <w:r w:rsidR="009A504D" w:rsidRPr="00E7341A">
        <w:t>ment</w:t>
      </w:r>
      <w:r w:rsidR="00DA6DAC" w:rsidRPr="00E7341A">
        <w:t xml:space="preserve"> with our approach from t</w:t>
      </w:r>
      <w:r w:rsidR="00940399" w:rsidRPr="00E7341A">
        <w:t>he outset but equally</w:t>
      </w:r>
      <w:r w:rsidR="00DA6DAC" w:rsidRPr="00E7341A">
        <w:t xml:space="preserve"> </w:t>
      </w:r>
      <w:r w:rsidR="009A504D" w:rsidRPr="00E7341A">
        <w:t xml:space="preserve">for it to </w:t>
      </w:r>
      <w:r w:rsidR="00DA6DAC" w:rsidRPr="00E7341A">
        <w:t xml:space="preserve">remain sustainable. </w:t>
      </w:r>
      <w:proofErr w:type="spellStart"/>
      <w:r w:rsidR="00ED2A45">
        <w:t>Wingrove</w:t>
      </w:r>
      <w:proofErr w:type="spellEnd"/>
      <w:r w:rsidR="00ED2A45">
        <w:t xml:space="preserve"> et al</w:t>
      </w:r>
      <w:r w:rsidR="0013648C">
        <w:t>.</w:t>
      </w:r>
      <w:r w:rsidR="00ED2A45">
        <w:t xml:space="preserve"> (2018</w:t>
      </w:r>
      <w:r w:rsidR="00E228DE" w:rsidRPr="00E7341A">
        <w:t>)</w:t>
      </w:r>
      <w:r w:rsidR="004653B6" w:rsidRPr="00E7341A">
        <w:t>, amongst others,</w:t>
      </w:r>
      <w:r w:rsidR="00E228DE" w:rsidRPr="00E7341A">
        <w:t xml:space="preserve"> have </w:t>
      </w:r>
      <w:r w:rsidR="006E4FD0" w:rsidRPr="00E7341A">
        <w:t xml:space="preserve">also </w:t>
      </w:r>
      <w:r w:rsidR="00E228DE" w:rsidRPr="00E7341A">
        <w:t xml:space="preserve">highlighted the importance of </w:t>
      </w:r>
      <w:r w:rsidR="00EE037F" w:rsidRPr="00E7341A">
        <w:t xml:space="preserve">an ethos of </w:t>
      </w:r>
      <w:r w:rsidR="00E228DE" w:rsidRPr="00E7341A">
        <w:t xml:space="preserve">collegiality </w:t>
      </w:r>
      <w:r w:rsidR="00EE037F" w:rsidRPr="00E7341A">
        <w:t>and respect for peer observation to be successful</w:t>
      </w:r>
      <w:r w:rsidR="00574368" w:rsidRPr="00E7341A">
        <w:t xml:space="preserve"> and sustainable</w:t>
      </w:r>
      <w:r w:rsidR="00D17802" w:rsidRPr="00E7341A">
        <w:t xml:space="preserve"> </w:t>
      </w:r>
      <w:r w:rsidR="00195854" w:rsidRPr="00E7341A">
        <w:t>when</w:t>
      </w:r>
      <w:r w:rsidR="00D17802" w:rsidRPr="00E7341A">
        <w:t xml:space="preserve"> comparing the experiences of </w:t>
      </w:r>
      <w:r w:rsidR="00195854" w:rsidRPr="00E7341A">
        <w:t xml:space="preserve">HE </w:t>
      </w:r>
      <w:r w:rsidR="00D17802" w:rsidRPr="00E7341A">
        <w:t>academics in Australia and England</w:t>
      </w:r>
      <w:r w:rsidR="00574368" w:rsidRPr="00E7341A">
        <w:t xml:space="preserve">. </w:t>
      </w:r>
    </w:p>
    <w:p w14:paraId="130E6390" w14:textId="58412100" w:rsidR="00F71159" w:rsidRPr="006301F1" w:rsidRDefault="009D05B7" w:rsidP="00BF628C">
      <w:pPr>
        <w:pStyle w:val="Heading2"/>
        <w:rPr>
          <w:i w:val="0"/>
        </w:rPr>
      </w:pPr>
      <w:r w:rsidRPr="006301F1">
        <w:rPr>
          <w:i w:val="0"/>
        </w:rPr>
        <w:t>The role of coaching in peer</w:t>
      </w:r>
      <w:r w:rsidR="00F71159" w:rsidRPr="006301F1">
        <w:rPr>
          <w:i w:val="0"/>
        </w:rPr>
        <w:t xml:space="preserve"> observation</w:t>
      </w:r>
    </w:p>
    <w:p w14:paraId="443F0857" w14:textId="41CF9034" w:rsidR="00AB7867" w:rsidRPr="00E7341A" w:rsidRDefault="001C23CA" w:rsidP="00260E6A">
      <w:pPr>
        <w:pStyle w:val="Paragraph"/>
        <w:ind w:firstLine="709"/>
      </w:pPr>
      <w:r>
        <w:t>To further</w:t>
      </w:r>
      <w:r w:rsidR="0012200D">
        <w:t xml:space="preserve"> develop the non-evaluative approach to observation, we drew upon the theory and practice of coaching</w:t>
      </w:r>
      <w:r w:rsidR="00B0271E">
        <w:t xml:space="preserve"> relationships as a model for observer-</w:t>
      </w:r>
      <w:proofErr w:type="spellStart"/>
      <w:r w:rsidR="00B0271E">
        <w:t>observee</w:t>
      </w:r>
      <w:proofErr w:type="spellEnd"/>
      <w:r w:rsidR="00B0271E">
        <w:t xml:space="preserve"> interaction</w:t>
      </w:r>
      <w:r w:rsidR="0012200D">
        <w:t xml:space="preserve">. </w:t>
      </w:r>
      <w:r w:rsidR="00C3508F" w:rsidRPr="00E7341A">
        <w:t xml:space="preserve">There is </w:t>
      </w:r>
      <w:r w:rsidR="00877319" w:rsidRPr="00E7341A">
        <w:t>considerable</w:t>
      </w:r>
      <w:r w:rsidR="00C3508F" w:rsidRPr="00E7341A">
        <w:t xml:space="preserve"> </w:t>
      </w:r>
      <w:r w:rsidR="00877319" w:rsidRPr="00E7341A">
        <w:t xml:space="preserve">variance </w:t>
      </w:r>
      <w:r w:rsidR="00C3508F" w:rsidRPr="00E7341A">
        <w:t>in the literature reg</w:t>
      </w:r>
      <w:r w:rsidR="00B52E17" w:rsidRPr="00E7341A">
        <w:t>arding a definition of coaching</w:t>
      </w:r>
      <w:r w:rsidR="00C3508F" w:rsidRPr="00E7341A">
        <w:t xml:space="preserve"> and even less agree</w:t>
      </w:r>
      <w:r w:rsidR="00AB7867" w:rsidRPr="00E7341A">
        <w:t xml:space="preserve">ment on the difference between </w:t>
      </w:r>
      <w:r w:rsidR="00AB7867" w:rsidRPr="00E7341A">
        <w:rPr>
          <w:i/>
        </w:rPr>
        <w:t>coaching</w:t>
      </w:r>
      <w:r w:rsidR="00AB7867" w:rsidRPr="00E7341A">
        <w:t xml:space="preserve"> and </w:t>
      </w:r>
      <w:r w:rsidR="00AB7867" w:rsidRPr="00E7341A">
        <w:rPr>
          <w:i/>
        </w:rPr>
        <w:t>mentoring</w:t>
      </w:r>
      <w:r w:rsidR="00C3508F" w:rsidRPr="00E7341A">
        <w:t xml:space="preserve"> (e.g. </w:t>
      </w:r>
      <w:r w:rsidR="00AB7867" w:rsidRPr="00E7341A">
        <w:t>Garvey</w:t>
      </w:r>
      <w:r w:rsidR="00CB67CF">
        <w:t>, Stokes and Meggi</w:t>
      </w:r>
      <w:r w:rsidR="00620B20">
        <w:t>n</w:t>
      </w:r>
      <w:r w:rsidR="00CB67CF">
        <w:t>son</w:t>
      </w:r>
      <w:r w:rsidR="002F252E">
        <w:t xml:space="preserve"> 2018</w:t>
      </w:r>
      <w:r w:rsidR="00C3508F" w:rsidRPr="00E7341A">
        <w:t>; Hargreave</w:t>
      </w:r>
      <w:r w:rsidR="00824E0F">
        <w:t>s 2010</w:t>
      </w:r>
      <w:r w:rsidR="00AB7867" w:rsidRPr="00E7341A">
        <w:t>). Mentoring</w:t>
      </w:r>
      <w:r w:rsidR="00C3508F" w:rsidRPr="00E7341A">
        <w:t xml:space="preserve"> </w:t>
      </w:r>
      <w:r w:rsidR="00235501">
        <w:t>is</w:t>
      </w:r>
      <w:r w:rsidR="00C3508F" w:rsidRPr="00E7341A">
        <w:t xml:space="preserve"> often linked with ‘knowledge transfer’ from a more</w:t>
      </w:r>
      <w:r w:rsidR="00235501">
        <w:t xml:space="preserve"> experienced</w:t>
      </w:r>
      <w:r w:rsidR="00C3508F" w:rsidRPr="00E7341A">
        <w:t xml:space="preserve"> </w:t>
      </w:r>
      <w:r w:rsidR="00877319" w:rsidRPr="00E7341A">
        <w:t xml:space="preserve">to a less </w:t>
      </w:r>
      <w:r w:rsidR="00C3508F" w:rsidRPr="00E7341A">
        <w:t>experienced staff</w:t>
      </w:r>
      <w:r w:rsidR="00AB7867" w:rsidRPr="00E7341A">
        <w:t xml:space="preserve"> member (</w:t>
      </w:r>
      <w:proofErr w:type="spellStart"/>
      <w:r w:rsidR="00AB7867" w:rsidRPr="00E7341A">
        <w:t>Pleschová</w:t>
      </w:r>
      <w:proofErr w:type="spellEnd"/>
      <w:r w:rsidR="00AB7867" w:rsidRPr="00E7341A">
        <w:t xml:space="preserve"> and </w:t>
      </w:r>
      <w:proofErr w:type="spellStart"/>
      <w:r w:rsidR="00AB7867" w:rsidRPr="00E7341A">
        <w:t>McAlpine</w:t>
      </w:r>
      <w:proofErr w:type="spellEnd"/>
      <w:r w:rsidR="00AB7867" w:rsidRPr="00E7341A">
        <w:t xml:space="preserve"> 2015)</w:t>
      </w:r>
      <w:r w:rsidR="00877319" w:rsidRPr="00E7341A">
        <w:t>,</w:t>
      </w:r>
      <w:r w:rsidR="00AB7867" w:rsidRPr="00E7341A">
        <w:t xml:space="preserve"> whereas coaching</w:t>
      </w:r>
      <w:r w:rsidR="00C3508F" w:rsidRPr="00E7341A">
        <w:t xml:space="preserve"> is more often associated with the role of a non-judgemental observer</w:t>
      </w:r>
      <w:r w:rsidR="00AB7867" w:rsidRPr="00E7341A">
        <w:t>,</w:t>
      </w:r>
      <w:r w:rsidR="00877319" w:rsidRPr="00E7341A">
        <w:t xml:space="preserve"> who</w:t>
      </w:r>
      <w:r w:rsidR="003E58C3">
        <w:t>,</w:t>
      </w:r>
      <w:r w:rsidR="00877319" w:rsidRPr="00E7341A">
        <w:t xml:space="preserve"> </w:t>
      </w:r>
      <w:r w:rsidR="003E58C3" w:rsidRPr="00E7341A">
        <w:t>rather than providing direct advice</w:t>
      </w:r>
      <w:r w:rsidR="003E58C3">
        <w:t>,</w:t>
      </w:r>
      <w:r w:rsidR="003E58C3" w:rsidRPr="00E7341A">
        <w:t xml:space="preserve"> </w:t>
      </w:r>
      <w:r w:rsidR="00C3508F" w:rsidRPr="00E7341A">
        <w:t xml:space="preserve">facilitates the </w:t>
      </w:r>
      <w:proofErr w:type="spellStart"/>
      <w:r w:rsidR="00C3508F" w:rsidRPr="00E7341A">
        <w:t>coachee’s</w:t>
      </w:r>
      <w:proofErr w:type="spellEnd"/>
      <w:r w:rsidR="00C3508F" w:rsidRPr="00E7341A">
        <w:t xml:space="preserve"> own exploration of the challenges they</w:t>
      </w:r>
      <w:r w:rsidR="00AB7867" w:rsidRPr="00E7341A">
        <w:t xml:space="preserve"> experience (Costa and </w:t>
      </w:r>
      <w:proofErr w:type="spellStart"/>
      <w:r w:rsidR="00AB7867" w:rsidRPr="00E7341A">
        <w:t>Garmston</w:t>
      </w:r>
      <w:proofErr w:type="spellEnd"/>
      <w:r w:rsidR="00C3508F" w:rsidRPr="00E7341A">
        <w:t xml:space="preserve"> 2016). For the purposes of this </w:t>
      </w:r>
      <w:r w:rsidR="00AB7867" w:rsidRPr="00E7341A">
        <w:t>project</w:t>
      </w:r>
      <w:r w:rsidR="00C3508F" w:rsidRPr="00E7341A">
        <w:t xml:space="preserve"> we </w:t>
      </w:r>
      <w:r w:rsidR="0012200D">
        <w:t xml:space="preserve">therefore </w:t>
      </w:r>
      <w:r w:rsidR="00C0611C">
        <w:t>adopted the term ‘coaching’</w:t>
      </w:r>
      <w:r w:rsidR="006E4FD0" w:rsidRPr="00E7341A">
        <w:t xml:space="preserve"> </w:t>
      </w:r>
      <w:r w:rsidR="00C3508F" w:rsidRPr="00E7341A">
        <w:t>with a focus</w:t>
      </w:r>
      <w:r w:rsidR="00AC5CC0" w:rsidRPr="00E7341A">
        <w:t xml:space="preserve"> on learning relationships underpinned by</w:t>
      </w:r>
      <w:r w:rsidR="00C3508F" w:rsidRPr="00E7341A">
        <w:t xml:space="preserve"> an ethos of inquiry and a willingness to explore unasked questions (</w:t>
      </w:r>
      <w:proofErr w:type="spellStart"/>
      <w:r w:rsidR="00C3508F" w:rsidRPr="00E7341A">
        <w:t>Bokeno</w:t>
      </w:r>
      <w:proofErr w:type="spellEnd"/>
      <w:r w:rsidR="00C3508F" w:rsidRPr="00E7341A">
        <w:t xml:space="preserve"> 2009; Fletcher 2012). The model </w:t>
      </w:r>
      <w:r w:rsidR="00AB7867" w:rsidRPr="00E7341A">
        <w:t xml:space="preserve">embodied in our approach </w:t>
      </w:r>
      <w:r w:rsidR="00C3508F" w:rsidRPr="00E7341A">
        <w:t>is closest to ‘peer coaching’ where staff with relatively equal levels of experience and status work collaborat</w:t>
      </w:r>
      <w:r w:rsidR="006B2DA8" w:rsidRPr="00E7341A">
        <w:t xml:space="preserve">ively to provide a formative experience for </w:t>
      </w:r>
      <w:proofErr w:type="spellStart"/>
      <w:r w:rsidR="00C3508F" w:rsidRPr="00E7341A">
        <w:t>coachee</w:t>
      </w:r>
      <w:r w:rsidR="006B2DA8" w:rsidRPr="00E7341A">
        <w:t>s</w:t>
      </w:r>
      <w:proofErr w:type="spellEnd"/>
      <w:r w:rsidR="00C3508F" w:rsidRPr="00E7341A">
        <w:t xml:space="preserve"> (</w:t>
      </w:r>
      <w:proofErr w:type="spellStart"/>
      <w:r w:rsidR="00C3508F" w:rsidRPr="00E7341A">
        <w:t>Ladyshe</w:t>
      </w:r>
      <w:r w:rsidR="00A43D79">
        <w:t>wsky</w:t>
      </w:r>
      <w:proofErr w:type="spellEnd"/>
      <w:r w:rsidR="00877319" w:rsidRPr="00E7341A">
        <w:t xml:space="preserve"> 2014; Parker, </w:t>
      </w:r>
      <w:proofErr w:type="spellStart"/>
      <w:r w:rsidR="00877319" w:rsidRPr="00E7341A">
        <w:t>Kram</w:t>
      </w:r>
      <w:proofErr w:type="spellEnd"/>
      <w:r w:rsidR="00877319" w:rsidRPr="00E7341A">
        <w:t xml:space="preserve"> and</w:t>
      </w:r>
      <w:r w:rsidR="00AB7867" w:rsidRPr="00E7341A">
        <w:t xml:space="preserve"> Hall</w:t>
      </w:r>
      <w:r w:rsidR="00C3508F" w:rsidRPr="00E7341A">
        <w:t xml:space="preserve"> 2013).</w:t>
      </w:r>
    </w:p>
    <w:p w14:paraId="5C71CF3B" w14:textId="27C4DADF" w:rsidR="00C3508F" w:rsidRPr="00E7341A" w:rsidRDefault="00C3508F" w:rsidP="004D565C">
      <w:pPr>
        <w:pStyle w:val="Newparagraph"/>
      </w:pPr>
      <w:r w:rsidRPr="00E7341A">
        <w:t xml:space="preserve">Throughout the literature, inquiry is </w:t>
      </w:r>
      <w:r w:rsidR="00877319" w:rsidRPr="00E7341A">
        <w:t xml:space="preserve">identified </w:t>
      </w:r>
      <w:r w:rsidR="00184924" w:rsidRPr="00E7341A">
        <w:t>as a</w:t>
      </w:r>
      <w:r w:rsidR="00877319" w:rsidRPr="00E7341A">
        <w:t xml:space="preserve"> </w:t>
      </w:r>
      <w:r w:rsidR="00184924" w:rsidRPr="00E7341A">
        <w:t xml:space="preserve">central tenet of </w:t>
      </w:r>
      <w:r w:rsidRPr="00E7341A">
        <w:t xml:space="preserve">a coaching approach. Whitmore (2002) advises that coaches’ primary verbal interaction should be </w:t>
      </w:r>
      <w:r w:rsidRPr="00E7341A">
        <w:lastRenderedPageBreak/>
        <w:t>interrog</w:t>
      </w:r>
      <w:r w:rsidR="00C0611C">
        <w:t>ative</w:t>
      </w:r>
      <w:r w:rsidR="00184924" w:rsidRPr="00E7341A">
        <w:t xml:space="preserve"> in the form of questions. Similarly, </w:t>
      </w:r>
      <w:proofErr w:type="spellStart"/>
      <w:r w:rsidRPr="00E7341A">
        <w:t>Bokeno</w:t>
      </w:r>
      <w:proofErr w:type="spellEnd"/>
      <w:r w:rsidRPr="00E7341A">
        <w:t xml:space="preserve"> (2009) underscores the need to ask open questions </w:t>
      </w:r>
      <w:r w:rsidR="00184924" w:rsidRPr="00E7341A">
        <w:t>that</w:t>
      </w:r>
      <w:r w:rsidRPr="00E7341A">
        <w:t xml:space="preserve"> suspend beliefs and assumptions about the correct way to do things. </w:t>
      </w:r>
      <w:r w:rsidR="00B0271E">
        <w:t>T</w:t>
      </w:r>
      <w:r w:rsidRPr="00E7341A">
        <w:t xml:space="preserve">he use of questions encourages </w:t>
      </w:r>
      <w:proofErr w:type="spellStart"/>
      <w:r w:rsidRPr="00E7341A">
        <w:t>coachees</w:t>
      </w:r>
      <w:proofErr w:type="spellEnd"/>
      <w:r w:rsidRPr="00E7341A">
        <w:t xml:space="preserve">’ deeper </w:t>
      </w:r>
      <w:r w:rsidR="0078559D">
        <w:t>reflection</w:t>
      </w:r>
      <w:r w:rsidRPr="00E7341A">
        <w:t xml:space="preserve"> and problem-solving</w:t>
      </w:r>
      <w:r w:rsidR="00940399" w:rsidRPr="00E7341A">
        <w:t xml:space="preserve"> abilities</w:t>
      </w:r>
      <w:r w:rsidR="009E33EB" w:rsidRPr="00E7341A">
        <w:t>,</w:t>
      </w:r>
      <w:r w:rsidR="00940399" w:rsidRPr="00E7341A">
        <w:t xml:space="preserve"> </w:t>
      </w:r>
      <w:r w:rsidRPr="00E7341A">
        <w:t xml:space="preserve">promoting self-reflection to explore one’s thinking, beliefs, and </w:t>
      </w:r>
      <w:r w:rsidR="00AB7867" w:rsidRPr="00E7341A">
        <w:t xml:space="preserve">assumptions (Costa and </w:t>
      </w:r>
      <w:proofErr w:type="spellStart"/>
      <w:r w:rsidR="00AB7867" w:rsidRPr="00E7341A">
        <w:t>Garmston</w:t>
      </w:r>
      <w:proofErr w:type="spellEnd"/>
      <w:r w:rsidR="00AC5CC0" w:rsidRPr="00E7341A">
        <w:t xml:space="preserve"> 2016</w:t>
      </w:r>
      <w:r w:rsidR="00B0271E">
        <w:t>;</w:t>
      </w:r>
      <w:r w:rsidR="00B0271E" w:rsidRPr="00B0271E">
        <w:t xml:space="preserve"> </w:t>
      </w:r>
      <w:proofErr w:type="spellStart"/>
      <w:r w:rsidR="00B0271E" w:rsidRPr="00E7341A">
        <w:t>Parsloe</w:t>
      </w:r>
      <w:proofErr w:type="spellEnd"/>
      <w:r w:rsidR="00B0271E" w:rsidRPr="00E7341A">
        <w:t xml:space="preserve"> and </w:t>
      </w:r>
      <w:proofErr w:type="spellStart"/>
      <w:r w:rsidR="00B0271E" w:rsidRPr="00E7341A">
        <w:t>Leedham</w:t>
      </w:r>
      <w:proofErr w:type="spellEnd"/>
      <w:r w:rsidR="00B0271E">
        <w:t xml:space="preserve"> 2009</w:t>
      </w:r>
      <w:r w:rsidR="00AC5CC0" w:rsidRPr="00E7341A">
        <w:t>). ‘</w:t>
      </w:r>
      <w:r w:rsidR="00B0271E">
        <w:t>Q</w:t>
      </w:r>
      <w:r w:rsidRPr="00E7341A">
        <w:t>uestions can enable teachers to cast a new lens over their landscape</w:t>
      </w:r>
      <w:r w:rsidR="00AC5CC0" w:rsidRPr="00E7341A">
        <w:t>, to make the familiar strange’</w:t>
      </w:r>
      <w:r w:rsidR="00B0271E">
        <w:t xml:space="preserve"> (</w:t>
      </w:r>
      <w:proofErr w:type="spellStart"/>
      <w:r w:rsidR="00D7127C">
        <w:t>Charteris</w:t>
      </w:r>
      <w:proofErr w:type="spellEnd"/>
      <w:r w:rsidR="00D7127C">
        <w:t xml:space="preserve"> and </w:t>
      </w:r>
      <w:proofErr w:type="spellStart"/>
      <w:r w:rsidR="00D7127C">
        <w:t>Smar</w:t>
      </w:r>
      <w:r w:rsidR="00B0271E" w:rsidRPr="00E7341A">
        <w:t>don</w:t>
      </w:r>
      <w:proofErr w:type="spellEnd"/>
      <w:r w:rsidR="00B0271E" w:rsidRPr="00E7341A">
        <w:t xml:space="preserve"> 2014, 16)</w:t>
      </w:r>
      <w:r w:rsidR="00AB7867" w:rsidRPr="00E7341A">
        <w:t xml:space="preserve">. </w:t>
      </w:r>
      <w:r w:rsidRPr="00E7341A">
        <w:t xml:space="preserve">While providing direct advice can </w:t>
      </w:r>
      <w:r w:rsidR="006B2DA8" w:rsidRPr="00E7341A">
        <w:t xml:space="preserve">arguably </w:t>
      </w:r>
      <w:r w:rsidRPr="00E7341A">
        <w:t xml:space="preserve">create dependence and undermine original thinking, coaching questions encourage the </w:t>
      </w:r>
      <w:proofErr w:type="spellStart"/>
      <w:r w:rsidRPr="00E7341A">
        <w:t>coachee</w:t>
      </w:r>
      <w:proofErr w:type="spellEnd"/>
      <w:r w:rsidRPr="00E7341A">
        <w:t xml:space="preserve"> to take responsibility and become self-empowered and self-directed to discover </w:t>
      </w:r>
      <w:r w:rsidR="002646A2">
        <w:t>their</w:t>
      </w:r>
      <w:r w:rsidR="002646A2" w:rsidRPr="00E7341A">
        <w:t xml:space="preserve"> </w:t>
      </w:r>
      <w:r w:rsidRPr="00E7341A">
        <w:t xml:space="preserve">own solutions (Costa and </w:t>
      </w:r>
      <w:proofErr w:type="spellStart"/>
      <w:r w:rsidRPr="00E7341A">
        <w:t>Garmston</w:t>
      </w:r>
      <w:proofErr w:type="spellEnd"/>
      <w:r w:rsidRPr="00E7341A">
        <w:t xml:space="preserve"> 2016). Whitmore </w:t>
      </w:r>
      <w:r w:rsidR="00A81265">
        <w:t xml:space="preserve">(2012) </w:t>
      </w:r>
      <w:r w:rsidRPr="00E7341A">
        <w:t>emphasises that a coach does</w:t>
      </w:r>
      <w:r w:rsidR="00184924" w:rsidRPr="00E7341A">
        <w:t>n’t need to be a subject expert</w:t>
      </w:r>
      <w:r w:rsidR="00B0271E">
        <w:t>;</w:t>
      </w:r>
      <w:r w:rsidR="003E58C3">
        <w:t xml:space="preserve"> </w:t>
      </w:r>
      <w:r w:rsidR="00184924" w:rsidRPr="00E7341A">
        <w:t>their function should be more</w:t>
      </w:r>
      <w:r w:rsidR="004D565C">
        <w:t xml:space="preserve"> of a detached awareness raiser</w:t>
      </w:r>
      <w:r w:rsidRPr="00E7341A">
        <w:t xml:space="preserve"> tha</w:t>
      </w:r>
      <w:r w:rsidR="00EF0F16" w:rsidRPr="00E7341A">
        <w:t>n a provider of solutions</w:t>
      </w:r>
      <w:r w:rsidRPr="00E7341A">
        <w:t xml:space="preserve">. </w:t>
      </w:r>
      <w:r w:rsidR="00B0271E">
        <w:t>T</w:t>
      </w:r>
      <w:r w:rsidRPr="00E7341A">
        <w:t xml:space="preserve">he role of the coach is </w:t>
      </w:r>
      <w:r w:rsidR="0078559D">
        <w:t xml:space="preserve">to develop </w:t>
      </w:r>
      <w:r w:rsidR="0078559D" w:rsidRPr="00E7341A">
        <w:t xml:space="preserve">dialogic interaction (e.g. </w:t>
      </w:r>
      <w:proofErr w:type="spellStart"/>
      <w:r w:rsidR="0078559D" w:rsidRPr="00E7341A">
        <w:t>Bokeno</w:t>
      </w:r>
      <w:proofErr w:type="spellEnd"/>
      <w:r w:rsidR="0078559D" w:rsidRPr="00E7341A">
        <w:t xml:space="preserve"> and</w:t>
      </w:r>
      <w:r w:rsidR="00D7127C">
        <w:t xml:space="preserve"> Gantt 2000; </w:t>
      </w:r>
      <w:proofErr w:type="spellStart"/>
      <w:r w:rsidR="00D7127C">
        <w:t>Charteris</w:t>
      </w:r>
      <w:proofErr w:type="spellEnd"/>
      <w:r w:rsidR="00D7127C">
        <w:t xml:space="preserve"> and </w:t>
      </w:r>
      <w:proofErr w:type="spellStart"/>
      <w:r w:rsidR="00D7127C">
        <w:t>Smar</w:t>
      </w:r>
      <w:r w:rsidR="0078559D" w:rsidRPr="00E7341A">
        <w:t>don</w:t>
      </w:r>
      <w:proofErr w:type="spellEnd"/>
      <w:r w:rsidR="0078559D" w:rsidRPr="00E7341A">
        <w:t xml:space="preserve"> 2014)</w:t>
      </w:r>
      <w:r w:rsidR="0078559D">
        <w:t xml:space="preserve"> and </w:t>
      </w:r>
      <w:r w:rsidRPr="00E7341A">
        <w:t xml:space="preserve">to invite a colleague to see </w:t>
      </w:r>
      <w:r w:rsidR="00EF0F16" w:rsidRPr="00E7341A">
        <w:t>themselves</w:t>
      </w:r>
      <w:r w:rsidRPr="00E7341A">
        <w:t xml:space="preserve"> in </w:t>
      </w:r>
      <w:r w:rsidR="00EF0F16" w:rsidRPr="00E7341A">
        <w:t>a new light</w:t>
      </w:r>
      <w:r w:rsidR="00B0271E">
        <w:t xml:space="preserve"> (Costa and </w:t>
      </w:r>
      <w:proofErr w:type="spellStart"/>
      <w:r w:rsidR="00B0271E">
        <w:t>Garmston</w:t>
      </w:r>
      <w:proofErr w:type="spellEnd"/>
      <w:r w:rsidR="00B0271E">
        <w:t xml:space="preserve"> </w:t>
      </w:r>
      <w:r w:rsidR="00B0271E" w:rsidRPr="00E7341A">
        <w:t>2016)</w:t>
      </w:r>
      <w:r w:rsidRPr="00E7341A">
        <w:t xml:space="preserve">. Coaching questions are </w:t>
      </w:r>
      <w:r w:rsidR="006B2DA8" w:rsidRPr="00E7341A">
        <w:t xml:space="preserve">thus </w:t>
      </w:r>
      <w:r w:rsidRPr="00E7341A">
        <w:t xml:space="preserve">a </w:t>
      </w:r>
      <w:r w:rsidR="00EF0F16" w:rsidRPr="00E7341A">
        <w:t xml:space="preserve">means to achieve transformative, as opposed to </w:t>
      </w:r>
      <w:proofErr w:type="spellStart"/>
      <w:r w:rsidR="00EF0F16" w:rsidRPr="00E7341A">
        <w:t>transmissive</w:t>
      </w:r>
      <w:proofErr w:type="spellEnd"/>
      <w:r w:rsidR="00EF0F16" w:rsidRPr="00E7341A">
        <w:t xml:space="preserve">, </w:t>
      </w:r>
      <w:r w:rsidRPr="00E7341A">
        <w:t>professional dev</w:t>
      </w:r>
      <w:r w:rsidR="00EF0F16" w:rsidRPr="00E7341A">
        <w:t>elopment for educators (Kennedy</w:t>
      </w:r>
      <w:r w:rsidRPr="00E7341A">
        <w:t xml:space="preserve"> 2014).</w:t>
      </w:r>
      <w:r w:rsidR="0075739B">
        <w:t xml:space="preserve"> </w:t>
      </w:r>
    </w:p>
    <w:p w14:paraId="1527EA6B" w14:textId="7CC29E52" w:rsidR="00C3508F" w:rsidRPr="00E7341A" w:rsidRDefault="00EF0F16" w:rsidP="004D565C">
      <w:pPr>
        <w:pStyle w:val="Newparagraph"/>
      </w:pPr>
      <w:r w:rsidRPr="00E7341A">
        <w:t>A</w:t>
      </w:r>
      <w:r w:rsidR="00C3508F" w:rsidRPr="00E7341A">
        <w:t xml:space="preserve"> non-evaluative approach to observation highlights the value of observers as coaches. </w:t>
      </w:r>
      <w:r w:rsidR="004804F4">
        <w:t>Having severed</w:t>
      </w:r>
      <w:r w:rsidR="00184924" w:rsidRPr="00E7341A">
        <w:t xml:space="preserve"> the link between </w:t>
      </w:r>
      <w:proofErr w:type="gramStart"/>
      <w:r w:rsidR="00184924" w:rsidRPr="00E7341A">
        <w:t>observation</w:t>
      </w:r>
      <w:proofErr w:type="gramEnd"/>
      <w:r w:rsidR="00184924" w:rsidRPr="00E7341A">
        <w:t xml:space="preserve"> </w:t>
      </w:r>
      <w:r w:rsidR="003E58C3">
        <w:t>as</w:t>
      </w:r>
      <w:r w:rsidR="00184924" w:rsidRPr="00E7341A">
        <w:t xml:space="preserve"> an assessment of </w:t>
      </w:r>
      <w:r w:rsidR="002646A2">
        <w:t>individual</w:t>
      </w:r>
      <w:r w:rsidR="002646A2" w:rsidRPr="00E7341A">
        <w:t xml:space="preserve"> </w:t>
      </w:r>
      <w:r w:rsidR="00184924" w:rsidRPr="00E7341A">
        <w:t>performance</w:t>
      </w:r>
      <w:r w:rsidR="00C3508F" w:rsidRPr="00E7341A">
        <w:t xml:space="preserve">, </w:t>
      </w:r>
      <w:proofErr w:type="spellStart"/>
      <w:r w:rsidR="00C3508F" w:rsidRPr="00E7341A">
        <w:t>coachees</w:t>
      </w:r>
      <w:proofErr w:type="spellEnd"/>
      <w:r w:rsidR="00C3508F" w:rsidRPr="00E7341A">
        <w:t xml:space="preserve"> are able to develop their own </w:t>
      </w:r>
      <w:r w:rsidR="003E58C3">
        <w:t>reflective</w:t>
      </w:r>
      <w:r w:rsidR="00C3508F" w:rsidRPr="00E7341A">
        <w:t xml:space="preserve"> skills and </w:t>
      </w:r>
      <w:r w:rsidR="003E58C3">
        <w:t xml:space="preserve">increase their </w:t>
      </w:r>
      <w:r w:rsidR="00C3508F" w:rsidRPr="00E7341A">
        <w:t>self-e</w:t>
      </w:r>
      <w:r w:rsidR="00A43D79">
        <w:t>fficacy (</w:t>
      </w:r>
      <w:proofErr w:type="spellStart"/>
      <w:r w:rsidR="00A43D79">
        <w:t>Ladyshewsky</w:t>
      </w:r>
      <w:proofErr w:type="spellEnd"/>
      <w:r w:rsidR="00C3508F" w:rsidRPr="00E7341A">
        <w:t xml:space="preserve"> 2014). Nonetheless, </w:t>
      </w:r>
      <w:r w:rsidR="00184924" w:rsidRPr="00E7341A">
        <w:t>many</w:t>
      </w:r>
      <w:r w:rsidR="00C3508F" w:rsidRPr="00E7341A">
        <w:t xml:space="preserve"> workplaces </w:t>
      </w:r>
      <w:r w:rsidR="003E58C3">
        <w:t>are</w:t>
      </w:r>
      <w:r w:rsidR="00C3508F" w:rsidRPr="00E7341A">
        <w:t xml:space="preserve"> increasi</w:t>
      </w:r>
      <w:r w:rsidR="00184924" w:rsidRPr="00E7341A">
        <w:t xml:space="preserve">ngly dominated by </w:t>
      </w:r>
      <w:r w:rsidR="004804F4">
        <w:t>cultures</w:t>
      </w:r>
      <w:r w:rsidR="00184924" w:rsidRPr="00E7341A">
        <w:t xml:space="preserve"> of </w:t>
      </w:r>
      <w:r w:rsidR="004804F4">
        <w:t>performativity</w:t>
      </w:r>
      <w:r w:rsidR="00184924" w:rsidRPr="00E7341A">
        <w:t xml:space="preserve">, </w:t>
      </w:r>
      <w:r w:rsidR="00A81265">
        <w:t>where</w:t>
      </w:r>
      <w:r w:rsidR="004804F4">
        <w:t xml:space="preserve"> observers </w:t>
      </w:r>
      <w:r w:rsidR="00184924" w:rsidRPr="00E7341A">
        <w:t xml:space="preserve">can </w:t>
      </w:r>
      <w:r w:rsidR="004804F4">
        <w:t>find</w:t>
      </w:r>
      <w:r w:rsidR="00184924" w:rsidRPr="00E7341A">
        <w:t xml:space="preserve"> it</w:t>
      </w:r>
      <w:r w:rsidR="00C3508F" w:rsidRPr="00E7341A">
        <w:t xml:space="preserve"> challenging </w:t>
      </w:r>
      <w:r w:rsidR="004804F4">
        <w:t>t</w:t>
      </w:r>
      <w:r w:rsidR="00C3508F" w:rsidRPr="00E7341A">
        <w:t>o refrain from making jud</w:t>
      </w:r>
      <w:r w:rsidRPr="00E7341A">
        <w:t xml:space="preserve">gements about what they see. As Costa and </w:t>
      </w:r>
      <w:proofErr w:type="spellStart"/>
      <w:r w:rsidRPr="00E7341A">
        <w:t>Garmston</w:t>
      </w:r>
      <w:proofErr w:type="spellEnd"/>
      <w:r w:rsidRPr="00E7341A">
        <w:t xml:space="preserve"> (2016, 4) argue, ‘c</w:t>
      </w:r>
      <w:r w:rsidR="00C3508F" w:rsidRPr="00E7341A">
        <w:t>oaches</w:t>
      </w:r>
      <w:r w:rsidR="006B2DA8" w:rsidRPr="00E7341A">
        <w:t xml:space="preserve"> must undergo a paradigm shift </w:t>
      </w:r>
      <w:r w:rsidR="00C3508F" w:rsidRPr="00E7341A">
        <w:t>from teaching others to helping others learn from situations; from holding power to empowering others; from telling to inquiring</w:t>
      </w:r>
      <w:r w:rsidRPr="00E7341A">
        <w:t>.’</w:t>
      </w:r>
      <w:r w:rsidR="00BA0A03" w:rsidRPr="00E7341A">
        <w:t xml:space="preserve"> This last point </w:t>
      </w:r>
      <w:r w:rsidR="00752B5E" w:rsidRPr="00E7341A">
        <w:t xml:space="preserve">was a crucial focus in the observer training programme we developed and is discussed below. </w:t>
      </w:r>
    </w:p>
    <w:p w14:paraId="3758D87F" w14:textId="5A6C2CA7" w:rsidR="00C3508F" w:rsidRPr="00E7341A" w:rsidRDefault="006E4FD0" w:rsidP="004D565C">
      <w:pPr>
        <w:pStyle w:val="Newparagraph"/>
      </w:pPr>
      <w:r w:rsidRPr="00E7341A">
        <w:lastRenderedPageBreak/>
        <w:t xml:space="preserve">As </w:t>
      </w:r>
      <w:r w:rsidR="000F4B75" w:rsidRPr="00E7341A">
        <w:t>highlight</w:t>
      </w:r>
      <w:r w:rsidRPr="00E7341A">
        <w:t>ed in the discussion on peer observation above, t</w:t>
      </w:r>
      <w:r w:rsidR="00C3508F" w:rsidRPr="00E7341A">
        <w:t xml:space="preserve">here is </w:t>
      </w:r>
      <w:r w:rsidR="00B0271E">
        <w:t xml:space="preserve">also </w:t>
      </w:r>
      <w:r w:rsidR="00C3508F" w:rsidRPr="00E7341A">
        <w:t xml:space="preserve">broad agreement in the </w:t>
      </w:r>
      <w:r w:rsidRPr="00E7341A">
        <w:t xml:space="preserve">coaching </w:t>
      </w:r>
      <w:r w:rsidR="00C3508F" w:rsidRPr="00E7341A">
        <w:t>literature that good rapport and a relationship of trust are necessary for the ethos of inquiry to develop</w:t>
      </w:r>
      <w:r w:rsidR="006B2DA8" w:rsidRPr="00E7341A">
        <w:t xml:space="preserve"> and succeed. </w:t>
      </w:r>
      <w:proofErr w:type="spellStart"/>
      <w:r w:rsidR="006B2DA8" w:rsidRPr="00E7341A">
        <w:t>C</w:t>
      </w:r>
      <w:r w:rsidR="00C3508F" w:rsidRPr="00E7341A">
        <w:t>oachees</w:t>
      </w:r>
      <w:proofErr w:type="spellEnd"/>
      <w:r w:rsidR="00C3508F" w:rsidRPr="00E7341A">
        <w:t xml:space="preserve"> </w:t>
      </w:r>
      <w:r w:rsidR="006B2DA8" w:rsidRPr="00E7341A">
        <w:t xml:space="preserve">are only likely to </w:t>
      </w:r>
      <w:r w:rsidR="00C3508F" w:rsidRPr="00E7341A">
        <w:t xml:space="preserve">feel safe to explore their own </w:t>
      </w:r>
      <w:r w:rsidR="00EF0F16" w:rsidRPr="00E7341A">
        <w:t xml:space="preserve">practice </w:t>
      </w:r>
      <w:r w:rsidR="006B2DA8" w:rsidRPr="00E7341A">
        <w:t xml:space="preserve">and </w:t>
      </w:r>
      <w:r w:rsidR="00A55F7C">
        <w:t xml:space="preserve">to </w:t>
      </w:r>
      <w:r w:rsidR="006B2DA8" w:rsidRPr="00E7341A">
        <w:t xml:space="preserve">experiment </w:t>
      </w:r>
      <w:r w:rsidR="00B0271E">
        <w:t>if</w:t>
      </w:r>
      <w:r w:rsidR="006B2DA8" w:rsidRPr="00E7341A">
        <w:t xml:space="preserve"> the</w:t>
      </w:r>
      <w:r w:rsidR="00DB6BC5" w:rsidRPr="00E7341A">
        <w:t xml:space="preserve"> fear of reprisal </w:t>
      </w:r>
      <w:r w:rsidR="00E43BF5" w:rsidRPr="00E7341A">
        <w:t xml:space="preserve">is removed </w:t>
      </w:r>
      <w:r w:rsidR="00195854" w:rsidRPr="00E7341A">
        <w:t xml:space="preserve">(e.g. Costa and </w:t>
      </w:r>
      <w:proofErr w:type="spellStart"/>
      <w:r w:rsidR="00195854" w:rsidRPr="00E7341A">
        <w:t>Garmston</w:t>
      </w:r>
      <w:proofErr w:type="spellEnd"/>
      <w:r w:rsidR="00EF0F16" w:rsidRPr="00E7341A">
        <w:t xml:space="preserve"> 2016; Cox</w:t>
      </w:r>
      <w:r w:rsidR="00C3508F" w:rsidRPr="00E7341A">
        <w:t xml:space="preserve"> 2012). </w:t>
      </w:r>
      <w:r w:rsidR="00EF0F16" w:rsidRPr="00E7341A">
        <w:t>In her study of</w:t>
      </w:r>
      <w:r w:rsidR="00C3508F" w:rsidRPr="00E7341A">
        <w:t xml:space="preserve"> peer coaching in</w:t>
      </w:r>
      <w:r w:rsidR="00EF0F16" w:rsidRPr="00E7341A">
        <w:t xml:space="preserve"> a </w:t>
      </w:r>
      <w:r w:rsidR="00DB6BC5" w:rsidRPr="00E7341A">
        <w:t>HE</w:t>
      </w:r>
      <w:r w:rsidR="00EF0F16" w:rsidRPr="00E7341A">
        <w:t xml:space="preserve"> faculty, Cox (2012)</w:t>
      </w:r>
      <w:r w:rsidR="00C3508F" w:rsidRPr="00E7341A">
        <w:t xml:space="preserve"> found that the success of the coaching relationship was predica</w:t>
      </w:r>
      <w:r w:rsidR="00EF0F16" w:rsidRPr="00E7341A">
        <w:t>ted on the development of trust</w:t>
      </w:r>
      <w:r w:rsidR="00B55D1F" w:rsidRPr="00E7341A">
        <w:t>. T</w:t>
      </w:r>
      <w:r w:rsidR="00DB6BC5" w:rsidRPr="00E7341A">
        <w:t>he notion of</w:t>
      </w:r>
      <w:r w:rsidR="00C3508F" w:rsidRPr="00E7341A">
        <w:t xml:space="preserve"> trust was not </w:t>
      </w:r>
      <w:r w:rsidR="00DB6BC5" w:rsidRPr="00E7341A">
        <w:t>restricted to an individual level between colleagues</w:t>
      </w:r>
      <w:r w:rsidR="00C3508F" w:rsidRPr="00E7341A">
        <w:t xml:space="preserve">, but </w:t>
      </w:r>
      <w:r w:rsidR="00B55D1F" w:rsidRPr="00E7341A">
        <w:t xml:space="preserve">extended to an organisational level, incorporating employees’ </w:t>
      </w:r>
      <w:r w:rsidR="00C3508F" w:rsidRPr="00E7341A">
        <w:t xml:space="preserve">trust in the organisation’s motives. </w:t>
      </w:r>
      <w:r w:rsidR="00886B87" w:rsidRPr="00E7341A">
        <w:t>Thus e</w:t>
      </w:r>
      <w:r w:rsidR="005C5B3F" w:rsidRPr="00E7341A">
        <w:t>fforts need to be made to minimise</w:t>
      </w:r>
      <w:r w:rsidR="00C3508F" w:rsidRPr="00E7341A">
        <w:t xml:space="preserve"> the </w:t>
      </w:r>
      <w:r w:rsidR="00B55D1F" w:rsidRPr="00E7341A">
        <w:t>element</w:t>
      </w:r>
      <w:r w:rsidR="00C3508F" w:rsidRPr="00E7341A">
        <w:t>s of distr</w:t>
      </w:r>
      <w:r w:rsidR="00EF0F16" w:rsidRPr="00E7341A">
        <w:t xml:space="preserve">ust </w:t>
      </w:r>
      <w:r w:rsidR="00B55D1F" w:rsidRPr="00E7341A">
        <w:t>such as</w:t>
      </w:r>
      <w:r w:rsidR="00C3508F" w:rsidRPr="00E7341A">
        <w:t xml:space="preserve"> fear, scepticism, c</w:t>
      </w:r>
      <w:r w:rsidR="00B55D1F" w:rsidRPr="00E7341A">
        <w:t>ynicism, wariness, watchfulness</w:t>
      </w:r>
      <w:r w:rsidR="00C3508F" w:rsidRPr="00E7341A">
        <w:t xml:space="preserve"> and vigi</w:t>
      </w:r>
      <w:r w:rsidR="00B55D1F" w:rsidRPr="00E7341A">
        <w:t>lance</w:t>
      </w:r>
      <w:r w:rsidR="00A43D79">
        <w:t xml:space="preserve"> (</w:t>
      </w:r>
      <w:proofErr w:type="spellStart"/>
      <w:r w:rsidR="00A43D79">
        <w:t>Lewicki</w:t>
      </w:r>
      <w:proofErr w:type="spellEnd"/>
      <w:r w:rsidR="00A43D79">
        <w:t xml:space="preserve">, Tomlinson, and Gillespie </w:t>
      </w:r>
      <w:r w:rsidR="00A43D79" w:rsidRPr="00E7341A">
        <w:t>2006)</w:t>
      </w:r>
      <w:r w:rsidR="00B55D1F" w:rsidRPr="00E7341A">
        <w:t>.</w:t>
      </w:r>
      <w:r w:rsidR="003E58C3">
        <w:t xml:space="preserve"> </w:t>
      </w:r>
      <w:r w:rsidR="00A55F7C">
        <w:t>W</w:t>
      </w:r>
      <w:r w:rsidR="00B55D1F" w:rsidRPr="00E7341A">
        <w:t>here an organis</w:t>
      </w:r>
      <w:r w:rsidR="00C3508F" w:rsidRPr="00E7341A">
        <w:t>ation monitors a coaching scheme</w:t>
      </w:r>
      <w:r w:rsidR="00B55D1F" w:rsidRPr="00E7341A">
        <w:t xml:space="preserve"> for performance management purposes</w:t>
      </w:r>
      <w:r w:rsidR="00C3508F" w:rsidRPr="00E7341A">
        <w:t xml:space="preserve">, </w:t>
      </w:r>
      <w:r w:rsidR="005C5B3F" w:rsidRPr="00E7341A">
        <w:t xml:space="preserve">there is the danger that </w:t>
      </w:r>
      <w:r w:rsidR="00C3508F" w:rsidRPr="00E7341A">
        <w:t xml:space="preserve">these characteristics may creep in (Cox 2012). Lofthouse and </w:t>
      </w:r>
      <w:proofErr w:type="spellStart"/>
      <w:r w:rsidR="00C3508F" w:rsidRPr="00E7341A">
        <w:t>Leat</w:t>
      </w:r>
      <w:proofErr w:type="spellEnd"/>
      <w:r w:rsidR="00C3508F" w:rsidRPr="00E7341A">
        <w:t xml:space="preserve"> (2013) </w:t>
      </w:r>
      <w:r w:rsidR="006903E3" w:rsidRPr="00E7341A">
        <w:t>argue</w:t>
      </w:r>
      <w:r w:rsidR="00B0271E">
        <w:t xml:space="preserve"> that</w:t>
      </w:r>
      <w:r w:rsidR="00C3508F" w:rsidRPr="00E7341A">
        <w:t xml:space="preserve"> the development of peer coaching in organisati</w:t>
      </w:r>
      <w:r w:rsidR="006903E3" w:rsidRPr="00E7341A">
        <w:t xml:space="preserve">ons dominated by </w:t>
      </w:r>
      <w:r w:rsidR="000F4B75" w:rsidRPr="00E7341A">
        <w:t xml:space="preserve">cultures of </w:t>
      </w:r>
      <w:r w:rsidR="006903E3" w:rsidRPr="00E7341A">
        <w:t>performativity is highly problematic</w:t>
      </w:r>
      <w:r w:rsidR="00C3508F" w:rsidRPr="00E7341A">
        <w:t xml:space="preserve"> </w:t>
      </w:r>
      <w:r w:rsidR="00A55F7C">
        <w:t>because</w:t>
      </w:r>
      <w:r w:rsidR="00A55F7C" w:rsidRPr="00E7341A">
        <w:t xml:space="preserve"> </w:t>
      </w:r>
      <w:r w:rsidR="00DB5EDA" w:rsidRPr="00E7341A">
        <w:t xml:space="preserve">the systems, policies and practices of </w:t>
      </w:r>
      <w:r w:rsidR="00C3508F" w:rsidRPr="00E7341A">
        <w:t xml:space="preserve">such </w:t>
      </w:r>
      <w:r w:rsidR="000F4B75" w:rsidRPr="00E7341A">
        <w:t>organisa</w:t>
      </w:r>
      <w:r w:rsidR="00DB5EDA" w:rsidRPr="00E7341A">
        <w:t xml:space="preserve">tional cultures tend to militate against </w:t>
      </w:r>
      <w:r w:rsidR="00C3508F" w:rsidRPr="00E7341A">
        <w:t>the development of trust and reflection, both of which are considered core ingredients for successful coaching relationships to thrive.</w:t>
      </w:r>
    </w:p>
    <w:p w14:paraId="54FA49B1" w14:textId="1F40BD90" w:rsidR="00541F74" w:rsidRPr="00E7341A" w:rsidRDefault="00C3508F" w:rsidP="004D565C">
      <w:pPr>
        <w:pStyle w:val="Newparagraph"/>
      </w:pPr>
      <w:r w:rsidRPr="00E7341A">
        <w:t xml:space="preserve">Jewett and </w:t>
      </w:r>
      <w:proofErr w:type="spellStart"/>
      <w:r w:rsidRPr="00E7341A">
        <w:t>M</w:t>
      </w:r>
      <w:r w:rsidR="00A55F7C">
        <w:t>a</w:t>
      </w:r>
      <w:r w:rsidRPr="00E7341A">
        <w:t>cPhee</w:t>
      </w:r>
      <w:proofErr w:type="spellEnd"/>
      <w:r w:rsidRPr="00E7341A">
        <w:t xml:space="preserve"> (2012) </w:t>
      </w:r>
      <w:r w:rsidR="004804F4">
        <w:t xml:space="preserve">also </w:t>
      </w:r>
      <w:r w:rsidR="006903E3" w:rsidRPr="00E7341A">
        <w:t>raise conc</w:t>
      </w:r>
      <w:r w:rsidR="00724D7E">
        <w:t>erns about performative</w:t>
      </w:r>
      <w:r w:rsidRPr="00E7341A">
        <w:t xml:space="preserve"> associations </w:t>
      </w:r>
      <w:r w:rsidR="00724D7E">
        <w:t>with</w:t>
      </w:r>
      <w:r w:rsidRPr="00E7341A">
        <w:t xml:space="preserve"> the term ‘observation’ and instead </w:t>
      </w:r>
      <w:r w:rsidR="0061113A" w:rsidRPr="00E7341A">
        <w:t>prefer</w:t>
      </w:r>
      <w:r w:rsidR="006903E3" w:rsidRPr="00E7341A">
        <w:t xml:space="preserve"> </w:t>
      </w:r>
      <w:r w:rsidRPr="00E7341A">
        <w:t xml:space="preserve">‘event’. </w:t>
      </w:r>
      <w:r w:rsidR="002646A2">
        <w:t xml:space="preserve">But </w:t>
      </w:r>
      <w:r w:rsidR="007D356E" w:rsidRPr="00E7341A">
        <w:t xml:space="preserve">Western (2012) suggests coaches should reclaim </w:t>
      </w:r>
      <w:r w:rsidR="0061113A" w:rsidRPr="00E7341A">
        <w:t>‘</w:t>
      </w:r>
      <w:r w:rsidR="007D356E" w:rsidRPr="00E7341A">
        <w:t>observation</w:t>
      </w:r>
      <w:r w:rsidR="0061113A" w:rsidRPr="00E7341A">
        <w:t>’</w:t>
      </w:r>
      <w:r w:rsidR="007D356E" w:rsidRPr="00E7341A">
        <w:t xml:space="preserve"> in the spirit of </w:t>
      </w:r>
      <w:proofErr w:type="spellStart"/>
      <w:r w:rsidR="00DC3E38" w:rsidRPr="00DC3E38">
        <w:t>Žižek</w:t>
      </w:r>
      <w:proofErr w:type="spellEnd"/>
      <w:r w:rsidR="00DC3E38" w:rsidRPr="00DC3E38" w:rsidDel="00DC3E38">
        <w:t xml:space="preserve"> </w:t>
      </w:r>
      <w:r w:rsidR="007D356E" w:rsidRPr="00E7341A">
        <w:t xml:space="preserve">(1992), who encourages observers to ‘look awry’ in order to reframe and question normative practices. When used in this way, observation can act as a catalyst for dialogue and reflection (Lofthouse and Hall 2014). </w:t>
      </w:r>
      <w:r w:rsidRPr="00E7341A">
        <w:t xml:space="preserve">We too acknowledge the difficulty associated with </w:t>
      </w:r>
      <w:r w:rsidR="00DB5EDA" w:rsidRPr="00E7341A">
        <w:t xml:space="preserve">the term </w:t>
      </w:r>
      <w:r w:rsidRPr="00E7341A">
        <w:t>‘observation</w:t>
      </w:r>
      <w:r w:rsidR="00DF050F" w:rsidRPr="00E7341A">
        <w:t>’,</w:t>
      </w:r>
      <w:r w:rsidRPr="00E7341A">
        <w:t xml:space="preserve"> which </w:t>
      </w:r>
      <w:r w:rsidR="00DF050F" w:rsidRPr="00E7341A">
        <w:t>can trigger</w:t>
      </w:r>
      <w:r w:rsidR="006903E3" w:rsidRPr="00E7341A">
        <w:t xml:space="preserve"> associations with </w:t>
      </w:r>
      <w:r w:rsidRPr="00E7341A">
        <w:t>judg</w:t>
      </w:r>
      <w:r w:rsidR="005C2CA5" w:rsidRPr="00E7341A">
        <w:t>e</w:t>
      </w:r>
      <w:r w:rsidRPr="00E7341A">
        <w:t>ment</w:t>
      </w:r>
      <w:r w:rsidR="006903E3" w:rsidRPr="00E7341A">
        <w:t>s</w:t>
      </w:r>
      <w:r w:rsidRPr="00E7341A">
        <w:t xml:space="preserve"> of </w:t>
      </w:r>
      <w:r w:rsidR="00DF050F" w:rsidRPr="00E7341A">
        <w:t xml:space="preserve">the quality of </w:t>
      </w:r>
      <w:r w:rsidRPr="00E7341A">
        <w:t>teaching</w:t>
      </w:r>
      <w:r w:rsidR="00DF050F" w:rsidRPr="00E7341A">
        <w:t xml:space="preserve"> and</w:t>
      </w:r>
      <w:r w:rsidR="009C08EA" w:rsidRPr="00E7341A">
        <w:t>/or</w:t>
      </w:r>
      <w:r w:rsidR="00DF050F" w:rsidRPr="00E7341A">
        <w:t xml:space="preserve"> teacher performance. </w:t>
      </w:r>
      <w:r w:rsidR="00DB5EDA" w:rsidRPr="00E7341A">
        <w:t>While we decided to retain the term ‘observation’ in</w:t>
      </w:r>
      <w:r w:rsidR="00DF050F" w:rsidRPr="00E7341A">
        <w:t xml:space="preserve"> our project,</w:t>
      </w:r>
      <w:r w:rsidRPr="00E7341A">
        <w:t xml:space="preserve"> we </w:t>
      </w:r>
      <w:r w:rsidR="00DF050F" w:rsidRPr="00E7341A">
        <w:t xml:space="preserve">chose to reconceptualise and </w:t>
      </w:r>
      <w:r w:rsidR="00DF050F" w:rsidRPr="00E7341A">
        <w:lastRenderedPageBreak/>
        <w:t xml:space="preserve">reconfigure </w:t>
      </w:r>
      <w:r w:rsidR="00DB5EDA" w:rsidRPr="00E7341A">
        <w:t xml:space="preserve">it from an </w:t>
      </w:r>
      <w:r w:rsidR="00DF050F" w:rsidRPr="00E7341A">
        <w:t xml:space="preserve">assessment tool </w:t>
      </w:r>
      <w:r w:rsidR="00DB5EDA" w:rsidRPr="00E7341A">
        <w:t xml:space="preserve">to a method of educational inquiry for gathering </w:t>
      </w:r>
      <w:r w:rsidR="00CC17EB" w:rsidRPr="00E7341A">
        <w:t>situated evidence of professional</w:t>
      </w:r>
      <w:r w:rsidR="00DB5EDA" w:rsidRPr="00E7341A">
        <w:t xml:space="preserve"> practice</w:t>
      </w:r>
      <w:r w:rsidR="00541F74" w:rsidRPr="00E7341A">
        <w:t xml:space="preserve">, as discussed </w:t>
      </w:r>
      <w:r w:rsidR="009C08EA" w:rsidRPr="00E7341A">
        <w:t xml:space="preserve">in more detail </w:t>
      </w:r>
      <w:r w:rsidR="00541F74" w:rsidRPr="00E7341A">
        <w:t>below</w:t>
      </w:r>
      <w:r w:rsidRPr="00E7341A">
        <w:t xml:space="preserve">. </w:t>
      </w:r>
    </w:p>
    <w:p w14:paraId="20E9E6DE" w14:textId="0384C88A" w:rsidR="00541F74" w:rsidRPr="00E7341A" w:rsidRDefault="00DE5F5D" w:rsidP="004D565C">
      <w:pPr>
        <w:pStyle w:val="Newparagraph"/>
      </w:pPr>
      <w:r w:rsidRPr="002646A2">
        <w:t xml:space="preserve">Some </w:t>
      </w:r>
      <w:r w:rsidR="00AE24F9" w:rsidRPr="002646A2">
        <w:t>write</w:t>
      </w:r>
      <w:r w:rsidRPr="002646A2">
        <w:t>rs argue that t</w:t>
      </w:r>
      <w:r w:rsidR="00541F74" w:rsidRPr="00C97EEB">
        <w:t>he use of non-judgemental language within coaching conversations</w:t>
      </w:r>
      <w:r w:rsidR="00A81265">
        <w:t xml:space="preserve"> can foster independent thought; this can help</w:t>
      </w:r>
      <w:r w:rsidR="00541F74" w:rsidRPr="00C97EEB">
        <w:t xml:space="preserve"> to maintain the agency of </w:t>
      </w:r>
      <w:proofErr w:type="spellStart"/>
      <w:r w:rsidR="00541F74" w:rsidRPr="00C97EEB">
        <w:t>coache</w:t>
      </w:r>
      <w:r w:rsidR="00020EF4" w:rsidRPr="00C97EEB">
        <w:t>e</w:t>
      </w:r>
      <w:r w:rsidR="00541F74" w:rsidRPr="002646A2">
        <w:t>s</w:t>
      </w:r>
      <w:proofErr w:type="spellEnd"/>
      <w:r w:rsidR="00541F74" w:rsidRPr="002646A2">
        <w:t xml:space="preserve">, often generating personalised and innovative thought by preserving the </w:t>
      </w:r>
      <w:proofErr w:type="spellStart"/>
      <w:r w:rsidR="00541F74" w:rsidRPr="002646A2">
        <w:t>coachee’s</w:t>
      </w:r>
      <w:proofErr w:type="spellEnd"/>
      <w:r w:rsidR="00541F74" w:rsidRPr="002646A2">
        <w:t xml:space="preserve"> words and the coach as</w:t>
      </w:r>
      <w:r w:rsidR="00541F74" w:rsidRPr="00C97EEB">
        <w:t>king questions that contain fewer presuppositions (</w:t>
      </w:r>
      <w:r w:rsidRPr="00C97EEB">
        <w:t xml:space="preserve">e.g. </w:t>
      </w:r>
      <w:r w:rsidR="00541F74" w:rsidRPr="00C97EEB">
        <w:t>Arnold 2009).</w:t>
      </w:r>
      <w:r w:rsidR="00541F74" w:rsidRPr="00E7341A">
        <w:t xml:space="preserve"> This resonates with the view that the observer </w:t>
      </w:r>
      <w:r w:rsidR="00C97EEB">
        <w:t>aspire</w:t>
      </w:r>
      <w:r w:rsidR="00724D7E">
        <w:t>s</w:t>
      </w:r>
      <w:r w:rsidR="00541F74" w:rsidRPr="00E7341A">
        <w:t xml:space="preserve"> </w:t>
      </w:r>
      <w:r w:rsidR="00C97EEB">
        <w:t xml:space="preserve">to </w:t>
      </w:r>
      <w:r w:rsidR="00541F74" w:rsidRPr="00E7341A">
        <w:t xml:space="preserve">provide </w:t>
      </w:r>
      <w:r w:rsidR="00C97EEB">
        <w:t>an</w:t>
      </w:r>
      <w:r w:rsidR="00C97EEB" w:rsidRPr="00E7341A">
        <w:t xml:space="preserve"> </w:t>
      </w:r>
      <w:r w:rsidR="00541F74" w:rsidRPr="00E7341A">
        <w:t xml:space="preserve">objective view of the session, reflecting with the </w:t>
      </w:r>
      <w:proofErr w:type="spellStart"/>
      <w:r w:rsidR="00541F74" w:rsidRPr="00E7341A">
        <w:t>observee</w:t>
      </w:r>
      <w:proofErr w:type="spellEnd"/>
      <w:r w:rsidR="00541F74" w:rsidRPr="00E7341A">
        <w:t xml:space="preserve"> as a mirror to inform thinking about future practice (Hammersley-Fletcher </w:t>
      </w:r>
      <w:r w:rsidR="002E165D" w:rsidRPr="00E7341A">
        <w:t xml:space="preserve">and </w:t>
      </w:r>
      <w:proofErr w:type="spellStart"/>
      <w:r w:rsidR="002E165D" w:rsidRPr="00E7341A">
        <w:t>Orsmond</w:t>
      </w:r>
      <w:proofErr w:type="spellEnd"/>
      <w:r w:rsidR="002E165D" w:rsidRPr="00E7341A">
        <w:t xml:space="preserve"> 2005). It can also help</w:t>
      </w:r>
      <w:r w:rsidR="00541F74" w:rsidRPr="00E7341A">
        <w:t xml:space="preserve"> to reduce any tendency towards evaluative or judgemental feedback, thus fostering a reciprocity of equality within professional partnerships based on mutual respect and trust (O’Leary 2014).  </w:t>
      </w:r>
    </w:p>
    <w:p w14:paraId="4DE4817C" w14:textId="2C1A9587" w:rsidR="004B332F" w:rsidRPr="00E7341A" w:rsidRDefault="00B80759" w:rsidP="00BF628C">
      <w:pPr>
        <w:pStyle w:val="Heading1"/>
      </w:pPr>
      <w:r w:rsidRPr="00E7341A">
        <w:t>Project context and m</w:t>
      </w:r>
      <w:r w:rsidR="00EE2B39" w:rsidRPr="00E7341A">
        <w:t>ethodology</w:t>
      </w:r>
    </w:p>
    <w:p w14:paraId="3E8FB7D0" w14:textId="66BD67C9" w:rsidR="00FF34CF" w:rsidRPr="00E7341A" w:rsidRDefault="00FF34CF" w:rsidP="00BF628C">
      <w:pPr>
        <w:pStyle w:val="Heading2"/>
      </w:pPr>
      <w:r w:rsidRPr="00E7341A">
        <w:t>Project conceptualisation and implementation</w:t>
      </w:r>
    </w:p>
    <w:p w14:paraId="25C4D40E" w14:textId="1CFB1F9D" w:rsidR="00437108" w:rsidRPr="00E7341A" w:rsidRDefault="00437108" w:rsidP="00260E6A">
      <w:pPr>
        <w:pStyle w:val="Paragraph"/>
        <w:ind w:firstLine="709"/>
      </w:pPr>
      <w:r w:rsidRPr="00E7341A">
        <w:t>The</w:t>
      </w:r>
      <w:r w:rsidR="000638A5" w:rsidRPr="00E7341A">
        <w:t xml:space="preserve"> conceptualisation and implementation of observation </w:t>
      </w:r>
      <w:r w:rsidR="00A3290B" w:rsidRPr="00E7341A">
        <w:t xml:space="preserve">in the project </w:t>
      </w:r>
      <w:r w:rsidRPr="00E7341A">
        <w:t>was underpinned by an exploratory rather than explanatory approach (Robson 2002). This is a crucial distinction in the epistemological and methodo</w:t>
      </w:r>
      <w:r w:rsidR="009D05B7" w:rsidRPr="00E7341A">
        <w:t>logical positioning of the project</w:t>
      </w:r>
      <w:r w:rsidRPr="00E7341A">
        <w:t xml:space="preserve">. Both researchers had extensive experience of working with observation in a range of contexts </w:t>
      </w:r>
      <w:r w:rsidR="00C02AB6" w:rsidRPr="00E7341A">
        <w:t xml:space="preserve">and education sectors </w:t>
      </w:r>
      <w:r w:rsidRPr="00E7341A">
        <w:t xml:space="preserve">from </w:t>
      </w:r>
      <w:r w:rsidR="000638A5" w:rsidRPr="00E7341A">
        <w:t xml:space="preserve">supporting and </w:t>
      </w:r>
      <w:r w:rsidRPr="00E7341A">
        <w:t>assessing new entrants to teaching, coaching and ment</w:t>
      </w:r>
      <w:r w:rsidR="00C02AB6" w:rsidRPr="00E7341A">
        <w:t>oring experienced practitioners</w:t>
      </w:r>
      <w:r w:rsidRPr="00E7341A">
        <w:t xml:space="preserve">. </w:t>
      </w:r>
    </w:p>
    <w:p w14:paraId="485DD061" w14:textId="63EE1D67" w:rsidR="00DD10B9" w:rsidRPr="00E7341A" w:rsidRDefault="00045ECF" w:rsidP="004D565C">
      <w:pPr>
        <w:pStyle w:val="Newparagraph"/>
      </w:pPr>
      <w:r w:rsidRPr="00E7341A">
        <w:t>The</w:t>
      </w:r>
      <w:r w:rsidR="00176667" w:rsidRPr="00E7341A">
        <w:t xml:space="preserve"> </w:t>
      </w:r>
      <w:r w:rsidR="00543F85" w:rsidRPr="00E7341A">
        <w:t>project</w:t>
      </w:r>
      <w:r w:rsidR="00176667" w:rsidRPr="00E7341A">
        <w:t>’s bespoke observation approach</w:t>
      </w:r>
      <w:r w:rsidRPr="00E7341A">
        <w:t xml:space="preserve"> </w:t>
      </w:r>
      <w:r w:rsidR="00543F85" w:rsidRPr="00E7341A">
        <w:t xml:space="preserve">was designed </w:t>
      </w:r>
      <w:r w:rsidR="00127679" w:rsidRPr="00E7341A">
        <w:t>to prioritise</w:t>
      </w:r>
      <w:r w:rsidR="00543F85" w:rsidRPr="00E7341A">
        <w:t xml:space="preserve"> collaborative inquiry, </w:t>
      </w:r>
      <w:r w:rsidR="00DD10B9" w:rsidRPr="00E7341A">
        <w:t xml:space="preserve">critical reflection, </w:t>
      </w:r>
      <w:r w:rsidR="0076139A" w:rsidRPr="00E7341A">
        <w:t>professional dialogue</w:t>
      </w:r>
      <w:r w:rsidR="00DD10B9" w:rsidRPr="00E7341A">
        <w:t xml:space="preserve"> and collegial development</w:t>
      </w:r>
      <w:r w:rsidR="0076139A" w:rsidRPr="00E7341A">
        <w:t xml:space="preserve">. </w:t>
      </w:r>
      <w:r w:rsidR="00543F85" w:rsidRPr="00E7341A">
        <w:t>Shaped and informed by current research</w:t>
      </w:r>
      <w:r w:rsidR="00A3290B" w:rsidRPr="00E7341A">
        <w:t>, thinking</w:t>
      </w:r>
      <w:r w:rsidR="00543F85" w:rsidRPr="00E7341A">
        <w:t xml:space="preserve"> and practice in the field</w:t>
      </w:r>
      <w:r w:rsidR="005641D3">
        <w:t xml:space="preserve"> (e.g. O’Leary and Wood 2017</w:t>
      </w:r>
      <w:r w:rsidR="0027004F">
        <w:t>: UCU 2013</w:t>
      </w:r>
      <w:r w:rsidR="005641D3">
        <w:t>)</w:t>
      </w:r>
      <w:r w:rsidR="00543F85" w:rsidRPr="00E7341A">
        <w:t xml:space="preserve">, </w:t>
      </w:r>
      <w:r w:rsidR="00D02DDF" w:rsidRPr="00E7341A">
        <w:t xml:space="preserve">a key element to overcoming some of the limitations of conventional approaches to observation and reconceptualising it was to </w:t>
      </w:r>
      <w:r w:rsidR="00570CA1" w:rsidRPr="00E7341A">
        <w:t xml:space="preserve">stop using it as a tool to assess </w:t>
      </w:r>
      <w:r w:rsidR="00570CA1" w:rsidRPr="00E7341A">
        <w:lastRenderedPageBreak/>
        <w:t>performance.</w:t>
      </w:r>
      <w:r w:rsidR="00D02DDF" w:rsidRPr="00E7341A">
        <w:t xml:space="preserve"> </w:t>
      </w:r>
      <w:r w:rsidR="00127679" w:rsidRPr="00E7341A">
        <w:t>I</w:t>
      </w:r>
      <w:r w:rsidR="00543F85" w:rsidRPr="00E7341A">
        <w:t>nstead</w:t>
      </w:r>
      <w:r w:rsidR="00127679" w:rsidRPr="00E7341A">
        <w:t xml:space="preserve">, </w:t>
      </w:r>
      <w:r w:rsidR="002716F4" w:rsidRPr="00E7341A">
        <w:t>the decision was taken to use it</w:t>
      </w:r>
      <w:r w:rsidR="00543F85" w:rsidRPr="00E7341A">
        <w:t xml:space="preserve"> as a </w:t>
      </w:r>
      <w:r w:rsidR="00597039" w:rsidRPr="00E7341A">
        <w:t xml:space="preserve">data collection </w:t>
      </w:r>
      <w:r w:rsidR="00543F85" w:rsidRPr="00E7341A">
        <w:t xml:space="preserve">tool of </w:t>
      </w:r>
      <w:r w:rsidR="00DD10B9" w:rsidRPr="00E7341A">
        <w:t>exploratory</w:t>
      </w:r>
      <w:r w:rsidR="00543F85" w:rsidRPr="00E7341A">
        <w:t xml:space="preserve"> inquiry into teaching practices</w:t>
      </w:r>
      <w:r w:rsidR="00DD10B9" w:rsidRPr="00E7341A">
        <w:t xml:space="preserve"> among </w:t>
      </w:r>
      <w:r w:rsidR="00F04CDE" w:rsidRPr="00E7341A">
        <w:t>staff</w:t>
      </w:r>
      <w:r w:rsidR="00127679" w:rsidRPr="00E7341A">
        <w:t xml:space="preserve"> in the faculty, providing </w:t>
      </w:r>
      <w:r w:rsidR="00677609" w:rsidRPr="00E7341A">
        <w:t>a platform for collaborative development</w:t>
      </w:r>
      <w:r w:rsidR="00635E54" w:rsidRPr="00E7341A">
        <w:t>. This was a crucial distinction</w:t>
      </w:r>
      <w:r w:rsidR="00543F85" w:rsidRPr="00E7341A">
        <w:t xml:space="preserve"> to ensure </w:t>
      </w:r>
      <w:r w:rsidR="0076139A" w:rsidRPr="00E7341A">
        <w:t>a safe and nurturing environment for reflection and dialogue between staff.</w:t>
      </w:r>
      <w:r w:rsidR="00DD10B9" w:rsidRPr="00E7341A">
        <w:t xml:space="preserve"> </w:t>
      </w:r>
    </w:p>
    <w:p w14:paraId="4D9550B4" w14:textId="2033FC61" w:rsidR="00176667" w:rsidRPr="00E7341A" w:rsidRDefault="00C06254" w:rsidP="004D565C">
      <w:pPr>
        <w:pStyle w:val="Newparagraph"/>
      </w:pPr>
      <w:r w:rsidRPr="00E7341A">
        <w:t xml:space="preserve">Observation </w:t>
      </w:r>
      <w:r w:rsidR="00C97EEB">
        <w:t xml:space="preserve">of teaching practice </w:t>
      </w:r>
      <w:r w:rsidRPr="00E7341A">
        <w:t>was conceptualised a</w:t>
      </w:r>
      <w:r w:rsidR="000E5F1D" w:rsidRPr="00E7341A">
        <w:t>nd applied as a common touchpoint</w:t>
      </w:r>
      <w:r w:rsidRPr="00E7341A">
        <w:t xml:space="preserve"> and catalyst for dialogue </w:t>
      </w:r>
      <w:r w:rsidR="00F33AFA" w:rsidRPr="00E7341A">
        <w:t>between</w:t>
      </w:r>
      <w:r w:rsidRPr="00E7341A">
        <w:t xml:space="preserve"> observer and </w:t>
      </w:r>
      <w:proofErr w:type="spellStart"/>
      <w:r w:rsidRPr="00E7341A">
        <w:t>observee</w:t>
      </w:r>
      <w:proofErr w:type="spellEnd"/>
      <w:r w:rsidR="00DD10B9" w:rsidRPr="00E7341A">
        <w:t xml:space="preserve">. </w:t>
      </w:r>
      <w:r w:rsidR="00FB4F05" w:rsidRPr="00FB4F05">
        <w:t>The Cycle of Peer Observation (</w:t>
      </w:r>
      <w:proofErr w:type="spellStart"/>
      <w:r w:rsidR="00FB4F05" w:rsidRPr="00FB4F05">
        <w:t>CoPO</w:t>
      </w:r>
      <w:proofErr w:type="spellEnd"/>
      <w:r w:rsidR="00FB4F05" w:rsidRPr="00FB4F05">
        <w:t xml:space="preserve">, see </w:t>
      </w:r>
      <w:r w:rsidR="00FB4F05" w:rsidRPr="00FB4F05">
        <w:rPr>
          <w:b/>
        </w:rPr>
        <w:t>Figure 1</w:t>
      </w:r>
      <w:r w:rsidR="00FB4F05" w:rsidRPr="00FB4F05">
        <w:t xml:space="preserve">) was developed as process to facilitate effective dialogic interaction between observer and </w:t>
      </w:r>
      <w:proofErr w:type="spellStart"/>
      <w:r w:rsidR="00FB4F05" w:rsidRPr="00FB4F05">
        <w:t>observee</w:t>
      </w:r>
      <w:proofErr w:type="spellEnd"/>
      <w:r w:rsidR="00FB4F05" w:rsidRPr="00FB4F05">
        <w:t>.</w:t>
      </w:r>
      <w:r w:rsidR="00FB4F05">
        <w:t xml:space="preserve"> </w:t>
      </w:r>
      <w:r w:rsidR="00F33AFA" w:rsidRPr="00E7341A">
        <w:t xml:space="preserve">Observers were </w:t>
      </w:r>
      <w:r w:rsidR="00B24DDD" w:rsidRPr="00E7341A">
        <w:t>instructed to</w:t>
      </w:r>
      <w:r w:rsidR="00F33AFA" w:rsidRPr="00E7341A">
        <w:t xml:space="preserve"> </w:t>
      </w:r>
      <w:r w:rsidR="00B24DDD" w:rsidRPr="00E7341A">
        <w:t>compile</w:t>
      </w:r>
      <w:r w:rsidR="001B63F8" w:rsidRPr="00E7341A">
        <w:t xml:space="preserve"> a descriptive log/</w:t>
      </w:r>
      <w:r w:rsidR="00F33AFA" w:rsidRPr="00E7341A">
        <w:t xml:space="preserve">field notes of what they </w:t>
      </w:r>
      <w:r w:rsidR="000E5F1D" w:rsidRPr="00E7341A">
        <w:t>observed</w:t>
      </w:r>
      <w:r w:rsidR="00F33AFA" w:rsidRPr="00E7341A">
        <w:t xml:space="preserve"> along with associated questions and/or reflective comments to discuss during the professional dialogue stage</w:t>
      </w:r>
      <w:r w:rsidR="00677609" w:rsidRPr="00E7341A">
        <w:t xml:space="preserve"> </w:t>
      </w:r>
      <w:r w:rsidR="00176667" w:rsidRPr="00E7341A">
        <w:t>rather than make evaluative judgements</w:t>
      </w:r>
      <w:r w:rsidR="00677609" w:rsidRPr="00E7341A">
        <w:t>. It was made clear to all staff that observers we</w:t>
      </w:r>
      <w:r w:rsidR="00176667" w:rsidRPr="00E7341A">
        <w:t xml:space="preserve">re not there to provide </w:t>
      </w:r>
      <w:r w:rsidR="00677609" w:rsidRPr="00E7341A">
        <w:t>answers or s</w:t>
      </w:r>
      <w:r w:rsidR="004804F4">
        <w:t>olutions to all their questions</w:t>
      </w:r>
      <w:r w:rsidR="00677609" w:rsidRPr="00E7341A">
        <w:t xml:space="preserve"> but to support them</w:t>
      </w:r>
      <w:r w:rsidR="0075739B">
        <w:t xml:space="preserve"> as peers</w:t>
      </w:r>
      <w:r w:rsidR="00677609" w:rsidRPr="00E7341A">
        <w:t xml:space="preserve"> to reflect on thei</w:t>
      </w:r>
      <w:r w:rsidR="00176667" w:rsidRPr="00E7341A">
        <w:t>r practice</w:t>
      </w:r>
      <w:r w:rsidR="00677609" w:rsidRPr="00E7341A">
        <w:t>.</w:t>
      </w:r>
      <w:r w:rsidR="00650AFF" w:rsidRPr="00E7341A">
        <w:t xml:space="preserve"> Furthermore, </w:t>
      </w:r>
      <w:r w:rsidR="001B63F8" w:rsidRPr="00E7341A">
        <w:t xml:space="preserve">all </w:t>
      </w:r>
      <w:r w:rsidR="00A75020" w:rsidRPr="00E7341A">
        <w:t xml:space="preserve">staff were instructed to anonymise </w:t>
      </w:r>
      <w:r w:rsidR="001B63F8" w:rsidRPr="00E7341A">
        <w:t xml:space="preserve">the documentation generated during </w:t>
      </w:r>
      <w:proofErr w:type="spellStart"/>
      <w:r w:rsidR="00FB4F05">
        <w:t>CoPO</w:t>
      </w:r>
      <w:proofErr w:type="spellEnd"/>
      <w:r w:rsidR="001B63F8" w:rsidRPr="00E7341A">
        <w:t xml:space="preserve"> </w:t>
      </w:r>
      <w:r w:rsidR="00A75020" w:rsidRPr="00E7341A">
        <w:t xml:space="preserve">in order to protect their identities. </w:t>
      </w:r>
      <w:r w:rsidR="004810D5">
        <w:t>Having received</w:t>
      </w:r>
      <w:r w:rsidR="00C97EEB" w:rsidRPr="00E7341A">
        <w:t xml:space="preserve"> ethical approval</w:t>
      </w:r>
      <w:r w:rsidR="00C97EEB">
        <w:t>,</w:t>
      </w:r>
      <w:r w:rsidR="00C97EEB" w:rsidRPr="00E7341A">
        <w:t xml:space="preserve"> </w:t>
      </w:r>
      <w:r w:rsidR="00C97EEB">
        <w:t>t</w:t>
      </w:r>
      <w:r w:rsidR="00307523" w:rsidRPr="00E7341A">
        <w:t xml:space="preserve">his documentation was stored securely and </w:t>
      </w:r>
      <w:r w:rsidR="001C467A" w:rsidRPr="00E7341A">
        <w:t>other than the participants themselves, access was limited to the two researchers</w:t>
      </w:r>
      <w:r w:rsidR="00307523" w:rsidRPr="00E7341A">
        <w:t xml:space="preserve">. </w:t>
      </w:r>
    </w:p>
    <w:p w14:paraId="3ED1EA1D" w14:textId="32DC9652" w:rsidR="003A2A7E" w:rsidRPr="00E7341A" w:rsidRDefault="005B6244" w:rsidP="004D565C">
      <w:pPr>
        <w:pStyle w:val="Newparagraph"/>
      </w:pPr>
      <w:r>
        <w:t>All observers undertook</w:t>
      </w:r>
      <w:r w:rsidR="00C61743" w:rsidRPr="00E7341A">
        <w:t xml:space="preserve"> </w:t>
      </w:r>
      <w:r w:rsidR="00570CA1" w:rsidRPr="00E7341A">
        <w:t xml:space="preserve">an intensive one-day </w:t>
      </w:r>
      <w:r w:rsidR="00C61743" w:rsidRPr="00E7341A">
        <w:t xml:space="preserve">observation training </w:t>
      </w:r>
      <w:r w:rsidR="00570CA1" w:rsidRPr="00E7341A">
        <w:t xml:space="preserve">programme </w:t>
      </w:r>
      <w:r w:rsidR="002716F4" w:rsidRPr="00E7341A">
        <w:t xml:space="preserve">and were required to organise a reciprocal observation with a fellow observer as a means of practising their skills </w:t>
      </w:r>
      <w:r w:rsidR="00C61743" w:rsidRPr="00E7341A">
        <w:t>b</w:t>
      </w:r>
      <w:r w:rsidR="008F293B" w:rsidRPr="00E7341A">
        <w:t>efore</w:t>
      </w:r>
      <w:r w:rsidR="002716F4" w:rsidRPr="00E7341A">
        <w:t xml:space="preserve"> formally</w:t>
      </w:r>
      <w:r w:rsidR="008F293B" w:rsidRPr="00E7341A">
        <w:t xml:space="preserve"> undertaking their roles. </w:t>
      </w:r>
      <w:r w:rsidR="000F301E" w:rsidRPr="00E7341A">
        <w:t xml:space="preserve">The </w:t>
      </w:r>
      <w:r w:rsidR="00570CA1" w:rsidRPr="00E7341A">
        <w:t xml:space="preserve">first part of the training focused on staff discussing </w:t>
      </w:r>
      <w:r w:rsidR="0081125A" w:rsidRPr="00E7341A">
        <w:t xml:space="preserve">and critically reflecting on their </w:t>
      </w:r>
      <w:r w:rsidR="00B223E5" w:rsidRPr="00E7341A">
        <w:t xml:space="preserve">understandings, </w:t>
      </w:r>
      <w:r w:rsidR="00570CA1" w:rsidRPr="00E7341A">
        <w:t>perceptions</w:t>
      </w:r>
      <w:r w:rsidR="00B223E5" w:rsidRPr="00E7341A">
        <w:t xml:space="preserve"> and</w:t>
      </w:r>
      <w:r w:rsidR="00570CA1" w:rsidRPr="00E7341A">
        <w:t xml:space="preserve"> </w:t>
      </w:r>
      <w:r w:rsidR="00B223E5" w:rsidRPr="00E7341A">
        <w:t xml:space="preserve">prior experiences </w:t>
      </w:r>
      <w:r w:rsidR="00570CA1" w:rsidRPr="00E7341A">
        <w:t>of observation</w:t>
      </w:r>
      <w:r w:rsidR="0081125A" w:rsidRPr="00E7341A">
        <w:t xml:space="preserve">. </w:t>
      </w:r>
      <w:r w:rsidR="00B223E5" w:rsidRPr="00E7341A">
        <w:t>W</w:t>
      </w:r>
      <w:r w:rsidR="0081125A" w:rsidRPr="00E7341A">
        <w:t xml:space="preserve">e have since come to articulate </w:t>
      </w:r>
      <w:r w:rsidR="00B223E5" w:rsidRPr="00E7341A">
        <w:t>this stage of the training as a process of</w:t>
      </w:r>
      <w:r w:rsidR="0081125A" w:rsidRPr="00E7341A">
        <w:t xml:space="preserve"> </w:t>
      </w:r>
      <w:r w:rsidR="0081125A" w:rsidRPr="00E7341A">
        <w:rPr>
          <w:i/>
        </w:rPr>
        <w:t>conceptual catharsis</w:t>
      </w:r>
      <w:r w:rsidR="0081125A" w:rsidRPr="00E7341A">
        <w:t xml:space="preserve">, </w:t>
      </w:r>
      <w:r w:rsidR="00B223E5" w:rsidRPr="00E7341A">
        <w:t>having learnt that unless academic staff are allowed to divest themselves of prior experiences and associations with observation in an assessment context, then expecting them to engage with a reconceptualised approach is likely to be more problematic and ultimately less successful. In short, e</w:t>
      </w:r>
      <w:r w:rsidR="00C61743" w:rsidRPr="00E7341A">
        <w:t xml:space="preserve">ncouraging </w:t>
      </w:r>
      <w:r w:rsidR="00BE43DC" w:rsidRPr="00E7341A">
        <w:t>teaching staff</w:t>
      </w:r>
      <w:r w:rsidR="00C61743" w:rsidRPr="00E7341A">
        <w:t xml:space="preserve"> to detach </w:t>
      </w:r>
      <w:r w:rsidR="00C61743" w:rsidRPr="00E7341A">
        <w:lastRenderedPageBreak/>
        <w:t xml:space="preserve">observation </w:t>
      </w:r>
      <w:r w:rsidR="00B223E5" w:rsidRPr="00E7341A">
        <w:t xml:space="preserve">from assessment </w:t>
      </w:r>
      <w:r w:rsidR="00BE43DC" w:rsidRPr="00E7341A">
        <w:t xml:space="preserve">and embrace </w:t>
      </w:r>
      <w:r w:rsidR="003A2A7E" w:rsidRPr="00E7341A">
        <w:t>it as an exploratory tool</w:t>
      </w:r>
      <w:r w:rsidR="00BE43DC" w:rsidRPr="00E7341A">
        <w:t xml:space="preserve"> </w:t>
      </w:r>
      <w:r w:rsidR="00C61743" w:rsidRPr="00E7341A">
        <w:t xml:space="preserve">requires a significant </w:t>
      </w:r>
      <w:r w:rsidR="00BE43DC" w:rsidRPr="00E7341A">
        <w:t xml:space="preserve">shift individually </w:t>
      </w:r>
      <w:r w:rsidR="00C61743" w:rsidRPr="00E7341A">
        <w:t>and collective</w:t>
      </w:r>
      <w:r w:rsidR="00BE43DC" w:rsidRPr="00E7341A">
        <w:t>ly</w:t>
      </w:r>
      <w:r w:rsidR="00C97EEB">
        <w:t>,</w:t>
      </w:r>
      <w:r w:rsidR="00BE43DC" w:rsidRPr="00E7341A">
        <w:t xml:space="preserve"> and it is important to integrate time for this in the training</w:t>
      </w:r>
      <w:r w:rsidR="00C61743" w:rsidRPr="00E7341A">
        <w:t xml:space="preserve">. </w:t>
      </w:r>
    </w:p>
    <w:p w14:paraId="25187CAF" w14:textId="326B18B5" w:rsidR="008F293B" w:rsidRPr="00E7341A" w:rsidRDefault="008F293B" w:rsidP="004D565C">
      <w:pPr>
        <w:pStyle w:val="Newparagraph"/>
        <w:rPr>
          <w:highlight w:val="yellow"/>
        </w:rPr>
      </w:pPr>
      <w:r w:rsidRPr="00E7341A">
        <w:t xml:space="preserve">The </w:t>
      </w:r>
      <w:r w:rsidR="00BE43DC" w:rsidRPr="00E7341A">
        <w:t xml:space="preserve">second part of the </w:t>
      </w:r>
      <w:r w:rsidRPr="00E7341A">
        <w:t>trai</w:t>
      </w:r>
      <w:r w:rsidR="00BE43DC" w:rsidRPr="00E7341A">
        <w:t xml:space="preserve">ning </w:t>
      </w:r>
      <w:r w:rsidRPr="00E7341A">
        <w:t xml:space="preserve">provided </w:t>
      </w:r>
      <w:r w:rsidR="00BE43DC" w:rsidRPr="00E7341A">
        <w:t>staff with opportunities to</w:t>
      </w:r>
      <w:r w:rsidRPr="00E7341A">
        <w:t xml:space="preserve"> develop an understanding of the epistemological and methodological underpinnings of</w:t>
      </w:r>
      <w:r w:rsidR="001B63F8" w:rsidRPr="00E7341A">
        <w:t xml:space="preserve"> </w:t>
      </w:r>
      <w:proofErr w:type="spellStart"/>
      <w:r w:rsidR="001B63F8" w:rsidRPr="00E7341A">
        <w:t>CoPO</w:t>
      </w:r>
      <w:proofErr w:type="spellEnd"/>
      <w:r w:rsidRPr="00E7341A">
        <w:t xml:space="preserve">, </w:t>
      </w:r>
      <w:r w:rsidR="00BE43DC" w:rsidRPr="00E7341A">
        <w:t xml:space="preserve">to </w:t>
      </w:r>
      <w:r w:rsidRPr="00E7341A">
        <w:t xml:space="preserve">discuss the processes of the cycle, as well as practise </w:t>
      </w:r>
      <w:r w:rsidR="006D0521" w:rsidRPr="00E7341A">
        <w:t>some basic</w:t>
      </w:r>
      <w:r w:rsidRPr="00E7341A">
        <w:t xml:space="preserve"> coaching and observation skills through a </w:t>
      </w:r>
      <w:r w:rsidR="000E5F1D" w:rsidRPr="00E7341A">
        <w:t>series</w:t>
      </w:r>
      <w:r w:rsidRPr="00E7341A">
        <w:t xml:space="preserve"> of interactive tasks. For example, they practised carrying out non-judgemental observations via a selection of video clips of </w:t>
      </w:r>
      <w:proofErr w:type="gramStart"/>
      <w:r w:rsidRPr="00E7341A">
        <w:t>HE</w:t>
      </w:r>
      <w:proofErr w:type="gramEnd"/>
      <w:r w:rsidRPr="00E7341A">
        <w:t xml:space="preserve"> teaching and compared their observation notes and reflections with their peers. This was to help to develop an awareness of what different observers notice when they observe, reflect on their values of learning and teaching and how these values inform their observations and reflections.</w:t>
      </w:r>
      <w:r w:rsidR="009D5131" w:rsidRPr="00E7341A">
        <w:t xml:space="preserve"> </w:t>
      </w:r>
      <w:r w:rsidR="0075739B">
        <w:t>They also practiced conducting</w:t>
      </w:r>
      <w:r w:rsidR="00C97EEB">
        <w:t xml:space="preserve"> conversation</w:t>
      </w:r>
      <w:r w:rsidR="0075739B">
        <w:t>s</w:t>
      </w:r>
      <w:r w:rsidR="00C97EEB">
        <w:t xml:space="preserve"> using coaching questions.</w:t>
      </w:r>
    </w:p>
    <w:p w14:paraId="4DD61D90" w14:textId="2D7937EB" w:rsidR="000E5F1D" w:rsidRPr="00E7341A" w:rsidRDefault="00FF34CF" w:rsidP="004D565C">
      <w:pPr>
        <w:pStyle w:val="Newparagraph"/>
      </w:pPr>
      <w:r w:rsidRPr="00E7341A">
        <w:t xml:space="preserve">A pilot study was conducted </w:t>
      </w:r>
      <w:r w:rsidR="00F91EF3" w:rsidRPr="00E7341A">
        <w:t xml:space="preserve">in </w:t>
      </w:r>
      <w:r w:rsidRPr="00E7341A">
        <w:t xml:space="preserve">2015/16, comprising a sample of 10 observers and 23 </w:t>
      </w:r>
      <w:proofErr w:type="spellStart"/>
      <w:r w:rsidRPr="00E7341A">
        <w:t>observees</w:t>
      </w:r>
      <w:proofErr w:type="spellEnd"/>
      <w:r w:rsidRPr="00E7341A">
        <w:t xml:space="preserve">. Participants’ experiences of the effectiveness and value of the approach, along with </w:t>
      </w:r>
      <w:r w:rsidR="00964223" w:rsidRPr="00E7341A">
        <w:t xml:space="preserve">the procedural elements of the </w:t>
      </w:r>
      <w:r w:rsidRPr="00E7341A">
        <w:t xml:space="preserve">cycle were captured via </w:t>
      </w:r>
      <w:r w:rsidR="007C11B3" w:rsidRPr="00E7341A">
        <w:t xml:space="preserve">an online </w:t>
      </w:r>
      <w:r w:rsidRPr="00E7341A">
        <w:t>s</w:t>
      </w:r>
      <w:r w:rsidR="007C11B3" w:rsidRPr="00E7341A">
        <w:t>urvey</w:t>
      </w:r>
      <w:r w:rsidRPr="00E7341A">
        <w:t xml:space="preserve"> and a pilot project review day. </w:t>
      </w:r>
      <w:r w:rsidR="00110488">
        <w:t>After</w:t>
      </w:r>
      <w:r w:rsidR="00F91EF3" w:rsidRPr="00E7341A">
        <w:t xml:space="preserve"> analysi</w:t>
      </w:r>
      <w:r w:rsidR="00110488">
        <w:t>ng</w:t>
      </w:r>
      <w:r w:rsidR="00F91EF3" w:rsidRPr="00E7341A">
        <w:t xml:space="preserve"> these data, amendments were made to elements of </w:t>
      </w:r>
      <w:proofErr w:type="spellStart"/>
      <w:r w:rsidR="00677609" w:rsidRPr="00E7341A">
        <w:t>CoP</w:t>
      </w:r>
      <w:r w:rsidR="00BE43DC" w:rsidRPr="00E7341A">
        <w:t>O</w:t>
      </w:r>
      <w:proofErr w:type="spellEnd"/>
      <w:r w:rsidR="00F91EF3" w:rsidRPr="00E7341A">
        <w:t xml:space="preserve">, which was </w:t>
      </w:r>
      <w:r w:rsidR="00964223" w:rsidRPr="00E7341A">
        <w:t xml:space="preserve">subsequently implemented in full across the faculty in 2016/17. </w:t>
      </w:r>
      <w:r w:rsidR="00EA6A6B" w:rsidRPr="00E7341A">
        <w:t xml:space="preserve">One change was </w:t>
      </w:r>
      <w:r w:rsidR="00110488">
        <w:t>asking</w:t>
      </w:r>
      <w:r w:rsidR="00EA6A6B" w:rsidRPr="00E7341A">
        <w:t xml:space="preserve"> observers </w:t>
      </w:r>
      <w:r w:rsidR="00110488">
        <w:t>to do their own</w:t>
      </w:r>
      <w:r w:rsidR="00110488" w:rsidRPr="00E7341A">
        <w:t xml:space="preserve"> </w:t>
      </w:r>
      <w:r w:rsidR="00EA6A6B" w:rsidRPr="00E7341A">
        <w:t xml:space="preserve">post-observation reflective write-up </w:t>
      </w:r>
      <w:r w:rsidR="000E5F1D" w:rsidRPr="00E7341A">
        <w:t xml:space="preserve">as well as </w:t>
      </w:r>
      <w:proofErr w:type="spellStart"/>
      <w:r w:rsidR="000E5F1D" w:rsidRPr="00E7341A">
        <w:t>observees</w:t>
      </w:r>
      <w:proofErr w:type="spellEnd"/>
      <w:r w:rsidR="000E5F1D" w:rsidRPr="00E7341A">
        <w:t xml:space="preserve"> </w:t>
      </w:r>
      <w:r w:rsidR="00EA6A6B" w:rsidRPr="00E7341A">
        <w:t xml:space="preserve">(see Stage 6 in </w:t>
      </w:r>
      <w:r w:rsidR="00EA6A6B" w:rsidRPr="00E7341A">
        <w:rPr>
          <w:b/>
        </w:rPr>
        <w:t>Figure 1</w:t>
      </w:r>
      <w:r w:rsidR="00EA6A6B" w:rsidRPr="00E7341A">
        <w:t xml:space="preserve"> below). There was a consensus among observers</w:t>
      </w:r>
      <w:r w:rsidR="003A7910">
        <w:t xml:space="preserve"> that</w:t>
      </w:r>
      <w:r w:rsidR="00EA6A6B" w:rsidRPr="00E7341A">
        <w:t xml:space="preserve"> </w:t>
      </w:r>
      <w:r w:rsidR="00824E0F">
        <w:t xml:space="preserve">their own practice and professional learning was informed by observing others, </w:t>
      </w:r>
      <w:r w:rsidR="000E5F1D" w:rsidRPr="00E7341A">
        <w:t>reinforc</w:t>
      </w:r>
      <w:r w:rsidR="00EA6A6B" w:rsidRPr="00E7341A">
        <w:t>ing</w:t>
      </w:r>
      <w:r w:rsidR="000E5F1D" w:rsidRPr="00E7341A">
        <w:t xml:space="preserve"> previous research</w:t>
      </w:r>
      <w:r w:rsidR="00EA6A6B" w:rsidRPr="00E7341A">
        <w:t xml:space="preserve"> </w:t>
      </w:r>
      <w:r w:rsidR="00824E0F">
        <w:t>in this area</w:t>
      </w:r>
      <w:r w:rsidR="000E5F1D" w:rsidRPr="00E7341A">
        <w:t xml:space="preserve"> (e.g. </w:t>
      </w:r>
      <w:proofErr w:type="spellStart"/>
      <w:r w:rsidR="000E5F1D" w:rsidRPr="00E7341A">
        <w:t>Tenenberg</w:t>
      </w:r>
      <w:proofErr w:type="spellEnd"/>
      <w:r w:rsidR="000E5F1D" w:rsidRPr="00E7341A">
        <w:t xml:space="preserve"> 2016).</w:t>
      </w:r>
      <w:r w:rsidR="00DE397F" w:rsidRPr="00E7341A">
        <w:t xml:space="preserve"> </w:t>
      </w:r>
      <w:r w:rsidR="0075739B">
        <w:t>I</w:t>
      </w:r>
      <w:r w:rsidR="000F160A" w:rsidRPr="00E7341A">
        <w:t xml:space="preserve">n 2017/18 </w:t>
      </w:r>
      <w:r w:rsidR="00DE397F" w:rsidRPr="00E7341A">
        <w:t>two</w:t>
      </w:r>
      <w:r w:rsidR="000F160A" w:rsidRPr="00E7341A">
        <w:t xml:space="preserve"> </w:t>
      </w:r>
      <w:r w:rsidR="00DE397F" w:rsidRPr="00E7341A">
        <w:t>accompanying</w:t>
      </w:r>
      <w:r w:rsidR="000F160A" w:rsidRPr="00E7341A">
        <w:t xml:space="preserve"> guides for observers and </w:t>
      </w:r>
      <w:proofErr w:type="spellStart"/>
      <w:r w:rsidR="000F160A" w:rsidRPr="00E7341A">
        <w:t>observees</w:t>
      </w:r>
      <w:proofErr w:type="spellEnd"/>
      <w:r w:rsidR="0075739B">
        <w:t xml:space="preserve"> were created to</w:t>
      </w:r>
      <w:r w:rsidR="00DE397F" w:rsidRPr="00E7341A">
        <w:t xml:space="preserve"> outline</w:t>
      </w:r>
      <w:r w:rsidR="000F160A" w:rsidRPr="00E7341A">
        <w:t xml:space="preserve"> the </w:t>
      </w:r>
      <w:r w:rsidR="00DE397F" w:rsidRPr="00E7341A">
        <w:t>rationale for</w:t>
      </w:r>
      <w:r w:rsidR="000F160A" w:rsidRPr="00E7341A">
        <w:t xml:space="preserve"> each </w:t>
      </w:r>
      <w:r w:rsidR="00DE397F" w:rsidRPr="00E7341A">
        <w:t>stage</w:t>
      </w:r>
      <w:r w:rsidR="000F160A" w:rsidRPr="00E7341A">
        <w:t xml:space="preserve"> and provide </w:t>
      </w:r>
      <w:r w:rsidR="003A2A7E" w:rsidRPr="00E7341A">
        <w:t>anonymised</w:t>
      </w:r>
      <w:r w:rsidR="000F160A" w:rsidRPr="00E7341A">
        <w:t xml:space="preserve"> </w:t>
      </w:r>
      <w:r w:rsidR="00824E0F">
        <w:t xml:space="preserve">documentation </w:t>
      </w:r>
      <w:r w:rsidR="000F160A" w:rsidRPr="00E7341A">
        <w:t xml:space="preserve">examples </w:t>
      </w:r>
      <w:r w:rsidR="003542C8" w:rsidRPr="00E7341A">
        <w:t xml:space="preserve">from staff who </w:t>
      </w:r>
      <w:r w:rsidR="0075739B">
        <w:t xml:space="preserve">had </w:t>
      </w:r>
      <w:r w:rsidR="003542C8" w:rsidRPr="00E7341A">
        <w:t>completed the cycle</w:t>
      </w:r>
      <w:r w:rsidR="000F160A" w:rsidRPr="00E7341A">
        <w:t>. Thinking prompts for self-reflection were also developed</w:t>
      </w:r>
      <w:r w:rsidR="003A7910">
        <w:t xml:space="preserve"> based on feedback;</w:t>
      </w:r>
      <w:r w:rsidR="000F160A" w:rsidRPr="00E7341A">
        <w:t xml:space="preserve"> these are </w:t>
      </w:r>
      <w:r w:rsidR="00DE397F" w:rsidRPr="00E7341A">
        <w:t>an</w:t>
      </w:r>
      <w:r w:rsidR="000F160A" w:rsidRPr="00E7341A">
        <w:t xml:space="preserve"> optional stimulus for those who find them </w:t>
      </w:r>
      <w:r w:rsidR="00DE397F" w:rsidRPr="00E7341A">
        <w:t xml:space="preserve">a </w:t>
      </w:r>
      <w:r w:rsidR="000F160A" w:rsidRPr="00E7341A">
        <w:t>useful</w:t>
      </w:r>
      <w:r w:rsidR="00DE397F" w:rsidRPr="00E7341A">
        <w:t xml:space="preserve"> point of reference</w:t>
      </w:r>
      <w:r w:rsidR="000F160A" w:rsidRPr="00E7341A">
        <w:t>.</w:t>
      </w:r>
      <w:r w:rsidR="00110488">
        <w:t xml:space="preserve"> Stage 7 was also introduced </w:t>
      </w:r>
      <w:r w:rsidR="00FF25E6">
        <w:t>and is further discussed below</w:t>
      </w:r>
      <w:r w:rsidR="00110488">
        <w:t>.</w:t>
      </w:r>
    </w:p>
    <w:p w14:paraId="076291DC" w14:textId="3E0402EF" w:rsidR="00786061" w:rsidRPr="00E7341A" w:rsidRDefault="00967583" w:rsidP="00BF628C">
      <w:pPr>
        <w:pStyle w:val="Heading2"/>
      </w:pPr>
      <w:r w:rsidRPr="00E7341A">
        <w:lastRenderedPageBreak/>
        <w:t xml:space="preserve">How the </w:t>
      </w:r>
      <w:r w:rsidR="00A90137" w:rsidRPr="00E7341A">
        <w:t xml:space="preserve">Cycle of </w:t>
      </w:r>
      <w:r w:rsidR="00677609" w:rsidRPr="00E7341A">
        <w:t>Peer Observation (</w:t>
      </w:r>
      <w:proofErr w:type="spellStart"/>
      <w:r w:rsidR="00677609" w:rsidRPr="00E7341A">
        <w:t>CoP</w:t>
      </w:r>
      <w:r w:rsidR="00A90137" w:rsidRPr="00E7341A">
        <w:t>O</w:t>
      </w:r>
      <w:proofErr w:type="spellEnd"/>
      <w:r w:rsidR="00A90137" w:rsidRPr="00E7341A">
        <w:t>)</w:t>
      </w:r>
      <w:r w:rsidRPr="00E7341A">
        <w:t xml:space="preserve"> works</w:t>
      </w:r>
    </w:p>
    <w:p w14:paraId="4AED43D4" w14:textId="30E366DD" w:rsidR="00045ECF" w:rsidRPr="00E7341A" w:rsidRDefault="00786061" w:rsidP="00260E6A">
      <w:pPr>
        <w:pStyle w:val="Paragraph"/>
        <w:ind w:firstLine="709"/>
      </w:pPr>
      <w:r w:rsidRPr="00E7341A">
        <w:t xml:space="preserve">As </w:t>
      </w:r>
      <w:r w:rsidRPr="00E7341A">
        <w:rPr>
          <w:b/>
        </w:rPr>
        <w:t xml:space="preserve">Figure </w:t>
      </w:r>
      <w:r w:rsidR="00BE43DC" w:rsidRPr="00E7341A">
        <w:rPr>
          <w:b/>
        </w:rPr>
        <w:t>1</w:t>
      </w:r>
      <w:r w:rsidRPr="00E7341A">
        <w:t xml:space="preserve"> </w:t>
      </w:r>
      <w:r w:rsidR="009D5131" w:rsidRPr="00E7341A">
        <w:t>shows</w:t>
      </w:r>
      <w:r w:rsidRPr="00E7341A">
        <w:t xml:space="preserve">, there </w:t>
      </w:r>
      <w:r w:rsidR="00677609" w:rsidRPr="00E7341A">
        <w:t xml:space="preserve">are seven stages to </w:t>
      </w:r>
      <w:proofErr w:type="spellStart"/>
      <w:r w:rsidR="00677609" w:rsidRPr="00E7341A">
        <w:t>CoP</w:t>
      </w:r>
      <w:r w:rsidRPr="00E7341A">
        <w:t>O</w:t>
      </w:r>
      <w:proofErr w:type="spellEnd"/>
      <w:r w:rsidR="003A7910">
        <w:t>.</w:t>
      </w:r>
      <w:r w:rsidRPr="00E7341A">
        <w:t xml:space="preserve"> Stage 1 provides the </w:t>
      </w:r>
      <w:proofErr w:type="spellStart"/>
      <w:r w:rsidRPr="00E7341A">
        <w:t>observee</w:t>
      </w:r>
      <w:proofErr w:type="spellEnd"/>
      <w:r w:rsidRPr="00E7341A">
        <w:t xml:space="preserve"> with an opportunity to think holistically about their teaching </w:t>
      </w:r>
      <w:r w:rsidR="00967583" w:rsidRPr="00E7341A">
        <w:t>through self-reflective writing</w:t>
      </w:r>
      <w:r w:rsidR="00DB184F" w:rsidRPr="00E7341A">
        <w:t xml:space="preserve">, </w:t>
      </w:r>
      <w:r w:rsidR="001C467A" w:rsidRPr="00E7341A">
        <w:t>encourag</w:t>
      </w:r>
      <w:r w:rsidR="00110488">
        <w:t>ing</w:t>
      </w:r>
      <w:r w:rsidR="001C467A" w:rsidRPr="00E7341A">
        <w:t xml:space="preserve"> them</w:t>
      </w:r>
      <w:r w:rsidR="00DB184F" w:rsidRPr="00E7341A">
        <w:t xml:space="preserve"> to reflect on their strengths </w:t>
      </w:r>
      <w:r w:rsidR="009D5131" w:rsidRPr="00E7341A">
        <w:t>and</w:t>
      </w:r>
      <w:r w:rsidR="00DB184F" w:rsidRPr="00E7341A">
        <w:t xml:space="preserve"> identify areas for further professional learning</w:t>
      </w:r>
      <w:r w:rsidRPr="00E7341A">
        <w:t>. This self-reflection is shared with the observer and forms a catalyst for professional dialogue</w:t>
      </w:r>
      <w:r w:rsidR="00514066">
        <w:t xml:space="preserve"> and </w:t>
      </w:r>
      <w:r w:rsidRPr="00E7341A">
        <w:t xml:space="preserve">in the pre-observation meeting (Stage 2), where </w:t>
      </w:r>
      <w:r w:rsidR="00724D7E">
        <w:t>they</w:t>
      </w:r>
      <w:r w:rsidRPr="00E7341A">
        <w:t xml:space="preserve"> have the opportunity to </w:t>
      </w:r>
      <w:r w:rsidR="00514066" w:rsidRPr="00E7341A">
        <w:t>establish a professional rapport</w:t>
      </w:r>
      <w:r w:rsidR="00514066">
        <w:t xml:space="preserve"> and </w:t>
      </w:r>
      <w:r w:rsidR="00110488">
        <w:t xml:space="preserve">explore </w:t>
      </w:r>
      <w:r w:rsidRPr="00E7341A">
        <w:t xml:space="preserve">themes articulated by the </w:t>
      </w:r>
      <w:proofErr w:type="spellStart"/>
      <w:r w:rsidRPr="00E7341A">
        <w:t>observee</w:t>
      </w:r>
      <w:proofErr w:type="spellEnd"/>
      <w:r w:rsidRPr="00E7341A">
        <w:t xml:space="preserve"> in their self-reflection. </w:t>
      </w:r>
      <w:r w:rsidR="00514066">
        <w:t xml:space="preserve">Where appropriate, the observer uses coaching questions to establish an ethos of inquiry as the </w:t>
      </w:r>
      <w:proofErr w:type="spellStart"/>
      <w:r w:rsidR="00DB184F" w:rsidRPr="00E7341A">
        <w:t>observee</w:t>
      </w:r>
      <w:proofErr w:type="spellEnd"/>
      <w:r w:rsidR="00DB184F" w:rsidRPr="00E7341A">
        <w:t xml:space="preserve"> articulates their chosen </w:t>
      </w:r>
      <w:r w:rsidR="00824E0F">
        <w:t xml:space="preserve">observation </w:t>
      </w:r>
      <w:r w:rsidR="00DB184F" w:rsidRPr="00E7341A">
        <w:t>focus</w:t>
      </w:r>
      <w:r w:rsidR="00514066">
        <w:t>,</w:t>
      </w:r>
      <w:r w:rsidR="00DB184F" w:rsidRPr="00E7341A">
        <w:t xml:space="preserve"> </w:t>
      </w:r>
      <w:r w:rsidR="00824E0F">
        <w:t xml:space="preserve">and both </w:t>
      </w:r>
      <w:r w:rsidR="003542C8" w:rsidRPr="00E7341A">
        <w:t>agree</w:t>
      </w:r>
      <w:r w:rsidR="00DB184F" w:rsidRPr="00E7341A">
        <w:t xml:space="preserve"> </w:t>
      </w:r>
      <w:r w:rsidRPr="00E7341A">
        <w:t xml:space="preserve">the logistical details of the observation. </w:t>
      </w:r>
    </w:p>
    <w:p w14:paraId="17804E3F" w14:textId="77777777" w:rsidR="00045ECF" w:rsidRPr="00E7341A" w:rsidRDefault="00045ECF" w:rsidP="00786061"/>
    <w:p w14:paraId="302419B3" w14:textId="73FABCEB" w:rsidR="00EA6A6B" w:rsidRPr="00E7341A" w:rsidRDefault="00EA6A6B" w:rsidP="00EA6A6B">
      <w:pPr>
        <w:jc w:val="center"/>
        <w:rPr>
          <w:b/>
        </w:rPr>
      </w:pPr>
      <w:r w:rsidRPr="00E7341A">
        <w:rPr>
          <w:b/>
        </w:rPr>
        <w:t>&lt; Insert Figure 1 here&gt;</w:t>
      </w:r>
    </w:p>
    <w:p w14:paraId="3046963D" w14:textId="1DABF744" w:rsidR="00045ECF" w:rsidRDefault="00786061" w:rsidP="004D565C">
      <w:pPr>
        <w:pStyle w:val="Newparagraph"/>
      </w:pPr>
      <w:r w:rsidRPr="00E7341A">
        <w:t xml:space="preserve">Stage 3 is the observation, which typically lasts about an hour. In contrast to </w:t>
      </w:r>
      <w:r w:rsidR="00DB184F" w:rsidRPr="00E7341A">
        <w:t>assessment-based models of observation</w:t>
      </w:r>
      <w:r w:rsidRPr="00E7341A">
        <w:t xml:space="preserve">, observers are not required to use a </w:t>
      </w:r>
      <w:proofErr w:type="spellStart"/>
      <w:r w:rsidRPr="00E7341A">
        <w:t>proforma</w:t>
      </w:r>
      <w:proofErr w:type="spellEnd"/>
      <w:r w:rsidRPr="00E7341A">
        <w:t xml:space="preserve"> when taking notes as there is no checklist of behaviours or </w:t>
      </w:r>
      <w:r w:rsidR="00DB184F" w:rsidRPr="00E7341A">
        <w:t xml:space="preserve">assessment </w:t>
      </w:r>
      <w:r w:rsidRPr="00E7341A">
        <w:t xml:space="preserve">criteria. They are simply asked to record what they see, with the understanding that they should avoid judgement and evaluation. Their goal is to act as </w:t>
      </w:r>
      <w:r w:rsidR="009D5131" w:rsidRPr="00E7341A">
        <w:t xml:space="preserve">‘detached awareness raisers’ (Whitmore 2002, 42), </w:t>
      </w:r>
      <w:r w:rsidRPr="00E7341A">
        <w:t xml:space="preserve">a lens through which the </w:t>
      </w:r>
      <w:proofErr w:type="spellStart"/>
      <w:r w:rsidRPr="00E7341A">
        <w:t>observee</w:t>
      </w:r>
      <w:proofErr w:type="spellEnd"/>
      <w:r w:rsidRPr="00E7341A">
        <w:t xml:space="preserve"> </w:t>
      </w:r>
      <w:r w:rsidR="00E37621" w:rsidRPr="00E7341A">
        <w:t>can gain an additional view</w:t>
      </w:r>
      <w:r w:rsidRPr="00E7341A">
        <w:t xml:space="preserve"> of </w:t>
      </w:r>
      <w:r w:rsidR="00DB184F" w:rsidRPr="00E7341A">
        <w:t>the events of</w:t>
      </w:r>
      <w:r w:rsidR="00E37621" w:rsidRPr="00E7341A">
        <w:t xml:space="preserve"> the observation and to use the observer’s</w:t>
      </w:r>
      <w:r w:rsidRPr="00E7341A">
        <w:t xml:space="preserve"> notes as a springboard for collegial dialogue.</w:t>
      </w:r>
    </w:p>
    <w:p w14:paraId="7D72D740" w14:textId="46DDEB3A" w:rsidR="00786061" w:rsidRPr="00E7341A" w:rsidRDefault="003542C8" w:rsidP="00260E6A">
      <w:pPr>
        <w:pStyle w:val="Paragraph"/>
        <w:ind w:firstLine="709"/>
      </w:pPr>
      <w:r w:rsidRPr="00E7341A">
        <w:t>Following</w:t>
      </w:r>
      <w:r w:rsidR="00786061" w:rsidRPr="00E7341A">
        <w:t xml:space="preserve"> the observation, </w:t>
      </w:r>
      <w:r w:rsidR="00786061" w:rsidRPr="00E7341A">
        <w:rPr>
          <w:iCs/>
        </w:rPr>
        <w:t>individual reflections</w:t>
      </w:r>
      <w:r w:rsidR="00786061" w:rsidRPr="00E7341A">
        <w:t xml:space="preserve"> (</w:t>
      </w:r>
      <w:r w:rsidR="00786061" w:rsidRPr="00E7341A">
        <w:rPr>
          <w:iCs/>
        </w:rPr>
        <w:t>Stage 4)</w:t>
      </w:r>
      <w:r w:rsidR="00786061" w:rsidRPr="00E7341A">
        <w:t xml:space="preserve"> are carried out by both observer and </w:t>
      </w:r>
      <w:proofErr w:type="spellStart"/>
      <w:r w:rsidR="00786061" w:rsidRPr="00E7341A">
        <w:t>observee</w:t>
      </w:r>
      <w:proofErr w:type="spellEnd"/>
      <w:r w:rsidR="00786061" w:rsidRPr="00E7341A">
        <w:t xml:space="preserve">. </w:t>
      </w:r>
      <w:r w:rsidR="00E37621" w:rsidRPr="00E7341A">
        <w:t>T</w:t>
      </w:r>
      <w:r w:rsidR="00786061" w:rsidRPr="00E7341A">
        <w:t>he observer further develops their observation notes to add questions and c</w:t>
      </w:r>
      <w:r w:rsidR="00E37621" w:rsidRPr="00E7341A">
        <w:t>omments in preparation for the post-observation meeting</w:t>
      </w:r>
      <w:r w:rsidR="00F00DAC">
        <w:t xml:space="preserve"> (Stage 5)</w:t>
      </w:r>
      <w:r w:rsidR="00786061" w:rsidRPr="00E7341A">
        <w:t xml:space="preserve">. Both bring their observation notes and </w:t>
      </w:r>
      <w:r w:rsidR="00531E44">
        <w:t xml:space="preserve">Stage 4 </w:t>
      </w:r>
      <w:r w:rsidR="00786061" w:rsidRPr="00E7341A">
        <w:t xml:space="preserve">reflections to the </w:t>
      </w:r>
      <w:r w:rsidR="00F00DAC">
        <w:t xml:space="preserve">Stage 5 </w:t>
      </w:r>
      <w:r w:rsidR="00786061" w:rsidRPr="00E7341A">
        <w:t xml:space="preserve">discussion and relate these back to what was discussed in Stage 2 in terms of the agreed focus of the session. </w:t>
      </w:r>
      <w:r w:rsidR="00514066">
        <w:t xml:space="preserve">The observer draws upon non-judgmental coaching </w:t>
      </w:r>
      <w:r w:rsidR="00F00DAC">
        <w:t>skills</w:t>
      </w:r>
      <w:r w:rsidR="00514066">
        <w:t xml:space="preserve"> </w:t>
      </w:r>
      <w:r w:rsidR="007C0466">
        <w:t xml:space="preserve">as they discuss the </w:t>
      </w:r>
      <w:r w:rsidR="00786061" w:rsidRPr="00E7341A">
        <w:t xml:space="preserve">learning and teaching they </w:t>
      </w:r>
      <w:r w:rsidR="00786061" w:rsidRPr="00E7341A">
        <w:lastRenderedPageBreak/>
        <w:t>experienced and observed</w:t>
      </w:r>
      <w:r w:rsidR="00E64EBA">
        <w:t xml:space="preserve">, culminating in the </w:t>
      </w:r>
      <w:proofErr w:type="spellStart"/>
      <w:r w:rsidR="00B56CB1">
        <w:t>observee’s</w:t>
      </w:r>
      <w:proofErr w:type="spellEnd"/>
      <w:r w:rsidR="00B56CB1">
        <w:t xml:space="preserve"> </w:t>
      </w:r>
      <w:r w:rsidR="00E64EBA">
        <w:t>formulation of teaching objectives</w:t>
      </w:r>
      <w:r w:rsidR="00B56CB1">
        <w:t xml:space="preserve"> which encapsulate the learning they have taken from the observation process and </w:t>
      </w:r>
      <w:r w:rsidR="007C0466">
        <w:t>steps for</w:t>
      </w:r>
      <w:r w:rsidR="00B56CB1">
        <w:t xml:space="preserve"> develop</w:t>
      </w:r>
      <w:r w:rsidR="007C0466">
        <w:t>ing</w:t>
      </w:r>
      <w:r w:rsidR="00B56CB1">
        <w:t xml:space="preserve"> their practice.</w:t>
      </w:r>
    </w:p>
    <w:p w14:paraId="69F4C157" w14:textId="43034977" w:rsidR="001F0E75" w:rsidRPr="00E7341A" w:rsidRDefault="00E37621" w:rsidP="004D565C">
      <w:pPr>
        <w:pStyle w:val="Newparagraph"/>
      </w:pPr>
      <w:r w:rsidRPr="00E7341A">
        <w:t>Stage 6 requires</w:t>
      </w:r>
      <w:r w:rsidR="00786061" w:rsidRPr="00E7341A">
        <w:t xml:space="preserve"> both observer and </w:t>
      </w:r>
      <w:proofErr w:type="spellStart"/>
      <w:r w:rsidR="00786061" w:rsidRPr="00E7341A">
        <w:t>observee</w:t>
      </w:r>
      <w:proofErr w:type="spellEnd"/>
      <w:r w:rsidR="00786061" w:rsidRPr="00E7341A">
        <w:t xml:space="preserve"> </w:t>
      </w:r>
      <w:r w:rsidRPr="00E7341A">
        <w:t xml:space="preserve">to </w:t>
      </w:r>
      <w:r w:rsidR="003542C8" w:rsidRPr="00E7341A">
        <w:t>complete</w:t>
      </w:r>
      <w:r w:rsidRPr="00E7341A">
        <w:t xml:space="preserve"> their reflective </w:t>
      </w:r>
      <w:r w:rsidR="003542C8" w:rsidRPr="00E7341A">
        <w:rPr>
          <w:iCs/>
        </w:rPr>
        <w:t>write-</w:t>
      </w:r>
      <w:r w:rsidRPr="00E7341A">
        <w:rPr>
          <w:iCs/>
        </w:rPr>
        <w:t>ups</w:t>
      </w:r>
      <w:r w:rsidRPr="00E7341A">
        <w:t xml:space="preserve"> </w:t>
      </w:r>
      <w:r w:rsidR="00786061" w:rsidRPr="00E7341A">
        <w:t xml:space="preserve">independently. </w:t>
      </w:r>
      <w:r w:rsidRPr="00E7341A">
        <w:t>T</w:t>
      </w:r>
      <w:r w:rsidR="00786061" w:rsidRPr="00E7341A">
        <w:t xml:space="preserve">he aim is to capture the holistic experience of both parties of the cycle, making connections between this observation experience and their past learning and teaching experiences. </w:t>
      </w:r>
      <w:r w:rsidR="003542C8" w:rsidRPr="00E7341A">
        <w:t>T</w:t>
      </w:r>
      <w:r w:rsidR="00786061" w:rsidRPr="00E7341A">
        <w:t xml:space="preserve">he </w:t>
      </w:r>
      <w:proofErr w:type="spellStart"/>
      <w:r w:rsidR="00786061" w:rsidRPr="00E7341A">
        <w:t>observee</w:t>
      </w:r>
      <w:proofErr w:type="spellEnd"/>
      <w:r w:rsidR="00786061" w:rsidRPr="00E7341A">
        <w:t xml:space="preserve"> is </w:t>
      </w:r>
      <w:r w:rsidR="003542C8" w:rsidRPr="00E7341A">
        <w:t xml:space="preserve">also </w:t>
      </w:r>
      <w:r w:rsidR="00786061" w:rsidRPr="00E7341A">
        <w:t xml:space="preserve">expected to document the objectives identified in the Stage 5 meeting and reflect on how they intend to move their teaching forward, along with the resources/support they might need to enable them to do so. </w:t>
      </w:r>
      <w:r w:rsidR="00AF20B3">
        <w:t>S</w:t>
      </w:r>
      <w:r w:rsidR="00786061" w:rsidRPr="00E7341A">
        <w:t xml:space="preserve">everal months after the completion of their observations, </w:t>
      </w:r>
      <w:r w:rsidR="00B648E1" w:rsidRPr="00E7341A">
        <w:t xml:space="preserve">both observers and </w:t>
      </w:r>
      <w:proofErr w:type="spellStart"/>
      <w:r w:rsidR="00786061" w:rsidRPr="00E7341A">
        <w:t>observees</w:t>
      </w:r>
      <w:proofErr w:type="spellEnd"/>
      <w:r w:rsidR="00786061" w:rsidRPr="00E7341A">
        <w:t xml:space="preserve"> are invited </w:t>
      </w:r>
      <w:r w:rsidR="00AF20B3">
        <w:t>to a</w:t>
      </w:r>
      <w:r w:rsidR="00B648E1" w:rsidRPr="00E7341A">
        <w:t xml:space="preserve"> focus group with their peers</w:t>
      </w:r>
      <w:r w:rsidR="00AF20B3">
        <w:t xml:space="preserve"> (Stage 7)</w:t>
      </w:r>
      <w:r w:rsidR="00786061" w:rsidRPr="00E7341A">
        <w:t xml:space="preserve">. The purpose is </w:t>
      </w:r>
      <w:r w:rsidR="002C7CEA">
        <w:t>to move the focus away from the observation as an episodic event by</w:t>
      </w:r>
      <w:r w:rsidR="00AF20B3">
        <w:t xml:space="preserve"> </w:t>
      </w:r>
      <w:r w:rsidR="002C7CEA">
        <w:t>creating</w:t>
      </w:r>
      <w:r w:rsidR="00AF20B3">
        <w:t xml:space="preserve"> </w:t>
      </w:r>
      <w:r w:rsidR="00330C8F">
        <w:t>further opportunit</w:t>
      </w:r>
      <w:r w:rsidR="00AF20B3">
        <w:t>i</w:t>
      </w:r>
      <w:r w:rsidR="00330C8F">
        <w:t>es for dialogic professional learning as they</w:t>
      </w:r>
      <w:r w:rsidR="00786061" w:rsidRPr="00E7341A">
        <w:t xml:space="preserve"> share the insights gained </w:t>
      </w:r>
      <w:r w:rsidR="00F16F1C">
        <w:t xml:space="preserve">and </w:t>
      </w:r>
      <w:r w:rsidR="00330C8F">
        <w:t xml:space="preserve">the impact </w:t>
      </w:r>
      <w:r w:rsidR="00F16F1C">
        <w:t xml:space="preserve">these have had </w:t>
      </w:r>
      <w:r w:rsidR="00786061" w:rsidRPr="00E7341A">
        <w:t xml:space="preserve">on </w:t>
      </w:r>
      <w:r w:rsidR="00330C8F">
        <w:t xml:space="preserve">both </w:t>
      </w:r>
      <w:r w:rsidR="00786061" w:rsidRPr="00E7341A">
        <w:t>their teaching and their students’ learning.</w:t>
      </w:r>
    </w:p>
    <w:p w14:paraId="41A81715" w14:textId="7FE05CA6" w:rsidR="00A90137" w:rsidRPr="00E7341A" w:rsidRDefault="00A90137" w:rsidP="00BF628C">
      <w:pPr>
        <w:pStyle w:val="Heading1"/>
      </w:pPr>
      <w:r w:rsidRPr="00E7341A">
        <w:t xml:space="preserve">Data </w:t>
      </w:r>
      <w:r w:rsidR="00437108" w:rsidRPr="00E7341A">
        <w:t xml:space="preserve">collection and </w:t>
      </w:r>
      <w:r w:rsidRPr="00E7341A">
        <w:t>analysis</w:t>
      </w:r>
    </w:p>
    <w:p w14:paraId="3BAB59C0" w14:textId="1B5B769B" w:rsidR="00C32070" w:rsidRPr="00E7341A" w:rsidRDefault="003B2611" w:rsidP="00260E6A">
      <w:pPr>
        <w:pStyle w:val="Paragraph"/>
        <w:ind w:firstLine="709"/>
      </w:pPr>
      <w:r w:rsidRPr="00E7341A">
        <w:t>T</w:t>
      </w:r>
      <w:r w:rsidR="00B648E1" w:rsidRPr="00E7341A">
        <w:t xml:space="preserve">o evaluate staff perceptions and experiences of the conceptualisation and operationalisation of </w:t>
      </w:r>
      <w:proofErr w:type="spellStart"/>
      <w:r w:rsidR="00B648E1" w:rsidRPr="00E7341A">
        <w:t>CoPO</w:t>
      </w:r>
      <w:proofErr w:type="spellEnd"/>
      <w:r w:rsidR="00B648E1" w:rsidRPr="00E7341A">
        <w:t>, t</w:t>
      </w:r>
      <w:r w:rsidR="00B15BED" w:rsidRPr="00E7341A">
        <w:t xml:space="preserve">he project drew on multiple sets of qualitative data. </w:t>
      </w:r>
      <w:r w:rsidR="00437108" w:rsidRPr="00E7341A">
        <w:t xml:space="preserve">As a means of canvassing a breadth of </w:t>
      </w:r>
      <w:r w:rsidR="00FB4F05">
        <w:t xml:space="preserve">participants’ </w:t>
      </w:r>
      <w:r w:rsidR="00437108" w:rsidRPr="00E7341A">
        <w:t xml:space="preserve">perspectives across the faculty, an online survey </w:t>
      </w:r>
      <w:r w:rsidR="00330C8F">
        <w:t>provided</w:t>
      </w:r>
      <w:r w:rsidR="00B15BED" w:rsidRPr="00E7341A">
        <w:t xml:space="preserve"> </w:t>
      </w:r>
      <w:r w:rsidR="00437108" w:rsidRPr="00E7341A">
        <w:t xml:space="preserve">the starting point for data collection. This </w:t>
      </w:r>
      <w:r w:rsidR="00C32070" w:rsidRPr="00E7341A">
        <w:t>was</w:t>
      </w:r>
      <w:r w:rsidR="00437108" w:rsidRPr="00E7341A">
        <w:t xml:space="preserve"> complemented by a range of other qualitative met</w:t>
      </w:r>
      <w:r w:rsidR="00B15BED" w:rsidRPr="00E7341A">
        <w:t>hods including</w:t>
      </w:r>
      <w:r w:rsidR="00F16F1C">
        <w:t xml:space="preserve"> </w:t>
      </w:r>
      <w:r w:rsidR="00B941FF" w:rsidRPr="00E7341A">
        <w:t>interviews</w:t>
      </w:r>
      <w:r w:rsidR="00B941FF">
        <w:t>,</w:t>
      </w:r>
      <w:r w:rsidR="00B941FF" w:rsidRPr="00E7341A">
        <w:t xml:space="preserve"> focus groups</w:t>
      </w:r>
      <w:r w:rsidR="00B941FF">
        <w:t>, and</w:t>
      </w:r>
      <w:r w:rsidR="00B941FF" w:rsidRPr="00E7341A">
        <w:t xml:space="preserve"> </w:t>
      </w:r>
      <w:r w:rsidR="00B15BED" w:rsidRPr="00E7341A">
        <w:t>documentation</w:t>
      </w:r>
      <w:r w:rsidR="00E64EBA">
        <w:t xml:space="preserve"> generated </w:t>
      </w:r>
      <w:r w:rsidR="00F16F1C">
        <w:t xml:space="preserve">in the different stages of </w:t>
      </w:r>
      <w:proofErr w:type="spellStart"/>
      <w:r w:rsidR="00B648E1" w:rsidRPr="00E7341A">
        <w:t>CoPO</w:t>
      </w:r>
      <w:proofErr w:type="spellEnd"/>
      <w:r w:rsidR="00437108" w:rsidRPr="00E7341A">
        <w:t xml:space="preserve">. </w:t>
      </w:r>
      <w:r w:rsidR="00F04CDE" w:rsidRPr="00E7341A">
        <w:t>As this wa</w:t>
      </w:r>
      <w:r w:rsidR="00B648E1" w:rsidRPr="00E7341A">
        <w:t xml:space="preserve">s a 'live' project, it is important to stress that a pre-determined set of codes for analysis </w:t>
      </w:r>
      <w:r w:rsidR="00F04CDE" w:rsidRPr="00E7341A">
        <w:t>were</w:t>
      </w:r>
      <w:r w:rsidR="00B648E1" w:rsidRPr="00E7341A">
        <w:t xml:space="preserve"> </w:t>
      </w:r>
      <w:r w:rsidR="00F04CDE" w:rsidRPr="00E7341A">
        <w:t>not drawn up</w:t>
      </w:r>
      <w:r w:rsidR="00F16F1C">
        <w:t>,</w:t>
      </w:r>
      <w:r w:rsidR="00B648E1" w:rsidRPr="00E7341A">
        <w:t xml:space="preserve"> </w:t>
      </w:r>
      <w:r w:rsidR="00F04CDE" w:rsidRPr="00E7341A">
        <w:t>but themes were</w:t>
      </w:r>
      <w:r w:rsidR="00B648E1" w:rsidRPr="00E7341A">
        <w:t xml:space="preserve"> allowed to emerge from the data i</w:t>
      </w:r>
      <w:r w:rsidR="00F16F1C">
        <w:t>n a ‘</w:t>
      </w:r>
      <w:r w:rsidR="002709F8" w:rsidRPr="00E7341A">
        <w:t>grounded</w:t>
      </w:r>
      <w:r w:rsidR="00F16F1C">
        <w:t>’</w:t>
      </w:r>
      <w:r w:rsidR="002709F8" w:rsidRPr="00E7341A">
        <w:t xml:space="preserve"> approach </w:t>
      </w:r>
      <w:r w:rsidR="00B648E1" w:rsidRPr="00E7341A">
        <w:t>though not grounded theory</w:t>
      </w:r>
      <w:r w:rsidR="00F04CDE" w:rsidRPr="00E7341A">
        <w:t>.</w:t>
      </w:r>
      <w:r w:rsidR="00753DEC" w:rsidRPr="00E7341A">
        <w:t xml:space="preserve"> </w:t>
      </w:r>
      <w:r w:rsidR="00F04CDE" w:rsidRPr="00E7341A">
        <w:t>These themes w</w:t>
      </w:r>
      <w:r w:rsidR="00B648E1" w:rsidRPr="00E7341A">
        <w:t>e</w:t>
      </w:r>
      <w:r w:rsidR="00F04CDE" w:rsidRPr="00E7341A">
        <w:t>re</w:t>
      </w:r>
      <w:r w:rsidR="00B648E1" w:rsidRPr="00E7341A">
        <w:t xml:space="preserve"> complemented and informed by relevant literature and theory associated with the field of </w:t>
      </w:r>
      <w:r w:rsidR="00B648E1" w:rsidRPr="00E7341A">
        <w:lastRenderedPageBreak/>
        <w:t xml:space="preserve">observing learning and teaching. Thus the analytical framework </w:t>
      </w:r>
      <w:r w:rsidR="00F04CDE" w:rsidRPr="00E7341A">
        <w:t xml:space="preserve">we adopted can </w:t>
      </w:r>
      <w:r w:rsidR="00B648E1" w:rsidRPr="00E7341A">
        <w:t xml:space="preserve">broadly be </w:t>
      </w:r>
      <w:r w:rsidRPr="00E7341A">
        <w:t>seen as</w:t>
      </w:r>
      <w:r w:rsidR="00B648E1" w:rsidRPr="00E7341A">
        <w:t xml:space="preserve"> a relational content analysis approach.</w:t>
      </w:r>
    </w:p>
    <w:p w14:paraId="3D3F6214" w14:textId="18D80C2C" w:rsidR="00376F95" w:rsidRPr="00E7341A" w:rsidRDefault="00B4361C" w:rsidP="00BF628C">
      <w:pPr>
        <w:pStyle w:val="Heading1"/>
      </w:pPr>
      <w:r w:rsidRPr="00E7341A">
        <w:t>Findings and</w:t>
      </w:r>
      <w:r w:rsidR="0052113F" w:rsidRPr="00E7341A">
        <w:t xml:space="preserve"> discussion</w:t>
      </w:r>
    </w:p>
    <w:p w14:paraId="65D4C710" w14:textId="03034E1F" w:rsidR="00CF49A3" w:rsidRDefault="00282F2F" w:rsidP="00260E6A">
      <w:pPr>
        <w:pStyle w:val="Paragraph"/>
        <w:ind w:firstLine="709"/>
      </w:pPr>
      <w:r w:rsidRPr="00E7341A">
        <w:t>This</w:t>
      </w:r>
      <w:r w:rsidR="00136DF8" w:rsidRPr="00E7341A">
        <w:t xml:space="preserve"> final section </w:t>
      </w:r>
      <w:r w:rsidR="00BA1608">
        <w:t>discusses</w:t>
      </w:r>
      <w:r w:rsidR="00136DF8" w:rsidRPr="00E7341A">
        <w:t xml:space="preserve"> </w:t>
      </w:r>
      <w:r w:rsidRPr="00E7341A">
        <w:t>three key themes</w:t>
      </w:r>
      <w:r w:rsidR="00136DF8" w:rsidRPr="00E7341A">
        <w:t xml:space="preserve"> </w:t>
      </w:r>
      <w:r w:rsidR="00CC581A" w:rsidRPr="00E7341A">
        <w:t xml:space="preserve">to emerge from the data </w:t>
      </w:r>
      <w:r w:rsidR="00413CE2" w:rsidRPr="00E7341A">
        <w:t>regarding</w:t>
      </w:r>
      <w:r w:rsidR="00136DF8" w:rsidRPr="00E7341A">
        <w:t xml:space="preserve"> staff attitudes, perceptions and experiences of </w:t>
      </w:r>
      <w:proofErr w:type="spellStart"/>
      <w:r w:rsidRPr="00E7341A">
        <w:t>CoPO</w:t>
      </w:r>
      <w:proofErr w:type="spellEnd"/>
      <w:r w:rsidR="008B5B06">
        <w:t>. These are:</w:t>
      </w:r>
    </w:p>
    <w:p w14:paraId="36BE04F1" w14:textId="51500CC0" w:rsidR="00085734" w:rsidRPr="00E7341A" w:rsidRDefault="0080703B" w:rsidP="003D5F7C">
      <w:pPr>
        <w:pStyle w:val="Bulletedlist"/>
        <w:numPr>
          <w:ilvl w:val="0"/>
          <w:numId w:val="39"/>
        </w:numPr>
      </w:pPr>
      <w:r>
        <w:t>C</w:t>
      </w:r>
      <w:r w:rsidR="001F7205">
        <w:t>hallenges of c</w:t>
      </w:r>
      <w:r w:rsidR="00413CE2" w:rsidRPr="00E7341A">
        <w:t>hang</w:t>
      </w:r>
      <w:r w:rsidR="0000681F" w:rsidRPr="00E7341A">
        <w:t>ing normalised perception</w:t>
      </w:r>
      <w:r w:rsidR="00964223" w:rsidRPr="00E7341A">
        <w:t xml:space="preserve">s </w:t>
      </w:r>
      <w:r w:rsidR="00282F2F" w:rsidRPr="00E7341A">
        <w:t>and</w:t>
      </w:r>
      <w:r w:rsidR="00085734" w:rsidRPr="00E7341A">
        <w:t xml:space="preserve"> </w:t>
      </w:r>
      <w:r w:rsidR="003B5C6D" w:rsidRPr="00E7341A">
        <w:t>interactions with</w:t>
      </w:r>
      <w:r w:rsidR="00085734" w:rsidRPr="00E7341A">
        <w:t xml:space="preserve"> observation </w:t>
      </w:r>
    </w:p>
    <w:p w14:paraId="0E00677F" w14:textId="408F2BEF" w:rsidR="001F7205" w:rsidRDefault="001F7205" w:rsidP="003D5F7C">
      <w:pPr>
        <w:pStyle w:val="Bulletedlist"/>
        <w:numPr>
          <w:ilvl w:val="0"/>
          <w:numId w:val="39"/>
        </w:numPr>
      </w:pPr>
      <w:r>
        <w:t>The double-edged sword of time</w:t>
      </w:r>
    </w:p>
    <w:p w14:paraId="26AA7400" w14:textId="6EC0F741" w:rsidR="00282F2F" w:rsidRPr="00E7341A" w:rsidRDefault="00AF189B" w:rsidP="003D5F7C">
      <w:pPr>
        <w:pStyle w:val="Bulletedlist"/>
        <w:numPr>
          <w:ilvl w:val="0"/>
          <w:numId w:val="39"/>
        </w:numPr>
      </w:pPr>
      <w:r>
        <w:t>R</w:t>
      </w:r>
      <w:r w:rsidR="001F7205">
        <w:t xml:space="preserve">estoring professional agency through </w:t>
      </w:r>
      <w:proofErr w:type="spellStart"/>
      <w:r w:rsidR="001F7205">
        <w:t>CoPO</w:t>
      </w:r>
      <w:proofErr w:type="spellEnd"/>
      <w:r w:rsidR="00282F2F" w:rsidRPr="00E7341A">
        <w:t xml:space="preserve"> </w:t>
      </w:r>
    </w:p>
    <w:p w14:paraId="19A9DE45" w14:textId="05152DE0" w:rsidR="002B0436" w:rsidRPr="006301F1" w:rsidRDefault="006301F1" w:rsidP="00BF628C">
      <w:pPr>
        <w:pStyle w:val="Heading3"/>
        <w:rPr>
          <w:b/>
        </w:rPr>
      </w:pPr>
      <w:r>
        <w:rPr>
          <w:b/>
        </w:rPr>
        <w:t>C</w:t>
      </w:r>
      <w:r w:rsidR="005B267C" w:rsidRPr="006301F1">
        <w:rPr>
          <w:b/>
        </w:rPr>
        <w:t xml:space="preserve">hallenges of changing normalised perceptions and interactions with observation </w:t>
      </w:r>
    </w:p>
    <w:p w14:paraId="1AD09090" w14:textId="280E3A2B" w:rsidR="00A32279" w:rsidRDefault="00B941FF" w:rsidP="00260E6A">
      <w:pPr>
        <w:pStyle w:val="Paragraph"/>
        <w:ind w:firstLine="709"/>
      </w:pPr>
      <w:r>
        <w:t>Our experience resonates with t</w:t>
      </w:r>
      <w:r w:rsidR="00310502">
        <w:t xml:space="preserve">he </w:t>
      </w:r>
      <w:r w:rsidR="0080703B">
        <w:t>views of</w:t>
      </w:r>
      <w:r w:rsidR="00310502">
        <w:t xml:space="preserve"> </w:t>
      </w:r>
      <w:r w:rsidR="003D18EB" w:rsidRPr="0039137C">
        <w:t>Costa and Garman (2014) that</w:t>
      </w:r>
      <w:r w:rsidR="003D18EB">
        <w:t xml:space="preserve"> paradigm shifts take</w:t>
      </w:r>
      <w:r w:rsidR="00D25944">
        <w:t xml:space="preserve"> time</w:t>
      </w:r>
      <w:r w:rsidR="00F92D3F">
        <w:t>.</w:t>
      </w:r>
      <w:r w:rsidR="00F65EF9" w:rsidRPr="00E7341A">
        <w:t xml:space="preserve"> </w:t>
      </w:r>
      <w:r w:rsidR="001B4EFC">
        <w:t xml:space="preserve">For some staff the </w:t>
      </w:r>
      <w:r w:rsidR="001B4EFC">
        <w:rPr>
          <w:i/>
        </w:rPr>
        <w:t xml:space="preserve">conceptual catharsis </w:t>
      </w:r>
      <w:r w:rsidR="001B4EFC">
        <w:t xml:space="preserve">we referred to above extended beyond the training and into </w:t>
      </w:r>
      <w:proofErr w:type="spellStart"/>
      <w:r w:rsidR="001B4EFC">
        <w:t>CoPO</w:t>
      </w:r>
      <w:proofErr w:type="spellEnd"/>
      <w:r w:rsidR="001B4EFC">
        <w:t xml:space="preserve">. </w:t>
      </w:r>
      <w:r w:rsidR="00290C0F">
        <w:t>For example, t</w:t>
      </w:r>
      <w:r w:rsidR="00A32279">
        <w:t xml:space="preserve">he data revealed isolated cases of initial guardedness among </w:t>
      </w:r>
      <w:r w:rsidR="00F92D3F">
        <w:t xml:space="preserve">a small group of </w:t>
      </w:r>
      <w:proofErr w:type="spellStart"/>
      <w:r w:rsidR="00A32279">
        <w:t>observees</w:t>
      </w:r>
      <w:proofErr w:type="spellEnd"/>
      <w:r w:rsidR="00330C8F">
        <w:t>. Despite assurances to the contrary, s</w:t>
      </w:r>
      <w:r w:rsidR="00A32279">
        <w:t xml:space="preserve">ome expressed scepticism about the underlying purpose of </w:t>
      </w:r>
      <w:proofErr w:type="spellStart"/>
      <w:r w:rsidR="00A32279">
        <w:t>CoPO</w:t>
      </w:r>
      <w:proofErr w:type="spellEnd"/>
      <w:r w:rsidR="00A32279">
        <w:t xml:space="preserve"> and felt that it would still be used to monito</w:t>
      </w:r>
      <w:r w:rsidR="00330C8F">
        <w:t>r the quality of their teaching</w:t>
      </w:r>
      <w:r w:rsidR="00A32279">
        <w:t xml:space="preserve">. One observer </w:t>
      </w:r>
      <w:r w:rsidR="00A32279" w:rsidRPr="00115E73">
        <w:t xml:space="preserve">‘sensed a nervousness in some colleagues about what to choose as their </w:t>
      </w:r>
      <w:proofErr w:type="gramStart"/>
      <w:r w:rsidR="00A32279" w:rsidRPr="00115E73">
        <w:t>focus</w:t>
      </w:r>
      <w:r w:rsidR="003C2CF8">
        <w:t>’</w:t>
      </w:r>
      <w:proofErr w:type="gramEnd"/>
      <w:r w:rsidR="003C2CF8">
        <w:t xml:space="preserve"> </w:t>
      </w:r>
      <w:r w:rsidR="005B5856">
        <w:t xml:space="preserve">and as a result </w:t>
      </w:r>
      <w:r w:rsidR="005B5856" w:rsidRPr="00115E73">
        <w:t>‘a lot</w:t>
      </w:r>
      <w:r w:rsidR="00330C8F">
        <w:t xml:space="preserve"> [of </w:t>
      </w:r>
      <w:proofErr w:type="spellStart"/>
      <w:r w:rsidR="00330C8F">
        <w:t>observees</w:t>
      </w:r>
      <w:proofErr w:type="spellEnd"/>
      <w:r w:rsidR="00330C8F">
        <w:t>]</w:t>
      </w:r>
      <w:r w:rsidR="005B5856" w:rsidRPr="00115E73">
        <w:t xml:space="preserve"> still choose something they’re good at’</w:t>
      </w:r>
      <w:r w:rsidR="003D18EB">
        <w:t xml:space="preserve">. </w:t>
      </w:r>
      <w:r w:rsidR="003C2CF8">
        <w:t xml:space="preserve">This was </w:t>
      </w:r>
      <w:r w:rsidR="005B2630">
        <w:t xml:space="preserve">reinforced </w:t>
      </w:r>
      <w:r w:rsidR="003C2CF8">
        <w:t>in the qualitative data</w:t>
      </w:r>
      <w:r w:rsidR="005B2630" w:rsidRPr="005B2630">
        <w:t xml:space="preserve"> </w:t>
      </w:r>
      <w:r w:rsidR="005B2630">
        <w:t xml:space="preserve">from several </w:t>
      </w:r>
      <w:proofErr w:type="spellStart"/>
      <w:r w:rsidR="005B2630">
        <w:t>observees</w:t>
      </w:r>
      <w:proofErr w:type="spellEnd"/>
      <w:r w:rsidR="00BA1608">
        <w:t>,</w:t>
      </w:r>
      <w:r w:rsidR="003C2CF8">
        <w:t xml:space="preserve"> whose first reactions</w:t>
      </w:r>
      <w:r w:rsidR="00400C55">
        <w:t xml:space="preserve"> to hearing about the introduction of a new observation scheme in the faculty was to plan an ‘all singing, all dancing lesson’ on the premise that they ‘had to prove [their] worth’</w:t>
      </w:r>
      <w:r w:rsidR="003C2CF8">
        <w:t xml:space="preserve">. </w:t>
      </w:r>
      <w:r w:rsidR="00400C55">
        <w:t>However, i</w:t>
      </w:r>
      <w:r w:rsidR="003D18EB">
        <w:t>n</w:t>
      </w:r>
      <w:r w:rsidR="005B5856">
        <w:t xml:space="preserve"> the following extract from a focus group, a</w:t>
      </w:r>
      <w:r w:rsidR="006F1204">
        <w:t>n</w:t>
      </w:r>
      <w:r w:rsidR="005B5856">
        <w:t xml:space="preserve"> observer </w:t>
      </w:r>
      <w:r w:rsidR="006F1204">
        <w:t xml:space="preserve">from a teacher education programme </w:t>
      </w:r>
      <w:r w:rsidR="008F20B8">
        <w:t>shares</w:t>
      </w:r>
      <w:r w:rsidR="005B5856">
        <w:t xml:space="preserve"> how his colleague’s initial scepticism to </w:t>
      </w:r>
      <w:proofErr w:type="spellStart"/>
      <w:r w:rsidR="005B5856">
        <w:t>CoPO</w:t>
      </w:r>
      <w:proofErr w:type="spellEnd"/>
      <w:r w:rsidR="005B5856">
        <w:t xml:space="preserve"> dissipated once they began the cycle:</w:t>
      </w:r>
    </w:p>
    <w:p w14:paraId="2F05AAE7" w14:textId="72207486" w:rsidR="005B5856" w:rsidRDefault="006F1204" w:rsidP="003D5F7C">
      <w:pPr>
        <w:pStyle w:val="Displayedquotation"/>
      </w:pPr>
      <w:r>
        <w:lastRenderedPageBreak/>
        <w:t xml:space="preserve">I had an initial </w:t>
      </w:r>
      <w:r w:rsidR="00DC1C53">
        <w:t>exchange with a colleague about</w:t>
      </w:r>
      <w:r w:rsidR="003D18EB">
        <w:t xml:space="preserve"> the</w:t>
      </w:r>
      <w:r>
        <w:t xml:space="preserve"> observation cycle and their immediate response was, ʺOh God, how can we jump through this hoop as quickly and as painlessly as possible</w:t>
      </w:r>
      <w:proofErr w:type="gramStart"/>
      <w:r>
        <w:t>?ʺ</w:t>
      </w:r>
      <w:proofErr w:type="gramEnd"/>
      <w:r>
        <w:t xml:space="preserve"> … But then what was really interesting is that once they identified something that was really challenging to them in their teaching, the meetings we had both before and after the observation were really productive, focused and forward looking. And they ended up admitting that it had been a worthwhile exercise after all!</w:t>
      </w:r>
    </w:p>
    <w:p w14:paraId="0E3C70CA" w14:textId="777C0BA4" w:rsidR="007E2F30" w:rsidRDefault="006C51E6" w:rsidP="00260E6A">
      <w:pPr>
        <w:pStyle w:val="Paragraph"/>
        <w:ind w:firstLine="709"/>
      </w:pPr>
      <w:r w:rsidRPr="00E7341A">
        <w:t xml:space="preserve">Some observers </w:t>
      </w:r>
      <w:r>
        <w:t>worked with</w:t>
      </w:r>
      <w:r w:rsidRPr="00E7341A">
        <w:t xml:space="preserve"> </w:t>
      </w:r>
      <w:proofErr w:type="spellStart"/>
      <w:r w:rsidRPr="00E7341A">
        <w:t>observees</w:t>
      </w:r>
      <w:proofErr w:type="spellEnd"/>
      <w:r w:rsidRPr="00E7341A">
        <w:t xml:space="preserve"> who </w:t>
      </w:r>
      <w:r>
        <w:t>had been</w:t>
      </w:r>
      <w:r w:rsidRPr="00E7341A">
        <w:t xml:space="preserve"> conditioned to </w:t>
      </w:r>
      <w:r w:rsidR="00DC1C53">
        <w:t xml:space="preserve">view the main purpose of observation as </w:t>
      </w:r>
      <w:r>
        <w:t>summative assessments of</w:t>
      </w:r>
      <w:r w:rsidRPr="00E7341A">
        <w:t xml:space="preserve"> </w:t>
      </w:r>
      <w:r w:rsidR="00DC1C53">
        <w:t xml:space="preserve">their </w:t>
      </w:r>
      <w:r w:rsidRPr="00E7341A">
        <w:t>teaching</w:t>
      </w:r>
      <w:r w:rsidR="00DC1C53">
        <w:t xml:space="preserve"> (O’Leary 2013)</w:t>
      </w:r>
      <w:r>
        <w:t>. O</w:t>
      </w:r>
      <w:r w:rsidRPr="007C5640">
        <w:t xml:space="preserve">bservers reported several </w:t>
      </w:r>
      <w:r w:rsidR="00CA38FD">
        <w:t>examples</w:t>
      </w:r>
      <w:r w:rsidRPr="007C5640">
        <w:t xml:space="preserve"> where </w:t>
      </w:r>
      <w:proofErr w:type="spellStart"/>
      <w:r w:rsidRPr="007C5640">
        <w:t>observees</w:t>
      </w:r>
      <w:proofErr w:type="spellEnd"/>
      <w:r w:rsidRPr="007C5640">
        <w:t xml:space="preserve"> explicitly requested advice on improving their teaching, </w:t>
      </w:r>
      <w:r>
        <w:t xml:space="preserve">but rather than offer opinions and </w:t>
      </w:r>
      <w:r w:rsidR="00290C0F">
        <w:t>advice</w:t>
      </w:r>
      <w:r>
        <w:t xml:space="preserve">, </w:t>
      </w:r>
      <w:r w:rsidR="00290C0F">
        <w:t>they</w:t>
      </w:r>
      <w:r>
        <w:t xml:space="preserve"> </w:t>
      </w:r>
      <w:r w:rsidR="00CA38FD">
        <w:t xml:space="preserve">were able to </w:t>
      </w:r>
      <w:r>
        <w:t xml:space="preserve">maintain an ethos of inquiry which created the space for the </w:t>
      </w:r>
      <w:proofErr w:type="spellStart"/>
      <w:r>
        <w:t>observee</w:t>
      </w:r>
      <w:proofErr w:type="spellEnd"/>
      <w:r>
        <w:t xml:space="preserve"> to</w:t>
      </w:r>
      <w:r w:rsidRPr="007C5640">
        <w:t xml:space="preserve"> </w:t>
      </w:r>
      <w:r>
        <w:t>generate</w:t>
      </w:r>
      <w:r w:rsidRPr="007C5640">
        <w:t xml:space="preserve"> their own solutions.</w:t>
      </w:r>
      <w:r>
        <w:t xml:space="preserve"> </w:t>
      </w:r>
      <w:r w:rsidR="00290C0F">
        <w:t>O</w:t>
      </w:r>
      <w:r w:rsidR="007E2F30">
        <w:t xml:space="preserve">ne midwifery </w:t>
      </w:r>
      <w:r w:rsidR="007E2F30" w:rsidRPr="007E2F30">
        <w:t xml:space="preserve">lecturer </w:t>
      </w:r>
      <w:r w:rsidR="00310502">
        <w:t xml:space="preserve">still </w:t>
      </w:r>
      <w:r w:rsidR="00290C0F">
        <w:t>found this challenging:</w:t>
      </w:r>
      <w:r w:rsidR="007E2F30" w:rsidRPr="007E2F30">
        <w:t xml:space="preserve"> ‘I understood the process to be non-judgemental and this was achieved but to the extent where I actually craved some judgement and validation for what I was doing.’ </w:t>
      </w:r>
      <w:r w:rsidR="007C5640" w:rsidRPr="007E2F30">
        <w:t xml:space="preserve">This was certainly a recurring theme across different data sets where both observers and </w:t>
      </w:r>
      <w:proofErr w:type="spellStart"/>
      <w:r w:rsidR="007C5640" w:rsidRPr="007E2F30">
        <w:t>observees</w:t>
      </w:r>
      <w:proofErr w:type="spellEnd"/>
      <w:r w:rsidR="007C5640" w:rsidRPr="007E2F30">
        <w:t xml:space="preserve"> identified a desire from some staff to receive comments about the effectiveness of their teaching, driven </w:t>
      </w:r>
      <w:r w:rsidR="00890BC9">
        <w:t>by what largely seemed</w:t>
      </w:r>
      <w:r w:rsidR="007C5640" w:rsidRPr="007E2F30">
        <w:t xml:space="preserve"> a need for validation that they were ‘doing a good job’.</w:t>
      </w:r>
      <w:r w:rsidR="00890BC9">
        <w:t xml:space="preserve"> This raises interesting questions</w:t>
      </w:r>
      <w:r w:rsidR="00290C0F">
        <w:t xml:space="preserve"> about </w:t>
      </w:r>
      <w:r w:rsidR="00290C0F" w:rsidRPr="00E7341A">
        <w:t xml:space="preserve">the need for judgement and validation </w:t>
      </w:r>
      <w:r w:rsidR="00890BC9">
        <w:t>in HE professional practice.</w:t>
      </w:r>
      <w:r w:rsidR="00290C0F" w:rsidRPr="00E7341A">
        <w:t xml:space="preserve"> What opportunities are </w:t>
      </w:r>
      <w:r w:rsidR="00290C0F">
        <w:t xml:space="preserve">available </w:t>
      </w:r>
      <w:r w:rsidR="00290C0F" w:rsidRPr="00E7341A">
        <w:t xml:space="preserve">for </w:t>
      </w:r>
      <w:r w:rsidR="00890BC9">
        <w:t>academic staff</w:t>
      </w:r>
      <w:r w:rsidR="00290C0F" w:rsidRPr="00E7341A">
        <w:t xml:space="preserve"> to receive positive affirmations</w:t>
      </w:r>
      <w:r w:rsidR="00C07CD4">
        <w:t xml:space="preserve"> of their teaching</w:t>
      </w:r>
      <w:r w:rsidR="00290C0F" w:rsidRPr="00E7341A">
        <w:t>?</w:t>
      </w:r>
      <w:r w:rsidR="00C07CD4">
        <w:t xml:space="preserve"> Or, indeed, as we explore in the following section below, what opportunities are there for </w:t>
      </w:r>
      <w:r w:rsidR="00890BC9">
        <w:t>them</w:t>
      </w:r>
      <w:r w:rsidR="00C07CD4">
        <w:t xml:space="preserve"> to discuss learning and teaching?</w:t>
      </w:r>
    </w:p>
    <w:p w14:paraId="619FB551" w14:textId="597C75BA" w:rsidR="00413CE2" w:rsidRPr="00E7341A" w:rsidRDefault="00F92D3F" w:rsidP="004D565C">
      <w:pPr>
        <w:pStyle w:val="Newparagraph"/>
      </w:pPr>
      <w:r>
        <w:t>It was clear that disassociating observation from its ap</w:t>
      </w:r>
      <w:r w:rsidR="007E1E32">
        <w:t xml:space="preserve">plication as an assessment tool </w:t>
      </w:r>
      <w:r>
        <w:t>to monitor and measure the effectiveness of their teaching represented a significant challenge</w:t>
      </w:r>
      <w:r w:rsidRPr="00F92D3F">
        <w:t xml:space="preserve"> </w:t>
      </w:r>
      <w:r>
        <w:t>for some staff more so than others</w:t>
      </w:r>
      <w:r w:rsidR="00115E73" w:rsidRPr="00115E73">
        <w:t>, particularly for those working in disciplines such as education where there is a longstanding association between observation and p</w:t>
      </w:r>
      <w:r w:rsidR="00115E73">
        <w:t>erformance management/appraisal (</w:t>
      </w:r>
      <w:proofErr w:type="spellStart"/>
      <w:r w:rsidR="007E1E32">
        <w:t>Tilstone</w:t>
      </w:r>
      <w:proofErr w:type="spellEnd"/>
      <w:r w:rsidR="007E1E32">
        <w:t xml:space="preserve"> 2012</w:t>
      </w:r>
      <w:r w:rsidR="00115E73">
        <w:t xml:space="preserve">). Having an awareness of these prior experiences </w:t>
      </w:r>
      <w:r w:rsidR="00115E73">
        <w:lastRenderedPageBreak/>
        <w:t xml:space="preserve">helped to contextualise comments such as ‘I have often been paralysed by fear about observations’ or that their experience of observations in </w:t>
      </w:r>
      <w:r w:rsidR="00890BC9">
        <w:t xml:space="preserve">colleges and </w:t>
      </w:r>
      <w:r w:rsidR="00115E73">
        <w:t>schools was that they were ‘box-ticking’</w:t>
      </w:r>
      <w:r w:rsidR="006A1C83">
        <w:t xml:space="preserve"> exercises</w:t>
      </w:r>
      <w:r w:rsidR="006102E9">
        <w:t>, which were associations that were addressed in staff briefings and training</w:t>
      </w:r>
      <w:r w:rsidR="006A1C83">
        <w:t>.</w:t>
      </w:r>
    </w:p>
    <w:p w14:paraId="3F99EFBD" w14:textId="61B044B7" w:rsidR="005E7DCE" w:rsidRPr="00E7341A" w:rsidRDefault="007C5640" w:rsidP="004D565C">
      <w:pPr>
        <w:pStyle w:val="Newparagraph"/>
      </w:pPr>
      <w:r>
        <w:t xml:space="preserve">While some </w:t>
      </w:r>
      <w:proofErr w:type="spellStart"/>
      <w:r>
        <w:t>observees</w:t>
      </w:r>
      <w:proofErr w:type="spellEnd"/>
      <w:r>
        <w:t xml:space="preserve"> may have craved judg</w:t>
      </w:r>
      <w:r w:rsidR="00084CC2">
        <w:t>e</w:t>
      </w:r>
      <w:r>
        <w:t xml:space="preserve">ment, </w:t>
      </w:r>
      <w:r w:rsidR="00726C99">
        <w:t>some observers also found it difficult to</w:t>
      </w:r>
      <w:r w:rsidR="00084CC2">
        <w:t xml:space="preserve"> withhold</w:t>
      </w:r>
      <w:r w:rsidR="00290C0F">
        <w:t>. O</w:t>
      </w:r>
      <w:r w:rsidR="006A1C83">
        <w:t xml:space="preserve">ne of the </w:t>
      </w:r>
      <w:r w:rsidR="0027004F">
        <w:t>main</w:t>
      </w:r>
      <w:r w:rsidR="0027004F" w:rsidRPr="00E7341A">
        <w:t xml:space="preserve"> </w:t>
      </w:r>
      <w:r w:rsidR="00997C33" w:rsidRPr="00E7341A">
        <w:t>challenge</w:t>
      </w:r>
      <w:r w:rsidR="006E6177">
        <w:t>s</w:t>
      </w:r>
      <w:r w:rsidR="00997C33" w:rsidRPr="00E7341A">
        <w:t xml:space="preserve"> for observers was </w:t>
      </w:r>
      <w:r w:rsidR="0027004F">
        <w:t xml:space="preserve">thus </w:t>
      </w:r>
      <w:r w:rsidR="00997C33" w:rsidRPr="00E7341A">
        <w:t xml:space="preserve">the adoption of a non-evaluative approach to observing. </w:t>
      </w:r>
      <w:r w:rsidR="00726C99">
        <w:t>A</w:t>
      </w:r>
      <w:r w:rsidR="006A1C83">
        <w:t xml:space="preserve"> senior </w:t>
      </w:r>
      <w:r w:rsidR="00290C0F">
        <w:t>nursing academic</w:t>
      </w:r>
      <w:r w:rsidR="006A1C83">
        <w:t xml:space="preserve"> commented </w:t>
      </w:r>
      <w:r w:rsidR="00E64EBA">
        <w:t>‘</w:t>
      </w:r>
      <w:r w:rsidR="006A1C83">
        <w:t>t</w:t>
      </w:r>
      <w:r w:rsidR="00EF45F1" w:rsidRPr="00E7341A">
        <w:t>he biggest challenge f</w:t>
      </w:r>
      <w:r w:rsidR="006A1C83">
        <w:t>or me is not judging what I see</w:t>
      </w:r>
      <w:r w:rsidR="00EF45F1" w:rsidRPr="00E7341A">
        <w:t xml:space="preserve"> and wanting to sha</w:t>
      </w:r>
      <w:r w:rsidR="006A1C83">
        <w:t>re over 15 years of experience.’</w:t>
      </w:r>
      <w:r w:rsidR="00EF45F1" w:rsidRPr="00E7341A">
        <w:t xml:space="preserve"> </w:t>
      </w:r>
      <w:r w:rsidR="00726C99" w:rsidRPr="00E7341A">
        <w:t>A review of the data from the observers’ notes (Stage 3) and their reflections on the post-observation di</w:t>
      </w:r>
      <w:r w:rsidR="00726C99">
        <w:t>scussion (Stage 6) revealed instances</w:t>
      </w:r>
      <w:r w:rsidR="00726C99" w:rsidRPr="00E7341A">
        <w:t xml:space="preserve"> of a judgemental focus </w:t>
      </w:r>
      <w:r w:rsidR="0027004F">
        <w:t>in their</w:t>
      </w:r>
      <w:r w:rsidR="00726C99">
        <w:t xml:space="preserve"> reporting style</w:t>
      </w:r>
      <w:r w:rsidR="00726C99" w:rsidRPr="00E7341A">
        <w:t xml:space="preserve">. </w:t>
      </w:r>
      <w:r w:rsidR="006A1C83">
        <w:t>Another</w:t>
      </w:r>
      <w:r w:rsidR="005E7DCE" w:rsidRPr="00E7341A">
        <w:t xml:space="preserve"> observer from nursing commented</w:t>
      </w:r>
      <w:r w:rsidR="006A1C83">
        <w:t xml:space="preserve"> on the difficulties involved in observing a session they felt required improvement</w:t>
      </w:r>
      <w:r w:rsidR="00330C8F">
        <w:t>:</w:t>
      </w:r>
      <w:r w:rsidR="005E7DCE" w:rsidRPr="00E7341A">
        <w:t xml:space="preserve"> </w:t>
      </w:r>
    </w:p>
    <w:p w14:paraId="602046AD" w14:textId="16BD4C53" w:rsidR="005E7DCE" w:rsidRPr="00E7341A" w:rsidRDefault="005E7DCE" w:rsidP="003D5F7C">
      <w:pPr>
        <w:pStyle w:val="Displayedquotation"/>
      </w:pPr>
      <w:r w:rsidRPr="00E7341A">
        <w:t>I started the post-</w:t>
      </w:r>
      <w:r w:rsidR="00997C33" w:rsidRPr="00E7341A">
        <w:t>session briefing with only asking questions, not giving any criticism or suggestions</w:t>
      </w:r>
      <w:r w:rsidRPr="00E7341A">
        <w:t xml:space="preserve"> </w:t>
      </w:r>
      <w:r w:rsidR="00997C33" w:rsidRPr="00E7341A">
        <w:t>…</w:t>
      </w:r>
      <w:r w:rsidRPr="00E7341A">
        <w:t xml:space="preserve"> </w:t>
      </w:r>
      <w:r w:rsidR="00997C33" w:rsidRPr="00E7341A">
        <w:t xml:space="preserve">I found myself in a difficult situation, because my perception of the session and the student engagement was miles apart from that of the </w:t>
      </w:r>
      <w:proofErr w:type="spellStart"/>
      <w:r w:rsidR="00997C33" w:rsidRPr="00E7341A">
        <w:t>observee</w:t>
      </w:r>
      <w:proofErr w:type="spellEnd"/>
      <w:r w:rsidR="00997C33" w:rsidRPr="00E7341A">
        <w:t xml:space="preserve"> and it was difficult to communicate that there were improvement</w:t>
      </w:r>
      <w:r w:rsidRPr="00E7341A">
        <w:t>s necessary.</w:t>
      </w:r>
    </w:p>
    <w:p w14:paraId="25086C91" w14:textId="7673E814" w:rsidR="000B668F" w:rsidRDefault="005E7DCE" w:rsidP="00260E6A">
      <w:pPr>
        <w:pStyle w:val="Paragraph"/>
        <w:ind w:firstLine="709"/>
      </w:pPr>
      <w:r w:rsidRPr="00E7341A">
        <w:t>The observer concluded</w:t>
      </w:r>
      <w:r w:rsidR="00997C33" w:rsidRPr="00E7341A">
        <w:t xml:space="preserve"> their </w:t>
      </w:r>
      <w:r w:rsidRPr="00E7341A">
        <w:t xml:space="preserve">written reflection by listing nine suggestions for improvement that </w:t>
      </w:r>
      <w:r w:rsidR="00997C33" w:rsidRPr="00E7341A">
        <w:t xml:space="preserve">they subsequently shared with the </w:t>
      </w:r>
      <w:proofErr w:type="spellStart"/>
      <w:r w:rsidR="00997C33" w:rsidRPr="00E7341A">
        <w:t>observee</w:t>
      </w:r>
      <w:proofErr w:type="spellEnd"/>
      <w:r w:rsidR="00997C33" w:rsidRPr="00E7341A">
        <w:t>.</w:t>
      </w:r>
      <w:r w:rsidRPr="00E7341A">
        <w:t xml:space="preserve"> Whilst this practice was clearly at odds with the project’s methodological and axiological approach, it raises </w:t>
      </w:r>
      <w:r w:rsidR="005C2CA5" w:rsidRPr="00E7341A">
        <w:t xml:space="preserve">some important questions relating to judgemental </w:t>
      </w:r>
      <w:r w:rsidR="0039137C" w:rsidRPr="00E7341A">
        <w:t xml:space="preserve">observation </w:t>
      </w:r>
      <w:r w:rsidR="005C2CA5" w:rsidRPr="00E7341A">
        <w:t>appro</w:t>
      </w:r>
      <w:r w:rsidR="0039137C">
        <w:t>aches</w:t>
      </w:r>
      <w:r w:rsidR="005C2CA5" w:rsidRPr="00E7341A">
        <w:t xml:space="preserve">. On what basis is such judgement warranted? As a result of hierarchical standing? Expertise and/or experience in the field? By invitation from the </w:t>
      </w:r>
      <w:proofErr w:type="spellStart"/>
      <w:r w:rsidR="005C2CA5" w:rsidRPr="00E7341A">
        <w:t>observee</w:t>
      </w:r>
      <w:proofErr w:type="spellEnd"/>
      <w:r w:rsidR="005C2CA5" w:rsidRPr="00E7341A">
        <w:t>?</w:t>
      </w:r>
      <w:r w:rsidR="00435EAE">
        <w:t xml:space="preserve"> </w:t>
      </w:r>
      <w:r w:rsidR="00FA441C">
        <w:t xml:space="preserve">How </w:t>
      </w:r>
      <w:r w:rsidR="00435EAE">
        <w:t xml:space="preserve">observers </w:t>
      </w:r>
      <w:r w:rsidR="00FA441C">
        <w:t xml:space="preserve">should respond when </w:t>
      </w:r>
      <w:r w:rsidR="00435EAE">
        <w:t>witnessing ‘poor’ or ‘</w:t>
      </w:r>
      <w:r w:rsidR="00FA441C">
        <w:t xml:space="preserve">weak’ teaching in sessions emerged as a key discussion point in the evaluation of the pilot. </w:t>
      </w:r>
      <w:r w:rsidR="00B078CE">
        <w:t>T</w:t>
      </w:r>
      <w:r w:rsidR="00FA441C">
        <w:t xml:space="preserve">here was agreement that </w:t>
      </w:r>
      <w:r w:rsidR="00C64F9E">
        <w:t>such instances, however rare they may be, should not be ignored on the grounds of professional responsibility and a duty of ca</w:t>
      </w:r>
      <w:r w:rsidR="00B078CE">
        <w:t xml:space="preserve">re to students. </w:t>
      </w:r>
      <w:r w:rsidR="00B078CE">
        <w:lastRenderedPageBreak/>
        <w:t xml:space="preserve">Nevertheless, participants felt that </w:t>
      </w:r>
      <w:proofErr w:type="spellStart"/>
      <w:r w:rsidR="00B078CE">
        <w:t>CoPO</w:t>
      </w:r>
      <w:proofErr w:type="spellEnd"/>
      <w:r w:rsidR="00B078CE">
        <w:t xml:space="preserve"> was not the forum in which to deal with issues of competence and capability, as it could jeopardise the underpinning ethos of the scheme. </w:t>
      </w:r>
      <w:r w:rsidR="00620B20">
        <w:t>Observers were advised to follow</w:t>
      </w:r>
      <w:r w:rsidR="00B078CE">
        <w:t xml:space="preserve"> established organisational systems and procedures that were more suited to this.  </w:t>
      </w:r>
    </w:p>
    <w:p w14:paraId="2B3E7C82" w14:textId="37F99C01" w:rsidR="005E7DCE" w:rsidRDefault="005E7DCE" w:rsidP="004D565C">
      <w:pPr>
        <w:pStyle w:val="Newparagraph"/>
      </w:pPr>
      <w:r w:rsidRPr="00E7341A">
        <w:t xml:space="preserve">Some observers </w:t>
      </w:r>
      <w:r w:rsidR="007C5640">
        <w:t xml:space="preserve">also </w:t>
      </w:r>
      <w:r w:rsidR="00842BB8" w:rsidRPr="00E7341A">
        <w:t>found it difficult to pose questions that</w:t>
      </w:r>
      <w:r w:rsidR="00B268AE" w:rsidRPr="00E7341A">
        <w:t xml:space="preserve"> seemed open and didn’t imply judgement. </w:t>
      </w:r>
      <w:r w:rsidR="00B078CE">
        <w:t>The main reason for this was twofold</w:t>
      </w:r>
      <w:r w:rsidR="006102E9">
        <w:t>, both of which have repercussions for the further development of our approach</w:t>
      </w:r>
      <w:r w:rsidR="00B078CE">
        <w:t xml:space="preserve">. Firstly, </w:t>
      </w:r>
      <w:r w:rsidR="00CD3B00">
        <w:t xml:space="preserve">with hindsight, </w:t>
      </w:r>
      <w:r w:rsidR="00B078CE">
        <w:t>the training and time devoted to practising coaching conversations</w:t>
      </w:r>
      <w:r w:rsidR="00CD3B00">
        <w:t xml:space="preserve"> and asking questions during the observer training programme was insufficient. And secondly, </w:t>
      </w:r>
      <w:r w:rsidR="00711EF5">
        <w:t xml:space="preserve">we realise now that </w:t>
      </w:r>
      <w:r w:rsidR="006102E9">
        <w:t xml:space="preserve">it was unrealistic to expect observers </w:t>
      </w:r>
      <w:r w:rsidR="00711EF5">
        <w:t xml:space="preserve">to acquire </w:t>
      </w:r>
      <w:r w:rsidR="00CD3B00">
        <w:t xml:space="preserve">this skill </w:t>
      </w:r>
      <w:r w:rsidR="00711EF5">
        <w:t>from the outset but requires</w:t>
      </w:r>
      <w:r w:rsidR="00CD3B00">
        <w:t xml:space="preserve"> sustained practice to develop proficiency</w:t>
      </w:r>
      <w:r w:rsidRPr="00E7341A">
        <w:t xml:space="preserve">. </w:t>
      </w:r>
    </w:p>
    <w:p w14:paraId="5D778159" w14:textId="6EBE2818" w:rsidR="00FE02B2" w:rsidRDefault="00FE02B2" w:rsidP="00FE02B2">
      <w:pPr>
        <w:pStyle w:val="Newparagraph"/>
      </w:pPr>
      <w:r>
        <w:t xml:space="preserve">While the adoption of a non-judgemental approach was clearly a challenge to some observers, others appeared to manage this more successfully and this was acknowledged by their </w:t>
      </w:r>
      <w:proofErr w:type="spellStart"/>
      <w:r>
        <w:t>observees</w:t>
      </w:r>
      <w:proofErr w:type="spellEnd"/>
      <w:r>
        <w:t xml:space="preserve">:  </w:t>
      </w:r>
    </w:p>
    <w:p w14:paraId="154739A3" w14:textId="5AE5FBE2" w:rsidR="00FE02B2" w:rsidRPr="00E7341A" w:rsidRDefault="00FE02B2" w:rsidP="00FE02B2">
      <w:pPr>
        <w:pStyle w:val="Displayedquotation"/>
      </w:pPr>
      <w:r w:rsidRPr="00E7341A">
        <w:t xml:space="preserve">It was very useful as the discussion, after the observation, was almost like I was watching a video recording of my lesson. We were able to take sections of the lesson where I </w:t>
      </w:r>
      <w:r>
        <w:t>had made a pedagogical decision—</w:t>
      </w:r>
      <w:r w:rsidRPr="00E7341A">
        <w:t>intuitively</w:t>
      </w:r>
      <w:r>
        <w:t xml:space="preserve"> </w:t>
      </w:r>
      <w:r w:rsidRPr="00E7341A">
        <w:t>or deliberately</w:t>
      </w:r>
      <w:r>
        <w:t xml:space="preserve">—and </w:t>
      </w:r>
      <w:r w:rsidRPr="00E7341A">
        <w:t>then unpick it to discuss the impact of my decision on the students</w:t>
      </w:r>
      <w:r>
        <w:t>’</w:t>
      </w:r>
      <w:r w:rsidRPr="00E7341A">
        <w:t xml:space="preserve"> learning experience as well as allowing me the opportunity to reflect on my decisions which may impact on </w:t>
      </w:r>
      <w:r>
        <w:t xml:space="preserve">my future planning and delivery … </w:t>
      </w:r>
      <w:r w:rsidRPr="00E7341A">
        <w:t xml:space="preserve">This was about “observing” – not telling me where I went wrong and how I could make it better. </w:t>
      </w:r>
      <w:r>
        <w:t>My observer</w:t>
      </w:r>
      <w:r w:rsidRPr="00E7341A">
        <w:t>’s message was definitely more about us being equal professionals and not about one of us being better than the other</w:t>
      </w:r>
      <w:r>
        <w:t>.</w:t>
      </w:r>
    </w:p>
    <w:p w14:paraId="5FE51D8C" w14:textId="4A0D0D6B" w:rsidR="001716B0" w:rsidRPr="00E7341A" w:rsidRDefault="008118D3" w:rsidP="004D565C">
      <w:pPr>
        <w:pStyle w:val="Newparagraph"/>
        <w:rPr>
          <w:b/>
        </w:rPr>
      </w:pPr>
      <w:r>
        <w:t>T</w:t>
      </w:r>
      <w:r w:rsidR="0017485F" w:rsidRPr="00E7341A">
        <w:t xml:space="preserve">he episodic nature of observing a single session dominated the focus of both observer and </w:t>
      </w:r>
      <w:proofErr w:type="spellStart"/>
      <w:r w:rsidR="0017485F" w:rsidRPr="00E7341A">
        <w:t>observee</w:t>
      </w:r>
      <w:proofErr w:type="spellEnd"/>
      <w:r w:rsidR="0017485F" w:rsidRPr="00E7341A">
        <w:t xml:space="preserve">. </w:t>
      </w:r>
      <w:r w:rsidR="0039137C">
        <w:t xml:space="preserve">In the first year, </w:t>
      </w:r>
      <w:proofErr w:type="spellStart"/>
      <w:r w:rsidR="0039137C">
        <w:t>o</w:t>
      </w:r>
      <w:r w:rsidR="0017485F" w:rsidRPr="00E7341A">
        <w:t>bservee</w:t>
      </w:r>
      <w:proofErr w:type="spellEnd"/>
      <w:r w:rsidR="0017485F" w:rsidRPr="00E7341A">
        <w:t xml:space="preserve"> initial self-reflections focused almost exclusively on the observed </w:t>
      </w:r>
      <w:r>
        <w:t xml:space="preserve">session </w:t>
      </w:r>
      <w:r w:rsidR="0017485F" w:rsidRPr="00E7341A">
        <w:t xml:space="preserve">rather than a more holistic review of their practice. Although practice-based thinking prompts were distributed to </w:t>
      </w:r>
      <w:proofErr w:type="spellStart"/>
      <w:r w:rsidR="0017485F" w:rsidRPr="00E7341A">
        <w:t>observees</w:t>
      </w:r>
      <w:proofErr w:type="spellEnd"/>
      <w:r w:rsidR="0017485F" w:rsidRPr="00E7341A">
        <w:t xml:space="preserve"> as an optional tool</w:t>
      </w:r>
      <w:r w:rsidR="00CA0593">
        <w:t>,</w:t>
      </w:r>
      <w:r w:rsidR="0017485F" w:rsidRPr="00E7341A">
        <w:t xml:space="preserve"> these did not seem to stimulate thinking beyond the scope of what they were planning to </w:t>
      </w:r>
      <w:r w:rsidR="0017485F" w:rsidRPr="00E7341A">
        <w:lastRenderedPageBreak/>
        <w:t xml:space="preserve">show the observer. Across schools and departments, most of the focus was on the observed session with </w:t>
      </w:r>
      <w:r w:rsidR="00CA0593">
        <w:t xml:space="preserve">less </w:t>
      </w:r>
      <w:r w:rsidR="0017485F" w:rsidRPr="00E7341A">
        <w:t>thought towards the implications for wider practice</w:t>
      </w:r>
      <w:r w:rsidR="00971781" w:rsidRPr="00E7341A">
        <w:t>.</w:t>
      </w:r>
      <w:r w:rsidR="005C2CA5" w:rsidRPr="00E7341A">
        <w:t xml:space="preserve"> This revealed the need for a more explicit focus on the relationship between the two in staff briefings and training. </w:t>
      </w:r>
      <w:r w:rsidR="001716B0" w:rsidRPr="00E7341A">
        <w:t xml:space="preserve">One of the key learning points from this has been the need for a consistency in lines of </w:t>
      </w:r>
      <w:r w:rsidR="001716B0">
        <w:t>co</w:t>
      </w:r>
      <w:r w:rsidR="001716B0" w:rsidRPr="00E7341A">
        <w:t>mmunication at all levels and ongoing dissemination, yet equally a flexibility in accommodating localised contexts and circumstances.</w:t>
      </w:r>
    </w:p>
    <w:p w14:paraId="04870A5B" w14:textId="2281EE3D" w:rsidR="002B0436" w:rsidRPr="002B0436" w:rsidRDefault="002B0436" w:rsidP="00BF628C">
      <w:pPr>
        <w:pStyle w:val="Heading2"/>
      </w:pPr>
      <w:r w:rsidRPr="002B0436">
        <w:t>The double-edged sword of time</w:t>
      </w:r>
    </w:p>
    <w:p w14:paraId="3925982B" w14:textId="29C30DCF" w:rsidR="00C56937" w:rsidRPr="00E7341A" w:rsidRDefault="0023541F" w:rsidP="00260E6A">
      <w:pPr>
        <w:pStyle w:val="Paragraph"/>
        <w:ind w:firstLine="709"/>
      </w:pPr>
      <w:r>
        <w:t>B</w:t>
      </w:r>
      <w:r w:rsidR="00C56937" w:rsidRPr="00E7341A">
        <w:t xml:space="preserve">oth observers and </w:t>
      </w:r>
      <w:proofErr w:type="spellStart"/>
      <w:r w:rsidR="00C56937" w:rsidRPr="00E7341A">
        <w:t>observees</w:t>
      </w:r>
      <w:proofErr w:type="spellEnd"/>
      <w:r w:rsidR="00C56937" w:rsidRPr="00E7341A">
        <w:t xml:space="preserve"> found allocating time for </w:t>
      </w:r>
      <w:r>
        <w:t>each stage of</w:t>
      </w:r>
      <w:r w:rsidR="00C56937" w:rsidRPr="00E7341A">
        <w:t xml:space="preserve"> </w:t>
      </w:r>
      <w:proofErr w:type="spellStart"/>
      <w:r>
        <w:t>CoPO</w:t>
      </w:r>
      <w:proofErr w:type="spellEnd"/>
      <w:r>
        <w:t xml:space="preserve"> </w:t>
      </w:r>
      <w:r w:rsidR="00AF189B">
        <w:t>a significant challenge</w:t>
      </w:r>
      <w:r w:rsidR="00C56937" w:rsidRPr="00E7341A">
        <w:t>. With many part-time staff in a practice-based faculty where students are often out on placement</w:t>
      </w:r>
      <w:r w:rsidR="00AF189B">
        <w:t xml:space="preserve"> for large periods of time</w:t>
      </w:r>
      <w:r w:rsidR="00C56937" w:rsidRPr="00E7341A">
        <w:t xml:space="preserve">, both observers and </w:t>
      </w:r>
      <w:proofErr w:type="spellStart"/>
      <w:r w:rsidR="00C56937" w:rsidRPr="00E7341A">
        <w:t>observees</w:t>
      </w:r>
      <w:proofErr w:type="spellEnd"/>
      <w:r w:rsidR="00C56937" w:rsidRPr="00E7341A">
        <w:t xml:space="preserve"> report</w:t>
      </w:r>
      <w:r w:rsidR="008118D3">
        <w:t>ed</w:t>
      </w:r>
      <w:r w:rsidR="00C56937" w:rsidRPr="00E7341A">
        <w:t xml:space="preserve"> difficulties fitting in meetings around busy timetables. Despite good intentions from staff, the post-observation discussion (Stage 5) </w:t>
      </w:r>
      <w:r w:rsidR="00AF189B">
        <w:t>would sometimes</w:t>
      </w:r>
      <w:r w:rsidR="00C56937" w:rsidRPr="00E7341A">
        <w:t xml:space="preserve"> take place weeks after the observation. Increased work </w:t>
      </w:r>
      <w:r>
        <w:t>demands are not new to HE staff</w:t>
      </w:r>
      <w:r w:rsidR="00C56937" w:rsidRPr="00E7341A">
        <w:t xml:space="preserve"> and we recognise that time and dedication </w:t>
      </w:r>
      <w:r w:rsidR="00931FA1">
        <w:t xml:space="preserve">are needed </w:t>
      </w:r>
      <w:r w:rsidR="00C56937" w:rsidRPr="00E7341A">
        <w:t xml:space="preserve">to create meaningful professional dialogues. </w:t>
      </w:r>
      <w:r>
        <w:t>Equally when done pr</w:t>
      </w:r>
      <w:r w:rsidR="004C54E4">
        <w:t xml:space="preserve">operly, </w:t>
      </w:r>
      <w:proofErr w:type="spellStart"/>
      <w:r w:rsidR="004C54E4">
        <w:t>CoPO</w:t>
      </w:r>
      <w:proofErr w:type="spellEnd"/>
      <w:r w:rsidR="004C54E4">
        <w:t xml:space="preserve"> can be</w:t>
      </w:r>
      <w:r w:rsidR="00AF189B">
        <w:t xml:space="preserve"> a time intensive process b</w:t>
      </w:r>
      <w:r>
        <w:t>ut we would argue that the return on the investm</w:t>
      </w:r>
      <w:r w:rsidR="004C54E4">
        <w:t>ent of staff</w:t>
      </w:r>
      <w:r>
        <w:t xml:space="preserve"> </w:t>
      </w:r>
      <w:r w:rsidR="004C54E4">
        <w:t>time makes it a worthwhile investment. Furthermore, the adoption of a new workload allocation m</w:t>
      </w:r>
      <w:r w:rsidR="00C56937" w:rsidRPr="00E7341A">
        <w:t xml:space="preserve">odel by the faculty may allow the time commitment of observers and </w:t>
      </w:r>
      <w:proofErr w:type="spellStart"/>
      <w:r w:rsidR="00C56937" w:rsidRPr="00E7341A">
        <w:t>observees</w:t>
      </w:r>
      <w:proofErr w:type="spellEnd"/>
      <w:r w:rsidR="00C56937" w:rsidRPr="00E7341A">
        <w:t xml:space="preserve"> to be </w:t>
      </w:r>
      <w:r w:rsidR="00931FA1">
        <w:t xml:space="preserve">formally </w:t>
      </w:r>
      <w:r w:rsidR="00C56937" w:rsidRPr="00E7341A">
        <w:t>planned and recognised</w:t>
      </w:r>
      <w:r w:rsidR="004C54E4">
        <w:t>, thus valorising it even more</w:t>
      </w:r>
      <w:r w:rsidR="00C56937" w:rsidRPr="00E7341A">
        <w:t>.</w:t>
      </w:r>
    </w:p>
    <w:p w14:paraId="5966F103" w14:textId="5A44A729" w:rsidR="00997C33" w:rsidRDefault="00C56937" w:rsidP="004D565C">
      <w:pPr>
        <w:pStyle w:val="Newparagraph"/>
      </w:pPr>
      <w:r w:rsidRPr="00E7341A">
        <w:t>Th</w:t>
      </w:r>
      <w:r w:rsidR="00C938E4">
        <w:t>e time of year an observation is</w:t>
      </w:r>
      <w:r w:rsidRPr="00E7341A">
        <w:t xml:space="preserve"> schedule</w:t>
      </w:r>
      <w:r w:rsidR="00C938E4">
        <w:t xml:space="preserve">d </w:t>
      </w:r>
      <w:r w:rsidR="00A464F1">
        <w:t>emerged</w:t>
      </w:r>
      <w:r w:rsidR="002335EE">
        <w:t xml:space="preserve"> as an obstacle </w:t>
      </w:r>
      <w:r w:rsidR="00A464F1">
        <w:t>for</w:t>
      </w:r>
      <w:r w:rsidR="002335EE">
        <w:t xml:space="preserve"> some; </w:t>
      </w:r>
      <w:r w:rsidRPr="00E7341A">
        <w:t xml:space="preserve">there </w:t>
      </w:r>
      <w:r w:rsidR="00AF189B">
        <w:t>can be</w:t>
      </w:r>
      <w:r w:rsidRPr="00E7341A">
        <w:t xml:space="preserve"> a rush to </w:t>
      </w:r>
      <w:r w:rsidR="00A464F1">
        <w:t>complete</w:t>
      </w:r>
      <w:r w:rsidRPr="00E7341A">
        <w:t xml:space="preserve"> the observations at the tail end of the academic year when there </w:t>
      </w:r>
      <w:r w:rsidR="00A464F1">
        <w:t>can be</w:t>
      </w:r>
      <w:r w:rsidRPr="00E7341A">
        <w:t xml:space="preserve"> little timetabled teaching to observe. Both observers and </w:t>
      </w:r>
      <w:proofErr w:type="spellStart"/>
      <w:r w:rsidRPr="00E7341A">
        <w:t>observees</w:t>
      </w:r>
      <w:proofErr w:type="spellEnd"/>
      <w:r w:rsidRPr="00E7341A">
        <w:t xml:space="preserve"> </w:t>
      </w:r>
      <w:r w:rsidR="00A464F1">
        <w:t>sugges</w:t>
      </w:r>
      <w:r w:rsidRPr="00E7341A">
        <w:t xml:space="preserve">ted that observations earlier in the academic cycle would have a greater impact on their practice. Nevertheless, this is not always possible, and later observations have prompted </w:t>
      </w:r>
      <w:r w:rsidR="00A464F1">
        <w:t>resourceful</w:t>
      </w:r>
      <w:r w:rsidR="00A464F1" w:rsidRPr="00E7341A">
        <w:t xml:space="preserve"> </w:t>
      </w:r>
      <w:r w:rsidRPr="00E7341A">
        <w:t>respo</w:t>
      </w:r>
      <w:r w:rsidR="004C54E4">
        <w:t>nses by some to move away from ‘traditional’</w:t>
      </w:r>
      <w:r w:rsidRPr="00E7341A">
        <w:t xml:space="preserve"> classroom observations to looking at </w:t>
      </w:r>
      <w:r w:rsidRPr="00E7341A">
        <w:lastRenderedPageBreak/>
        <w:t xml:space="preserve">wider areas of teaching practice, such as one-to-one tutorials and </w:t>
      </w:r>
      <w:r w:rsidR="004C54E4">
        <w:t xml:space="preserve">the </w:t>
      </w:r>
      <w:r w:rsidRPr="00E7341A">
        <w:t xml:space="preserve">use of e-learning. A broad understanding of teaching practice has been advocated throughout </w:t>
      </w:r>
      <w:r w:rsidR="00A464F1">
        <w:t>this project and some have embraced this</w:t>
      </w:r>
      <w:r w:rsidRPr="00E7341A">
        <w:t xml:space="preserve">. For example, two </w:t>
      </w:r>
      <w:r w:rsidR="005C2CA5" w:rsidRPr="00E7341A">
        <w:t>senior academic researcher</w:t>
      </w:r>
      <w:r w:rsidRPr="00E7341A">
        <w:t xml:space="preserve">s chose to focus on a one-to-one </w:t>
      </w:r>
      <w:r w:rsidR="007E41DF">
        <w:t>doctoral supervision session</w:t>
      </w:r>
      <w:r w:rsidR="004C54E4">
        <w:t>, sharing</w:t>
      </w:r>
      <w:r w:rsidRPr="00E7341A">
        <w:t xml:space="preserve"> meaningful reflections </w:t>
      </w:r>
      <w:r w:rsidR="004C54E4">
        <w:t xml:space="preserve">with each other </w:t>
      </w:r>
      <w:r w:rsidRPr="00E7341A">
        <w:t xml:space="preserve">about empathy </w:t>
      </w:r>
      <w:r w:rsidR="007C5640">
        <w:t>while</w:t>
      </w:r>
      <w:r w:rsidRPr="00E7341A">
        <w:t xml:space="preserve"> </w:t>
      </w:r>
      <w:r w:rsidR="007C5640">
        <w:t>exploring</w:t>
      </w:r>
      <w:r w:rsidR="00CA0593">
        <w:t xml:space="preserve"> </w:t>
      </w:r>
      <w:r w:rsidRPr="00E7341A">
        <w:t>the dif</w:t>
      </w:r>
      <w:r w:rsidR="004C54E4">
        <w:t>ficult balance a supervisor needs to</w:t>
      </w:r>
      <w:r w:rsidRPr="00E7341A">
        <w:t xml:space="preserve"> maintain between providing pastoral care and offering academic challenge.</w:t>
      </w:r>
    </w:p>
    <w:p w14:paraId="1771A4F8" w14:textId="29B18441" w:rsidR="00C938E4" w:rsidRDefault="009515C9" w:rsidP="004D565C">
      <w:pPr>
        <w:pStyle w:val="Newparagraph"/>
      </w:pPr>
      <w:r>
        <w:t>The other side of this double-</w:t>
      </w:r>
      <w:r w:rsidR="00C938E4">
        <w:t xml:space="preserve">edged sword of time was that some welcomed the introduction of </w:t>
      </w:r>
      <w:proofErr w:type="spellStart"/>
      <w:r w:rsidR="00C938E4">
        <w:t>CoPO</w:t>
      </w:r>
      <w:proofErr w:type="spellEnd"/>
      <w:r w:rsidR="00C938E4">
        <w:t xml:space="preserve"> </w:t>
      </w:r>
      <w:r w:rsidR="00931FA1">
        <w:t>because</w:t>
      </w:r>
      <w:r w:rsidR="00C938E4">
        <w:t xml:space="preserve"> </w:t>
      </w:r>
      <w:r w:rsidR="00A464F1">
        <w:t xml:space="preserve">in their eyes </w:t>
      </w:r>
      <w:r w:rsidR="00C938E4">
        <w:t>it had created ‘protected time’ for collaborative reflection and discussion</w:t>
      </w:r>
      <w:r w:rsidR="002902A9">
        <w:t>, as a lecturer from life sciences explains in the following extract</w:t>
      </w:r>
      <w:r w:rsidR="00C938E4">
        <w:t>:</w:t>
      </w:r>
    </w:p>
    <w:p w14:paraId="0DE89961" w14:textId="7D762DE9" w:rsidR="00C938E4" w:rsidRDefault="00C938E4" w:rsidP="003D5F7C">
      <w:pPr>
        <w:pStyle w:val="Displayedquotation"/>
      </w:pPr>
      <w:r>
        <w:t>One of the reasons why I like this scheme is that it protects time to allow you to observe your peers and spend time thinking about practice</w:t>
      </w:r>
      <w:r w:rsidR="00606A24">
        <w:t xml:space="preserve"> and talking about teaching and learning</w:t>
      </w:r>
      <w:r>
        <w:t>, which you wouldn’t normally get as we’re all so busy.</w:t>
      </w:r>
    </w:p>
    <w:p w14:paraId="1A2B822A" w14:textId="77777777" w:rsidR="002902A9" w:rsidRDefault="002902A9" w:rsidP="003D5F7C">
      <w:pPr>
        <w:pStyle w:val="Displayedquotation"/>
      </w:pPr>
    </w:p>
    <w:p w14:paraId="3E617890" w14:textId="188DADF7" w:rsidR="00260E6A" w:rsidRPr="00FC262F" w:rsidRDefault="00770470" w:rsidP="006301F1">
      <w:pPr>
        <w:pStyle w:val="Displayedquotation"/>
        <w:ind w:left="0" w:firstLine="709"/>
        <w:rPr>
          <w:sz w:val="24"/>
        </w:rPr>
      </w:pPr>
      <w:r>
        <w:rPr>
          <w:sz w:val="24"/>
        </w:rPr>
        <w:t>It seem</w:t>
      </w:r>
      <w:r w:rsidR="00606A24">
        <w:rPr>
          <w:sz w:val="24"/>
        </w:rPr>
        <w:t xml:space="preserve">s somewhat ironic that opportunities for </w:t>
      </w:r>
      <w:r>
        <w:rPr>
          <w:sz w:val="24"/>
        </w:rPr>
        <w:t>academic staff</w:t>
      </w:r>
      <w:r w:rsidR="00606A24">
        <w:rPr>
          <w:sz w:val="24"/>
        </w:rPr>
        <w:t xml:space="preserve"> to come together to discuss and share ideas about the core business of the institution i.e. learning and teaching are heavily circumscribed. </w:t>
      </w:r>
      <w:r>
        <w:rPr>
          <w:sz w:val="24"/>
        </w:rPr>
        <w:t>Yet as one senior academic from radiotherapy commented, ‘it’s the only time I’ve had to reflect and focus on my teaching in the 6 years I’ve been here’. T</w:t>
      </w:r>
      <w:r w:rsidR="00606A24">
        <w:rPr>
          <w:sz w:val="24"/>
        </w:rPr>
        <w:t xml:space="preserve">he enthusiasm for </w:t>
      </w:r>
      <w:proofErr w:type="spellStart"/>
      <w:r w:rsidR="00606A24">
        <w:rPr>
          <w:sz w:val="24"/>
        </w:rPr>
        <w:t>CoPO</w:t>
      </w:r>
      <w:proofErr w:type="spellEnd"/>
      <w:r w:rsidR="00606A24">
        <w:rPr>
          <w:sz w:val="24"/>
        </w:rPr>
        <w:t xml:space="preserve"> </w:t>
      </w:r>
      <w:r w:rsidR="00EF5A9F">
        <w:rPr>
          <w:sz w:val="24"/>
        </w:rPr>
        <w:t>manifested to date would suggest</w:t>
      </w:r>
      <w:r w:rsidR="00606A24">
        <w:rPr>
          <w:sz w:val="24"/>
        </w:rPr>
        <w:t xml:space="preserve"> that there is clearly a </w:t>
      </w:r>
      <w:r w:rsidR="00EF5A9F">
        <w:rPr>
          <w:sz w:val="24"/>
        </w:rPr>
        <w:t xml:space="preserve">demand and appetite for allowing academics </w:t>
      </w:r>
      <w:r>
        <w:rPr>
          <w:sz w:val="24"/>
        </w:rPr>
        <w:t xml:space="preserve">more </w:t>
      </w:r>
      <w:r w:rsidR="00EF5A9F">
        <w:rPr>
          <w:sz w:val="24"/>
        </w:rPr>
        <w:t xml:space="preserve">space and time to devote to discussing practice. In the words of an early </w:t>
      </w:r>
      <w:proofErr w:type="gramStart"/>
      <w:r w:rsidR="00EF5A9F">
        <w:rPr>
          <w:sz w:val="24"/>
        </w:rPr>
        <w:t>years</w:t>
      </w:r>
      <w:proofErr w:type="gramEnd"/>
      <w:r w:rsidR="00EF5A9F">
        <w:rPr>
          <w:sz w:val="24"/>
        </w:rPr>
        <w:t xml:space="preserve"> lecturer, ‘[</w:t>
      </w:r>
      <w:proofErr w:type="spellStart"/>
      <w:r w:rsidR="00EF5A9F">
        <w:rPr>
          <w:sz w:val="24"/>
        </w:rPr>
        <w:t>CoPO</w:t>
      </w:r>
      <w:proofErr w:type="spellEnd"/>
      <w:r w:rsidR="00EF5A9F">
        <w:rPr>
          <w:sz w:val="24"/>
        </w:rPr>
        <w:t>] has given us the oxygen to breath</w:t>
      </w:r>
      <w:r>
        <w:rPr>
          <w:sz w:val="24"/>
        </w:rPr>
        <w:t>e</w:t>
      </w:r>
      <w:r w:rsidR="00EF5A9F">
        <w:rPr>
          <w:sz w:val="24"/>
        </w:rPr>
        <w:t xml:space="preserve"> … when you’re given the oxygen, it helps to breathe new life into your thinking and your teaching.’ </w:t>
      </w:r>
    </w:p>
    <w:p w14:paraId="58D6191E" w14:textId="505732F6" w:rsidR="002B0436" w:rsidRDefault="00BF628C" w:rsidP="00BF628C">
      <w:pPr>
        <w:pStyle w:val="Heading2"/>
      </w:pPr>
      <w:r>
        <w:t>R</w:t>
      </w:r>
      <w:r w:rsidR="002B0436" w:rsidRPr="002B0436">
        <w:t xml:space="preserve">estoring </w:t>
      </w:r>
      <w:r w:rsidR="002B0436">
        <w:t xml:space="preserve">professional agency through </w:t>
      </w:r>
      <w:proofErr w:type="spellStart"/>
      <w:r w:rsidR="002B0436">
        <w:t>CoPO</w:t>
      </w:r>
      <w:proofErr w:type="spellEnd"/>
    </w:p>
    <w:p w14:paraId="0782EEDF" w14:textId="0AAA294F" w:rsidR="005C2CA5" w:rsidRDefault="00931FA1" w:rsidP="00260E6A">
      <w:pPr>
        <w:pStyle w:val="Paragraph"/>
        <w:ind w:firstLine="709"/>
      </w:pPr>
      <w:r w:rsidRPr="00931FA1">
        <w:t>Establishing rapport between observ</w:t>
      </w:r>
      <w:r>
        <w:t xml:space="preserve">er and </w:t>
      </w:r>
      <w:proofErr w:type="spellStart"/>
      <w:r>
        <w:t>observee</w:t>
      </w:r>
      <w:proofErr w:type="spellEnd"/>
      <w:r>
        <w:t xml:space="preserve"> is essential to create an atmosphere</w:t>
      </w:r>
      <w:r w:rsidRPr="00931FA1">
        <w:t xml:space="preserve"> </w:t>
      </w:r>
      <w:r>
        <w:t xml:space="preserve">of </w:t>
      </w:r>
      <w:r w:rsidRPr="00931FA1">
        <w:t xml:space="preserve">trust and confidence </w:t>
      </w:r>
      <w:r>
        <w:t xml:space="preserve">to </w:t>
      </w:r>
      <w:r w:rsidRPr="00931FA1">
        <w:t xml:space="preserve">openly </w:t>
      </w:r>
      <w:r>
        <w:t>discuss and reflect</w:t>
      </w:r>
      <w:r w:rsidRPr="00931FA1">
        <w:t xml:space="preserve"> on practice</w:t>
      </w:r>
      <w:r w:rsidR="0039137C">
        <w:t xml:space="preserve">, </w:t>
      </w:r>
      <w:r w:rsidR="0039137C" w:rsidRPr="002B0436">
        <w:t>particularly for colleagues who may not know each other well</w:t>
      </w:r>
      <w:r w:rsidRPr="00931FA1">
        <w:t xml:space="preserve">. </w:t>
      </w:r>
      <w:proofErr w:type="spellStart"/>
      <w:r w:rsidRPr="00931FA1">
        <w:t>Observees</w:t>
      </w:r>
      <w:proofErr w:type="spellEnd"/>
      <w:r w:rsidRPr="00931FA1">
        <w:t xml:space="preserve"> overwhelming</w:t>
      </w:r>
      <w:r w:rsidR="002335EE">
        <w:t>ly</w:t>
      </w:r>
      <w:r w:rsidRPr="00931FA1">
        <w:t xml:space="preserve"> felt that the observers achieved this; the words they used </w:t>
      </w:r>
      <w:r w:rsidR="009F0E70">
        <w:t xml:space="preserve">repeatedly </w:t>
      </w:r>
      <w:r w:rsidRPr="00931FA1">
        <w:t>to describe their observer</w:t>
      </w:r>
      <w:r w:rsidR="00310502">
        <w:t>’s approach</w:t>
      </w:r>
      <w:r w:rsidRPr="00931FA1">
        <w:t xml:space="preserve"> </w:t>
      </w:r>
      <w:r w:rsidRPr="00931FA1">
        <w:lastRenderedPageBreak/>
        <w:t xml:space="preserve">were ‘supportive’, ‘friendly’ and ‘professional’. </w:t>
      </w:r>
      <w:r w:rsidR="0013648C">
        <w:t xml:space="preserve">Echoing </w:t>
      </w:r>
      <w:proofErr w:type="spellStart"/>
      <w:r w:rsidR="0013648C">
        <w:t>Buskist</w:t>
      </w:r>
      <w:proofErr w:type="spellEnd"/>
      <w:r w:rsidR="0013648C">
        <w:t xml:space="preserve">, Ismail and </w:t>
      </w:r>
      <w:proofErr w:type="spellStart"/>
      <w:r w:rsidR="0013648C">
        <w:t>Groccia’s</w:t>
      </w:r>
      <w:proofErr w:type="spellEnd"/>
      <w:r w:rsidR="0013648C">
        <w:t xml:space="preserve"> </w:t>
      </w:r>
      <w:r w:rsidR="009F0E70">
        <w:t>(2014, 50) emphasis on the importance of structure and planning for ‘</w:t>
      </w:r>
      <w:r w:rsidR="00BE7C5B">
        <w:t>intentional discussion of pe</w:t>
      </w:r>
      <w:r w:rsidR="009F0E70">
        <w:t>d</w:t>
      </w:r>
      <w:r w:rsidR="00BE7C5B">
        <w:t>a</w:t>
      </w:r>
      <w:r w:rsidR="009F0E70">
        <w:t>gogy</w:t>
      </w:r>
      <w:r w:rsidR="00BE7C5B">
        <w:t>’</w:t>
      </w:r>
      <w:r w:rsidR="009F0E70">
        <w:t xml:space="preserve">, </w:t>
      </w:r>
      <w:r w:rsidR="00BE7C5B">
        <w:t>b</w:t>
      </w:r>
      <w:r w:rsidR="00EF45F1" w:rsidRPr="002B0436">
        <w:t xml:space="preserve">oth observers and </w:t>
      </w:r>
      <w:proofErr w:type="spellStart"/>
      <w:r w:rsidR="00EF45F1" w:rsidRPr="002B0436">
        <w:t>observees</w:t>
      </w:r>
      <w:proofErr w:type="spellEnd"/>
      <w:r w:rsidR="00EF45F1" w:rsidRPr="002B0436">
        <w:t xml:space="preserve"> </w:t>
      </w:r>
      <w:r w:rsidR="00BE7C5B">
        <w:t xml:space="preserve">remarked on how </w:t>
      </w:r>
      <w:proofErr w:type="spellStart"/>
      <w:r w:rsidR="009F0E70">
        <w:t>CoPO</w:t>
      </w:r>
      <w:proofErr w:type="spellEnd"/>
      <w:r w:rsidR="00BE7C5B">
        <w:t xml:space="preserve"> provided a useful framework</w:t>
      </w:r>
      <w:r w:rsidR="00782759">
        <w:t xml:space="preserve"> for focused discussion</w:t>
      </w:r>
      <w:r w:rsidR="00BE7C5B">
        <w:t xml:space="preserve">. In particular, they underlined the </w:t>
      </w:r>
      <w:r w:rsidR="00782759">
        <w:t>‘</w:t>
      </w:r>
      <w:r w:rsidR="00BE7C5B">
        <w:t>vital role</w:t>
      </w:r>
      <w:r w:rsidR="00782759">
        <w:t>’</w:t>
      </w:r>
      <w:r w:rsidR="00BE7C5B">
        <w:t xml:space="preserve"> of </w:t>
      </w:r>
      <w:r w:rsidR="00EF45F1" w:rsidRPr="002B0436">
        <w:t xml:space="preserve">the pre-observation meeting </w:t>
      </w:r>
      <w:r w:rsidR="00BE7C5B">
        <w:t>(</w:t>
      </w:r>
      <w:r w:rsidR="00BE7C5B" w:rsidRPr="002B0436">
        <w:t>Stage 2</w:t>
      </w:r>
      <w:r w:rsidR="00BE7C5B">
        <w:t>) in</w:t>
      </w:r>
      <w:r w:rsidR="00EF45F1" w:rsidRPr="002B0436">
        <w:t xml:space="preserve"> the process. It allows the observer to clarify the purpose of the observation and to dispel any myths that may exist about the perfo</w:t>
      </w:r>
      <w:r>
        <w:t>r</w:t>
      </w:r>
      <w:r w:rsidR="00EF45F1" w:rsidRPr="002B0436">
        <w:t>mative nature of the process</w:t>
      </w:r>
      <w:r>
        <w:t>. An</w:t>
      </w:r>
      <w:r w:rsidR="00182FC8">
        <w:t xml:space="preserve"> observer from radiotherapy commented</w:t>
      </w:r>
      <w:r w:rsidR="002F37BF">
        <w:t>:</w:t>
      </w:r>
    </w:p>
    <w:p w14:paraId="40A9D492" w14:textId="5C3AFDA3" w:rsidR="00182FC8" w:rsidRDefault="00182FC8" w:rsidP="003D5F7C">
      <w:pPr>
        <w:pStyle w:val="Displayedquotation"/>
      </w:pPr>
      <w:r>
        <w:t xml:space="preserve">The pre-observation meeting has been so important in agreeing and clarifying the focus and unpicking the </w:t>
      </w:r>
      <w:proofErr w:type="spellStart"/>
      <w:r>
        <w:t>observee’s</w:t>
      </w:r>
      <w:proofErr w:type="spellEnd"/>
      <w:r>
        <w:t xml:space="preserve"> thinking and rationale for their focus. It’s been interesting how deep some of those discussions about teaching have been too.</w:t>
      </w:r>
    </w:p>
    <w:p w14:paraId="12BD7EE6" w14:textId="787C7975" w:rsidR="00782759" w:rsidRDefault="00782759" w:rsidP="00B95EB7">
      <w:pPr>
        <w:pStyle w:val="Newparagraph"/>
      </w:pPr>
      <w:r>
        <w:t xml:space="preserve">Equally, from the </w:t>
      </w:r>
      <w:proofErr w:type="spellStart"/>
      <w:r>
        <w:t>observees</w:t>
      </w:r>
      <w:proofErr w:type="spellEnd"/>
      <w:r>
        <w:t>’ perspective, the pre-observation meeting ‘set the tone’</w:t>
      </w:r>
      <w:r w:rsidR="00B95EB7">
        <w:t xml:space="preserve"> by encouraging them to take the lead in the discussion and its focus</w:t>
      </w:r>
      <w:r>
        <w:t xml:space="preserve">, </w:t>
      </w:r>
      <w:r w:rsidR="00B95EB7">
        <w:t xml:space="preserve">while also </w:t>
      </w:r>
      <w:r>
        <w:t xml:space="preserve">helping to </w:t>
      </w:r>
      <w:r w:rsidR="00B95EB7">
        <w:t xml:space="preserve">establish the roles, responsibilities and expectations of each party in the process. </w:t>
      </w:r>
    </w:p>
    <w:p w14:paraId="3E773CDC" w14:textId="5C76C57E" w:rsidR="00EF45F1" w:rsidRDefault="00EF45F1" w:rsidP="004D565C">
      <w:pPr>
        <w:pStyle w:val="Newparagraph"/>
      </w:pPr>
      <w:proofErr w:type="spellStart"/>
      <w:r w:rsidRPr="00E7341A">
        <w:t>Observees</w:t>
      </w:r>
      <w:proofErr w:type="spellEnd"/>
      <w:r w:rsidRPr="00E7341A">
        <w:t xml:space="preserve"> value</w:t>
      </w:r>
      <w:r w:rsidR="00B95EB7">
        <w:t>d</w:t>
      </w:r>
      <w:r w:rsidRPr="00E7341A">
        <w:t xml:space="preserve"> the p</w:t>
      </w:r>
      <w:r w:rsidR="005C2CA5" w:rsidRPr="00E7341A">
        <w:t xml:space="preserve">rofessional trust given to them. As one </w:t>
      </w:r>
      <w:r w:rsidR="00182FC8">
        <w:t>teacher education</w:t>
      </w:r>
      <w:r w:rsidR="005C2CA5" w:rsidRPr="00E7341A">
        <w:t xml:space="preserve"> lecturer commented, ‘t</w:t>
      </w:r>
      <w:r w:rsidRPr="00E7341A">
        <w:t>he fact that we have the opportunity to choose our focus and not have to pander to others’ ag</w:t>
      </w:r>
      <w:r w:rsidR="00BE7475" w:rsidRPr="00E7341A">
        <w:t xml:space="preserve">endas is very empowering to me.’ Comments like this were common among </w:t>
      </w:r>
      <w:proofErr w:type="spellStart"/>
      <w:r w:rsidR="00BE7475" w:rsidRPr="00E7341A">
        <w:t>observees</w:t>
      </w:r>
      <w:proofErr w:type="spellEnd"/>
      <w:r w:rsidR="00BE7475" w:rsidRPr="00E7341A">
        <w:t xml:space="preserve"> across different data sets, reinforcing the importance of professional agency in the process</w:t>
      </w:r>
      <w:r w:rsidRPr="00E7341A">
        <w:t xml:space="preserve"> </w:t>
      </w:r>
      <w:r w:rsidR="00BE7475" w:rsidRPr="00E7341A">
        <w:t xml:space="preserve">and </w:t>
      </w:r>
      <w:r w:rsidR="00B95EB7">
        <w:t>how this is valued by academics</w:t>
      </w:r>
      <w:r w:rsidR="00BE7475" w:rsidRPr="00E7341A">
        <w:t xml:space="preserve"> </w:t>
      </w:r>
      <w:r w:rsidR="00182FC8" w:rsidRPr="00B95EB7">
        <w:t>(</w:t>
      </w:r>
      <w:r w:rsidR="00B95EB7">
        <w:t>e.g.</w:t>
      </w:r>
      <w:r w:rsidR="00182FC8" w:rsidRPr="00B95EB7">
        <w:t xml:space="preserve"> </w:t>
      </w:r>
      <w:r w:rsidR="0013648C">
        <w:t>McMahon, Barrett and O’Neill</w:t>
      </w:r>
      <w:r w:rsidR="0013648C" w:rsidRPr="00E7341A">
        <w:t xml:space="preserve"> </w:t>
      </w:r>
      <w:r w:rsidR="00182FC8" w:rsidRPr="00B95EB7">
        <w:t>2007</w:t>
      </w:r>
      <w:r w:rsidR="00B95EB7">
        <w:t>)</w:t>
      </w:r>
      <w:r w:rsidR="00197548">
        <w:t>.</w:t>
      </w:r>
    </w:p>
    <w:p w14:paraId="55687521" w14:textId="0692F79D" w:rsidR="00971781" w:rsidRPr="00E7341A" w:rsidRDefault="00141841" w:rsidP="00FE02B2">
      <w:pPr>
        <w:pStyle w:val="Paragraph"/>
        <w:ind w:firstLine="709"/>
      </w:pPr>
      <w:r>
        <w:t>The following</w:t>
      </w:r>
      <w:r w:rsidR="00637EE8" w:rsidRPr="00E7341A">
        <w:t xml:space="preserve"> astute remark </w:t>
      </w:r>
      <w:r>
        <w:t xml:space="preserve">by a nursing lecturer </w:t>
      </w:r>
      <w:r w:rsidR="00637EE8" w:rsidRPr="00E7341A">
        <w:t>encapsulate</w:t>
      </w:r>
      <w:r w:rsidR="002F37BF">
        <w:t>s the success of this project:</w:t>
      </w:r>
      <w:r w:rsidR="00971781" w:rsidRPr="00E7341A">
        <w:t xml:space="preserve"> </w:t>
      </w:r>
    </w:p>
    <w:p w14:paraId="397AB67A" w14:textId="0A628E11" w:rsidR="00971781" w:rsidRPr="00E7341A" w:rsidRDefault="00971781" w:rsidP="003D5F7C">
      <w:pPr>
        <w:pStyle w:val="Displayedquotation"/>
      </w:pPr>
      <w:r w:rsidRPr="00E7341A">
        <w:t xml:space="preserve">I specifically chose a session I wasn’t comfortable with and I found this process to be much more supportive than previous experiences … my observer wasn’t imposing their view of what they consider to be effective teaching on me and I really appreciated that </w:t>
      </w:r>
      <w:r w:rsidRPr="00E7341A">
        <w:lastRenderedPageBreak/>
        <w:t xml:space="preserve">because I think </w:t>
      </w:r>
      <w:r w:rsidR="00637EE8" w:rsidRPr="00E7341A">
        <w:t xml:space="preserve">I’m probably the best person to know how </w:t>
      </w:r>
      <w:r w:rsidRPr="00E7341A">
        <w:t>to change [my teaching] …</w:t>
      </w:r>
      <w:r w:rsidR="00637EE8" w:rsidRPr="00E7341A">
        <w:t xml:space="preserve"> I just needed somebody to help</w:t>
      </w:r>
      <w:r w:rsidRPr="00E7341A">
        <w:t xml:space="preserve"> me find the best way to do it.</w:t>
      </w:r>
      <w:r w:rsidR="00637EE8" w:rsidRPr="00E7341A">
        <w:t xml:space="preserve"> </w:t>
      </w:r>
    </w:p>
    <w:p w14:paraId="01F0C65F" w14:textId="4F31E8C6" w:rsidR="00971781" w:rsidRPr="00E7341A" w:rsidRDefault="00637EE8" w:rsidP="003D5F7C">
      <w:pPr>
        <w:pStyle w:val="Paragraph"/>
      </w:pPr>
      <w:r w:rsidRPr="00E7341A">
        <w:t xml:space="preserve">She went on to describe how she used the observation as an opportunity to focus on an area of her teaching </w:t>
      </w:r>
      <w:r w:rsidR="00303E45" w:rsidRPr="00E7341A">
        <w:t>that</w:t>
      </w:r>
      <w:r w:rsidRPr="00E7341A">
        <w:t xml:space="preserve"> she felt was </w:t>
      </w:r>
      <w:r w:rsidR="00303E45" w:rsidRPr="00E7341A">
        <w:t>‘</w:t>
      </w:r>
      <w:r w:rsidRPr="00E7341A">
        <w:t>too didactic</w:t>
      </w:r>
      <w:r w:rsidR="00303E45" w:rsidRPr="00E7341A">
        <w:t xml:space="preserve">’, which had </w:t>
      </w:r>
      <w:r w:rsidR="00C27BA9">
        <w:t xml:space="preserve">previously </w:t>
      </w:r>
      <w:r w:rsidR="00303E45" w:rsidRPr="00E7341A">
        <w:t xml:space="preserve">emerged as a problem based on </w:t>
      </w:r>
      <w:r w:rsidR="00197548" w:rsidRPr="00E7341A">
        <w:t xml:space="preserve">student feedback </w:t>
      </w:r>
      <w:r w:rsidR="00197548">
        <w:t xml:space="preserve">and </w:t>
      </w:r>
      <w:r w:rsidR="00303E45" w:rsidRPr="00E7341A">
        <w:t>a lack of student engagement</w:t>
      </w:r>
      <w:r w:rsidR="00197548">
        <w:t xml:space="preserve"> during sessions</w:t>
      </w:r>
      <w:r w:rsidRPr="00E7341A">
        <w:t>. As a result of her observation discussion, she trialled more interactive teaching approaches, which were very well received by students. She is now in the process of changing all her teaching sessio</w:t>
      </w:r>
      <w:r w:rsidR="00971781" w:rsidRPr="00E7341A">
        <w:t xml:space="preserve">ns to promote more interaction on the basis of her observation experience. </w:t>
      </w:r>
    </w:p>
    <w:p w14:paraId="42196BDC" w14:textId="57F301C5" w:rsidR="00637EE8" w:rsidRPr="00E7341A" w:rsidRDefault="00637EE8" w:rsidP="004D565C">
      <w:pPr>
        <w:pStyle w:val="Newparagraph"/>
      </w:pPr>
      <w:r w:rsidRPr="00E7341A">
        <w:t xml:space="preserve">Another spoke of being in a small team who </w:t>
      </w:r>
      <w:r w:rsidR="00197548">
        <w:t xml:space="preserve">all </w:t>
      </w:r>
      <w:r w:rsidR="00141841">
        <w:t>observed each other and that ‘t</w:t>
      </w:r>
      <w:r w:rsidRPr="00E7341A">
        <w:t xml:space="preserve">he observations generated </w:t>
      </w:r>
      <w:r w:rsidR="00C27BA9">
        <w:t xml:space="preserve">many </w:t>
      </w:r>
      <w:r w:rsidRPr="00E7341A">
        <w:t>conversations outside of this process... The whole ethos of the course has changed and the observation pr</w:t>
      </w:r>
      <w:r w:rsidR="00141841">
        <w:t>ocess was the catalyst for that.’</w:t>
      </w:r>
    </w:p>
    <w:p w14:paraId="0CADB4C3" w14:textId="7D4730E2" w:rsidR="00E45B8B" w:rsidRDefault="00C56937" w:rsidP="004D565C">
      <w:pPr>
        <w:pStyle w:val="Newparagraph"/>
      </w:pPr>
      <w:r w:rsidRPr="00E7341A">
        <w:t xml:space="preserve">Like the staff in </w:t>
      </w:r>
      <w:proofErr w:type="spellStart"/>
      <w:r w:rsidRPr="00E7341A">
        <w:t>Tene</w:t>
      </w:r>
      <w:r w:rsidR="00182FC8">
        <w:t>n</w:t>
      </w:r>
      <w:r w:rsidRPr="00E7341A">
        <w:t>berg’s</w:t>
      </w:r>
      <w:proofErr w:type="spellEnd"/>
      <w:r w:rsidRPr="00E7341A">
        <w:t xml:space="preserve"> study (2016), observers found the process of observation, reflection and professional dialogue was also ben</w:t>
      </w:r>
      <w:r w:rsidR="00141841">
        <w:t>eficial to their own practice: ‘</w:t>
      </w:r>
      <w:r w:rsidRPr="00E7341A">
        <w:t xml:space="preserve">It was really quite rewarding as an observer; I learnt more from the </w:t>
      </w:r>
      <w:proofErr w:type="spellStart"/>
      <w:r w:rsidRPr="00E7341A">
        <w:t>observee</w:t>
      </w:r>
      <w:proofErr w:type="spellEnd"/>
      <w:r w:rsidRPr="00E7341A">
        <w:t xml:space="preserve"> than they ever would have learned from me if I were forced int</w:t>
      </w:r>
      <w:r w:rsidR="00141841">
        <w:t xml:space="preserve">o the role of trying to advise.’ Another said ‘being an </w:t>
      </w:r>
      <w:proofErr w:type="spellStart"/>
      <w:r w:rsidR="00141841">
        <w:t>observee</w:t>
      </w:r>
      <w:proofErr w:type="spellEnd"/>
      <w:r w:rsidRPr="00E7341A">
        <w:t xml:space="preserve"> made me reflect upon my own practice with greater breadth and question some things I do that h</w:t>
      </w:r>
      <w:r w:rsidR="00141841">
        <w:t>ave become unquestioned habits.’</w:t>
      </w:r>
    </w:p>
    <w:p w14:paraId="3878549C" w14:textId="61BDB82F" w:rsidR="00141841" w:rsidRPr="00141841" w:rsidRDefault="00141841" w:rsidP="00141841">
      <w:pPr>
        <w:pStyle w:val="Paragraph"/>
        <w:ind w:firstLine="709"/>
        <w:rPr>
          <w:bCs/>
        </w:rPr>
      </w:pPr>
      <w:r>
        <w:t xml:space="preserve">To conclude, </w:t>
      </w:r>
      <w:proofErr w:type="spellStart"/>
      <w:r w:rsidRPr="00E7341A">
        <w:t>CoPO</w:t>
      </w:r>
      <w:proofErr w:type="spellEnd"/>
      <w:r w:rsidRPr="00E7341A">
        <w:t xml:space="preserve"> completed its second full iteration at the end of the academic year 2017/18, with approximately 300 academic staff across the faculty having undertaken at least one full cycle. </w:t>
      </w:r>
      <w:r>
        <w:t>S</w:t>
      </w:r>
      <w:r w:rsidRPr="00E7341A">
        <w:t xml:space="preserve">urvey results suggest high levels of engagement </w:t>
      </w:r>
      <w:r>
        <w:t xml:space="preserve">and satisfaction </w:t>
      </w:r>
      <w:r w:rsidRPr="00E7341A">
        <w:t xml:space="preserve">with the new approach, with 93% of </w:t>
      </w:r>
      <w:proofErr w:type="spellStart"/>
      <w:r w:rsidRPr="00E7341A">
        <w:t>observee</w:t>
      </w:r>
      <w:proofErr w:type="spellEnd"/>
      <w:r w:rsidRPr="00E7341A">
        <w:t xml:space="preserve"> respondents (strongly) agreeing with the statement, </w:t>
      </w:r>
      <w:r w:rsidRPr="00141841">
        <w:t>‘The observation cycle helped me reflect on my teaching and student learning’</w:t>
      </w:r>
      <w:r>
        <w:t>. When asked to use a slider scale to answer the question</w:t>
      </w:r>
      <w:r w:rsidRPr="00E7341A">
        <w:t xml:space="preserve">, </w:t>
      </w:r>
      <w:r w:rsidRPr="00141841">
        <w:t>‘Was the observation process more informative/developmental or performative/judgemental?</w:t>
      </w:r>
      <w:proofErr w:type="gramStart"/>
      <w:r>
        <w:t>’,</w:t>
      </w:r>
      <w:proofErr w:type="gramEnd"/>
      <w:r>
        <w:rPr>
          <w:i/>
        </w:rPr>
        <w:t xml:space="preserve"> </w:t>
      </w:r>
      <w:r>
        <w:t xml:space="preserve">the average rating was </w:t>
      </w:r>
      <w:r w:rsidRPr="00E7341A">
        <w:t xml:space="preserve">92/100 </w:t>
      </w:r>
      <w:r>
        <w:t xml:space="preserve">in favour of informative/developmental. This was echoed in the qualitative comments of staff, </w:t>
      </w:r>
      <w:r>
        <w:lastRenderedPageBreak/>
        <w:t>with one lecturer describing it as a</w:t>
      </w:r>
      <w:r w:rsidRPr="00E7341A">
        <w:rPr>
          <w:bCs/>
          <w:i/>
        </w:rPr>
        <w:t xml:space="preserve"> ‘</w:t>
      </w:r>
      <w:r w:rsidRPr="00141841">
        <w:rPr>
          <w:bCs/>
        </w:rPr>
        <w:t>genuinely democratic process that values individuals for the strengths they have, rather than an attempt to identify and criticise perceived weaknesses’</w:t>
      </w:r>
      <w:r>
        <w:rPr>
          <w:bCs/>
          <w:i/>
        </w:rPr>
        <w:t xml:space="preserve"> </w:t>
      </w:r>
      <w:r>
        <w:rPr>
          <w:bCs/>
        </w:rPr>
        <w:t xml:space="preserve">and another that it was an </w:t>
      </w:r>
      <w:r w:rsidRPr="00141841">
        <w:rPr>
          <w:bCs/>
        </w:rPr>
        <w:t>‘incredibly positive and supportive approach to observing and reflecting on our teaching and students’ learning’.</w:t>
      </w:r>
      <w:r>
        <w:rPr>
          <w:bCs/>
          <w:i/>
        </w:rPr>
        <w:t xml:space="preserve"> </w:t>
      </w:r>
    </w:p>
    <w:p w14:paraId="208730FF" w14:textId="74F7004B" w:rsidR="0052113F" w:rsidRPr="00E7341A" w:rsidRDefault="0052113F" w:rsidP="00BF628C">
      <w:pPr>
        <w:pStyle w:val="Heading1"/>
      </w:pPr>
      <w:r w:rsidRPr="00E7341A">
        <w:t>Conclu</w:t>
      </w:r>
      <w:r w:rsidR="003911FF" w:rsidRPr="00E7341A">
        <w:t>ding comments</w:t>
      </w:r>
    </w:p>
    <w:p w14:paraId="57BCCF66" w14:textId="6D9EB65C" w:rsidR="00786061" w:rsidRDefault="00786061" w:rsidP="00260E6A">
      <w:pPr>
        <w:pStyle w:val="Paragraph"/>
        <w:ind w:firstLine="709"/>
      </w:pPr>
      <w:r w:rsidRPr="00E7341A">
        <w:t xml:space="preserve">From its original conception, </w:t>
      </w:r>
      <w:proofErr w:type="spellStart"/>
      <w:r w:rsidR="00AD6B03" w:rsidRPr="00E7341A">
        <w:t>CoPO</w:t>
      </w:r>
      <w:proofErr w:type="spellEnd"/>
      <w:r w:rsidRPr="00E7341A">
        <w:t xml:space="preserve"> was designed with a clear ethos of </w:t>
      </w:r>
      <w:r w:rsidR="00085734" w:rsidRPr="00E7341A">
        <w:t xml:space="preserve">encouraging </w:t>
      </w:r>
      <w:r w:rsidRPr="00E7341A">
        <w:t xml:space="preserve">collaborative inquiry, critical reflection and a commitment to using observation as a catalyst for professional dialogue between colleagues. </w:t>
      </w:r>
      <w:r w:rsidR="006C2FCC" w:rsidRPr="006C2FCC">
        <w:t xml:space="preserve">The findings from the project discussed in this paper add weight to the argument that removing observation from the context of high-stakes assessments of individuals’ teaching performances can facilitate the creation of collegial cultures that encourage reflection and collaborative dialogue between academic staff (e.g. </w:t>
      </w:r>
      <w:r w:rsidR="006C2FCC">
        <w:t xml:space="preserve">O’Leary and Wood 2017; </w:t>
      </w:r>
      <w:r w:rsidR="006C2FCC" w:rsidRPr="006C2FCC">
        <w:t xml:space="preserve">UCU 2013). </w:t>
      </w:r>
      <w:r w:rsidRPr="00E7341A">
        <w:t xml:space="preserve">In reconceptualising and reconfiguring the use of observation by removing it from an assessment context, new </w:t>
      </w:r>
      <w:r w:rsidR="00FA2D66">
        <w:t>possibil</w:t>
      </w:r>
      <w:r w:rsidRPr="00E7341A">
        <w:t xml:space="preserve">ities </w:t>
      </w:r>
      <w:r w:rsidR="00FA2D66">
        <w:t xml:space="preserve">have thus emerged </w:t>
      </w:r>
      <w:r w:rsidRPr="00E7341A">
        <w:t>for</w:t>
      </w:r>
      <w:r w:rsidR="006C2FCC">
        <w:t xml:space="preserve"> </w:t>
      </w:r>
      <w:r w:rsidR="00FA2D66">
        <w:t xml:space="preserve">harnessing </w:t>
      </w:r>
      <w:r w:rsidRPr="00E7341A">
        <w:t xml:space="preserve">observation </w:t>
      </w:r>
      <w:r w:rsidR="00FA2D66">
        <w:t xml:space="preserve">as a tool for developing </w:t>
      </w:r>
      <w:r w:rsidRPr="00E7341A">
        <w:t xml:space="preserve">collegial understanding about the </w:t>
      </w:r>
      <w:r w:rsidR="00FA2D66">
        <w:t xml:space="preserve">reciprocal </w:t>
      </w:r>
      <w:r w:rsidRPr="00E7341A">
        <w:t xml:space="preserve">relationship between teaching and learning. </w:t>
      </w:r>
    </w:p>
    <w:p w14:paraId="53095190" w14:textId="375E5A62" w:rsidR="00376F95" w:rsidRDefault="00583FE2" w:rsidP="004D565C">
      <w:pPr>
        <w:pStyle w:val="Newparagraph"/>
      </w:pPr>
      <w:r>
        <w:t>T</w:t>
      </w:r>
      <w:r w:rsidR="00786061" w:rsidRPr="00E7341A">
        <w:t xml:space="preserve">here have </w:t>
      </w:r>
      <w:r>
        <w:t xml:space="preserve">clearly </w:t>
      </w:r>
      <w:r w:rsidR="00786061" w:rsidRPr="00E7341A">
        <w:t>been ongoing challenges for observers in adopting a non-evaluative approach to observing</w:t>
      </w:r>
      <w:r>
        <w:t xml:space="preserve"> and this is an aspect of </w:t>
      </w:r>
      <w:proofErr w:type="spellStart"/>
      <w:r>
        <w:t>CoPO</w:t>
      </w:r>
      <w:proofErr w:type="spellEnd"/>
      <w:r>
        <w:t xml:space="preserve"> that requires further development. </w:t>
      </w:r>
      <w:r w:rsidR="0086663A">
        <w:t>That said</w:t>
      </w:r>
      <w:r>
        <w:t>,</w:t>
      </w:r>
      <w:r w:rsidR="00786061" w:rsidRPr="00E7341A">
        <w:t xml:space="preserve"> the project has been successful in developing a supportive and non-performative model that faculty colleagues are willing to engage with</w:t>
      </w:r>
      <w:r w:rsidR="00C66D94" w:rsidRPr="00E7341A">
        <w:t xml:space="preserve">. </w:t>
      </w:r>
      <w:r>
        <w:t>While the transition from a performative, assessment-based model of observation to an in</w:t>
      </w:r>
      <w:r w:rsidR="00FA2D66">
        <w:t>formative, inquiry-based model ha</w:t>
      </w:r>
      <w:r>
        <w:t xml:space="preserve">s </w:t>
      </w:r>
      <w:r w:rsidR="00F1340C">
        <w:t xml:space="preserve">certainly </w:t>
      </w:r>
      <w:r w:rsidR="00FA2D66">
        <w:t xml:space="preserve">been </w:t>
      </w:r>
      <w:r w:rsidR="00F1340C">
        <w:t>more of a marathon than a sprint</w:t>
      </w:r>
      <w:r>
        <w:t xml:space="preserve">, our experience would suggest that it is </w:t>
      </w:r>
      <w:r w:rsidR="00F1340C">
        <w:t xml:space="preserve">a </w:t>
      </w:r>
      <w:r w:rsidR="00FA2D66">
        <w:t>journey</w:t>
      </w:r>
      <w:r w:rsidR="00F1340C">
        <w:t xml:space="preserve"> </w:t>
      </w:r>
      <w:r>
        <w:t xml:space="preserve">worth </w:t>
      </w:r>
      <w:r w:rsidR="00FA2D66">
        <w:t>embarking upon</w:t>
      </w:r>
      <w:r w:rsidR="00F1340C">
        <w:t>. F</w:t>
      </w:r>
      <w:r w:rsidR="00786061" w:rsidRPr="00E7341A">
        <w:t>indings from the project to date have supported the rationale for its creation that by removing observation from the context of assessment, a safe, low stakes environment for reflection and dialogue between academic staff</w:t>
      </w:r>
      <w:r w:rsidR="00622E31">
        <w:t xml:space="preserve"> can </w:t>
      </w:r>
      <w:r w:rsidR="00A74B62">
        <w:t>blossom</w:t>
      </w:r>
      <w:r w:rsidR="00622E31">
        <w:t xml:space="preserve">. This </w:t>
      </w:r>
      <w:r w:rsidR="00622E31">
        <w:lastRenderedPageBreak/>
        <w:t>in turn has facilitated staff to change and develop their practice</w:t>
      </w:r>
      <w:r w:rsidR="00786061" w:rsidRPr="00E7341A">
        <w:t xml:space="preserve">. At the same time, it has also opened up new opportunities </w:t>
      </w:r>
      <w:r w:rsidR="00CC7380">
        <w:t>to engage with</w:t>
      </w:r>
      <w:r w:rsidR="00786061" w:rsidRPr="00E7341A">
        <w:t xml:space="preserve"> observation as a lens </w:t>
      </w:r>
      <w:r w:rsidR="00CC7380">
        <w:t xml:space="preserve">to inform and develop </w:t>
      </w:r>
      <w:r w:rsidR="00786061" w:rsidRPr="00E7341A">
        <w:t xml:space="preserve">staff understanding of effective teaching and learning. </w:t>
      </w:r>
    </w:p>
    <w:p w14:paraId="7013A178" w14:textId="39FDF183" w:rsidR="00BF628C" w:rsidRDefault="00BF628C" w:rsidP="00BF628C">
      <w:pPr>
        <w:pStyle w:val="Heading1"/>
      </w:pPr>
      <w:r>
        <w:t>References</w:t>
      </w:r>
    </w:p>
    <w:p w14:paraId="1B288542" w14:textId="178F5098" w:rsidR="00BF628C" w:rsidRPr="00E7341A" w:rsidRDefault="00BF628C" w:rsidP="00BF628C">
      <w:pPr>
        <w:pStyle w:val="References"/>
      </w:pPr>
      <w:r w:rsidRPr="00E7341A">
        <w:t>Arnold, J</w:t>
      </w:r>
      <w:r>
        <w:t>ackie</w:t>
      </w:r>
      <w:r w:rsidRPr="00E7341A">
        <w:t xml:space="preserve">. 2009. </w:t>
      </w:r>
      <w:r w:rsidRPr="004246B6">
        <w:rPr>
          <w:i/>
        </w:rPr>
        <w:t>Coaching Skills for Leaders in the Workplace</w:t>
      </w:r>
      <w:r w:rsidRPr="00E7341A">
        <w:t>. Oxford: How to Books Ltd.</w:t>
      </w:r>
    </w:p>
    <w:p w14:paraId="7C8CFB1B" w14:textId="77777777" w:rsidR="00BF628C" w:rsidRDefault="00BF628C" w:rsidP="00BF628C">
      <w:pPr>
        <w:pStyle w:val="References"/>
      </w:pPr>
      <w:r w:rsidRPr="00E7341A">
        <w:t>Bel</w:t>
      </w:r>
      <w:r>
        <w:t>l, Amani, and Rosina Mladenovic. 2008. “</w:t>
      </w:r>
      <w:r w:rsidRPr="00E7341A">
        <w:t>The Benefits of Peer Observation of Teaching for Tutor Development.</w:t>
      </w:r>
      <w:r>
        <w:t>”</w:t>
      </w:r>
      <w:r w:rsidRPr="00E7341A">
        <w:t xml:space="preserve"> </w:t>
      </w:r>
      <w:r w:rsidRPr="00390988">
        <w:rPr>
          <w:i/>
        </w:rPr>
        <w:t>Higher Education</w:t>
      </w:r>
      <w:r w:rsidRPr="00E7341A">
        <w:t xml:space="preserve"> 55 (6): 735–752.</w:t>
      </w:r>
    </w:p>
    <w:p w14:paraId="478A3B9C" w14:textId="77777777" w:rsidR="00BF628C" w:rsidRDefault="00BF628C" w:rsidP="00BF628C">
      <w:pPr>
        <w:pStyle w:val="References"/>
        <w:rPr>
          <w:iCs/>
        </w:rPr>
      </w:pPr>
      <w:proofErr w:type="spellStart"/>
      <w:r w:rsidRPr="00427DDD">
        <w:rPr>
          <w:iCs/>
        </w:rPr>
        <w:t>Bokeno</w:t>
      </w:r>
      <w:proofErr w:type="spellEnd"/>
      <w:r w:rsidRPr="00427DDD">
        <w:rPr>
          <w:iCs/>
        </w:rPr>
        <w:t>, R.</w:t>
      </w:r>
      <w:r>
        <w:rPr>
          <w:iCs/>
        </w:rPr>
        <w:t xml:space="preserve"> Michael.</w:t>
      </w:r>
      <w:r w:rsidRPr="00427DDD">
        <w:rPr>
          <w:iCs/>
        </w:rPr>
        <w:t xml:space="preserve"> 2009. </w:t>
      </w:r>
      <w:r>
        <w:rPr>
          <w:iCs/>
        </w:rPr>
        <w:t>“</w:t>
      </w:r>
      <w:r w:rsidRPr="00427DDD">
        <w:rPr>
          <w:iCs/>
        </w:rPr>
        <w:t>Genus of learning relationships: mentoring and coaching as communicative interaction.</w:t>
      </w:r>
      <w:r>
        <w:rPr>
          <w:iCs/>
        </w:rPr>
        <w:t>”</w:t>
      </w:r>
      <w:r w:rsidRPr="00427DDD">
        <w:rPr>
          <w:iCs/>
        </w:rPr>
        <w:t xml:space="preserve"> </w:t>
      </w:r>
      <w:r w:rsidRPr="00427DDD">
        <w:rPr>
          <w:i/>
          <w:iCs/>
        </w:rPr>
        <w:t>Development and Learning in Organizations</w:t>
      </w:r>
      <w:r w:rsidRPr="00427DDD">
        <w:rPr>
          <w:iCs/>
        </w:rPr>
        <w:t xml:space="preserve"> 23(1) 5-8.</w:t>
      </w:r>
    </w:p>
    <w:p w14:paraId="1D1DB2CE" w14:textId="77777777" w:rsidR="00BF628C" w:rsidRPr="00E7341A" w:rsidRDefault="00BF628C" w:rsidP="00BF628C">
      <w:pPr>
        <w:pStyle w:val="References"/>
        <w:rPr>
          <w:iCs/>
        </w:rPr>
      </w:pPr>
      <w:proofErr w:type="spellStart"/>
      <w:r w:rsidRPr="00427DDD">
        <w:rPr>
          <w:iCs/>
        </w:rPr>
        <w:t>Bokeno</w:t>
      </w:r>
      <w:proofErr w:type="spellEnd"/>
      <w:r w:rsidRPr="00427DDD">
        <w:rPr>
          <w:iCs/>
        </w:rPr>
        <w:t>, R.</w:t>
      </w:r>
      <w:r>
        <w:rPr>
          <w:iCs/>
        </w:rPr>
        <w:t xml:space="preserve"> Michael,</w:t>
      </w:r>
      <w:r w:rsidRPr="00427DDD">
        <w:rPr>
          <w:iCs/>
        </w:rPr>
        <w:t xml:space="preserve"> and </w:t>
      </w:r>
      <w:r>
        <w:rPr>
          <w:iCs/>
        </w:rPr>
        <w:t>Vernon W. Gantt</w:t>
      </w:r>
      <w:r w:rsidRPr="00427DDD">
        <w:rPr>
          <w:iCs/>
        </w:rPr>
        <w:t xml:space="preserve">. 2000. </w:t>
      </w:r>
      <w:r>
        <w:rPr>
          <w:iCs/>
        </w:rPr>
        <w:t>“</w:t>
      </w:r>
      <w:r w:rsidRPr="00427DDD">
        <w:rPr>
          <w:iCs/>
        </w:rPr>
        <w:t>Dialogic Mentoring.</w:t>
      </w:r>
      <w:r>
        <w:rPr>
          <w:iCs/>
        </w:rPr>
        <w:t>”</w:t>
      </w:r>
      <w:r w:rsidRPr="00427DDD">
        <w:rPr>
          <w:iCs/>
        </w:rPr>
        <w:t xml:space="preserve"> </w:t>
      </w:r>
      <w:r w:rsidRPr="00390988">
        <w:rPr>
          <w:i/>
          <w:iCs/>
        </w:rPr>
        <w:t>Management Communication Quarterly</w:t>
      </w:r>
      <w:r w:rsidRPr="00427DDD">
        <w:rPr>
          <w:iCs/>
        </w:rPr>
        <w:t xml:space="preserve"> 14(2)</w:t>
      </w:r>
      <w:r>
        <w:rPr>
          <w:iCs/>
        </w:rPr>
        <w:t>:</w:t>
      </w:r>
      <w:r w:rsidRPr="00427DDD">
        <w:rPr>
          <w:iCs/>
        </w:rPr>
        <w:t xml:space="preserve"> 237-269</w:t>
      </w:r>
      <w:r>
        <w:rPr>
          <w:iCs/>
        </w:rPr>
        <w:t>.</w:t>
      </w:r>
    </w:p>
    <w:p w14:paraId="1761483A" w14:textId="77777777" w:rsidR="00BF628C" w:rsidRDefault="00BF628C" w:rsidP="00BF628C">
      <w:pPr>
        <w:pStyle w:val="References"/>
        <w:rPr>
          <w:iCs/>
        </w:rPr>
      </w:pPr>
      <w:proofErr w:type="spellStart"/>
      <w:r w:rsidRPr="00E7341A">
        <w:rPr>
          <w:iCs/>
        </w:rPr>
        <w:t>Buskist</w:t>
      </w:r>
      <w:proofErr w:type="spellEnd"/>
      <w:r w:rsidRPr="00E7341A">
        <w:rPr>
          <w:iCs/>
        </w:rPr>
        <w:t xml:space="preserve">, </w:t>
      </w:r>
      <w:proofErr w:type="gramStart"/>
      <w:r w:rsidRPr="00E7341A">
        <w:rPr>
          <w:iCs/>
        </w:rPr>
        <w:t>W</w:t>
      </w:r>
      <w:r>
        <w:rPr>
          <w:iCs/>
        </w:rPr>
        <w:t>illiam</w:t>
      </w:r>
      <w:r w:rsidRPr="00E7341A">
        <w:rPr>
          <w:iCs/>
        </w:rPr>
        <w:t>.,</w:t>
      </w:r>
      <w:proofErr w:type="gramEnd"/>
      <w:r w:rsidRPr="00E7341A">
        <w:rPr>
          <w:iCs/>
        </w:rPr>
        <w:t xml:space="preserve"> </w:t>
      </w:r>
      <w:r>
        <w:rPr>
          <w:iCs/>
        </w:rPr>
        <w:t xml:space="preserve">Emad A. </w:t>
      </w:r>
      <w:r w:rsidRPr="00E7341A">
        <w:rPr>
          <w:iCs/>
        </w:rPr>
        <w:t xml:space="preserve">Ismail, and </w:t>
      </w:r>
      <w:r>
        <w:rPr>
          <w:iCs/>
        </w:rPr>
        <w:t xml:space="preserve">James E. </w:t>
      </w:r>
      <w:proofErr w:type="spellStart"/>
      <w:r>
        <w:rPr>
          <w:iCs/>
        </w:rPr>
        <w:t>Groccia</w:t>
      </w:r>
      <w:proofErr w:type="spellEnd"/>
      <w:r>
        <w:rPr>
          <w:iCs/>
        </w:rPr>
        <w:t>.</w:t>
      </w:r>
      <w:r w:rsidRPr="00E7341A">
        <w:rPr>
          <w:iCs/>
        </w:rPr>
        <w:t xml:space="preserve"> 2014. </w:t>
      </w:r>
      <w:r>
        <w:rPr>
          <w:iCs/>
        </w:rPr>
        <w:t>“</w:t>
      </w:r>
      <w:r w:rsidRPr="00E7341A">
        <w:rPr>
          <w:iCs/>
        </w:rPr>
        <w:t>A Practical Model for Conducting Helpful Peer Review of Teaching</w:t>
      </w:r>
      <w:r>
        <w:rPr>
          <w:iCs/>
        </w:rPr>
        <w:t xml:space="preserve">.” In </w:t>
      </w:r>
      <w:r w:rsidRPr="00E7341A">
        <w:rPr>
          <w:i/>
          <w:iCs/>
        </w:rPr>
        <w:t>Peer Review of Learning and</w:t>
      </w:r>
      <w:r>
        <w:rPr>
          <w:i/>
          <w:iCs/>
        </w:rPr>
        <w:t xml:space="preserve"> Teaching in Higher Education: </w:t>
      </w:r>
      <w:r w:rsidRPr="00E7341A">
        <w:rPr>
          <w:i/>
          <w:iCs/>
        </w:rPr>
        <w:t>International Perspectives</w:t>
      </w:r>
      <w:r>
        <w:rPr>
          <w:i/>
          <w:iCs/>
        </w:rPr>
        <w:t>,</w:t>
      </w:r>
      <w:r>
        <w:rPr>
          <w:iCs/>
        </w:rPr>
        <w:t xml:space="preserve"> edited by</w:t>
      </w:r>
      <w:r w:rsidRPr="00E7341A">
        <w:rPr>
          <w:iCs/>
        </w:rPr>
        <w:t xml:space="preserve"> </w:t>
      </w:r>
      <w:r>
        <w:rPr>
          <w:iCs/>
        </w:rPr>
        <w:t>Judith Sachs and</w:t>
      </w:r>
      <w:r w:rsidRPr="00E7341A">
        <w:rPr>
          <w:iCs/>
        </w:rPr>
        <w:t xml:space="preserve"> M</w:t>
      </w:r>
      <w:r>
        <w:rPr>
          <w:iCs/>
        </w:rPr>
        <w:t xml:space="preserve">itch </w:t>
      </w:r>
      <w:proofErr w:type="spellStart"/>
      <w:r>
        <w:rPr>
          <w:iCs/>
        </w:rPr>
        <w:t>Parsell</w:t>
      </w:r>
      <w:proofErr w:type="spellEnd"/>
      <w:r>
        <w:rPr>
          <w:iCs/>
        </w:rPr>
        <w:t xml:space="preserve">, 33-52. </w:t>
      </w:r>
      <w:r w:rsidRPr="00E7341A">
        <w:rPr>
          <w:iCs/>
        </w:rPr>
        <w:t>Springer</w:t>
      </w:r>
      <w:r>
        <w:rPr>
          <w:iCs/>
        </w:rPr>
        <w:t>: Dordrecht</w:t>
      </w:r>
      <w:r w:rsidRPr="00E7341A">
        <w:rPr>
          <w:iCs/>
        </w:rPr>
        <w:t>.</w:t>
      </w:r>
    </w:p>
    <w:p w14:paraId="0A1CA62D" w14:textId="77777777" w:rsidR="00BF628C" w:rsidRPr="00427DDD" w:rsidRDefault="00BF628C" w:rsidP="00BF628C">
      <w:pPr>
        <w:pStyle w:val="References"/>
        <w:rPr>
          <w:iCs/>
        </w:rPr>
      </w:pPr>
      <w:proofErr w:type="spellStart"/>
      <w:r w:rsidRPr="00427DDD">
        <w:rPr>
          <w:iCs/>
        </w:rPr>
        <w:t>Charteris</w:t>
      </w:r>
      <w:proofErr w:type="spellEnd"/>
      <w:r w:rsidRPr="00427DDD">
        <w:rPr>
          <w:iCs/>
        </w:rPr>
        <w:t>, J</w:t>
      </w:r>
      <w:r>
        <w:rPr>
          <w:iCs/>
        </w:rPr>
        <w:t xml:space="preserve">ennifer, and Dianne </w:t>
      </w:r>
      <w:proofErr w:type="spellStart"/>
      <w:r>
        <w:rPr>
          <w:iCs/>
        </w:rPr>
        <w:t>Smardon</w:t>
      </w:r>
      <w:proofErr w:type="spellEnd"/>
      <w:r w:rsidRPr="00427DDD">
        <w:rPr>
          <w:iCs/>
        </w:rPr>
        <w:t xml:space="preserve">. 2014. </w:t>
      </w:r>
      <w:r>
        <w:rPr>
          <w:iCs/>
        </w:rPr>
        <w:t>“</w:t>
      </w:r>
      <w:r w:rsidRPr="00427DDD">
        <w:rPr>
          <w:iCs/>
        </w:rPr>
        <w:t>Dialogic peer coaching as teacher leadership for professional inquiry.</w:t>
      </w:r>
      <w:r>
        <w:rPr>
          <w:iCs/>
        </w:rPr>
        <w:t>”</w:t>
      </w:r>
      <w:r w:rsidRPr="00427DDD">
        <w:rPr>
          <w:iCs/>
        </w:rPr>
        <w:t xml:space="preserve"> </w:t>
      </w:r>
      <w:r w:rsidRPr="00427DDD">
        <w:rPr>
          <w:i/>
          <w:iCs/>
        </w:rPr>
        <w:t>International Journal of Mentoring and Coaching in Education</w:t>
      </w:r>
      <w:r w:rsidRPr="00427DDD">
        <w:rPr>
          <w:iCs/>
        </w:rPr>
        <w:t xml:space="preserve"> 3(2)</w:t>
      </w:r>
      <w:r>
        <w:rPr>
          <w:iCs/>
        </w:rPr>
        <w:t>:</w:t>
      </w:r>
      <w:r w:rsidRPr="00427DDD">
        <w:rPr>
          <w:iCs/>
        </w:rPr>
        <w:t xml:space="preserve"> 108-124</w:t>
      </w:r>
      <w:r>
        <w:rPr>
          <w:iCs/>
        </w:rPr>
        <w:t>.</w:t>
      </w:r>
    </w:p>
    <w:p w14:paraId="081FBC4E" w14:textId="77777777" w:rsidR="00BF628C" w:rsidRPr="00427DDD" w:rsidRDefault="00BF628C" w:rsidP="00BF628C">
      <w:pPr>
        <w:pStyle w:val="References"/>
        <w:rPr>
          <w:iCs/>
        </w:rPr>
      </w:pPr>
      <w:r w:rsidRPr="00427DDD">
        <w:rPr>
          <w:iCs/>
        </w:rPr>
        <w:t>Costa, A</w:t>
      </w:r>
      <w:r>
        <w:rPr>
          <w:iCs/>
        </w:rPr>
        <w:t>rthur L.,</w:t>
      </w:r>
      <w:r w:rsidRPr="00427DDD">
        <w:rPr>
          <w:iCs/>
        </w:rPr>
        <w:t xml:space="preserve"> and </w:t>
      </w:r>
      <w:r>
        <w:rPr>
          <w:iCs/>
        </w:rPr>
        <w:t xml:space="preserve">Robert J. </w:t>
      </w:r>
      <w:proofErr w:type="spellStart"/>
      <w:r>
        <w:rPr>
          <w:iCs/>
        </w:rPr>
        <w:t>Garmston</w:t>
      </w:r>
      <w:proofErr w:type="spellEnd"/>
      <w:r>
        <w:rPr>
          <w:iCs/>
        </w:rPr>
        <w:t xml:space="preserve">. </w:t>
      </w:r>
      <w:r w:rsidRPr="00427DDD">
        <w:rPr>
          <w:iCs/>
        </w:rPr>
        <w:t xml:space="preserve">2016. </w:t>
      </w:r>
      <w:r w:rsidRPr="00427DDD">
        <w:rPr>
          <w:i/>
          <w:iCs/>
        </w:rPr>
        <w:t>Cognitive Coaching</w:t>
      </w:r>
      <w:r>
        <w:rPr>
          <w:i/>
          <w:iCs/>
        </w:rPr>
        <w:t>.</w:t>
      </w:r>
      <w:r w:rsidRPr="00427DDD">
        <w:rPr>
          <w:i/>
          <w:iCs/>
        </w:rPr>
        <w:t xml:space="preserve"> </w:t>
      </w:r>
      <w:r w:rsidRPr="00E906A1">
        <w:rPr>
          <w:iCs/>
        </w:rPr>
        <w:t>3</w:t>
      </w:r>
      <w:r w:rsidRPr="00E906A1">
        <w:rPr>
          <w:iCs/>
          <w:vertAlign w:val="superscript"/>
        </w:rPr>
        <w:t>rd</w:t>
      </w:r>
      <w:r w:rsidRPr="00E906A1">
        <w:rPr>
          <w:iCs/>
        </w:rPr>
        <w:t xml:space="preserve"> ed</w:t>
      </w:r>
      <w:r w:rsidRPr="00427DDD">
        <w:rPr>
          <w:i/>
          <w:iCs/>
        </w:rPr>
        <w:t xml:space="preserve">. </w:t>
      </w:r>
      <w:r w:rsidRPr="00427DDD">
        <w:rPr>
          <w:iCs/>
        </w:rPr>
        <w:t>London: Rowman and Littlefield.</w:t>
      </w:r>
    </w:p>
    <w:p w14:paraId="4487B967" w14:textId="77777777" w:rsidR="00BF628C" w:rsidRPr="00E7341A" w:rsidRDefault="00BF628C" w:rsidP="00BF628C">
      <w:pPr>
        <w:pStyle w:val="References"/>
        <w:rPr>
          <w:iCs/>
        </w:rPr>
      </w:pPr>
      <w:r w:rsidRPr="00427DDD">
        <w:rPr>
          <w:iCs/>
        </w:rPr>
        <w:t>Cox, E</w:t>
      </w:r>
      <w:r>
        <w:rPr>
          <w:iCs/>
        </w:rPr>
        <w:t>laine</w:t>
      </w:r>
      <w:r w:rsidRPr="00427DDD">
        <w:rPr>
          <w:iCs/>
        </w:rPr>
        <w:t xml:space="preserve">. 2012. </w:t>
      </w:r>
      <w:r>
        <w:rPr>
          <w:iCs/>
        </w:rPr>
        <w:t>“</w:t>
      </w:r>
      <w:r w:rsidRPr="00427DDD">
        <w:rPr>
          <w:iCs/>
        </w:rPr>
        <w:t>Individual and Organizational Trust in a Reciprocal Peer Coaching Context.</w:t>
      </w:r>
      <w:r>
        <w:rPr>
          <w:iCs/>
        </w:rPr>
        <w:t>”</w:t>
      </w:r>
      <w:r w:rsidRPr="00427DDD">
        <w:rPr>
          <w:iCs/>
        </w:rPr>
        <w:t xml:space="preserve"> </w:t>
      </w:r>
      <w:r w:rsidRPr="00427DDD">
        <w:rPr>
          <w:i/>
          <w:iCs/>
        </w:rPr>
        <w:t>Mentoring &amp; Tutoring: Partnership in Learning</w:t>
      </w:r>
      <w:r w:rsidRPr="00427DDD">
        <w:rPr>
          <w:iCs/>
        </w:rPr>
        <w:t xml:space="preserve"> 20(3)</w:t>
      </w:r>
      <w:r>
        <w:rPr>
          <w:iCs/>
        </w:rPr>
        <w:t>:</w:t>
      </w:r>
      <w:r w:rsidRPr="00427DDD">
        <w:rPr>
          <w:iCs/>
        </w:rPr>
        <w:t xml:space="preserve"> 427-443</w:t>
      </w:r>
      <w:r>
        <w:rPr>
          <w:iCs/>
        </w:rPr>
        <w:t>.</w:t>
      </w:r>
    </w:p>
    <w:p w14:paraId="25E07FAF" w14:textId="77777777" w:rsidR="00BF628C" w:rsidRPr="00E7341A" w:rsidRDefault="00BF628C" w:rsidP="00BF628C">
      <w:pPr>
        <w:pStyle w:val="References"/>
        <w:rPr>
          <w:iCs/>
        </w:rPr>
      </w:pPr>
      <w:r w:rsidRPr="00427DDD">
        <w:rPr>
          <w:iCs/>
        </w:rPr>
        <w:t>Fletcher, S</w:t>
      </w:r>
      <w:r>
        <w:rPr>
          <w:iCs/>
        </w:rPr>
        <w:t>arah J</w:t>
      </w:r>
      <w:r w:rsidRPr="00427DDD">
        <w:rPr>
          <w:iCs/>
        </w:rPr>
        <w:t xml:space="preserve">. 2012. </w:t>
      </w:r>
      <w:r>
        <w:rPr>
          <w:iCs/>
        </w:rPr>
        <w:t>“</w:t>
      </w:r>
      <w:r w:rsidRPr="00427DDD">
        <w:rPr>
          <w:iCs/>
        </w:rPr>
        <w:t>Coaching: An Overview.</w:t>
      </w:r>
      <w:r>
        <w:rPr>
          <w:iCs/>
        </w:rPr>
        <w:t>” In</w:t>
      </w:r>
      <w:r w:rsidRPr="00591A3C">
        <w:rPr>
          <w:i/>
          <w:iCs/>
        </w:rPr>
        <w:t xml:space="preserve"> </w:t>
      </w:r>
      <w:r>
        <w:rPr>
          <w:i/>
          <w:iCs/>
        </w:rPr>
        <w:t xml:space="preserve">SAGE </w:t>
      </w:r>
      <w:r w:rsidRPr="00427DDD">
        <w:rPr>
          <w:i/>
          <w:iCs/>
        </w:rPr>
        <w:t>Handbook of Mentoring and Coaching</w:t>
      </w:r>
      <w:r>
        <w:rPr>
          <w:iCs/>
        </w:rPr>
        <w:t xml:space="preserve">, edited by Sarah J. </w:t>
      </w:r>
      <w:r w:rsidRPr="00427DDD">
        <w:rPr>
          <w:iCs/>
        </w:rPr>
        <w:t>Fletche</w:t>
      </w:r>
      <w:r>
        <w:rPr>
          <w:iCs/>
        </w:rPr>
        <w:t xml:space="preserve">r </w:t>
      </w:r>
      <w:r w:rsidRPr="00427DDD">
        <w:rPr>
          <w:iCs/>
        </w:rPr>
        <w:t xml:space="preserve">and </w:t>
      </w:r>
      <w:r>
        <w:rPr>
          <w:iCs/>
        </w:rPr>
        <w:t>Carol A. Mullen, 24-40.</w:t>
      </w:r>
      <w:r w:rsidRPr="00427DDD">
        <w:rPr>
          <w:i/>
          <w:iCs/>
        </w:rPr>
        <w:t xml:space="preserve"> </w:t>
      </w:r>
      <w:r w:rsidRPr="00427DDD">
        <w:rPr>
          <w:iCs/>
        </w:rPr>
        <w:t>London</w:t>
      </w:r>
      <w:r>
        <w:rPr>
          <w:iCs/>
        </w:rPr>
        <w:t>:</w:t>
      </w:r>
      <w:r w:rsidRPr="00057843">
        <w:rPr>
          <w:iCs/>
        </w:rPr>
        <w:t xml:space="preserve"> </w:t>
      </w:r>
      <w:r>
        <w:rPr>
          <w:iCs/>
        </w:rPr>
        <w:t>SAGE.</w:t>
      </w:r>
    </w:p>
    <w:p w14:paraId="308F1931" w14:textId="77777777" w:rsidR="00BF628C" w:rsidRPr="00E7341A" w:rsidRDefault="00BF628C" w:rsidP="00BF628C">
      <w:pPr>
        <w:pStyle w:val="References"/>
        <w:rPr>
          <w:iCs/>
        </w:rPr>
      </w:pPr>
      <w:r w:rsidRPr="00E7341A">
        <w:rPr>
          <w:iCs/>
        </w:rPr>
        <w:t>Fullerton, H</w:t>
      </w:r>
      <w:r>
        <w:rPr>
          <w:iCs/>
        </w:rPr>
        <w:t>azel</w:t>
      </w:r>
      <w:r w:rsidRPr="00E7341A">
        <w:rPr>
          <w:iCs/>
        </w:rPr>
        <w:t xml:space="preserve">. 2003. </w:t>
      </w:r>
      <w:r>
        <w:rPr>
          <w:iCs/>
        </w:rPr>
        <w:t>“Observation of teaching.”</w:t>
      </w:r>
      <w:r w:rsidRPr="00E7341A">
        <w:rPr>
          <w:iCs/>
        </w:rPr>
        <w:t xml:space="preserve"> </w:t>
      </w:r>
      <w:r>
        <w:rPr>
          <w:iCs/>
        </w:rPr>
        <w:t>I</w:t>
      </w:r>
      <w:r w:rsidRPr="00E7341A">
        <w:rPr>
          <w:iCs/>
        </w:rPr>
        <w:t xml:space="preserve">n </w:t>
      </w:r>
      <w:r w:rsidRPr="00E7341A">
        <w:rPr>
          <w:i/>
          <w:iCs/>
        </w:rPr>
        <w:t>A handbook for teaching and learning in higher education</w:t>
      </w:r>
      <w:r>
        <w:rPr>
          <w:i/>
          <w:iCs/>
        </w:rPr>
        <w:t>,</w:t>
      </w:r>
      <w:r>
        <w:rPr>
          <w:iCs/>
        </w:rPr>
        <w:t xml:space="preserve"> </w:t>
      </w:r>
      <w:r w:rsidRPr="00E7341A">
        <w:rPr>
          <w:iCs/>
        </w:rPr>
        <w:t>2</w:t>
      </w:r>
      <w:r w:rsidRPr="00C81C07">
        <w:rPr>
          <w:iCs/>
          <w:vertAlign w:val="superscript"/>
        </w:rPr>
        <w:t>nd</w:t>
      </w:r>
      <w:r>
        <w:rPr>
          <w:iCs/>
        </w:rPr>
        <w:t xml:space="preserve"> </w:t>
      </w:r>
      <w:proofErr w:type="spellStart"/>
      <w:proofErr w:type="gramStart"/>
      <w:r w:rsidRPr="00E7341A">
        <w:rPr>
          <w:iCs/>
        </w:rPr>
        <w:t>ed</w:t>
      </w:r>
      <w:proofErr w:type="spellEnd"/>
      <w:proofErr w:type="gramEnd"/>
      <w:r>
        <w:rPr>
          <w:iCs/>
        </w:rPr>
        <w:t>, edited by</w:t>
      </w:r>
      <w:r w:rsidRPr="00E7341A">
        <w:rPr>
          <w:iCs/>
        </w:rPr>
        <w:t xml:space="preserve"> </w:t>
      </w:r>
      <w:r>
        <w:rPr>
          <w:iCs/>
        </w:rPr>
        <w:t xml:space="preserve">Heather Fry, Steven </w:t>
      </w:r>
      <w:proofErr w:type="spellStart"/>
      <w:r>
        <w:rPr>
          <w:iCs/>
        </w:rPr>
        <w:t>Ketteridge</w:t>
      </w:r>
      <w:proofErr w:type="spellEnd"/>
      <w:r>
        <w:rPr>
          <w:iCs/>
        </w:rPr>
        <w:t>,</w:t>
      </w:r>
      <w:r w:rsidRPr="00E7341A">
        <w:rPr>
          <w:iCs/>
        </w:rPr>
        <w:t xml:space="preserve"> and </w:t>
      </w:r>
      <w:r>
        <w:rPr>
          <w:iCs/>
        </w:rPr>
        <w:t xml:space="preserve">Stephanie Marshall, 226-241. </w:t>
      </w:r>
      <w:r w:rsidRPr="00E7341A">
        <w:rPr>
          <w:iCs/>
        </w:rPr>
        <w:t xml:space="preserve">London: </w:t>
      </w:r>
      <w:proofErr w:type="spellStart"/>
      <w:r w:rsidRPr="00E7341A">
        <w:rPr>
          <w:iCs/>
        </w:rPr>
        <w:t>Kogan</w:t>
      </w:r>
      <w:proofErr w:type="spellEnd"/>
      <w:r>
        <w:rPr>
          <w:iCs/>
        </w:rPr>
        <w:t xml:space="preserve"> </w:t>
      </w:r>
      <w:r w:rsidRPr="00E7341A">
        <w:rPr>
          <w:iCs/>
        </w:rPr>
        <w:t>Page.</w:t>
      </w:r>
    </w:p>
    <w:p w14:paraId="7CC6449D" w14:textId="77777777" w:rsidR="00BF628C" w:rsidRPr="00427DDD" w:rsidRDefault="00BF628C" w:rsidP="00BF628C">
      <w:pPr>
        <w:pStyle w:val="References"/>
        <w:rPr>
          <w:iCs/>
        </w:rPr>
      </w:pPr>
      <w:r w:rsidRPr="00427DDD">
        <w:rPr>
          <w:iCs/>
        </w:rPr>
        <w:t>Garvey, B</w:t>
      </w:r>
      <w:r>
        <w:rPr>
          <w:iCs/>
        </w:rPr>
        <w:t>ob</w:t>
      </w:r>
      <w:r w:rsidRPr="00427DDD">
        <w:rPr>
          <w:iCs/>
        </w:rPr>
        <w:t xml:space="preserve">, </w:t>
      </w:r>
      <w:r>
        <w:rPr>
          <w:iCs/>
        </w:rPr>
        <w:t>Paul Stokes,</w:t>
      </w:r>
      <w:r w:rsidRPr="00427DDD">
        <w:rPr>
          <w:iCs/>
        </w:rPr>
        <w:t xml:space="preserve"> and </w:t>
      </w:r>
      <w:r>
        <w:rPr>
          <w:iCs/>
        </w:rPr>
        <w:t>David Megginson</w:t>
      </w:r>
      <w:r w:rsidRPr="00427DDD">
        <w:rPr>
          <w:iCs/>
        </w:rPr>
        <w:t xml:space="preserve">. 2018. </w:t>
      </w:r>
      <w:r w:rsidRPr="00427DDD">
        <w:rPr>
          <w:i/>
          <w:iCs/>
        </w:rPr>
        <w:t>Coaching and Mentoring: Theory and Practice</w:t>
      </w:r>
      <w:r>
        <w:rPr>
          <w:iCs/>
        </w:rPr>
        <w:t>.</w:t>
      </w:r>
      <w:r w:rsidRPr="00092D53">
        <w:rPr>
          <w:iCs/>
        </w:rPr>
        <w:t xml:space="preserve"> 3</w:t>
      </w:r>
      <w:r w:rsidRPr="00092D53">
        <w:rPr>
          <w:iCs/>
          <w:vertAlign w:val="superscript"/>
        </w:rPr>
        <w:t>rd</w:t>
      </w:r>
      <w:r w:rsidRPr="00092D53">
        <w:rPr>
          <w:iCs/>
        </w:rPr>
        <w:t xml:space="preserve"> ed</w:t>
      </w:r>
      <w:r>
        <w:rPr>
          <w:iCs/>
        </w:rPr>
        <w:t>. London: SAGE.</w:t>
      </w:r>
    </w:p>
    <w:p w14:paraId="5D4336BE" w14:textId="77777777" w:rsidR="00BF628C" w:rsidRPr="00E7341A" w:rsidRDefault="00BF628C" w:rsidP="00BF628C">
      <w:pPr>
        <w:pStyle w:val="References"/>
        <w:rPr>
          <w:iCs/>
        </w:rPr>
      </w:pPr>
      <w:r w:rsidRPr="00E7341A">
        <w:rPr>
          <w:iCs/>
        </w:rPr>
        <w:lastRenderedPageBreak/>
        <w:t>Gosling, D</w:t>
      </w:r>
      <w:r>
        <w:rPr>
          <w:iCs/>
        </w:rPr>
        <w:t>avid</w:t>
      </w:r>
      <w:r w:rsidRPr="00E7341A">
        <w:rPr>
          <w:iCs/>
        </w:rPr>
        <w:t xml:space="preserve">. 2002. </w:t>
      </w:r>
      <w:r w:rsidRPr="00E7341A">
        <w:rPr>
          <w:i/>
          <w:iCs/>
        </w:rPr>
        <w:t>Models of</w:t>
      </w:r>
      <w:r w:rsidRPr="00E7341A">
        <w:rPr>
          <w:iCs/>
        </w:rPr>
        <w:t xml:space="preserve"> </w:t>
      </w:r>
      <w:r w:rsidRPr="00E7341A">
        <w:rPr>
          <w:i/>
          <w:iCs/>
        </w:rPr>
        <w:t xml:space="preserve">Peer Observation of Teaching. </w:t>
      </w:r>
      <w:r w:rsidRPr="00E7341A">
        <w:rPr>
          <w:iCs/>
        </w:rPr>
        <w:t>London: LTSN Generic Centre.</w:t>
      </w:r>
    </w:p>
    <w:p w14:paraId="7697ECAA" w14:textId="77777777" w:rsidR="00BF628C" w:rsidRPr="00E7341A" w:rsidRDefault="00BF628C" w:rsidP="00BF628C">
      <w:pPr>
        <w:pStyle w:val="References"/>
        <w:rPr>
          <w:iCs/>
        </w:rPr>
      </w:pPr>
      <w:r w:rsidRPr="00E7341A">
        <w:rPr>
          <w:iCs/>
        </w:rPr>
        <w:t>Hammersley-Fletcher, L</w:t>
      </w:r>
      <w:r>
        <w:rPr>
          <w:iCs/>
        </w:rPr>
        <w:t>inda</w:t>
      </w:r>
      <w:r w:rsidRPr="00E7341A">
        <w:rPr>
          <w:iCs/>
        </w:rPr>
        <w:t xml:space="preserve">. </w:t>
      </w:r>
      <w:proofErr w:type="gramStart"/>
      <w:r w:rsidRPr="00E7341A">
        <w:rPr>
          <w:iCs/>
        </w:rPr>
        <w:t>and</w:t>
      </w:r>
      <w:proofErr w:type="gramEnd"/>
      <w:r w:rsidRPr="00E7341A">
        <w:rPr>
          <w:iCs/>
        </w:rPr>
        <w:t xml:space="preserve"> </w:t>
      </w:r>
      <w:r>
        <w:rPr>
          <w:iCs/>
        </w:rPr>
        <w:t xml:space="preserve">Paul </w:t>
      </w:r>
      <w:proofErr w:type="spellStart"/>
      <w:r w:rsidRPr="00E7341A">
        <w:rPr>
          <w:iCs/>
        </w:rPr>
        <w:t>Orsmond</w:t>
      </w:r>
      <w:proofErr w:type="spellEnd"/>
      <w:r w:rsidRPr="00E7341A">
        <w:rPr>
          <w:iCs/>
        </w:rPr>
        <w:t xml:space="preserve">. 2005. </w:t>
      </w:r>
      <w:r>
        <w:rPr>
          <w:iCs/>
        </w:rPr>
        <w:t>“</w:t>
      </w:r>
      <w:r w:rsidRPr="00E7341A">
        <w:rPr>
          <w:iCs/>
        </w:rPr>
        <w:t>Reflecting on reflective practices within peer observation.</w:t>
      </w:r>
      <w:r>
        <w:rPr>
          <w:iCs/>
        </w:rPr>
        <w:t>”</w:t>
      </w:r>
      <w:r w:rsidRPr="00E7341A">
        <w:rPr>
          <w:iCs/>
        </w:rPr>
        <w:t xml:space="preserve"> </w:t>
      </w:r>
      <w:r w:rsidRPr="00E7341A">
        <w:rPr>
          <w:i/>
          <w:iCs/>
        </w:rPr>
        <w:t>Studies in Higher Education</w:t>
      </w:r>
      <w:r w:rsidRPr="00E7341A">
        <w:rPr>
          <w:iCs/>
        </w:rPr>
        <w:t xml:space="preserve"> 30(2)</w:t>
      </w:r>
      <w:r>
        <w:rPr>
          <w:iCs/>
        </w:rPr>
        <w:t>:</w:t>
      </w:r>
      <w:r w:rsidRPr="00E7341A">
        <w:rPr>
          <w:iCs/>
        </w:rPr>
        <w:t xml:space="preserve"> 213-224.</w:t>
      </w:r>
    </w:p>
    <w:p w14:paraId="3D5F2733" w14:textId="77777777" w:rsidR="00BF628C" w:rsidRPr="002F252E" w:rsidRDefault="00BF628C" w:rsidP="00BF628C">
      <w:pPr>
        <w:pStyle w:val="References"/>
      </w:pPr>
      <w:r>
        <w:t xml:space="preserve">Hargreaves, </w:t>
      </w:r>
      <w:proofErr w:type="spellStart"/>
      <w:r>
        <w:t>Eleanore</w:t>
      </w:r>
      <w:proofErr w:type="spellEnd"/>
      <w:r w:rsidRPr="00427DDD">
        <w:t xml:space="preserve">. 2010. </w:t>
      </w:r>
      <w:r>
        <w:t>“</w:t>
      </w:r>
      <w:r w:rsidRPr="00427DDD">
        <w:t>Knowledge Construction and Personal Relationship: Insights About a UK University Mentoring and Coaching Service.</w:t>
      </w:r>
      <w:r>
        <w:t>”</w:t>
      </w:r>
      <w:r w:rsidRPr="00427DDD">
        <w:t xml:space="preserve"> </w:t>
      </w:r>
      <w:r w:rsidRPr="00427DDD">
        <w:rPr>
          <w:i/>
        </w:rPr>
        <w:t>Mentoring &amp;Tutoring: Partnership in Learning</w:t>
      </w:r>
      <w:r w:rsidRPr="00427DDD">
        <w:t xml:space="preserve"> 18(2)</w:t>
      </w:r>
      <w:r>
        <w:t>:</w:t>
      </w:r>
      <w:r w:rsidRPr="00427DDD">
        <w:t xml:space="preserve"> 107-120</w:t>
      </w:r>
      <w:r>
        <w:t>.</w:t>
      </w:r>
    </w:p>
    <w:p w14:paraId="066FA9AB" w14:textId="77777777" w:rsidR="00BF628C" w:rsidRDefault="00BF628C" w:rsidP="00BF628C">
      <w:pPr>
        <w:pStyle w:val="References"/>
        <w:rPr>
          <w:iCs/>
        </w:rPr>
      </w:pPr>
      <w:r w:rsidRPr="00E7341A">
        <w:rPr>
          <w:iCs/>
        </w:rPr>
        <w:t>Hendry, G</w:t>
      </w:r>
      <w:r>
        <w:rPr>
          <w:iCs/>
        </w:rPr>
        <w:t>raham D</w:t>
      </w:r>
      <w:r w:rsidRPr="00E7341A">
        <w:rPr>
          <w:iCs/>
        </w:rPr>
        <w:t xml:space="preserve">., and </w:t>
      </w:r>
      <w:r>
        <w:rPr>
          <w:iCs/>
        </w:rPr>
        <w:t>Gary R. Oliver</w:t>
      </w:r>
      <w:r w:rsidRPr="00E7341A">
        <w:rPr>
          <w:iCs/>
        </w:rPr>
        <w:t xml:space="preserve">. 2012. </w:t>
      </w:r>
      <w:r>
        <w:rPr>
          <w:iCs/>
        </w:rPr>
        <w:t>“</w:t>
      </w:r>
      <w:r w:rsidRPr="00E7341A">
        <w:rPr>
          <w:iCs/>
        </w:rPr>
        <w:t>Seeing is believing: the benefits of peer observation.</w:t>
      </w:r>
      <w:r>
        <w:rPr>
          <w:iCs/>
        </w:rPr>
        <w:t>”</w:t>
      </w:r>
      <w:r w:rsidRPr="00E7341A">
        <w:rPr>
          <w:iCs/>
        </w:rPr>
        <w:t xml:space="preserve"> </w:t>
      </w:r>
      <w:r w:rsidRPr="00E7341A">
        <w:rPr>
          <w:i/>
          <w:iCs/>
        </w:rPr>
        <w:t>Journal of University Teaching and Learning Practice</w:t>
      </w:r>
      <w:r w:rsidRPr="00E7341A">
        <w:rPr>
          <w:iCs/>
        </w:rPr>
        <w:t xml:space="preserve"> 9(1)</w:t>
      </w:r>
      <w:r>
        <w:rPr>
          <w:iCs/>
        </w:rPr>
        <w:t>:</w:t>
      </w:r>
      <w:r w:rsidRPr="00E7341A">
        <w:rPr>
          <w:iCs/>
        </w:rPr>
        <w:t xml:space="preserve"> 1–9.</w:t>
      </w:r>
    </w:p>
    <w:p w14:paraId="04CCCC4F" w14:textId="77777777" w:rsidR="00BF628C" w:rsidRPr="00427DDD" w:rsidRDefault="00BF628C" w:rsidP="00BF628C">
      <w:pPr>
        <w:pStyle w:val="References"/>
        <w:rPr>
          <w:iCs/>
        </w:rPr>
      </w:pPr>
      <w:r w:rsidRPr="00427DDD">
        <w:rPr>
          <w:iCs/>
        </w:rPr>
        <w:t>Jewett, P</w:t>
      </w:r>
      <w:r>
        <w:rPr>
          <w:iCs/>
        </w:rPr>
        <w:t>amela,</w:t>
      </w:r>
      <w:r w:rsidRPr="00427DDD">
        <w:rPr>
          <w:iCs/>
        </w:rPr>
        <w:t xml:space="preserve"> and </w:t>
      </w:r>
      <w:r>
        <w:rPr>
          <w:iCs/>
        </w:rPr>
        <w:t xml:space="preserve">Deborah </w:t>
      </w:r>
      <w:proofErr w:type="spellStart"/>
      <w:r>
        <w:rPr>
          <w:iCs/>
        </w:rPr>
        <w:t>MacPhee</w:t>
      </w:r>
      <w:proofErr w:type="spellEnd"/>
      <w:r>
        <w:rPr>
          <w:iCs/>
        </w:rPr>
        <w:t xml:space="preserve">. </w:t>
      </w:r>
      <w:r w:rsidRPr="00427DDD">
        <w:rPr>
          <w:iCs/>
        </w:rPr>
        <w:t xml:space="preserve">2012. </w:t>
      </w:r>
      <w:r>
        <w:rPr>
          <w:iCs/>
        </w:rPr>
        <w:t>“</w:t>
      </w:r>
      <w:r w:rsidRPr="00427DDD">
        <w:rPr>
          <w:iCs/>
        </w:rPr>
        <w:t>A dialogic conception of learning: collaborative peer coaching.</w:t>
      </w:r>
      <w:r>
        <w:rPr>
          <w:iCs/>
        </w:rPr>
        <w:t>”</w:t>
      </w:r>
      <w:r w:rsidRPr="00427DDD">
        <w:rPr>
          <w:iCs/>
        </w:rPr>
        <w:t xml:space="preserve"> </w:t>
      </w:r>
      <w:r w:rsidRPr="00427DDD">
        <w:rPr>
          <w:i/>
          <w:iCs/>
        </w:rPr>
        <w:t>International Journal of Mentoring and Coaching in Education</w:t>
      </w:r>
      <w:r w:rsidRPr="00427DDD">
        <w:rPr>
          <w:iCs/>
        </w:rPr>
        <w:t xml:space="preserve"> 1(1)</w:t>
      </w:r>
      <w:r>
        <w:rPr>
          <w:iCs/>
        </w:rPr>
        <w:t>:</w:t>
      </w:r>
      <w:r w:rsidRPr="00427DDD">
        <w:rPr>
          <w:iCs/>
        </w:rPr>
        <w:t xml:space="preserve"> 12-23</w:t>
      </w:r>
      <w:r>
        <w:rPr>
          <w:iCs/>
        </w:rPr>
        <w:t>.</w:t>
      </w:r>
    </w:p>
    <w:p w14:paraId="3FC6953E" w14:textId="77777777" w:rsidR="00BF628C" w:rsidRPr="00427DDD" w:rsidRDefault="00BF628C" w:rsidP="00BF628C">
      <w:pPr>
        <w:pStyle w:val="References"/>
        <w:rPr>
          <w:iCs/>
        </w:rPr>
      </w:pPr>
      <w:r w:rsidRPr="00427DDD">
        <w:rPr>
          <w:iCs/>
        </w:rPr>
        <w:t>Kennedy, A</w:t>
      </w:r>
      <w:r>
        <w:rPr>
          <w:iCs/>
        </w:rPr>
        <w:t>ileen. 2014. “</w:t>
      </w:r>
      <w:r w:rsidRPr="00427DDD">
        <w:rPr>
          <w:iCs/>
        </w:rPr>
        <w:t>Understanding continuing professional development: the need for theory t</w:t>
      </w:r>
      <w:r>
        <w:rPr>
          <w:iCs/>
        </w:rPr>
        <w:t>o impact on policy and practice.”</w:t>
      </w:r>
      <w:r w:rsidRPr="00427DDD">
        <w:rPr>
          <w:iCs/>
        </w:rPr>
        <w:t xml:space="preserve"> </w:t>
      </w:r>
      <w:r w:rsidRPr="00427DDD">
        <w:rPr>
          <w:i/>
          <w:iCs/>
        </w:rPr>
        <w:t>Professional Development in Education</w:t>
      </w:r>
      <w:r>
        <w:rPr>
          <w:iCs/>
        </w:rPr>
        <w:t xml:space="preserve"> 40(5): </w:t>
      </w:r>
      <w:r w:rsidRPr="00427DDD">
        <w:rPr>
          <w:iCs/>
        </w:rPr>
        <w:t>688-697</w:t>
      </w:r>
      <w:r>
        <w:rPr>
          <w:iCs/>
        </w:rPr>
        <w:t>.</w:t>
      </w:r>
    </w:p>
    <w:p w14:paraId="40583B3F" w14:textId="77777777" w:rsidR="00BF628C" w:rsidRPr="00427DDD" w:rsidRDefault="00BF628C" w:rsidP="00BF628C">
      <w:pPr>
        <w:pStyle w:val="References"/>
        <w:rPr>
          <w:iCs/>
          <w:color w:val="000000"/>
          <w:shd w:val="clear" w:color="auto" w:fill="FFFFFF"/>
        </w:rPr>
      </w:pPr>
      <w:proofErr w:type="spellStart"/>
      <w:r>
        <w:rPr>
          <w:iCs/>
          <w:color w:val="000000"/>
          <w:shd w:val="clear" w:color="auto" w:fill="FFFFFF"/>
        </w:rPr>
        <w:t>Ladyshewsky</w:t>
      </w:r>
      <w:proofErr w:type="spellEnd"/>
      <w:r w:rsidRPr="00427DDD">
        <w:rPr>
          <w:iCs/>
          <w:color w:val="000000"/>
          <w:shd w:val="clear" w:color="auto" w:fill="FFFFFF"/>
        </w:rPr>
        <w:t>, R</w:t>
      </w:r>
      <w:r>
        <w:rPr>
          <w:iCs/>
          <w:color w:val="000000"/>
          <w:shd w:val="clear" w:color="auto" w:fill="FFFFFF"/>
        </w:rPr>
        <w:t>ichard</w:t>
      </w:r>
      <w:r w:rsidRPr="00427DDD">
        <w:rPr>
          <w:iCs/>
          <w:color w:val="000000"/>
          <w:shd w:val="clear" w:color="auto" w:fill="FFFFFF"/>
        </w:rPr>
        <w:t xml:space="preserve">. 2014. </w:t>
      </w:r>
      <w:r>
        <w:rPr>
          <w:iCs/>
          <w:color w:val="000000"/>
          <w:shd w:val="clear" w:color="auto" w:fill="FFFFFF"/>
        </w:rPr>
        <w:t>“</w:t>
      </w:r>
      <w:r w:rsidRPr="00427DDD">
        <w:rPr>
          <w:iCs/>
          <w:color w:val="000000"/>
          <w:shd w:val="clear" w:color="auto" w:fill="FFFFFF"/>
        </w:rPr>
        <w:t>Peer Coaching.</w:t>
      </w:r>
      <w:r>
        <w:rPr>
          <w:iCs/>
          <w:color w:val="000000"/>
          <w:shd w:val="clear" w:color="auto" w:fill="FFFFFF"/>
        </w:rPr>
        <w:t>”</w:t>
      </w:r>
      <w:r w:rsidRPr="00427DDD">
        <w:rPr>
          <w:iCs/>
          <w:color w:val="000000"/>
          <w:shd w:val="clear" w:color="auto" w:fill="FFFFFF"/>
        </w:rPr>
        <w:t xml:space="preserve"> In </w:t>
      </w:r>
      <w:r w:rsidRPr="00427DDD">
        <w:rPr>
          <w:i/>
          <w:iCs/>
          <w:color w:val="000000"/>
          <w:shd w:val="clear" w:color="auto" w:fill="FFFFFF"/>
        </w:rPr>
        <w:t>The Complete Handbook of Coaching</w:t>
      </w:r>
      <w:r>
        <w:rPr>
          <w:i/>
          <w:iCs/>
          <w:color w:val="000000"/>
          <w:shd w:val="clear" w:color="auto" w:fill="FFFFFF"/>
        </w:rPr>
        <w:t xml:space="preserve">, </w:t>
      </w:r>
      <w:r>
        <w:rPr>
          <w:iCs/>
          <w:color w:val="000000"/>
          <w:shd w:val="clear" w:color="auto" w:fill="FFFFFF"/>
        </w:rPr>
        <w:t>2</w:t>
      </w:r>
      <w:r w:rsidRPr="00CD565E">
        <w:rPr>
          <w:iCs/>
          <w:color w:val="000000"/>
          <w:shd w:val="clear" w:color="auto" w:fill="FFFFFF"/>
          <w:vertAlign w:val="superscript"/>
        </w:rPr>
        <w:t>nd</w:t>
      </w:r>
      <w:r>
        <w:rPr>
          <w:iCs/>
          <w:color w:val="000000"/>
          <w:shd w:val="clear" w:color="auto" w:fill="FFFFFF"/>
        </w:rPr>
        <w:t xml:space="preserve"> ed., edited by Elaine Cox</w:t>
      </w:r>
      <w:r w:rsidRPr="00427DDD">
        <w:rPr>
          <w:iCs/>
          <w:color w:val="000000"/>
          <w:shd w:val="clear" w:color="auto" w:fill="FFFFFF"/>
        </w:rPr>
        <w:t xml:space="preserve">, </w:t>
      </w:r>
      <w:r>
        <w:rPr>
          <w:iCs/>
          <w:color w:val="000000"/>
          <w:shd w:val="clear" w:color="auto" w:fill="FFFFFF"/>
        </w:rPr>
        <w:t xml:space="preserve">Tatiana </w:t>
      </w:r>
      <w:proofErr w:type="spellStart"/>
      <w:r>
        <w:rPr>
          <w:iCs/>
          <w:color w:val="000000"/>
          <w:shd w:val="clear" w:color="auto" w:fill="FFFFFF"/>
        </w:rPr>
        <w:t>Bachkirova</w:t>
      </w:r>
      <w:proofErr w:type="spellEnd"/>
      <w:r w:rsidRPr="00427DDD">
        <w:rPr>
          <w:iCs/>
          <w:color w:val="000000"/>
          <w:shd w:val="clear" w:color="auto" w:fill="FFFFFF"/>
        </w:rPr>
        <w:t xml:space="preserve">, and </w:t>
      </w:r>
      <w:r>
        <w:rPr>
          <w:iCs/>
          <w:color w:val="000000"/>
          <w:shd w:val="clear" w:color="auto" w:fill="FFFFFF"/>
        </w:rPr>
        <w:t xml:space="preserve">David </w:t>
      </w:r>
      <w:r w:rsidRPr="00427DDD">
        <w:rPr>
          <w:iCs/>
          <w:color w:val="000000"/>
          <w:shd w:val="clear" w:color="auto" w:fill="FFFFFF"/>
        </w:rPr>
        <w:t>Clutterbuck</w:t>
      </w:r>
      <w:r>
        <w:rPr>
          <w:iCs/>
          <w:color w:val="000000"/>
          <w:shd w:val="clear" w:color="auto" w:fill="FFFFFF"/>
        </w:rPr>
        <w:t>, 285-297.</w:t>
      </w:r>
      <w:r w:rsidRPr="00427DDD">
        <w:rPr>
          <w:i/>
          <w:iCs/>
          <w:color w:val="000000"/>
          <w:shd w:val="clear" w:color="auto" w:fill="FFFFFF"/>
        </w:rPr>
        <w:t xml:space="preserve"> </w:t>
      </w:r>
      <w:r w:rsidRPr="00427DDD">
        <w:rPr>
          <w:iCs/>
          <w:color w:val="000000"/>
          <w:shd w:val="clear" w:color="auto" w:fill="FFFFFF"/>
        </w:rPr>
        <w:t>London: SAGE</w:t>
      </w:r>
      <w:r>
        <w:rPr>
          <w:iCs/>
          <w:color w:val="000000"/>
          <w:shd w:val="clear" w:color="auto" w:fill="FFFFFF"/>
        </w:rPr>
        <w:t>.</w:t>
      </w:r>
    </w:p>
    <w:p w14:paraId="13E5C3EB" w14:textId="77777777" w:rsidR="00BF628C" w:rsidRDefault="00BF628C" w:rsidP="00BF628C">
      <w:pPr>
        <w:pStyle w:val="References"/>
        <w:rPr>
          <w:iCs/>
          <w:color w:val="000000"/>
          <w:shd w:val="clear" w:color="auto" w:fill="FFFFFF"/>
        </w:rPr>
      </w:pPr>
      <w:proofErr w:type="spellStart"/>
      <w:r w:rsidRPr="00427DDD">
        <w:rPr>
          <w:iCs/>
          <w:color w:val="000000"/>
          <w:shd w:val="clear" w:color="auto" w:fill="FFFFFF"/>
        </w:rPr>
        <w:t>Lewicki</w:t>
      </w:r>
      <w:proofErr w:type="spellEnd"/>
      <w:r w:rsidRPr="00427DDD">
        <w:rPr>
          <w:iCs/>
          <w:color w:val="000000"/>
          <w:shd w:val="clear" w:color="auto" w:fill="FFFFFF"/>
        </w:rPr>
        <w:t>, R</w:t>
      </w:r>
      <w:r>
        <w:rPr>
          <w:iCs/>
          <w:color w:val="000000"/>
          <w:shd w:val="clear" w:color="auto" w:fill="FFFFFF"/>
        </w:rPr>
        <w:t>oy J</w:t>
      </w:r>
      <w:r w:rsidRPr="00427DDD">
        <w:rPr>
          <w:iCs/>
          <w:color w:val="000000"/>
          <w:shd w:val="clear" w:color="auto" w:fill="FFFFFF"/>
        </w:rPr>
        <w:t xml:space="preserve">., </w:t>
      </w:r>
      <w:r>
        <w:rPr>
          <w:iCs/>
          <w:color w:val="000000"/>
          <w:shd w:val="clear" w:color="auto" w:fill="FFFFFF"/>
        </w:rPr>
        <w:t>Edward Tomlinson</w:t>
      </w:r>
      <w:r w:rsidRPr="00427DDD">
        <w:rPr>
          <w:iCs/>
          <w:color w:val="000000"/>
          <w:shd w:val="clear" w:color="auto" w:fill="FFFFFF"/>
        </w:rPr>
        <w:t xml:space="preserve">, and </w:t>
      </w:r>
      <w:r>
        <w:rPr>
          <w:iCs/>
          <w:color w:val="000000"/>
          <w:shd w:val="clear" w:color="auto" w:fill="FFFFFF"/>
        </w:rPr>
        <w:t xml:space="preserve">Nicole </w:t>
      </w:r>
      <w:r w:rsidRPr="00427DDD">
        <w:rPr>
          <w:iCs/>
          <w:color w:val="000000"/>
          <w:shd w:val="clear" w:color="auto" w:fill="FFFFFF"/>
        </w:rPr>
        <w:t xml:space="preserve">Gillespie. 2006. </w:t>
      </w:r>
      <w:r>
        <w:rPr>
          <w:iCs/>
          <w:color w:val="000000"/>
          <w:shd w:val="clear" w:color="auto" w:fill="FFFFFF"/>
        </w:rPr>
        <w:t>“</w:t>
      </w:r>
      <w:r w:rsidRPr="003B3AD5">
        <w:rPr>
          <w:iCs/>
          <w:color w:val="000000"/>
          <w:shd w:val="clear" w:color="auto" w:fill="FFFFFF"/>
        </w:rPr>
        <w:t>Models of Interpersonal Trust Development: Theoretical Approaches, Empirical Evidence, and Future Directions</w:t>
      </w:r>
      <w:r w:rsidRPr="00427DDD">
        <w:rPr>
          <w:iCs/>
          <w:color w:val="000000"/>
          <w:shd w:val="clear" w:color="auto" w:fill="FFFFFF"/>
        </w:rPr>
        <w:t>.</w:t>
      </w:r>
      <w:r>
        <w:rPr>
          <w:iCs/>
          <w:color w:val="000000"/>
          <w:shd w:val="clear" w:color="auto" w:fill="FFFFFF"/>
        </w:rPr>
        <w:t>”</w:t>
      </w:r>
      <w:r w:rsidRPr="00427DDD">
        <w:rPr>
          <w:iCs/>
          <w:color w:val="000000"/>
          <w:shd w:val="clear" w:color="auto" w:fill="FFFFFF"/>
        </w:rPr>
        <w:t xml:space="preserve"> </w:t>
      </w:r>
      <w:r w:rsidRPr="00427DDD">
        <w:rPr>
          <w:i/>
          <w:iCs/>
          <w:color w:val="000000"/>
          <w:shd w:val="clear" w:color="auto" w:fill="FFFFFF"/>
        </w:rPr>
        <w:t>Journal of Management</w:t>
      </w:r>
      <w:r w:rsidRPr="00427DDD">
        <w:rPr>
          <w:iCs/>
          <w:color w:val="000000"/>
          <w:shd w:val="clear" w:color="auto" w:fill="FFFFFF"/>
        </w:rPr>
        <w:t xml:space="preserve"> 32</w:t>
      </w:r>
      <w:r>
        <w:rPr>
          <w:iCs/>
          <w:color w:val="000000"/>
          <w:shd w:val="clear" w:color="auto" w:fill="FFFFFF"/>
        </w:rPr>
        <w:t>(6): 991-</w:t>
      </w:r>
      <w:r w:rsidRPr="00427DDD">
        <w:rPr>
          <w:iCs/>
          <w:color w:val="000000"/>
          <w:shd w:val="clear" w:color="auto" w:fill="FFFFFF"/>
        </w:rPr>
        <w:t>1022</w:t>
      </w:r>
      <w:r>
        <w:rPr>
          <w:iCs/>
          <w:color w:val="000000"/>
          <w:shd w:val="clear" w:color="auto" w:fill="FFFFFF"/>
        </w:rPr>
        <w:t>.</w:t>
      </w:r>
    </w:p>
    <w:p w14:paraId="7099D4A7" w14:textId="77777777" w:rsidR="00BF628C" w:rsidRPr="00427DDD" w:rsidRDefault="00BF628C" w:rsidP="00BF628C">
      <w:pPr>
        <w:pStyle w:val="References"/>
        <w:rPr>
          <w:iCs/>
          <w:color w:val="000000"/>
          <w:shd w:val="clear" w:color="auto" w:fill="FFFFFF"/>
        </w:rPr>
      </w:pPr>
      <w:r w:rsidRPr="00427DDD">
        <w:rPr>
          <w:iCs/>
          <w:color w:val="000000"/>
          <w:shd w:val="clear" w:color="auto" w:fill="FFFFFF"/>
        </w:rPr>
        <w:t>Lofthouse, R</w:t>
      </w:r>
      <w:r>
        <w:rPr>
          <w:iCs/>
          <w:color w:val="000000"/>
          <w:shd w:val="clear" w:color="auto" w:fill="FFFFFF"/>
        </w:rPr>
        <w:t>achel</w:t>
      </w:r>
      <w:r w:rsidRPr="00427DDD">
        <w:rPr>
          <w:iCs/>
          <w:color w:val="000000"/>
          <w:shd w:val="clear" w:color="auto" w:fill="FFFFFF"/>
        </w:rPr>
        <w:t xml:space="preserve">. </w:t>
      </w:r>
      <w:proofErr w:type="gramStart"/>
      <w:r w:rsidRPr="00427DDD">
        <w:rPr>
          <w:iCs/>
          <w:color w:val="000000"/>
          <w:shd w:val="clear" w:color="auto" w:fill="FFFFFF"/>
        </w:rPr>
        <w:t>and</w:t>
      </w:r>
      <w:proofErr w:type="gramEnd"/>
      <w:r w:rsidRPr="00427DDD">
        <w:rPr>
          <w:iCs/>
          <w:color w:val="000000"/>
          <w:shd w:val="clear" w:color="auto" w:fill="FFFFFF"/>
        </w:rPr>
        <w:t xml:space="preserve"> </w:t>
      </w:r>
      <w:r>
        <w:rPr>
          <w:iCs/>
          <w:color w:val="000000"/>
          <w:shd w:val="clear" w:color="auto" w:fill="FFFFFF"/>
        </w:rPr>
        <w:t xml:space="preserve">Elaine </w:t>
      </w:r>
      <w:r w:rsidRPr="00427DDD">
        <w:rPr>
          <w:iCs/>
          <w:color w:val="000000"/>
          <w:shd w:val="clear" w:color="auto" w:fill="FFFFFF"/>
        </w:rPr>
        <w:t xml:space="preserve">Hall. 2014. </w:t>
      </w:r>
      <w:r>
        <w:rPr>
          <w:iCs/>
          <w:color w:val="000000"/>
          <w:shd w:val="clear" w:color="auto" w:fill="FFFFFF"/>
        </w:rPr>
        <w:t>“</w:t>
      </w:r>
      <w:r w:rsidRPr="00427DDD">
        <w:rPr>
          <w:iCs/>
          <w:color w:val="000000"/>
          <w:shd w:val="clear" w:color="auto" w:fill="FFFFFF"/>
        </w:rPr>
        <w:t>Developing practices in teachers</w:t>
      </w:r>
      <w:r>
        <w:rPr>
          <w:iCs/>
          <w:color w:val="000000"/>
          <w:shd w:val="clear" w:color="auto" w:fill="FFFFFF"/>
        </w:rPr>
        <w:t>’</w:t>
      </w:r>
      <w:r w:rsidRPr="00427DDD">
        <w:rPr>
          <w:iCs/>
          <w:color w:val="000000"/>
          <w:shd w:val="clear" w:color="auto" w:fill="FFFFFF"/>
        </w:rPr>
        <w:t xml:space="preserve"> professional dialogue in England: using Coaching Dimensions as an epistemic tool.</w:t>
      </w:r>
      <w:r>
        <w:rPr>
          <w:iCs/>
          <w:color w:val="000000"/>
          <w:shd w:val="clear" w:color="auto" w:fill="FFFFFF"/>
        </w:rPr>
        <w:t>”</w:t>
      </w:r>
      <w:r w:rsidRPr="00427DDD">
        <w:rPr>
          <w:iCs/>
          <w:color w:val="000000"/>
          <w:shd w:val="clear" w:color="auto" w:fill="FFFFFF"/>
        </w:rPr>
        <w:t xml:space="preserve"> </w:t>
      </w:r>
      <w:r w:rsidRPr="00427DDD">
        <w:rPr>
          <w:i/>
          <w:iCs/>
          <w:color w:val="000000"/>
          <w:shd w:val="clear" w:color="auto" w:fill="FFFFFF"/>
        </w:rPr>
        <w:t>Professional Development in Education</w:t>
      </w:r>
      <w:r>
        <w:rPr>
          <w:iCs/>
          <w:color w:val="000000"/>
          <w:shd w:val="clear" w:color="auto" w:fill="FFFFFF"/>
        </w:rPr>
        <w:t xml:space="preserve"> 40(</w:t>
      </w:r>
      <w:r w:rsidRPr="00427DDD">
        <w:rPr>
          <w:iCs/>
          <w:color w:val="000000"/>
          <w:shd w:val="clear" w:color="auto" w:fill="FFFFFF"/>
        </w:rPr>
        <w:t>5</w:t>
      </w:r>
      <w:r>
        <w:rPr>
          <w:iCs/>
          <w:color w:val="000000"/>
          <w:shd w:val="clear" w:color="auto" w:fill="FFFFFF"/>
        </w:rPr>
        <w:t>):</w:t>
      </w:r>
      <w:r w:rsidRPr="00427DDD">
        <w:rPr>
          <w:iCs/>
          <w:color w:val="000000"/>
          <w:shd w:val="clear" w:color="auto" w:fill="FFFFFF"/>
        </w:rPr>
        <w:t xml:space="preserve"> 758-778</w:t>
      </w:r>
      <w:r>
        <w:rPr>
          <w:iCs/>
          <w:color w:val="000000"/>
          <w:shd w:val="clear" w:color="auto" w:fill="FFFFFF"/>
        </w:rPr>
        <w:t>.</w:t>
      </w:r>
    </w:p>
    <w:p w14:paraId="587FF30B" w14:textId="77777777" w:rsidR="00BF628C" w:rsidRPr="002F252E" w:rsidRDefault="00BF628C" w:rsidP="00BF628C">
      <w:pPr>
        <w:pStyle w:val="References"/>
        <w:rPr>
          <w:iCs/>
          <w:color w:val="000000"/>
          <w:shd w:val="clear" w:color="auto" w:fill="FFFFFF"/>
        </w:rPr>
      </w:pPr>
      <w:r w:rsidRPr="00427DDD">
        <w:rPr>
          <w:iCs/>
          <w:color w:val="000000"/>
          <w:shd w:val="clear" w:color="auto" w:fill="FFFFFF"/>
        </w:rPr>
        <w:t>Lofthouse, R</w:t>
      </w:r>
      <w:r>
        <w:rPr>
          <w:iCs/>
          <w:color w:val="000000"/>
          <w:shd w:val="clear" w:color="auto" w:fill="FFFFFF"/>
        </w:rPr>
        <w:t>achel</w:t>
      </w:r>
      <w:r w:rsidRPr="00427DDD">
        <w:rPr>
          <w:iCs/>
          <w:color w:val="000000"/>
          <w:shd w:val="clear" w:color="auto" w:fill="FFFFFF"/>
        </w:rPr>
        <w:t xml:space="preserve">, and </w:t>
      </w:r>
      <w:r>
        <w:rPr>
          <w:iCs/>
          <w:color w:val="000000"/>
          <w:shd w:val="clear" w:color="auto" w:fill="FFFFFF"/>
        </w:rPr>
        <w:t xml:space="preserve">David </w:t>
      </w:r>
      <w:proofErr w:type="spellStart"/>
      <w:r w:rsidRPr="00427DDD">
        <w:rPr>
          <w:iCs/>
          <w:color w:val="000000"/>
          <w:shd w:val="clear" w:color="auto" w:fill="FFFFFF"/>
        </w:rPr>
        <w:t>Leat</w:t>
      </w:r>
      <w:proofErr w:type="spellEnd"/>
      <w:r w:rsidRPr="00427DDD">
        <w:rPr>
          <w:iCs/>
          <w:color w:val="000000"/>
          <w:shd w:val="clear" w:color="auto" w:fill="FFFFFF"/>
        </w:rPr>
        <w:t xml:space="preserve">. 2013. </w:t>
      </w:r>
      <w:r>
        <w:rPr>
          <w:iCs/>
          <w:color w:val="000000"/>
          <w:shd w:val="clear" w:color="auto" w:fill="FFFFFF"/>
        </w:rPr>
        <w:t>“</w:t>
      </w:r>
      <w:r w:rsidRPr="00427DDD">
        <w:rPr>
          <w:iCs/>
          <w:color w:val="000000"/>
          <w:shd w:val="clear" w:color="auto" w:fill="FFFFFF"/>
        </w:rPr>
        <w:t>An activity theory perspective on peer coaching.</w:t>
      </w:r>
      <w:r>
        <w:rPr>
          <w:iCs/>
          <w:color w:val="000000"/>
          <w:shd w:val="clear" w:color="auto" w:fill="FFFFFF"/>
        </w:rPr>
        <w:t>”</w:t>
      </w:r>
      <w:r w:rsidRPr="00427DDD">
        <w:rPr>
          <w:iCs/>
          <w:color w:val="000000"/>
          <w:shd w:val="clear" w:color="auto" w:fill="FFFFFF"/>
        </w:rPr>
        <w:t xml:space="preserve"> </w:t>
      </w:r>
      <w:r w:rsidRPr="00427DDD">
        <w:rPr>
          <w:i/>
          <w:iCs/>
          <w:color w:val="000000"/>
          <w:shd w:val="clear" w:color="auto" w:fill="FFFFFF"/>
        </w:rPr>
        <w:t>International Journal of Mentoring and Coaching in Education</w:t>
      </w:r>
      <w:r>
        <w:rPr>
          <w:iCs/>
          <w:color w:val="000000"/>
          <w:shd w:val="clear" w:color="auto" w:fill="FFFFFF"/>
        </w:rPr>
        <w:t xml:space="preserve"> 2(1): 8-</w:t>
      </w:r>
      <w:r w:rsidRPr="00427DDD">
        <w:rPr>
          <w:iCs/>
          <w:color w:val="000000"/>
          <w:shd w:val="clear" w:color="auto" w:fill="FFFFFF"/>
        </w:rPr>
        <w:t>20</w:t>
      </w:r>
      <w:r>
        <w:rPr>
          <w:iCs/>
          <w:color w:val="000000"/>
          <w:shd w:val="clear" w:color="auto" w:fill="FFFFFF"/>
        </w:rPr>
        <w:t>.</w:t>
      </w:r>
    </w:p>
    <w:p w14:paraId="3F9BC7E2" w14:textId="77777777" w:rsidR="00BF628C" w:rsidRPr="00E7341A" w:rsidRDefault="00BF628C" w:rsidP="00BF628C">
      <w:pPr>
        <w:pStyle w:val="References"/>
        <w:rPr>
          <w:iCs/>
        </w:rPr>
      </w:pPr>
      <w:r w:rsidRPr="00E7341A">
        <w:rPr>
          <w:iCs/>
        </w:rPr>
        <w:t>Lomas, L</w:t>
      </w:r>
      <w:r>
        <w:rPr>
          <w:iCs/>
        </w:rPr>
        <w:t>aurie</w:t>
      </w:r>
      <w:r w:rsidRPr="00E7341A">
        <w:rPr>
          <w:iCs/>
        </w:rPr>
        <w:t xml:space="preserve"> and </w:t>
      </w:r>
      <w:r>
        <w:rPr>
          <w:iCs/>
        </w:rPr>
        <w:t xml:space="preserve">Ian </w:t>
      </w:r>
      <w:proofErr w:type="spellStart"/>
      <w:r w:rsidRPr="00E7341A">
        <w:rPr>
          <w:iCs/>
        </w:rPr>
        <w:t>Kinchin</w:t>
      </w:r>
      <w:proofErr w:type="spellEnd"/>
      <w:r w:rsidRPr="00E7341A">
        <w:rPr>
          <w:iCs/>
        </w:rPr>
        <w:t xml:space="preserve">. 2006. </w:t>
      </w:r>
      <w:r>
        <w:rPr>
          <w:iCs/>
        </w:rPr>
        <w:t>“</w:t>
      </w:r>
      <w:r w:rsidRPr="00E7341A">
        <w:rPr>
          <w:iCs/>
        </w:rPr>
        <w:t>Developing a Peer Observation Program with University Teachers.</w:t>
      </w:r>
      <w:r>
        <w:rPr>
          <w:iCs/>
        </w:rPr>
        <w:t>”</w:t>
      </w:r>
      <w:r w:rsidRPr="00E7341A">
        <w:rPr>
          <w:iCs/>
        </w:rPr>
        <w:t xml:space="preserve"> </w:t>
      </w:r>
      <w:r w:rsidRPr="00E7341A">
        <w:rPr>
          <w:i/>
          <w:iCs/>
        </w:rPr>
        <w:t>International Journal of Teaching and Learning in Higher Education</w:t>
      </w:r>
      <w:r w:rsidRPr="00E7341A">
        <w:rPr>
          <w:iCs/>
        </w:rPr>
        <w:t xml:space="preserve"> </w:t>
      </w:r>
      <w:r w:rsidRPr="00057843">
        <w:rPr>
          <w:iCs/>
        </w:rPr>
        <w:t>18(3)</w:t>
      </w:r>
      <w:r>
        <w:rPr>
          <w:iCs/>
        </w:rPr>
        <w:t>:</w:t>
      </w:r>
      <w:r w:rsidRPr="00E7341A">
        <w:rPr>
          <w:iCs/>
        </w:rPr>
        <w:t xml:space="preserve"> 204-214.</w:t>
      </w:r>
    </w:p>
    <w:p w14:paraId="56500F9A" w14:textId="77777777" w:rsidR="00BF628C" w:rsidRPr="00E7341A" w:rsidRDefault="00BF628C" w:rsidP="00BF628C">
      <w:pPr>
        <w:pStyle w:val="References"/>
        <w:rPr>
          <w:iCs/>
        </w:rPr>
      </w:pPr>
      <w:r w:rsidRPr="00E7341A">
        <w:rPr>
          <w:iCs/>
        </w:rPr>
        <w:t>McMahon, T</w:t>
      </w:r>
      <w:r>
        <w:rPr>
          <w:iCs/>
        </w:rPr>
        <w:t>im</w:t>
      </w:r>
      <w:r w:rsidRPr="00E7341A">
        <w:rPr>
          <w:iCs/>
        </w:rPr>
        <w:t xml:space="preserve">, </w:t>
      </w:r>
      <w:r>
        <w:rPr>
          <w:iCs/>
        </w:rPr>
        <w:t xml:space="preserve">Terry </w:t>
      </w:r>
      <w:r w:rsidRPr="00E7341A">
        <w:rPr>
          <w:iCs/>
        </w:rPr>
        <w:t xml:space="preserve">Barrett, and </w:t>
      </w:r>
      <w:r>
        <w:rPr>
          <w:iCs/>
        </w:rPr>
        <w:t xml:space="preserve">Geraldine </w:t>
      </w:r>
      <w:r w:rsidRPr="00E7341A">
        <w:rPr>
          <w:iCs/>
        </w:rPr>
        <w:t>O</w:t>
      </w:r>
      <w:r>
        <w:rPr>
          <w:iCs/>
        </w:rPr>
        <w:t>’</w:t>
      </w:r>
      <w:r w:rsidRPr="00E7341A">
        <w:rPr>
          <w:iCs/>
        </w:rPr>
        <w:t>Neill</w:t>
      </w:r>
      <w:r>
        <w:rPr>
          <w:iCs/>
        </w:rPr>
        <w:t>.</w:t>
      </w:r>
      <w:r w:rsidRPr="00E7341A">
        <w:rPr>
          <w:iCs/>
        </w:rPr>
        <w:t xml:space="preserve"> 2007. </w:t>
      </w:r>
      <w:r>
        <w:rPr>
          <w:iCs/>
        </w:rPr>
        <w:t>“</w:t>
      </w:r>
      <w:r w:rsidRPr="00E7341A">
        <w:rPr>
          <w:iCs/>
        </w:rPr>
        <w:t>Using observation of teaching to improve quality: Finding your way through the muddle of competing conceptions, confusion of practice and mutually exclusive intentions.</w:t>
      </w:r>
      <w:r>
        <w:rPr>
          <w:iCs/>
        </w:rPr>
        <w:t>”</w:t>
      </w:r>
      <w:r w:rsidRPr="00E7341A">
        <w:rPr>
          <w:iCs/>
        </w:rPr>
        <w:t xml:space="preserve"> </w:t>
      </w:r>
      <w:r w:rsidRPr="00E7341A">
        <w:rPr>
          <w:i/>
          <w:iCs/>
        </w:rPr>
        <w:t>Teaching in Higher Education</w:t>
      </w:r>
      <w:r>
        <w:rPr>
          <w:iCs/>
        </w:rPr>
        <w:t xml:space="preserve"> 12(4):</w:t>
      </w:r>
      <w:r w:rsidRPr="00E7341A">
        <w:rPr>
          <w:iCs/>
        </w:rPr>
        <w:t xml:space="preserve"> 499-511.</w:t>
      </w:r>
    </w:p>
    <w:p w14:paraId="5873735E" w14:textId="77777777" w:rsidR="00BF628C" w:rsidRPr="00E7341A" w:rsidRDefault="00BF628C" w:rsidP="00BF628C">
      <w:pPr>
        <w:pStyle w:val="References"/>
        <w:rPr>
          <w:iCs/>
        </w:rPr>
      </w:pPr>
      <w:r w:rsidRPr="00E7341A">
        <w:rPr>
          <w:iCs/>
        </w:rPr>
        <w:lastRenderedPageBreak/>
        <w:t>O</w:t>
      </w:r>
      <w:r>
        <w:rPr>
          <w:iCs/>
        </w:rPr>
        <w:t>’</w:t>
      </w:r>
      <w:r w:rsidRPr="00E7341A">
        <w:rPr>
          <w:iCs/>
        </w:rPr>
        <w:t>Leary, M</w:t>
      </w:r>
      <w:r>
        <w:rPr>
          <w:iCs/>
        </w:rPr>
        <w:t>atthew</w:t>
      </w:r>
      <w:r w:rsidRPr="00E7341A">
        <w:rPr>
          <w:iCs/>
        </w:rPr>
        <w:t xml:space="preserve">. 2013. </w:t>
      </w:r>
      <w:r>
        <w:rPr>
          <w:iCs/>
        </w:rPr>
        <w:t>“</w:t>
      </w:r>
      <w:r w:rsidRPr="00E7341A">
        <w:rPr>
          <w:iCs/>
        </w:rPr>
        <w:t>Surveillance, performativity and normalised practice: the use and impact of graded lesson observations in Further Education Colleges.</w:t>
      </w:r>
      <w:r>
        <w:rPr>
          <w:iCs/>
        </w:rPr>
        <w:t>”</w:t>
      </w:r>
      <w:r w:rsidRPr="00E7341A">
        <w:rPr>
          <w:iCs/>
        </w:rPr>
        <w:t xml:space="preserve"> </w:t>
      </w:r>
      <w:r w:rsidRPr="00E7341A">
        <w:rPr>
          <w:i/>
          <w:iCs/>
        </w:rPr>
        <w:t>Journal of Further and Higher Education</w:t>
      </w:r>
      <w:r>
        <w:rPr>
          <w:iCs/>
        </w:rPr>
        <w:t xml:space="preserve"> 37(5):</w:t>
      </w:r>
      <w:r w:rsidRPr="00E7341A">
        <w:rPr>
          <w:iCs/>
        </w:rPr>
        <w:t xml:space="preserve"> 694-714. </w:t>
      </w:r>
    </w:p>
    <w:p w14:paraId="601DB09E" w14:textId="77777777" w:rsidR="00BF628C" w:rsidRPr="00E7341A" w:rsidRDefault="00BF628C" w:rsidP="00BF628C">
      <w:pPr>
        <w:pStyle w:val="References"/>
        <w:rPr>
          <w:iCs/>
        </w:rPr>
      </w:pPr>
      <w:r w:rsidRPr="00E7341A">
        <w:rPr>
          <w:iCs/>
        </w:rPr>
        <w:t>O</w:t>
      </w:r>
      <w:r>
        <w:rPr>
          <w:iCs/>
        </w:rPr>
        <w:t>’</w:t>
      </w:r>
      <w:r w:rsidRPr="00E7341A">
        <w:rPr>
          <w:iCs/>
        </w:rPr>
        <w:t>Leary, M</w:t>
      </w:r>
      <w:r>
        <w:rPr>
          <w:iCs/>
        </w:rPr>
        <w:t>atthew</w:t>
      </w:r>
      <w:r w:rsidRPr="00E7341A">
        <w:rPr>
          <w:iCs/>
        </w:rPr>
        <w:t xml:space="preserve">. 2014. </w:t>
      </w:r>
      <w:r w:rsidRPr="00E7341A">
        <w:rPr>
          <w:i/>
          <w:iCs/>
        </w:rPr>
        <w:t>Classroom observation: a guide to the effective observation of teaching and learning</w:t>
      </w:r>
      <w:r w:rsidRPr="00E7341A">
        <w:rPr>
          <w:iCs/>
        </w:rPr>
        <w:t xml:space="preserve">. </w:t>
      </w:r>
      <w:r>
        <w:rPr>
          <w:iCs/>
        </w:rPr>
        <w:t>Abingdon</w:t>
      </w:r>
      <w:r w:rsidRPr="00E7341A">
        <w:rPr>
          <w:iCs/>
        </w:rPr>
        <w:t>: Routledge.</w:t>
      </w:r>
    </w:p>
    <w:p w14:paraId="6E0D8492" w14:textId="77777777" w:rsidR="00BF628C" w:rsidRPr="00E7341A" w:rsidRDefault="00BF628C" w:rsidP="00BF628C">
      <w:pPr>
        <w:pStyle w:val="References"/>
        <w:rPr>
          <w:iCs/>
        </w:rPr>
      </w:pPr>
      <w:r w:rsidRPr="00E7341A">
        <w:rPr>
          <w:iCs/>
        </w:rPr>
        <w:t>O</w:t>
      </w:r>
      <w:r>
        <w:rPr>
          <w:iCs/>
        </w:rPr>
        <w:t>’</w:t>
      </w:r>
      <w:r w:rsidRPr="00E7341A">
        <w:rPr>
          <w:iCs/>
        </w:rPr>
        <w:t>Leary, M</w:t>
      </w:r>
      <w:r>
        <w:rPr>
          <w:iCs/>
        </w:rPr>
        <w:t>atthew, and Dean Price</w:t>
      </w:r>
      <w:r w:rsidRPr="00E7341A">
        <w:rPr>
          <w:iCs/>
        </w:rPr>
        <w:t xml:space="preserve">. 2016. </w:t>
      </w:r>
      <w:r>
        <w:rPr>
          <w:iCs/>
        </w:rPr>
        <w:t>“</w:t>
      </w:r>
      <w:r w:rsidRPr="00E7341A">
        <w:rPr>
          <w:iCs/>
        </w:rPr>
        <w:t>Peer observation as a springboard for teacher learning</w:t>
      </w:r>
      <w:r>
        <w:rPr>
          <w:iCs/>
        </w:rPr>
        <w:t>.” In</w:t>
      </w:r>
      <w:r w:rsidRPr="00E7341A">
        <w:rPr>
          <w:iCs/>
        </w:rPr>
        <w:t xml:space="preserve"> </w:t>
      </w:r>
      <w:r w:rsidRPr="00E7341A">
        <w:rPr>
          <w:i/>
          <w:iCs/>
        </w:rPr>
        <w:t>Reclaiming lesson observation: supporting excellence in teacher learning</w:t>
      </w:r>
      <w:r w:rsidRPr="00E7341A">
        <w:rPr>
          <w:iCs/>
        </w:rPr>
        <w:t xml:space="preserve"> </w:t>
      </w:r>
      <w:r>
        <w:rPr>
          <w:iCs/>
        </w:rPr>
        <w:t>edited by Matthew</w:t>
      </w:r>
      <w:r w:rsidRPr="00E7341A">
        <w:rPr>
          <w:iCs/>
        </w:rPr>
        <w:t xml:space="preserve"> O</w:t>
      </w:r>
      <w:r>
        <w:rPr>
          <w:iCs/>
        </w:rPr>
        <w:t>’Leary, 114-123</w:t>
      </w:r>
      <w:r w:rsidRPr="00E7341A">
        <w:rPr>
          <w:i/>
          <w:iCs/>
        </w:rPr>
        <w:t xml:space="preserve">. </w:t>
      </w:r>
      <w:r>
        <w:rPr>
          <w:iCs/>
        </w:rPr>
        <w:t>Abingdon: Routledge</w:t>
      </w:r>
      <w:r w:rsidRPr="00E7341A">
        <w:rPr>
          <w:iCs/>
        </w:rPr>
        <w:t>.</w:t>
      </w:r>
    </w:p>
    <w:p w14:paraId="17A3D9D1" w14:textId="77777777" w:rsidR="00BF628C" w:rsidRDefault="00BF628C" w:rsidP="00BF628C">
      <w:pPr>
        <w:pStyle w:val="References"/>
        <w:rPr>
          <w:iCs/>
        </w:rPr>
      </w:pPr>
      <w:r w:rsidRPr="00E7341A">
        <w:rPr>
          <w:iCs/>
        </w:rPr>
        <w:t>O</w:t>
      </w:r>
      <w:r>
        <w:rPr>
          <w:iCs/>
        </w:rPr>
        <w:t>’</w:t>
      </w:r>
      <w:r w:rsidRPr="00E7341A">
        <w:rPr>
          <w:iCs/>
        </w:rPr>
        <w:t>Leary, M</w:t>
      </w:r>
      <w:r>
        <w:rPr>
          <w:iCs/>
        </w:rPr>
        <w:t>atthew, and Phil Wood</w:t>
      </w:r>
      <w:r w:rsidRPr="00E7341A">
        <w:rPr>
          <w:iCs/>
        </w:rPr>
        <w:t xml:space="preserve">. 2017. </w:t>
      </w:r>
      <w:r>
        <w:rPr>
          <w:iCs/>
        </w:rPr>
        <w:t>“</w:t>
      </w:r>
      <w:r w:rsidRPr="00E7341A">
        <w:rPr>
          <w:iCs/>
        </w:rPr>
        <w:t>Performance over professional learning and the complexity puzzle: lesson observation in England</w:t>
      </w:r>
      <w:r>
        <w:rPr>
          <w:iCs/>
        </w:rPr>
        <w:t>’</w:t>
      </w:r>
      <w:r w:rsidRPr="00E7341A">
        <w:rPr>
          <w:iCs/>
        </w:rPr>
        <w:t>s further education sector</w:t>
      </w:r>
      <w:r>
        <w:rPr>
          <w:iCs/>
        </w:rPr>
        <w:t>,”</w:t>
      </w:r>
      <w:r w:rsidRPr="00E7341A">
        <w:rPr>
          <w:iCs/>
        </w:rPr>
        <w:t xml:space="preserve"> </w:t>
      </w:r>
      <w:r w:rsidRPr="00E7341A">
        <w:rPr>
          <w:i/>
          <w:iCs/>
        </w:rPr>
        <w:t>Professional Development in Education</w:t>
      </w:r>
      <w:r>
        <w:rPr>
          <w:iCs/>
        </w:rPr>
        <w:t>, 43(4):</w:t>
      </w:r>
      <w:r w:rsidRPr="00E7341A">
        <w:rPr>
          <w:iCs/>
        </w:rPr>
        <w:t xml:space="preserve"> 573-591.</w:t>
      </w:r>
    </w:p>
    <w:p w14:paraId="03E7D54F" w14:textId="5B1FAD8C" w:rsidR="00BF628C" w:rsidRPr="00CA080D" w:rsidRDefault="00CA080D" w:rsidP="00CA080D">
      <w:pPr>
        <w:ind w:left="709" w:hanging="709"/>
      </w:pPr>
      <w:r>
        <w:rPr>
          <w:iCs/>
        </w:rPr>
        <w:t xml:space="preserve">O’Leary, Matthew, Vanessa Cui, and Amanda </w:t>
      </w:r>
      <w:r w:rsidR="00A72946">
        <w:rPr>
          <w:iCs/>
        </w:rPr>
        <w:t xml:space="preserve">French, M. Forthcoming in 2018. </w:t>
      </w:r>
      <w:r w:rsidRPr="007004E7">
        <w:rPr>
          <w:i/>
          <w:iCs/>
        </w:rPr>
        <w:t>Understanding, recognising and rewarding teaching quality in higher education: an exploration of the impact and implications of the Teaching Excellence and Student Outcomes Framework</w:t>
      </w:r>
      <w:r>
        <w:rPr>
          <w:iCs/>
        </w:rPr>
        <w:t>, UCU Project Report.</w:t>
      </w:r>
    </w:p>
    <w:p w14:paraId="6FEEFBE2" w14:textId="77777777" w:rsidR="00BF628C" w:rsidRPr="00057843" w:rsidRDefault="00BF628C" w:rsidP="00BF628C">
      <w:pPr>
        <w:pStyle w:val="References"/>
        <w:rPr>
          <w:iCs/>
          <w:color w:val="000000"/>
          <w:shd w:val="clear" w:color="auto" w:fill="FFFFFF"/>
        </w:rPr>
      </w:pPr>
      <w:r>
        <w:rPr>
          <w:iCs/>
          <w:color w:val="000000"/>
          <w:shd w:val="clear" w:color="auto" w:fill="FFFFFF"/>
        </w:rPr>
        <w:t xml:space="preserve">Parker, Polly, Kathy E. </w:t>
      </w:r>
      <w:proofErr w:type="spellStart"/>
      <w:r>
        <w:rPr>
          <w:iCs/>
          <w:color w:val="000000"/>
          <w:shd w:val="clear" w:color="auto" w:fill="FFFFFF"/>
        </w:rPr>
        <w:t>Kram</w:t>
      </w:r>
      <w:proofErr w:type="spellEnd"/>
      <w:r>
        <w:rPr>
          <w:iCs/>
          <w:color w:val="000000"/>
          <w:shd w:val="clear" w:color="auto" w:fill="FFFFFF"/>
        </w:rPr>
        <w:t>, and</w:t>
      </w:r>
      <w:r w:rsidRPr="00427DDD">
        <w:rPr>
          <w:iCs/>
          <w:color w:val="000000"/>
          <w:shd w:val="clear" w:color="auto" w:fill="FFFFFF"/>
        </w:rPr>
        <w:t xml:space="preserve"> </w:t>
      </w:r>
      <w:r>
        <w:rPr>
          <w:iCs/>
          <w:color w:val="000000"/>
          <w:shd w:val="clear" w:color="auto" w:fill="FFFFFF"/>
        </w:rPr>
        <w:t>Douglas T. Hall</w:t>
      </w:r>
      <w:r w:rsidRPr="00427DDD">
        <w:rPr>
          <w:iCs/>
          <w:color w:val="000000"/>
          <w:shd w:val="clear" w:color="auto" w:fill="FFFFFF"/>
        </w:rPr>
        <w:t>.</w:t>
      </w:r>
      <w:r>
        <w:rPr>
          <w:iCs/>
          <w:color w:val="000000"/>
          <w:shd w:val="clear" w:color="auto" w:fill="FFFFFF"/>
        </w:rPr>
        <w:t xml:space="preserve"> 2013</w:t>
      </w:r>
      <w:r w:rsidRPr="00427DDD">
        <w:rPr>
          <w:iCs/>
          <w:color w:val="000000"/>
          <w:shd w:val="clear" w:color="auto" w:fill="FFFFFF"/>
        </w:rPr>
        <w:t>.</w:t>
      </w:r>
      <w:r>
        <w:rPr>
          <w:iCs/>
          <w:color w:val="000000"/>
          <w:shd w:val="clear" w:color="auto" w:fill="FFFFFF"/>
        </w:rPr>
        <w:t>”</w:t>
      </w:r>
      <w:r w:rsidRPr="00427DDD">
        <w:rPr>
          <w:iCs/>
          <w:color w:val="000000"/>
          <w:shd w:val="clear" w:color="auto" w:fill="FFFFFF"/>
        </w:rPr>
        <w:t xml:space="preserve"> Exploring risk factors in peer coaching: A multilevel approach.</w:t>
      </w:r>
      <w:r>
        <w:rPr>
          <w:iCs/>
          <w:color w:val="000000"/>
          <w:shd w:val="clear" w:color="auto" w:fill="FFFFFF"/>
        </w:rPr>
        <w:t>”</w:t>
      </w:r>
      <w:r w:rsidRPr="00427DDD">
        <w:rPr>
          <w:iCs/>
          <w:color w:val="000000"/>
          <w:shd w:val="clear" w:color="auto" w:fill="FFFFFF"/>
        </w:rPr>
        <w:t xml:space="preserve"> </w:t>
      </w:r>
      <w:r w:rsidRPr="00427DDD">
        <w:rPr>
          <w:i/>
          <w:iCs/>
          <w:color w:val="000000"/>
          <w:shd w:val="clear" w:color="auto" w:fill="FFFFFF"/>
        </w:rPr>
        <w:t xml:space="preserve">The Journal of Applied </w:t>
      </w:r>
      <w:proofErr w:type="spellStart"/>
      <w:r w:rsidRPr="00427DDD">
        <w:rPr>
          <w:i/>
          <w:iCs/>
          <w:color w:val="000000"/>
          <w:shd w:val="clear" w:color="auto" w:fill="FFFFFF"/>
        </w:rPr>
        <w:t>Behavioral</w:t>
      </w:r>
      <w:proofErr w:type="spellEnd"/>
      <w:r w:rsidRPr="00427DDD">
        <w:rPr>
          <w:i/>
          <w:iCs/>
          <w:color w:val="000000"/>
          <w:shd w:val="clear" w:color="auto" w:fill="FFFFFF"/>
        </w:rPr>
        <w:t xml:space="preserve"> Science</w:t>
      </w:r>
      <w:r w:rsidRPr="00427DDD">
        <w:rPr>
          <w:iCs/>
          <w:color w:val="000000"/>
          <w:shd w:val="clear" w:color="auto" w:fill="FFFFFF"/>
        </w:rPr>
        <w:t xml:space="preserve"> 49</w:t>
      </w:r>
      <w:r>
        <w:rPr>
          <w:iCs/>
          <w:color w:val="000000"/>
          <w:shd w:val="clear" w:color="auto" w:fill="FFFFFF"/>
        </w:rPr>
        <w:t>(3):</w:t>
      </w:r>
      <w:r w:rsidRPr="00427DDD">
        <w:rPr>
          <w:iCs/>
          <w:color w:val="000000"/>
          <w:shd w:val="clear" w:color="auto" w:fill="FFFFFF"/>
        </w:rPr>
        <w:t xml:space="preserve"> 361–387</w:t>
      </w:r>
      <w:r>
        <w:rPr>
          <w:iCs/>
          <w:color w:val="000000"/>
          <w:shd w:val="clear" w:color="auto" w:fill="FFFFFF"/>
        </w:rPr>
        <w:t>.</w:t>
      </w:r>
    </w:p>
    <w:p w14:paraId="3E41F22E" w14:textId="77777777" w:rsidR="00BF628C" w:rsidRDefault="00BF628C" w:rsidP="00BF628C">
      <w:pPr>
        <w:pStyle w:val="References"/>
        <w:rPr>
          <w:iCs/>
        </w:rPr>
      </w:pPr>
      <w:proofErr w:type="spellStart"/>
      <w:r w:rsidRPr="00E7341A">
        <w:rPr>
          <w:iCs/>
        </w:rPr>
        <w:t>Parsloe</w:t>
      </w:r>
      <w:proofErr w:type="spellEnd"/>
      <w:r w:rsidRPr="00E7341A">
        <w:rPr>
          <w:iCs/>
        </w:rPr>
        <w:t>, E</w:t>
      </w:r>
      <w:r>
        <w:rPr>
          <w:iCs/>
        </w:rPr>
        <w:t>ric</w:t>
      </w:r>
      <w:r w:rsidRPr="00E7341A">
        <w:rPr>
          <w:iCs/>
        </w:rPr>
        <w:t xml:space="preserve"> and</w:t>
      </w:r>
      <w:r>
        <w:rPr>
          <w:iCs/>
        </w:rPr>
        <w:t xml:space="preserve"> Melville</w:t>
      </w:r>
      <w:r w:rsidRPr="00E7341A">
        <w:rPr>
          <w:iCs/>
        </w:rPr>
        <w:t xml:space="preserve"> </w:t>
      </w:r>
      <w:proofErr w:type="spellStart"/>
      <w:r w:rsidRPr="00E7341A">
        <w:rPr>
          <w:iCs/>
        </w:rPr>
        <w:t>Leedham</w:t>
      </w:r>
      <w:proofErr w:type="spellEnd"/>
      <w:r>
        <w:rPr>
          <w:iCs/>
        </w:rPr>
        <w:t>.</w:t>
      </w:r>
      <w:r w:rsidRPr="00E7341A">
        <w:rPr>
          <w:iCs/>
        </w:rPr>
        <w:t xml:space="preserve"> 2009. </w:t>
      </w:r>
      <w:r w:rsidRPr="00E7341A">
        <w:rPr>
          <w:i/>
          <w:iCs/>
        </w:rPr>
        <w:t>Co</w:t>
      </w:r>
      <w:r>
        <w:rPr>
          <w:i/>
          <w:iCs/>
        </w:rPr>
        <w:t xml:space="preserve">aching and Mentoring: Practical </w:t>
      </w:r>
      <w:r w:rsidRPr="00E7341A">
        <w:rPr>
          <w:i/>
          <w:iCs/>
        </w:rPr>
        <w:t>c</w:t>
      </w:r>
      <w:r>
        <w:rPr>
          <w:i/>
          <w:iCs/>
        </w:rPr>
        <w:t xml:space="preserve">onversations to improve learning. </w:t>
      </w:r>
      <w:r w:rsidRPr="00B072B3">
        <w:rPr>
          <w:iCs/>
        </w:rPr>
        <w:t>2</w:t>
      </w:r>
      <w:r w:rsidRPr="00B072B3">
        <w:rPr>
          <w:iCs/>
          <w:vertAlign w:val="superscript"/>
        </w:rPr>
        <w:t>nd</w:t>
      </w:r>
      <w:r w:rsidRPr="00B072B3">
        <w:rPr>
          <w:iCs/>
        </w:rPr>
        <w:t xml:space="preserve"> ed.</w:t>
      </w:r>
      <w:r w:rsidRPr="00E7341A">
        <w:rPr>
          <w:iCs/>
        </w:rPr>
        <w:t xml:space="preserve"> London: </w:t>
      </w:r>
      <w:proofErr w:type="spellStart"/>
      <w:r w:rsidRPr="00E7341A">
        <w:rPr>
          <w:iCs/>
        </w:rPr>
        <w:t>Kogan</w:t>
      </w:r>
      <w:proofErr w:type="spellEnd"/>
      <w:r w:rsidRPr="00E7341A">
        <w:rPr>
          <w:iCs/>
        </w:rPr>
        <w:t xml:space="preserve"> Page.</w:t>
      </w:r>
    </w:p>
    <w:p w14:paraId="02F4A9E7" w14:textId="77777777" w:rsidR="00BF628C" w:rsidRDefault="00BF628C" w:rsidP="00BF628C">
      <w:pPr>
        <w:pStyle w:val="References"/>
        <w:rPr>
          <w:iCs/>
        </w:rPr>
      </w:pPr>
      <w:proofErr w:type="spellStart"/>
      <w:r w:rsidRPr="00427DDD">
        <w:rPr>
          <w:iCs/>
        </w:rPr>
        <w:t>Pleschová</w:t>
      </w:r>
      <w:proofErr w:type="spellEnd"/>
      <w:r w:rsidRPr="00427DDD">
        <w:rPr>
          <w:iCs/>
        </w:rPr>
        <w:t>, G</w:t>
      </w:r>
      <w:r>
        <w:rPr>
          <w:iCs/>
        </w:rPr>
        <w:t>abriella</w:t>
      </w:r>
      <w:r w:rsidRPr="00427DDD">
        <w:rPr>
          <w:iCs/>
        </w:rPr>
        <w:t xml:space="preserve"> and </w:t>
      </w:r>
      <w:r>
        <w:rPr>
          <w:iCs/>
        </w:rPr>
        <w:t xml:space="preserve">Lynn </w:t>
      </w:r>
      <w:proofErr w:type="spellStart"/>
      <w:r>
        <w:rPr>
          <w:iCs/>
        </w:rPr>
        <w:t>McAlpine</w:t>
      </w:r>
      <w:proofErr w:type="spellEnd"/>
      <w:r w:rsidRPr="00427DDD">
        <w:rPr>
          <w:iCs/>
        </w:rPr>
        <w:t xml:space="preserve">. 2015. </w:t>
      </w:r>
      <w:r>
        <w:rPr>
          <w:iCs/>
        </w:rPr>
        <w:t>“</w:t>
      </w:r>
      <w:r w:rsidRPr="00427DDD">
        <w:rPr>
          <w:iCs/>
        </w:rPr>
        <w:t>Enhancing university</w:t>
      </w:r>
      <w:r>
        <w:rPr>
          <w:iCs/>
        </w:rPr>
        <w:t xml:space="preserve"> teaching and learning through m</w:t>
      </w:r>
      <w:r w:rsidRPr="00427DDD">
        <w:rPr>
          <w:iCs/>
        </w:rPr>
        <w:t>entoring.</w:t>
      </w:r>
      <w:r>
        <w:rPr>
          <w:iCs/>
        </w:rPr>
        <w:t>”</w:t>
      </w:r>
      <w:r w:rsidRPr="00427DDD">
        <w:rPr>
          <w:iCs/>
        </w:rPr>
        <w:t xml:space="preserve"> </w:t>
      </w:r>
      <w:r w:rsidRPr="00427DDD">
        <w:rPr>
          <w:i/>
          <w:iCs/>
        </w:rPr>
        <w:t>International Journal of Mentoring and Coaching in Education</w:t>
      </w:r>
      <w:r>
        <w:rPr>
          <w:iCs/>
        </w:rPr>
        <w:t>, 4(2): 107-</w:t>
      </w:r>
      <w:r w:rsidRPr="00427DDD">
        <w:rPr>
          <w:iCs/>
        </w:rPr>
        <w:t>125</w:t>
      </w:r>
      <w:r>
        <w:rPr>
          <w:iCs/>
        </w:rPr>
        <w:t>.</w:t>
      </w:r>
    </w:p>
    <w:p w14:paraId="7F26B890" w14:textId="77777777" w:rsidR="00BF628C" w:rsidRPr="00E7341A" w:rsidRDefault="00BF628C" w:rsidP="00BF628C">
      <w:pPr>
        <w:pStyle w:val="References"/>
        <w:rPr>
          <w:bCs/>
          <w:iCs/>
        </w:rPr>
      </w:pPr>
      <w:r w:rsidRPr="00E7341A">
        <w:rPr>
          <w:iCs/>
        </w:rPr>
        <w:t>Robson, C</w:t>
      </w:r>
      <w:r>
        <w:rPr>
          <w:iCs/>
        </w:rPr>
        <w:t>olin</w:t>
      </w:r>
      <w:r w:rsidRPr="00E7341A">
        <w:rPr>
          <w:bCs/>
          <w:iCs/>
        </w:rPr>
        <w:t xml:space="preserve">. 2002. </w:t>
      </w:r>
      <w:r>
        <w:rPr>
          <w:bCs/>
          <w:i/>
          <w:iCs/>
        </w:rPr>
        <w:t>Real World Research</w:t>
      </w:r>
      <w:r w:rsidRPr="00E054E7">
        <w:rPr>
          <w:bCs/>
          <w:iCs/>
        </w:rPr>
        <w:t>. 2</w:t>
      </w:r>
      <w:r w:rsidRPr="00E054E7">
        <w:rPr>
          <w:bCs/>
          <w:iCs/>
          <w:vertAlign w:val="superscript"/>
        </w:rPr>
        <w:t>nd</w:t>
      </w:r>
      <w:r>
        <w:rPr>
          <w:bCs/>
          <w:iCs/>
        </w:rPr>
        <w:t xml:space="preserve"> ed</w:t>
      </w:r>
      <w:r w:rsidRPr="00E7341A">
        <w:rPr>
          <w:bCs/>
          <w:iCs/>
        </w:rPr>
        <w:t>. Oxford: Blackwell.</w:t>
      </w:r>
    </w:p>
    <w:p w14:paraId="0B836E9E" w14:textId="77777777" w:rsidR="00BF628C" w:rsidRPr="00E7341A" w:rsidRDefault="00BF628C" w:rsidP="00BF628C">
      <w:pPr>
        <w:pStyle w:val="References"/>
        <w:rPr>
          <w:iCs/>
        </w:rPr>
      </w:pPr>
      <w:r w:rsidRPr="00E7341A">
        <w:rPr>
          <w:iCs/>
        </w:rPr>
        <w:t xml:space="preserve">Sachs, J. and </w:t>
      </w:r>
      <w:proofErr w:type="spellStart"/>
      <w:r w:rsidRPr="00E7341A">
        <w:rPr>
          <w:iCs/>
        </w:rPr>
        <w:t>Parsell</w:t>
      </w:r>
      <w:proofErr w:type="spellEnd"/>
      <w:r w:rsidRPr="00E7341A">
        <w:rPr>
          <w:iCs/>
        </w:rPr>
        <w:t xml:space="preserve">, M. 2014. </w:t>
      </w:r>
      <w:r w:rsidRPr="00E7341A">
        <w:rPr>
          <w:i/>
          <w:iCs/>
        </w:rPr>
        <w:t>Peer Review of Learning and Teaching in Higher Education – International Perspectives.</w:t>
      </w:r>
      <w:r w:rsidRPr="00E7341A">
        <w:rPr>
          <w:iCs/>
        </w:rPr>
        <w:t xml:space="preserve"> Springer Dordrecht Heidelberg: London New York.</w:t>
      </w:r>
    </w:p>
    <w:p w14:paraId="4C376902" w14:textId="77777777" w:rsidR="00BF628C" w:rsidRPr="00E7341A" w:rsidRDefault="00BF628C" w:rsidP="00BF628C">
      <w:pPr>
        <w:pStyle w:val="References"/>
        <w:rPr>
          <w:iCs/>
        </w:rPr>
      </w:pPr>
      <w:r w:rsidRPr="00E7341A">
        <w:rPr>
          <w:iCs/>
        </w:rPr>
        <w:t>Shortland, S</w:t>
      </w:r>
      <w:r>
        <w:rPr>
          <w:iCs/>
        </w:rPr>
        <w:t>ue</w:t>
      </w:r>
      <w:r w:rsidRPr="00E7341A">
        <w:rPr>
          <w:iCs/>
        </w:rPr>
        <w:t xml:space="preserve">. 2004. </w:t>
      </w:r>
      <w:r>
        <w:rPr>
          <w:iCs/>
        </w:rPr>
        <w:t>“</w:t>
      </w:r>
      <w:r w:rsidRPr="00E7341A">
        <w:rPr>
          <w:iCs/>
        </w:rPr>
        <w:t>Peer Observation: a tool for staff development or compliance?</w:t>
      </w:r>
      <w:r>
        <w:rPr>
          <w:iCs/>
        </w:rPr>
        <w:t>”</w:t>
      </w:r>
      <w:r w:rsidRPr="00E7341A">
        <w:rPr>
          <w:iCs/>
        </w:rPr>
        <w:t xml:space="preserve"> </w:t>
      </w:r>
      <w:r w:rsidRPr="00E7341A">
        <w:rPr>
          <w:i/>
          <w:iCs/>
        </w:rPr>
        <w:t>Journal of Further and Higher Education</w:t>
      </w:r>
      <w:r>
        <w:rPr>
          <w:iCs/>
        </w:rPr>
        <w:t>, 28(2):</w:t>
      </w:r>
      <w:r w:rsidRPr="00E7341A">
        <w:rPr>
          <w:iCs/>
        </w:rPr>
        <w:t xml:space="preserve"> 219-228.</w:t>
      </w:r>
    </w:p>
    <w:p w14:paraId="04C441C1" w14:textId="77777777" w:rsidR="00BF628C" w:rsidRPr="00E7341A" w:rsidRDefault="00BF628C" w:rsidP="00BF628C">
      <w:pPr>
        <w:pStyle w:val="References"/>
        <w:rPr>
          <w:iCs/>
        </w:rPr>
      </w:pPr>
      <w:proofErr w:type="spellStart"/>
      <w:r w:rsidRPr="00E7341A">
        <w:rPr>
          <w:iCs/>
        </w:rPr>
        <w:t>Tenenberg</w:t>
      </w:r>
      <w:proofErr w:type="spellEnd"/>
      <w:r w:rsidRPr="00E7341A">
        <w:rPr>
          <w:iCs/>
        </w:rPr>
        <w:t>, J</w:t>
      </w:r>
      <w:r>
        <w:rPr>
          <w:iCs/>
        </w:rPr>
        <w:t>osh</w:t>
      </w:r>
      <w:r w:rsidRPr="00E7341A">
        <w:rPr>
          <w:iCs/>
        </w:rPr>
        <w:t xml:space="preserve">. 2016. </w:t>
      </w:r>
      <w:r>
        <w:rPr>
          <w:iCs/>
        </w:rPr>
        <w:t>“</w:t>
      </w:r>
      <w:r w:rsidRPr="00E7341A">
        <w:rPr>
          <w:iCs/>
        </w:rPr>
        <w:t>Learning thro</w:t>
      </w:r>
      <w:r>
        <w:rPr>
          <w:iCs/>
        </w:rPr>
        <w:t>ugh observing peers in practice.”</w:t>
      </w:r>
      <w:r w:rsidRPr="00E7341A">
        <w:rPr>
          <w:iCs/>
        </w:rPr>
        <w:t xml:space="preserve"> </w:t>
      </w:r>
      <w:r w:rsidRPr="00E7341A">
        <w:rPr>
          <w:i/>
          <w:iCs/>
        </w:rPr>
        <w:t>Studies in Higher Education</w:t>
      </w:r>
      <w:r>
        <w:rPr>
          <w:iCs/>
        </w:rPr>
        <w:t xml:space="preserve"> 41(4):</w:t>
      </w:r>
      <w:r w:rsidRPr="00E7341A">
        <w:rPr>
          <w:iCs/>
        </w:rPr>
        <w:t xml:space="preserve"> 756-773.</w:t>
      </w:r>
    </w:p>
    <w:p w14:paraId="781B3C49" w14:textId="77777777" w:rsidR="00BF628C" w:rsidRPr="00E7341A" w:rsidRDefault="00BF628C" w:rsidP="00BF628C">
      <w:pPr>
        <w:pStyle w:val="References"/>
        <w:rPr>
          <w:iCs/>
        </w:rPr>
      </w:pPr>
      <w:r>
        <w:rPr>
          <w:iCs/>
        </w:rPr>
        <w:lastRenderedPageBreak/>
        <w:t>Thomson, Kate</w:t>
      </w:r>
      <w:r w:rsidRPr="00E7341A">
        <w:rPr>
          <w:iCs/>
        </w:rPr>
        <w:t xml:space="preserve">, </w:t>
      </w:r>
      <w:r>
        <w:rPr>
          <w:iCs/>
        </w:rPr>
        <w:t xml:space="preserve">Amani </w:t>
      </w:r>
      <w:r w:rsidRPr="00E7341A">
        <w:rPr>
          <w:iCs/>
        </w:rPr>
        <w:t xml:space="preserve">Bell, and </w:t>
      </w:r>
      <w:r>
        <w:rPr>
          <w:iCs/>
        </w:rPr>
        <w:t>Graham Hendry.</w:t>
      </w:r>
      <w:r w:rsidRPr="00E7341A">
        <w:rPr>
          <w:iCs/>
        </w:rPr>
        <w:t xml:space="preserve"> 2015. </w:t>
      </w:r>
      <w:r>
        <w:rPr>
          <w:iCs/>
        </w:rPr>
        <w:t>“Peer Observation of Teaching: T</w:t>
      </w:r>
      <w:r w:rsidRPr="00E7341A">
        <w:rPr>
          <w:iCs/>
        </w:rPr>
        <w:t>he Case for Learning Just by Watching.</w:t>
      </w:r>
      <w:r>
        <w:rPr>
          <w:iCs/>
        </w:rPr>
        <w:t>”</w:t>
      </w:r>
      <w:r w:rsidRPr="00E7341A">
        <w:rPr>
          <w:iCs/>
        </w:rPr>
        <w:t xml:space="preserve"> </w:t>
      </w:r>
      <w:r w:rsidRPr="00E7341A">
        <w:rPr>
          <w:i/>
          <w:iCs/>
        </w:rPr>
        <w:t>Higher Education Research &amp; Development</w:t>
      </w:r>
      <w:r>
        <w:rPr>
          <w:iCs/>
        </w:rPr>
        <w:t xml:space="preserve"> 34</w:t>
      </w:r>
      <w:r w:rsidRPr="00E7341A">
        <w:rPr>
          <w:iCs/>
        </w:rPr>
        <w:t>(5): 1060–1062.</w:t>
      </w:r>
    </w:p>
    <w:p w14:paraId="47E4BF0B" w14:textId="6FB9EF7E" w:rsidR="00BF628C" w:rsidRDefault="00BF628C" w:rsidP="00BF628C">
      <w:pPr>
        <w:pStyle w:val="References"/>
        <w:rPr>
          <w:iCs/>
        </w:rPr>
      </w:pPr>
      <w:proofErr w:type="spellStart"/>
      <w:r w:rsidRPr="00E7341A">
        <w:rPr>
          <w:iCs/>
        </w:rPr>
        <w:t>Tilstone</w:t>
      </w:r>
      <w:proofErr w:type="spellEnd"/>
      <w:r w:rsidRPr="00E7341A">
        <w:rPr>
          <w:iCs/>
        </w:rPr>
        <w:t>, C</w:t>
      </w:r>
      <w:r w:rsidR="00CA080D">
        <w:rPr>
          <w:iCs/>
        </w:rPr>
        <w:t>hristine</w:t>
      </w:r>
      <w:r w:rsidRPr="00E7341A">
        <w:rPr>
          <w:iCs/>
        </w:rPr>
        <w:t xml:space="preserve">. 2012. </w:t>
      </w:r>
      <w:r w:rsidRPr="00E7341A">
        <w:rPr>
          <w:i/>
          <w:iCs/>
        </w:rPr>
        <w:t xml:space="preserve">Observing Teaching and Learning. </w:t>
      </w:r>
      <w:r w:rsidRPr="00E7341A">
        <w:rPr>
          <w:iCs/>
        </w:rPr>
        <w:t>2</w:t>
      </w:r>
      <w:r w:rsidRPr="00E7341A">
        <w:rPr>
          <w:iCs/>
          <w:vertAlign w:val="superscript"/>
        </w:rPr>
        <w:t>nd</w:t>
      </w:r>
      <w:r w:rsidRPr="00E7341A">
        <w:rPr>
          <w:iCs/>
        </w:rPr>
        <w:t xml:space="preserve"> ed.</w:t>
      </w:r>
      <w:r w:rsidRPr="00E7341A">
        <w:rPr>
          <w:i/>
          <w:iCs/>
        </w:rPr>
        <w:t xml:space="preserve"> </w:t>
      </w:r>
      <w:r>
        <w:rPr>
          <w:iCs/>
        </w:rPr>
        <w:t>Abingdon</w:t>
      </w:r>
      <w:r w:rsidRPr="00E7341A">
        <w:rPr>
          <w:iCs/>
        </w:rPr>
        <w:t>: Routledge.</w:t>
      </w:r>
    </w:p>
    <w:p w14:paraId="2D81F305" w14:textId="104BAFCF" w:rsidR="00BF628C" w:rsidRPr="00E7341A" w:rsidRDefault="00BF628C" w:rsidP="00BF628C">
      <w:pPr>
        <w:pStyle w:val="References"/>
        <w:rPr>
          <w:iCs/>
        </w:rPr>
      </w:pPr>
      <w:r w:rsidRPr="00E7341A">
        <w:rPr>
          <w:bCs/>
          <w:iCs/>
        </w:rPr>
        <w:t>University and College Union (UCU)</w:t>
      </w:r>
      <w:r>
        <w:rPr>
          <w:bCs/>
          <w:iCs/>
        </w:rPr>
        <w:t>.</w:t>
      </w:r>
      <w:r w:rsidRPr="00E7341A">
        <w:rPr>
          <w:b/>
          <w:bCs/>
          <w:iCs/>
        </w:rPr>
        <w:t xml:space="preserve"> </w:t>
      </w:r>
      <w:r w:rsidRPr="00E7341A">
        <w:rPr>
          <w:iCs/>
        </w:rPr>
        <w:t xml:space="preserve">2013. </w:t>
      </w:r>
      <w:r w:rsidRPr="00E7341A">
        <w:rPr>
          <w:i/>
          <w:iCs/>
        </w:rPr>
        <w:t>Developing a National Framework for the Effective Use of Lesson Ob</w:t>
      </w:r>
      <w:r w:rsidR="00CA080D">
        <w:rPr>
          <w:i/>
          <w:iCs/>
        </w:rPr>
        <w:t xml:space="preserve">servation in Further Education. </w:t>
      </w:r>
      <w:r w:rsidRPr="00E7341A">
        <w:rPr>
          <w:iCs/>
        </w:rPr>
        <w:t xml:space="preserve">Available at: </w:t>
      </w:r>
      <w:hyperlink r:id="rId9" w:history="1">
        <w:r w:rsidRPr="00E7341A">
          <w:rPr>
            <w:rStyle w:val="Hyperlink"/>
          </w:rPr>
          <w:t>http://www.ucu.org.uk/7105</w:t>
        </w:r>
      </w:hyperlink>
      <w:r w:rsidRPr="00E7341A">
        <w:rPr>
          <w:iCs/>
        </w:rPr>
        <w:t>.</w:t>
      </w:r>
      <w:r w:rsidR="00CA080D">
        <w:rPr>
          <w:iCs/>
        </w:rPr>
        <w:t xml:space="preserve"> Accessed 15/09/2018.</w:t>
      </w:r>
    </w:p>
    <w:p w14:paraId="6D54E17A" w14:textId="77777777" w:rsidR="00BF628C" w:rsidRPr="00E7341A" w:rsidRDefault="00BF628C" w:rsidP="00BF628C">
      <w:pPr>
        <w:pStyle w:val="References"/>
        <w:rPr>
          <w:iCs/>
        </w:rPr>
      </w:pPr>
      <w:r w:rsidRPr="00E7341A">
        <w:rPr>
          <w:iCs/>
        </w:rPr>
        <w:t>Western, S</w:t>
      </w:r>
      <w:r>
        <w:rPr>
          <w:iCs/>
        </w:rPr>
        <w:t>imon</w:t>
      </w:r>
      <w:r w:rsidRPr="00E7341A">
        <w:rPr>
          <w:iCs/>
        </w:rPr>
        <w:t xml:space="preserve">. 2012. </w:t>
      </w:r>
      <w:r w:rsidRPr="00E7341A">
        <w:rPr>
          <w:i/>
          <w:iCs/>
        </w:rPr>
        <w:t>Coaching and Mentoring: A Critical Text</w:t>
      </w:r>
      <w:r w:rsidRPr="00E7341A">
        <w:rPr>
          <w:iCs/>
        </w:rPr>
        <w:t>. London: SAGE</w:t>
      </w:r>
    </w:p>
    <w:p w14:paraId="6C5AFD47" w14:textId="77777777" w:rsidR="00BF628C" w:rsidRPr="00E7341A" w:rsidRDefault="00BF628C" w:rsidP="00BF628C">
      <w:pPr>
        <w:pStyle w:val="References"/>
        <w:rPr>
          <w:iCs/>
        </w:rPr>
      </w:pPr>
      <w:r w:rsidRPr="00E7341A">
        <w:rPr>
          <w:iCs/>
        </w:rPr>
        <w:t>Whitmore, J</w:t>
      </w:r>
      <w:r>
        <w:rPr>
          <w:iCs/>
        </w:rPr>
        <w:t>ohn</w:t>
      </w:r>
      <w:r w:rsidRPr="00E7341A">
        <w:rPr>
          <w:iCs/>
        </w:rPr>
        <w:t xml:space="preserve">. 2002. </w:t>
      </w:r>
      <w:r w:rsidRPr="00E7341A">
        <w:rPr>
          <w:i/>
          <w:iCs/>
        </w:rPr>
        <w:t xml:space="preserve">Coaching for Performance: Growing </w:t>
      </w:r>
      <w:r>
        <w:rPr>
          <w:i/>
          <w:iCs/>
        </w:rPr>
        <w:t>People, Performance and Purpose.</w:t>
      </w:r>
      <w:r w:rsidRPr="00E7341A">
        <w:rPr>
          <w:i/>
          <w:iCs/>
        </w:rPr>
        <w:t xml:space="preserve"> </w:t>
      </w:r>
      <w:r w:rsidRPr="00D96686">
        <w:rPr>
          <w:iCs/>
        </w:rPr>
        <w:t>3</w:t>
      </w:r>
      <w:r w:rsidRPr="00D96686">
        <w:rPr>
          <w:iCs/>
          <w:vertAlign w:val="superscript"/>
        </w:rPr>
        <w:t>rd</w:t>
      </w:r>
      <w:r w:rsidRPr="00D96686">
        <w:rPr>
          <w:iCs/>
        </w:rPr>
        <w:t xml:space="preserve"> ed</w:t>
      </w:r>
      <w:r w:rsidRPr="00E7341A">
        <w:rPr>
          <w:iCs/>
        </w:rPr>
        <w:t xml:space="preserve">. London: Nicholas </w:t>
      </w:r>
      <w:proofErr w:type="spellStart"/>
      <w:r w:rsidRPr="00E7341A">
        <w:rPr>
          <w:iCs/>
        </w:rPr>
        <w:t>Brealey</w:t>
      </w:r>
      <w:proofErr w:type="spellEnd"/>
      <w:r w:rsidRPr="00E7341A">
        <w:rPr>
          <w:iCs/>
        </w:rPr>
        <w:t>.</w:t>
      </w:r>
    </w:p>
    <w:p w14:paraId="79B385A6" w14:textId="77777777" w:rsidR="00BF628C" w:rsidRPr="00E7341A" w:rsidRDefault="00BF628C" w:rsidP="00BF628C">
      <w:pPr>
        <w:pStyle w:val="References"/>
        <w:rPr>
          <w:iCs/>
        </w:rPr>
      </w:pPr>
      <w:proofErr w:type="spellStart"/>
      <w:r w:rsidRPr="00E7341A">
        <w:rPr>
          <w:iCs/>
        </w:rPr>
        <w:t>Wingrove</w:t>
      </w:r>
      <w:proofErr w:type="spellEnd"/>
      <w:r w:rsidRPr="00E7341A">
        <w:rPr>
          <w:iCs/>
        </w:rPr>
        <w:t>, D</w:t>
      </w:r>
      <w:r>
        <w:rPr>
          <w:iCs/>
        </w:rPr>
        <w:t>allas</w:t>
      </w:r>
      <w:r w:rsidRPr="00E7341A">
        <w:rPr>
          <w:iCs/>
        </w:rPr>
        <w:t xml:space="preserve">, </w:t>
      </w:r>
      <w:r>
        <w:rPr>
          <w:iCs/>
        </w:rPr>
        <w:t>Linda Hammersley-Fletcher,</w:t>
      </w:r>
      <w:r w:rsidRPr="00E7341A">
        <w:rPr>
          <w:iCs/>
        </w:rPr>
        <w:t xml:space="preserve"> </w:t>
      </w:r>
      <w:r>
        <w:rPr>
          <w:iCs/>
        </w:rPr>
        <w:t>Angela Clarke,</w:t>
      </w:r>
      <w:r w:rsidRPr="00E7341A">
        <w:rPr>
          <w:iCs/>
        </w:rPr>
        <w:t xml:space="preserve"> and </w:t>
      </w:r>
      <w:r>
        <w:rPr>
          <w:iCs/>
        </w:rPr>
        <w:t xml:space="preserve">Andrea </w:t>
      </w:r>
      <w:r w:rsidRPr="00E7341A">
        <w:rPr>
          <w:iCs/>
        </w:rPr>
        <w:t>Chester. 201</w:t>
      </w:r>
      <w:r>
        <w:rPr>
          <w:iCs/>
        </w:rPr>
        <w:t>8</w:t>
      </w:r>
      <w:r w:rsidRPr="00E7341A">
        <w:rPr>
          <w:iCs/>
        </w:rPr>
        <w:t xml:space="preserve">. </w:t>
      </w:r>
      <w:r>
        <w:rPr>
          <w:iCs/>
        </w:rPr>
        <w:t>“</w:t>
      </w:r>
      <w:r w:rsidRPr="00E7341A">
        <w:rPr>
          <w:iCs/>
        </w:rPr>
        <w:t>Leading Developmental Peer Observation of Teaching in Higher Education: Perspectives from Australia and England</w:t>
      </w:r>
      <w:r>
        <w:rPr>
          <w:iCs/>
        </w:rPr>
        <w:t>.”</w:t>
      </w:r>
      <w:r w:rsidRPr="00E7341A">
        <w:rPr>
          <w:iCs/>
        </w:rPr>
        <w:t xml:space="preserve"> </w:t>
      </w:r>
      <w:r w:rsidRPr="00E7341A">
        <w:rPr>
          <w:i/>
          <w:iCs/>
        </w:rPr>
        <w:t xml:space="preserve">British </w:t>
      </w:r>
      <w:r>
        <w:rPr>
          <w:i/>
          <w:iCs/>
        </w:rPr>
        <w:t xml:space="preserve">Journal of Educational Studies </w:t>
      </w:r>
      <w:r>
        <w:rPr>
          <w:iCs/>
        </w:rPr>
        <w:t xml:space="preserve">6(3):365-381. </w:t>
      </w:r>
      <w:r w:rsidRPr="00E7341A">
        <w:rPr>
          <w:iCs/>
        </w:rPr>
        <w:t xml:space="preserve">  </w:t>
      </w:r>
    </w:p>
    <w:p w14:paraId="771B310E" w14:textId="77777777" w:rsidR="00BF628C" w:rsidRDefault="00BF628C" w:rsidP="00BF628C">
      <w:pPr>
        <w:pStyle w:val="References"/>
      </w:pPr>
      <w:proofErr w:type="spellStart"/>
      <w:r w:rsidRPr="00E7341A">
        <w:t>Yiend</w:t>
      </w:r>
      <w:proofErr w:type="spellEnd"/>
      <w:r w:rsidRPr="00E7341A">
        <w:t>, J</w:t>
      </w:r>
      <w:r>
        <w:t>enny</w:t>
      </w:r>
      <w:r w:rsidRPr="00E7341A">
        <w:t xml:space="preserve">, </w:t>
      </w:r>
      <w:proofErr w:type="spellStart"/>
      <w:r>
        <w:t>Saranne</w:t>
      </w:r>
      <w:proofErr w:type="spellEnd"/>
      <w:r>
        <w:t xml:space="preserve"> Weller</w:t>
      </w:r>
      <w:r w:rsidRPr="00E7341A">
        <w:t xml:space="preserve">, and </w:t>
      </w:r>
      <w:r>
        <w:t xml:space="preserve">Ian </w:t>
      </w:r>
      <w:proofErr w:type="spellStart"/>
      <w:r>
        <w:t>Kinchin</w:t>
      </w:r>
      <w:proofErr w:type="spellEnd"/>
      <w:r>
        <w:t xml:space="preserve">. </w:t>
      </w:r>
      <w:r w:rsidRPr="00E7341A">
        <w:t xml:space="preserve">2014. </w:t>
      </w:r>
      <w:r>
        <w:t>“</w:t>
      </w:r>
      <w:r w:rsidRPr="00E7341A">
        <w:t>Peer observation of teaching: the interaction between peer review and d</w:t>
      </w:r>
      <w:r>
        <w:t>evelopmental models of practice.”</w:t>
      </w:r>
      <w:r w:rsidRPr="00E7341A">
        <w:t xml:space="preserve"> </w:t>
      </w:r>
      <w:r w:rsidRPr="00E7341A">
        <w:rPr>
          <w:i/>
          <w:iCs/>
        </w:rPr>
        <w:t>Journal of Further and Higher Education</w:t>
      </w:r>
      <w:r>
        <w:t xml:space="preserve"> 38(4):</w:t>
      </w:r>
      <w:r w:rsidRPr="00E7341A">
        <w:t xml:space="preserve"> 465-484.</w:t>
      </w:r>
    </w:p>
    <w:p w14:paraId="6935DABF" w14:textId="77777777" w:rsidR="00BF628C" w:rsidRPr="00E7341A" w:rsidRDefault="00BF628C" w:rsidP="00BF628C">
      <w:pPr>
        <w:pStyle w:val="References"/>
      </w:pPr>
      <w:bookmarkStart w:id="1" w:name="_Hlk523931417"/>
      <w:proofErr w:type="spellStart"/>
      <w:r w:rsidRPr="00427DDD">
        <w:t>Žižek</w:t>
      </w:r>
      <w:bookmarkEnd w:id="1"/>
      <w:proofErr w:type="spellEnd"/>
      <w:r w:rsidRPr="00427DDD">
        <w:t xml:space="preserve">, </w:t>
      </w:r>
      <w:proofErr w:type="spellStart"/>
      <w:r w:rsidRPr="00427DDD">
        <w:t>S</w:t>
      </w:r>
      <w:r>
        <w:t>lavoj</w:t>
      </w:r>
      <w:proofErr w:type="spellEnd"/>
      <w:r w:rsidRPr="00427DDD">
        <w:t xml:space="preserve">. 1992. </w:t>
      </w:r>
      <w:r w:rsidRPr="00427DDD">
        <w:rPr>
          <w:i/>
        </w:rPr>
        <w:t xml:space="preserve">Looking Awry: An Introduction to Jacques </w:t>
      </w:r>
      <w:proofErr w:type="spellStart"/>
      <w:r w:rsidRPr="00427DDD">
        <w:rPr>
          <w:i/>
        </w:rPr>
        <w:t>Lacan</w:t>
      </w:r>
      <w:proofErr w:type="spellEnd"/>
      <w:r w:rsidRPr="00427DDD">
        <w:rPr>
          <w:i/>
        </w:rPr>
        <w:t xml:space="preserve"> </w:t>
      </w:r>
      <w:proofErr w:type="gramStart"/>
      <w:r w:rsidRPr="00427DDD">
        <w:rPr>
          <w:i/>
        </w:rPr>
        <w:t>Through</w:t>
      </w:r>
      <w:proofErr w:type="gramEnd"/>
      <w:r w:rsidRPr="00427DDD">
        <w:rPr>
          <w:i/>
        </w:rPr>
        <w:t xml:space="preserve"> Popular Culture</w:t>
      </w:r>
      <w:r w:rsidRPr="00427DDD">
        <w:t>. Cambridge, Massachusetts: MIT Press.</w:t>
      </w:r>
    </w:p>
    <w:p w14:paraId="5215CA8C" w14:textId="77777777" w:rsidR="00BF628C" w:rsidRDefault="00BF628C" w:rsidP="00BF628C"/>
    <w:p w14:paraId="0DE32094" w14:textId="77777777" w:rsidR="00857B0D" w:rsidRPr="00E7341A" w:rsidRDefault="00857B0D" w:rsidP="004D565C">
      <w:pPr>
        <w:pStyle w:val="Newparagraph"/>
      </w:pPr>
    </w:p>
    <w:sectPr w:rsidR="00857B0D" w:rsidRPr="00E7341A">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3F879" w16cid:durableId="1F493AE5"/>
  <w16cid:commentId w16cid:paraId="2A73A206" w16cid:durableId="1F48C6BC"/>
  <w16cid:commentId w16cid:paraId="29082BB0" w16cid:durableId="1F48CB7A"/>
  <w16cid:commentId w16cid:paraId="3980B5B6" w16cid:durableId="1F48C6FF"/>
  <w16cid:commentId w16cid:paraId="19C7D87E" w16cid:durableId="1F48C9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5C016" w14:textId="77777777" w:rsidR="00F3135C" w:rsidRDefault="00F3135C" w:rsidP="00E37621">
      <w:pPr>
        <w:spacing w:line="240" w:lineRule="auto"/>
      </w:pPr>
      <w:r>
        <w:separator/>
      </w:r>
    </w:p>
  </w:endnote>
  <w:endnote w:type="continuationSeparator" w:id="0">
    <w:p w14:paraId="38A8ED39" w14:textId="77777777" w:rsidR="00F3135C" w:rsidRDefault="00F3135C" w:rsidP="00E37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7115"/>
      <w:docPartObj>
        <w:docPartGallery w:val="Page Numbers (Bottom of Page)"/>
        <w:docPartUnique/>
      </w:docPartObj>
    </w:sdtPr>
    <w:sdtEndPr>
      <w:rPr>
        <w:noProof/>
      </w:rPr>
    </w:sdtEndPr>
    <w:sdtContent>
      <w:p w14:paraId="3FEF9A9F" w14:textId="63F44B46" w:rsidR="00552F7C" w:rsidRDefault="00552F7C">
        <w:pPr>
          <w:pStyle w:val="Footer"/>
          <w:jc w:val="right"/>
        </w:pPr>
        <w:r>
          <w:fldChar w:fldCharType="begin"/>
        </w:r>
        <w:r>
          <w:instrText xml:space="preserve"> PAGE   \* MERGEFORMAT </w:instrText>
        </w:r>
        <w:r>
          <w:fldChar w:fldCharType="separate"/>
        </w:r>
        <w:r w:rsidR="00045F6D">
          <w:rPr>
            <w:noProof/>
          </w:rPr>
          <w:t>20</w:t>
        </w:r>
        <w:r>
          <w:rPr>
            <w:noProof/>
          </w:rPr>
          <w:fldChar w:fldCharType="end"/>
        </w:r>
      </w:p>
    </w:sdtContent>
  </w:sdt>
  <w:p w14:paraId="523AEBD1" w14:textId="77777777" w:rsidR="00552F7C" w:rsidRDefault="0055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EFC9" w14:textId="77777777" w:rsidR="00F3135C" w:rsidRDefault="00F3135C" w:rsidP="00E37621">
      <w:pPr>
        <w:spacing w:line="240" w:lineRule="auto"/>
      </w:pPr>
      <w:r>
        <w:separator/>
      </w:r>
    </w:p>
  </w:footnote>
  <w:footnote w:type="continuationSeparator" w:id="0">
    <w:p w14:paraId="56638BE2" w14:textId="77777777" w:rsidR="00F3135C" w:rsidRDefault="00F3135C" w:rsidP="00E376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C7DCC"/>
    <w:multiLevelType w:val="hybridMultilevel"/>
    <w:tmpl w:val="B844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E97C6D"/>
    <w:multiLevelType w:val="hybridMultilevel"/>
    <w:tmpl w:val="9C7CECF8"/>
    <w:lvl w:ilvl="0" w:tplc="0212E1A2">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8C2EF6"/>
    <w:multiLevelType w:val="hybridMultilevel"/>
    <w:tmpl w:val="B228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921EFD"/>
    <w:multiLevelType w:val="hybridMultilevel"/>
    <w:tmpl w:val="206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06557"/>
    <w:multiLevelType w:val="hybridMultilevel"/>
    <w:tmpl w:val="1D54A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EE538F0"/>
    <w:multiLevelType w:val="hybridMultilevel"/>
    <w:tmpl w:val="FC18C9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F4C70"/>
    <w:multiLevelType w:val="hybridMultilevel"/>
    <w:tmpl w:val="FD6CA030"/>
    <w:lvl w:ilvl="0" w:tplc="9D2C4A4E">
      <w:numFmt w:val="bullet"/>
      <w:lvlText w:val="•"/>
      <w:lvlJc w:val="left"/>
      <w:pPr>
        <w:ind w:left="1080" w:hanging="720"/>
      </w:pPr>
      <w:rPr>
        <w:rFonts w:ascii="Times New Roman" w:eastAsiaTheme="minorHAns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8724E9"/>
    <w:multiLevelType w:val="hybridMultilevel"/>
    <w:tmpl w:val="4CEC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3E13DE"/>
    <w:multiLevelType w:val="hybridMultilevel"/>
    <w:tmpl w:val="C8D08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9D6129"/>
    <w:multiLevelType w:val="hybridMultilevel"/>
    <w:tmpl w:val="79A2B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45354D"/>
    <w:multiLevelType w:val="hybridMultilevel"/>
    <w:tmpl w:val="E7380594"/>
    <w:lvl w:ilvl="0" w:tplc="9F0E8BC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81409"/>
    <w:multiLevelType w:val="hybridMultilevel"/>
    <w:tmpl w:val="7D60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60549"/>
    <w:multiLevelType w:val="hybridMultilevel"/>
    <w:tmpl w:val="D4B0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17857"/>
    <w:multiLevelType w:val="hybridMultilevel"/>
    <w:tmpl w:val="F5461372"/>
    <w:lvl w:ilvl="0" w:tplc="FD5698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E684A"/>
    <w:multiLevelType w:val="hybridMultilevel"/>
    <w:tmpl w:val="4FDAA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9"/>
  </w:num>
  <w:num w:numId="3">
    <w:abstractNumId w:val="13"/>
  </w:num>
  <w:num w:numId="4">
    <w:abstractNumId w:val="35"/>
  </w:num>
  <w:num w:numId="5">
    <w:abstractNumId w:val="27"/>
  </w:num>
  <w:num w:numId="6">
    <w:abstractNumId w:val="31"/>
  </w:num>
  <w:num w:numId="7">
    <w:abstractNumId w:val="12"/>
  </w:num>
  <w:num w:numId="8">
    <w:abstractNumId w:val="26"/>
  </w:num>
  <w:num w:numId="9">
    <w:abstractNumId w:val="37"/>
  </w:num>
  <w:num w:numId="10">
    <w:abstractNumId w:val="21"/>
  </w:num>
  <w:num w:numId="11">
    <w:abstractNumId w:val="34"/>
  </w:num>
  <w:num w:numId="12">
    <w:abstractNumId w:val="29"/>
  </w:num>
  <w:num w:numId="13">
    <w:abstractNumId w:val="15"/>
  </w:num>
  <w:num w:numId="14">
    <w:abstractNumId w:val="22"/>
  </w:num>
  <w:num w:numId="15">
    <w:abstractNumId w:val="20"/>
  </w:num>
  <w:num w:numId="16">
    <w:abstractNumId w:val="3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7"/>
  </w:num>
  <w:num w:numId="24">
    <w:abstractNumId w:val="6"/>
  </w:num>
  <w:num w:numId="25">
    <w:abstractNumId w:val="10"/>
  </w:num>
  <w:num w:numId="26">
    <w:abstractNumId w:val="8"/>
  </w:num>
  <w:num w:numId="27">
    <w:abstractNumId w:val="24"/>
  </w:num>
  <w:num w:numId="28">
    <w:abstractNumId w:val="32"/>
  </w:num>
  <w:num w:numId="29">
    <w:abstractNumId w:val="17"/>
  </w:num>
  <w:num w:numId="30">
    <w:abstractNumId w:val="23"/>
  </w:num>
  <w:num w:numId="31">
    <w:abstractNumId w:val="11"/>
  </w:num>
  <w:num w:numId="32">
    <w:abstractNumId w:val="0"/>
  </w:num>
  <w:num w:numId="33">
    <w:abstractNumId w:val="14"/>
  </w:num>
  <w:num w:numId="34">
    <w:abstractNumId w:val="25"/>
  </w:num>
  <w:num w:numId="35">
    <w:abstractNumId w:val="33"/>
  </w:num>
  <w:num w:numId="36">
    <w:abstractNumId w:val="36"/>
  </w:num>
  <w:num w:numId="37">
    <w:abstractNumId w:val="16"/>
  </w:num>
  <w:num w:numId="38">
    <w:abstractNumId w:val="3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4D"/>
    <w:rsid w:val="0000681F"/>
    <w:rsid w:val="00013516"/>
    <w:rsid w:val="0001387B"/>
    <w:rsid w:val="00014CB8"/>
    <w:rsid w:val="0002094C"/>
    <w:rsid w:val="00020EF4"/>
    <w:rsid w:val="00023DFE"/>
    <w:rsid w:val="00033D1B"/>
    <w:rsid w:val="0003436B"/>
    <w:rsid w:val="000366E4"/>
    <w:rsid w:val="000372CA"/>
    <w:rsid w:val="00044C73"/>
    <w:rsid w:val="00044FF1"/>
    <w:rsid w:val="00045ECF"/>
    <w:rsid w:val="00045F6D"/>
    <w:rsid w:val="00057843"/>
    <w:rsid w:val="000638A5"/>
    <w:rsid w:val="00065E89"/>
    <w:rsid w:val="0006664F"/>
    <w:rsid w:val="00070A0B"/>
    <w:rsid w:val="00075A6F"/>
    <w:rsid w:val="00084CC2"/>
    <w:rsid w:val="000850E8"/>
    <w:rsid w:val="00085734"/>
    <w:rsid w:val="00087B9E"/>
    <w:rsid w:val="00096F60"/>
    <w:rsid w:val="00097BFF"/>
    <w:rsid w:val="000B5CEA"/>
    <w:rsid w:val="000B64A1"/>
    <w:rsid w:val="000B668F"/>
    <w:rsid w:val="000B7057"/>
    <w:rsid w:val="000C1891"/>
    <w:rsid w:val="000D4872"/>
    <w:rsid w:val="000D6476"/>
    <w:rsid w:val="000E1916"/>
    <w:rsid w:val="000E5F1D"/>
    <w:rsid w:val="000F160A"/>
    <w:rsid w:val="000F301E"/>
    <w:rsid w:val="000F3B1F"/>
    <w:rsid w:val="000F4B75"/>
    <w:rsid w:val="000F7D45"/>
    <w:rsid w:val="00110488"/>
    <w:rsid w:val="001109CB"/>
    <w:rsid w:val="00115E73"/>
    <w:rsid w:val="0012200D"/>
    <w:rsid w:val="00123405"/>
    <w:rsid w:val="00127679"/>
    <w:rsid w:val="0013648C"/>
    <w:rsid w:val="00136713"/>
    <w:rsid w:val="00136DF8"/>
    <w:rsid w:val="00141841"/>
    <w:rsid w:val="00146DEA"/>
    <w:rsid w:val="001478D7"/>
    <w:rsid w:val="0015367D"/>
    <w:rsid w:val="00154E9C"/>
    <w:rsid w:val="001612ED"/>
    <w:rsid w:val="0016189D"/>
    <w:rsid w:val="00163190"/>
    <w:rsid w:val="00163E0B"/>
    <w:rsid w:val="001716B0"/>
    <w:rsid w:val="00172EF9"/>
    <w:rsid w:val="0017485F"/>
    <w:rsid w:val="00176667"/>
    <w:rsid w:val="0017773A"/>
    <w:rsid w:val="00182FC8"/>
    <w:rsid w:val="00184924"/>
    <w:rsid w:val="00184FED"/>
    <w:rsid w:val="00195697"/>
    <w:rsid w:val="00195854"/>
    <w:rsid w:val="001966D8"/>
    <w:rsid w:val="00197548"/>
    <w:rsid w:val="001A26BF"/>
    <w:rsid w:val="001B084E"/>
    <w:rsid w:val="001B41D9"/>
    <w:rsid w:val="001B4810"/>
    <w:rsid w:val="001B4EFC"/>
    <w:rsid w:val="001B63F8"/>
    <w:rsid w:val="001C23CA"/>
    <w:rsid w:val="001C467A"/>
    <w:rsid w:val="001C4DCB"/>
    <w:rsid w:val="001C6FBF"/>
    <w:rsid w:val="001C7BA2"/>
    <w:rsid w:val="001D1BD6"/>
    <w:rsid w:val="001D4419"/>
    <w:rsid w:val="001E6292"/>
    <w:rsid w:val="001F0E75"/>
    <w:rsid w:val="001F716A"/>
    <w:rsid w:val="001F7205"/>
    <w:rsid w:val="00216A7A"/>
    <w:rsid w:val="00217427"/>
    <w:rsid w:val="00220567"/>
    <w:rsid w:val="00221518"/>
    <w:rsid w:val="0023023D"/>
    <w:rsid w:val="0023078B"/>
    <w:rsid w:val="002335EE"/>
    <w:rsid w:val="0023541F"/>
    <w:rsid w:val="00235501"/>
    <w:rsid w:val="002430DA"/>
    <w:rsid w:val="00243E45"/>
    <w:rsid w:val="00244230"/>
    <w:rsid w:val="00246A1B"/>
    <w:rsid w:val="0025733B"/>
    <w:rsid w:val="00260DA5"/>
    <w:rsid w:val="00260E6A"/>
    <w:rsid w:val="002646A2"/>
    <w:rsid w:val="0027004F"/>
    <w:rsid w:val="002709F8"/>
    <w:rsid w:val="002716F4"/>
    <w:rsid w:val="00273745"/>
    <w:rsid w:val="00275959"/>
    <w:rsid w:val="002762DC"/>
    <w:rsid w:val="00282F2F"/>
    <w:rsid w:val="002902A9"/>
    <w:rsid w:val="00290C0F"/>
    <w:rsid w:val="002927EC"/>
    <w:rsid w:val="00297874"/>
    <w:rsid w:val="002A4974"/>
    <w:rsid w:val="002B0436"/>
    <w:rsid w:val="002B6042"/>
    <w:rsid w:val="002C05DA"/>
    <w:rsid w:val="002C69AE"/>
    <w:rsid w:val="002C7CEA"/>
    <w:rsid w:val="002E165D"/>
    <w:rsid w:val="002F22C6"/>
    <w:rsid w:val="002F252E"/>
    <w:rsid w:val="002F37BF"/>
    <w:rsid w:val="00303E45"/>
    <w:rsid w:val="00303EE8"/>
    <w:rsid w:val="00307523"/>
    <w:rsid w:val="00307922"/>
    <w:rsid w:val="0031003B"/>
    <w:rsid w:val="00310502"/>
    <w:rsid w:val="00311B60"/>
    <w:rsid w:val="00315814"/>
    <w:rsid w:val="00315FF4"/>
    <w:rsid w:val="0032125F"/>
    <w:rsid w:val="00330C8F"/>
    <w:rsid w:val="00331991"/>
    <w:rsid w:val="0033791F"/>
    <w:rsid w:val="003500DC"/>
    <w:rsid w:val="0035344E"/>
    <w:rsid w:val="003542C8"/>
    <w:rsid w:val="00355F8F"/>
    <w:rsid w:val="00372FE5"/>
    <w:rsid w:val="003751CA"/>
    <w:rsid w:val="00376547"/>
    <w:rsid w:val="00376F95"/>
    <w:rsid w:val="00380112"/>
    <w:rsid w:val="003839C4"/>
    <w:rsid w:val="003860CA"/>
    <w:rsid w:val="003911FF"/>
    <w:rsid w:val="0039137C"/>
    <w:rsid w:val="003960F7"/>
    <w:rsid w:val="003A25F7"/>
    <w:rsid w:val="003A2A7E"/>
    <w:rsid w:val="003A7910"/>
    <w:rsid w:val="003B2611"/>
    <w:rsid w:val="003B5C6D"/>
    <w:rsid w:val="003C2CF8"/>
    <w:rsid w:val="003C60A7"/>
    <w:rsid w:val="003C6DDC"/>
    <w:rsid w:val="003C73AB"/>
    <w:rsid w:val="003D18EB"/>
    <w:rsid w:val="003D57A2"/>
    <w:rsid w:val="003D5F7C"/>
    <w:rsid w:val="003E58C3"/>
    <w:rsid w:val="003F3414"/>
    <w:rsid w:val="0040054D"/>
    <w:rsid w:val="00400C55"/>
    <w:rsid w:val="00405F98"/>
    <w:rsid w:val="00406CC5"/>
    <w:rsid w:val="00413CE2"/>
    <w:rsid w:val="00414A91"/>
    <w:rsid w:val="0042003E"/>
    <w:rsid w:val="00422985"/>
    <w:rsid w:val="00426AFD"/>
    <w:rsid w:val="00427383"/>
    <w:rsid w:val="00433BDD"/>
    <w:rsid w:val="00435EAE"/>
    <w:rsid w:val="00437108"/>
    <w:rsid w:val="00441988"/>
    <w:rsid w:val="004539D6"/>
    <w:rsid w:val="00460B53"/>
    <w:rsid w:val="004653B6"/>
    <w:rsid w:val="004725C6"/>
    <w:rsid w:val="0047769F"/>
    <w:rsid w:val="004804F4"/>
    <w:rsid w:val="004810D5"/>
    <w:rsid w:val="0048757E"/>
    <w:rsid w:val="004908D2"/>
    <w:rsid w:val="00491D32"/>
    <w:rsid w:val="00491E50"/>
    <w:rsid w:val="004B2A62"/>
    <w:rsid w:val="004B332F"/>
    <w:rsid w:val="004B7053"/>
    <w:rsid w:val="004B7313"/>
    <w:rsid w:val="004C54E4"/>
    <w:rsid w:val="004D565C"/>
    <w:rsid w:val="004E26E6"/>
    <w:rsid w:val="004E2940"/>
    <w:rsid w:val="00512C81"/>
    <w:rsid w:val="00513D3F"/>
    <w:rsid w:val="00514066"/>
    <w:rsid w:val="0051715D"/>
    <w:rsid w:val="0052113F"/>
    <w:rsid w:val="00521B34"/>
    <w:rsid w:val="005305D0"/>
    <w:rsid w:val="00531E44"/>
    <w:rsid w:val="00541D9C"/>
    <w:rsid w:val="00541F74"/>
    <w:rsid w:val="00542E4A"/>
    <w:rsid w:val="00543F85"/>
    <w:rsid w:val="00551535"/>
    <w:rsid w:val="00552F7C"/>
    <w:rsid w:val="00554B43"/>
    <w:rsid w:val="005558C7"/>
    <w:rsid w:val="00555B2F"/>
    <w:rsid w:val="005641D3"/>
    <w:rsid w:val="00566077"/>
    <w:rsid w:val="00567F52"/>
    <w:rsid w:val="00570728"/>
    <w:rsid w:val="00570A09"/>
    <w:rsid w:val="00570CA1"/>
    <w:rsid w:val="00570E21"/>
    <w:rsid w:val="00573A25"/>
    <w:rsid w:val="00574368"/>
    <w:rsid w:val="00574AD8"/>
    <w:rsid w:val="00583FE2"/>
    <w:rsid w:val="00587755"/>
    <w:rsid w:val="00592938"/>
    <w:rsid w:val="00593D19"/>
    <w:rsid w:val="00597039"/>
    <w:rsid w:val="005B2630"/>
    <w:rsid w:val="005B267C"/>
    <w:rsid w:val="005B5856"/>
    <w:rsid w:val="005B6244"/>
    <w:rsid w:val="005C0621"/>
    <w:rsid w:val="005C2CA5"/>
    <w:rsid w:val="005C5B3F"/>
    <w:rsid w:val="005C6754"/>
    <w:rsid w:val="005D5D6E"/>
    <w:rsid w:val="005E0D56"/>
    <w:rsid w:val="005E5E7B"/>
    <w:rsid w:val="005E7DCE"/>
    <w:rsid w:val="005F534A"/>
    <w:rsid w:val="00603E96"/>
    <w:rsid w:val="00606A24"/>
    <w:rsid w:val="006102E9"/>
    <w:rsid w:val="0061113A"/>
    <w:rsid w:val="00612D40"/>
    <w:rsid w:val="00620B20"/>
    <w:rsid w:val="00622E31"/>
    <w:rsid w:val="00630192"/>
    <w:rsid w:val="006301F1"/>
    <w:rsid w:val="00633440"/>
    <w:rsid w:val="0063579F"/>
    <w:rsid w:val="00635E54"/>
    <w:rsid w:val="00637EE8"/>
    <w:rsid w:val="00641B6D"/>
    <w:rsid w:val="00650AFF"/>
    <w:rsid w:val="00651177"/>
    <w:rsid w:val="00651E93"/>
    <w:rsid w:val="00653C3F"/>
    <w:rsid w:val="00656606"/>
    <w:rsid w:val="00661143"/>
    <w:rsid w:val="00664DBA"/>
    <w:rsid w:val="00665847"/>
    <w:rsid w:val="00677609"/>
    <w:rsid w:val="00687319"/>
    <w:rsid w:val="006903E3"/>
    <w:rsid w:val="006976F0"/>
    <w:rsid w:val="006A1C83"/>
    <w:rsid w:val="006A3593"/>
    <w:rsid w:val="006A3958"/>
    <w:rsid w:val="006B0C22"/>
    <w:rsid w:val="006B1291"/>
    <w:rsid w:val="006B1DCC"/>
    <w:rsid w:val="006B29F2"/>
    <w:rsid w:val="006B2DA8"/>
    <w:rsid w:val="006B4626"/>
    <w:rsid w:val="006C2079"/>
    <w:rsid w:val="006C2FCC"/>
    <w:rsid w:val="006C51E6"/>
    <w:rsid w:val="006D0521"/>
    <w:rsid w:val="006E4FD0"/>
    <w:rsid w:val="006E6177"/>
    <w:rsid w:val="006F1204"/>
    <w:rsid w:val="006F12EA"/>
    <w:rsid w:val="006F5E3B"/>
    <w:rsid w:val="00704AB1"/>
    <w:rsid w:val="00711EF5"/>
    <w:rsid w:val="007126D4"/>
    <w:rsid w:val="00720EBF"/>
    <w:rsid w:val="00724D7E"/>
    <w:rsid w:val="00724DEA"/>
    <w:rsid w:val="00726C99"/>
    <w:rsid w:val="00727CC9"/>
    <w:rsid w:val="00732AC9"/>
    <w:rsid w:val="00734910"/>
    <w:rsid w:val="00743193"/>
    <w:rsid w:val="00743ED3"/>
    <w:rsid w:val="007522EF"/>
    <w:rsid w:val="00752357"/>
    <w:rsid w:val="00752505"/>
    <w:rsid w:val="00752B5E"/>
    <w:rsid w:val="00753DEC"/>
    <w:rsid w:val="0075547A"/>
    <w:rsid w:val="0075739B"/>
    <w:rsid w:val="0076139A"/>
    <w:rsid w:val="00766C00"/>
    <w:rsid w:val="00770470"/>
    <w:rsid w:val="00770FF1"/>
    <w:rsid w:val="007721EC"/>
    <w:rsid w:val="007730A1"/>
    <w:rsid w:val="0077633B"/>
    <w:rsid w:val="0078088A"/>
    <w:rsid w:val="00780C4E"/>
    <w:rsid w:val="00782759"/>
    <w:rsid w:val="0078559D"/>
    <w:rsid w:val="00786061"/>
    <w:rsid w:val="007953F5"/>
    <w:rsid w:val="007A12F8"/>
    <w:rsid w:val="007A7F24"/>
    <w:rsid w:val="007B5E61"/>
    <w:rsid w:val="007B79B4"/>
    <w:rsid w:val="007C0466"/>
    <w:rsid w:val="007C11B3"/>
    <w:rsid w:val="007C1E6A"/>
    <w:rsid w:val="007C5640"/>
    <w:rsid w:val="007D356E"/>
    <w:rsid w:val="007D4EDF"/>
    <w:rsid w:val="007E1E32"/>
    <w:rsid w:val="007E2F30"/>
    <w:rsid w:val="007E41DF"/>
    <w:rsid w:val="007E6EFE"/>
    <w:rsid w:val="007F17F3"/>
    <w:rsid w:val="007F4F34"/>
    <w:rsid w:val="0080227A"/>
    <w:rsid w:val="008059A8"/>
    <w:rsid w:val="0080703B"/>
    <w:rsid w:val="0081125A"/>
    <w:rsid w:val="008118D3"/>
    <w:rsid w:val="00824E0F"/>
    <w:rsid w:val="00842BB8"/>
    <w:rsid w:val="008435F3"/>
    <w:rsid w:val="00844410"/>
    <w:rsid w:val="00844991"/>
    <w:rsid w:val="00857B0D"/>
    <w:rsid w:val="00860832"/>
    <w:rsid w:val="008616D2"/>
    <w:rsid w:val="008648DE"/>
    <w:rsid w:val="0086663A"/>
    <w:rsid w:val="00872D00"/>
    <w:rsid w:val="00877319"/>
    <w:rsid w:val="00886B87"/>
    <w:rsid w:val="00890BC9"/>
    <w:rsid w:val="008945AE"/>
    <w:rsid w:val="008A78B2"/>
    <w:rsid w:val="008B02DA"/>
    <w:rsid w:val="008B224A"/>
    <w:rsid w:val="008B5B06"/>
    <w:rsid w:val="008B7CE3"/>
    <w:rsid w:val="008C3435"/>
    <w:rsid w:val="008D36B1"/>
    <w:rsid w:val="008E0C17"/>
    <w:rsid w:val="008F1C2B"/>
    <w:rsid w:val="008F20B8"/>
    <w:rsid w:val="008F2246"/>
    <w:rsid w:val="008F293B"/>
    <w:rsid w:val="008F366A"/>
    <w:rsid w:val="008F3B4D"/>
    <w:rsid w:val="00901109"/>
    <w:rsid w:val="00904E6A"/>
    <w:rsid w:val="00905091"/>
    <w:rsid w:val="00905668"/>
    <w:rsid w:val="00913099"/>
    <w:rsid w:val="00921E4C"/>
    <w:rsid w:val="00922BA2"/>
    <w:rsid w:val="00923B93"/>
    <w:rsid w:val="00931FA1"/>
    <w:rsid w:val="00940399"/>
    <w:rsid w:val="00942C10"/>
    <w:rsid w:val="00943912"/>
    <w:rsid w:val="009470C6"/>
    <w:rsid w:val="009515C9"/>
    <w:rsid w:val="009609CB"/>
    <w:rsid w:val="00964223"/>
    <w:rsid w:val="00964BC4"/>
    <w:rsid w:val="00966B72"/>
    <w:rsid w:val="00967583"/>
    <w:rsid w:val="00971781"/>
    <w:rsid w:val="009864E0"/>
    <w:rsid w:val="00990F7E"/>
    <w:rsid w:val="0099150F"/>
    <w:rsid w:val="00991929"/>
    <w:rsid w:val="00992DD0"/>
    <w:rsid w:val="00997C33"/>
    <w:rsid w:val="009A504D"/>
    <w:rsid w:val="009A7448"/>
    <w:rsid w:val="009C08EA"/>
    <w:rsid w:val="009C1554"/>
    <w:rsid w:val="009C461B"/>
    <w:rsid w:val="009D05B7"/>
    <w:rsid w:val="009D12C7"/>
    <w:rsid w:val="009D5131"/>
    <w:rsid w:val="009E33EB"/>
    <w:rsid w:val="009E3D9E"/>
    <w:rsid w:val="009F0E70"/>
    <w:rsid w:val="009F382A"/>
    <w:rsid w:val="00A0107C"/>
    <w:rsid w:val="00A02176"/>
    <w:rsid w:val="00A106B7"/>
    <w:rsid w:val="00A24A6C"/>
    <w:rsid w:val="00A273D1"/>
    <w:rsid w:val="00A32279"/>
    <w:rsid w:val="00A3290B"/>
    <w:rsid w:val="00A34347"/>
    <w:rsid w:val="00A3449B"/>
    <w:rsid w:val="00A405FA"/>
    <w:rsid w:val="00A43D79"/>
    <w:rsid w:val="00A45542"/>
    <w:rsid w:val="00A464F1"/>
    <w:rsid w:val="00A51AE4"/>
    <w:rsid w:val="00A55F7C"/>
    <w:rsid w:val="00A60A6F"/>
    <w:rsid w:val="00A72946"/>
    <w:rsid w:val="00A74B62"/>
    <w:rsid w:val="00A75020"/>
    <w:rsid w:val="00A81265"/>
    <w:rsid w:val="00A90137"/>
    <w:rsid w:val="00A91FE5"/>
    <w:rsid w:val="00AA0BB1"/>
    <w:rsid w:val="00AA0FEC"/>
    <w:rsid w:val="00AA1CEB"/>
    <w:rsid w:val="00AB3123"/>
    <w:rsid w:val="00AB43B8"/>
    <w:rsid w:val="00AB7867"/>
    <w:rsid w:val="00AC076C"/>
    <w:rsid w:val="00AC37CE"/>
    <w:rsid w:val="00AC5C78"/>
    <w:rsid w:val="00AC5CC0"/>
    <w:rsid w:val="00AC77B9"/>
    <w:rsid w:val="00AD47C1"/>
    <w:rsid w:val="00AD61BA"/>
    <w:rsid w:val="00AD6B03"/>
    <w:rsid w:val="00AD7FD0"/>
    <w:rsid w:val="00AE01A7"/>
    <w:rsid w:val="00AE24F9"/>
    <w:rsid w:val="00AE37FF"/>
    <w:rsid w:val="00AF189B"/>
    <w:rsid w:val="00AF1D90"/>
    <w:rsid w:val="00AF20B3"/>
    <w:rsid w:val="00AF271C"/>
    <w:rsid w:val="00AF3E60"/>
    <w:rsid w:val="00B00097"/>
    <w:rsid w:val="00B00128"/>
    <w:rsid w:val="00B0271E"/>
    <w:rsid w:val="00B078CE"/>
    <w:rsid w:val="00B07BE3"/>
    <w:rsid w:val="00B1213B"/>
    <w:rsid w:val="00B12FA7"/>
    <w:rsid w:val="00B15BED"/>
    <w:rsid w:val="00B223E5"/>
    <w:rsid w:val="00B24DDD"/>
    <w:rsid w:val="00B268AE"/>
    <w:rsid w:val="00B361A0"/>
    <w:rsid w:val="00B4361C"/>
    <w:rsid w:val="00B43C78"/>
    <w:rsid w:val="00B527AE"/>
    <w:rsid w:val="00B52E17"/>
    <w:rsid w:val="00B55D1F"/>
    <w:rsid w:val="00B56CB1"/>
    <w:rsid w:val="00B648E1"/>
    <w:rsid w:val="00B72254"/>
    <w:rsid w:val="00B80759"/>
    <w:rsid w:val="00B941FF"/>
    <w:rsid w:val="00B95EB7"/>
    <w:rsid w:val="00BA0A03"/>
    <w:rsid w:val="00BA1608"/>
    <w:rsid w:val="00BA248A"/>
    <w:rsid w:val="00BC4851"/>
    <w:rsid w:val="00BC4F1B"/>
    <w:rsid w:val="00BD3CA4"/>
    <w:rsid w:val="00BD6111"/>
    <w:rsid w:val="00BE0E7B"/>
    <w:rsid w:val="00BE24FA"/>
    <w:rsid w:val="00BE43DC"/>
    <w:rsid w:val="00BE5173"/>
    <w:rsid w:val="00BE7475"/>
    <w:rsid w:val="00BE78DD"/>
    <w:rsid w:val="00BE7C5B"/>
    <w:rsid w:val="00BF628C"/>
    <w:rsid w:val="00BF7E07"/>
    <w:rsid w:val="00C02AB6"/>
    <w:rsid w:val="00C0305F"/>
    <w:rsid w:val="00C0611C"/>
    <w:rsid w:val="00C06254"/>
    <w:rsid w:val="00C07CD4"/>
    <w:rsid w:val="00C1062B"/>
    <w:rsid w:val="00C23578"/>
    <w:rsid w:val="00C27BA9"/>
    <w:rsid w:val="00C32070"/>
    <w:rsid w:val="00C33F78"/>
    <w:rsid w:val="00C3508F"/>
    <w:rsid w:val="00C431BE"/>
    <w:rsid w:val="00C45EF0"/>
    <w:rsid w:val="00C472C7"/>
    <w:rsid w:val="00C54B1B"/>
    <w:rsid w:val="00C55B6B"/>
    <w:rsid w:val="00C56937"/>
    <w:rsid w:val="00C6051F"/>
    <w:rsid w:val="00C61743"/>
    <w:rsid w:val="00C61E04"/>
    <w:rsid w:val="00C64F9E"/>
    <w:rsid w:val="00C65353"/>
    <w:rsid w:val="00C667AB"/>
    <w:rsid w:val="00C66D94"/>
    <w:rsid w:val="00C71764"/>
    <w:rsid w:val="00C749C8"/>
    <w:rsid w:val="00C76A7D"/>
    <w:rsid w:val="00C938E4"/>
    <w:rsid w:val="00C97973"/>
    <w:rsid w:val="00C97EEB"/>
    <w:rsid w:val="00CA0593"/>
    <w:rsid w:val="00CA080D"/>
    <w:rsid w:val="00CA1979"/>
    <w:rsid w:val="00CA38FD"/>
    <w:rsid w:val="00CB67CF"/>
    <w:rsid w:val="00CC17EB"/>
    <w:rsid w:val="00CC581A"/>
    <w:rsid w:val="00CC7380"/>
    <w:rsid w:val="00CD1A0B"/>
    <w:rsid w:val="00CD3B00"/>
    <w:rsid w:val="00CD7671"/>
    <w:rsid w:val="00CF2F85"/>
    <w:rsid w:val="00CF3665"/>
    <w:rsid w:val="00CF49A3"/>
    <w:rsid w:val="00CF6BDA"/>
    <w:rsid w:val="00CF758F"/>
    <w:rsid w:val="00D02DDF"/>
    <w:rsid w:val="00D036BA"/>
    <w:rsid w:val="00D12253"/>
    <w:rsid w:val="00D17802"/>
    <w:rsid w:val="00D17D08"/>
    <w:rsid w:val="00D209E6"/>
    <w:rsid w:val="00D25944"/>
    <w:rsid w:val="00D356D9"/>
    <w:rsid w:val="00D41167"/>
    <w:rsid w:val="00D4284D"/>
    <w:rsid w:val="00D50E5A"/>
    <w:rsid w:val="00D605F5"/>
    <w:rsid w:val="00D6550F"/>
    <w:rsid w:val="00D67EED"/>
    <w:rsid w:val="00D70600"/>
    <w:rsid w:val="00D7127C"/>
    <w:rsid w:val="00D805EF"/>
    <w:rsid w:val="00D911CE"/>
    <w:rsid w:val="00D96E06"/>
    <w:rsid w:val="00D97BC0"/>
    <w:rsid w:val="00DA09EE"/>
    <w:rsid w:val="00DA5ED9"/>
    <w:rsid w:val="00DA6DAC"/>
    <w:rsid w:val="00DB1017"/>
    <w:rsid w:val="00DB184F"/>
    <w:rsid w:val="00DB5EDA"/>
    <w:rsid w:val="00DB6108"/>
    <w:rsid w:val="00DB6BC5"/>
    <w:rsid w:val="00DC0B81"/>
    <w:rsid w:val="00DC1C53"/>
    <w:rsid w:val="00DC3E38"/>
    <w:rsid w:val="00DC7FEE"/>
    <w:rsid w:val="00DD10B9"/>
    <w:rsid w:val="00DD1703"/>
    <w:rsid w:val="00DE397F"/>
    <w:rsid w:val="00DE52CA"/>
    <w:rsid w:val="00DE59F5"/>
    <w:rsid w:val="00DE5F5D"/>
    <w:rsid w:val="00DF050F"/>
    <w:rsid w:val="00DF4CF7"/>
    <w:rsid w:val="00E0106A"/>
    <w:rsid w:val="00E013AA"/>
    <w:rsid w:val="00E0267B"/>
    <w:rsid w:val="00E03E3B"/>
    <w:rsid w:val="00E11982"/>
    <w:rsid w:val="00E20169"/>
    <w:rsid w:val="00E228DE"/>
    <w:rsid w:val="00E31C99"/>
    <w:rsid w:val="00E36D79"/>
    <w:rsid w:val="00E37621"/>
    <w:rsid w:val="00E43BF5"/>
    <w:rsid w:val="00E4413C"/>
    <w:rsid w:val="00E4488E"/>
    <w:rsid w:val="00E45B8B"/>
    <w:rsid w:val="00E5202D"/>
    <w:rsid w:val="00E52949"/>
    <w:rsid w:val="00E54453"/>
    <w:rsid w:val="00E64EBA"/>
    <w:rsid w:val="00E7341A"/>
    <w:rsid w:val="00E8452D"/>
    <w:rsid w:val="00E8551C"/>
    <w:rsid w:val="00E90F01"/>
    <w:rsid w:val="00EA0A4B"/>
    <w:rsid w:val="00EA5101"/>
    <w:rsid w:val="00EA6A6B"/>
    <w:rsid w:val="00EC3CF0"/>
    <w:rsid w:val="00EC4115"/>
    <w:rsid w:val="00ED2A45"/>
    <w:rsid w:val="00ED5833"/>
    <w:rsid w:val="00EE037F"/>
    <w:rsid w:val="00EE1C71"/>
    <w:rsid w:val="00EE2B39"/>
    <w:rsid w:val="00EE5428"/>
    <w:rsid w:val="00EE6276"/>
    <w:rsid w:val="00EF0F16"/>
    <w:rsid w:val="00EF1F88"/>
    <w:rsid w:val="00EF45F1"/>
    <w:rsid w:val="00EF5A9F"/>
    <w:rsid w:val="00EF5EBB"/>
    <w:rsid w:val="00F00DAC"/>
    <w:rsid w:val="00F045DF"/>
    <w:rsid w:val="00F04CDE"/>
    <w:rsid w:val="00F1340C"/>
    <w:rsid w:val="00F16F1C"/>
    <w:rsid w:val="00F24572"/>
    <w:rsid w:val="00F25F4F"/>
    <w:rsid w:val="00F3135C"/>
    <w:rsid w:val="00F33AFA"/>
    <w:rsid w:val="00F436B2"/>
    <w:rsid w:val="00F5110E"/>
    <w:rsid w:val="00F53B4E"/>
    <w:rsid w:val="00F5554A"/>
    <w:rsid w:val="00F6048A"/>
    <w:rsid w:val="00F6293A"/>
    <w:rsid w:val="00F65EF9"/>
    <w:rsid w:val="00F71159"/>
    <w:rsid w:val="00F844DD"/>
    <w:rsid w:val="00F91EF3"/>
    <w:rsid w:val="00F92D3F"/>
    <w:rsid w:val="00F974CC"/>
    <w:rsid w:val="00FA1A15"/>
    <w:rsid w:val="00FA2D66"/>
    <w:rsid w:val="00FA441C"/>
    <w:rsid w:val="00FB1E73"/>
    <w:rsid w:val="00FB4F05"/>
    <w:rsid w:val="00FB4FDA"/>
    <w:rsid w:val="00FB6563"/>
    <w:rsid w:val="00FC262F"/>
    <w:rsid w:val="00FC51D1"/>
    <w:rsid w:val="00FC6F4D"/>
    <w:rsid w:val="00FC7B87"/>
    <w:rsid w:val="00FD3112"/>
    <w:rsid w:val="00FD5220"/>
    <w:rsid w:val="00FE02B2"/>
    <w:rsid w:val="00FE2073"/>
    <w:rsid w:val="00FE2DE3"/>
    <w:rsid w:val="00FE400C"/>
    <w:rsid w:val="00FE6CC9"/>
    <w:rsid w:val="00FF25E6"/>
    <w:rsid w:val="00FF34CF"/>
    <w:rsid w:val="00FF54CA"/>
    <w:rsid w:val="00FF7168"/>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3367"/>
  <w15:chartTrackingRefBased/>
  <w15:docId w15:val="{64ABD3C4-B1C4-4956-A8D4-FE36DA68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0D"/>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857B0D"/>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57B0D"/>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857B0D"/>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857B0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7B0D"/>
    <w:rPr>
      <w:rFonts w:ascii="Times New Roman" w:eastAsia="Times New Roman" w:hAnsi="Times New Roman" w:cs="Arial"/>
      <w:b/>
      <w:bCs/>
      <w:i/>
      <w:iCs/>
      <w:sz w:val="24"/>
      <w:szCs w:val="28"/>
      <w:lang w:eastAsia="en-GB"/>
    </w:rPr>
  </w:style>
  <w:style w:type="character" w:customStyle="1" w:styleId="apple-converted-space">
    <w:name w:val="apple-converted-space"/>
    <w:basedOn w:val="DefaultParagraphFont"/>
    <w:rsid w:val="00DC0B81"/>
  </w:style>
  <w:style w:type="character" w:customStyle="1" w:styleId="hlfld-contribauthor">
    <w:name w:val="hlfld-contribauthor"/>
    <w:basedOn w:val="DefaultParagraphFont"/>
    <w:rsid w:val="00DC0B81"/>
  </w:style>
  <w:style w:type="paragraph" w:styleId="ListParagraph">
    <w:name w:val="List Paragraph"/>
    <w:basedOn w:val="Normal"/>
    <w:uiPriority w:val="34"/>
    <w:qFormat/>
    <w:rsid w:val="00EC3CF0"/>
    <w:pPr>
      <w:ind w:left="720"/>
      <w:contextualSpacing/>
    </w:pPr>
  </w:style>
  <w:style w:type="character" w:styleId="Hyperlink">
    <w:name w:val="Hyperlink"/>
    <w:basedOn w:val="DefaultParagraphFont"/>
    <w:uiPriority w:val="99"/>
    <w:unhideWhenUsed/>
    <w:rsid w:val="00B72254"/>
    <w:rPr>
      <w:color w:val="0563C1" w:themeColor="hyperlink"/>
      <w:u w:val="single"/>
    </w:rPr>
  </w:style>
  <w:style w:type="paragraph" w:styleId="Bibliography">
    <w:name w:val="Bibliography"/>
    <w:basedOn w:val="Normal"/>
    <w:next w:val="Normal"/>
    <w:uiPriority w:val="37"/>
    <w:semiHidden/>
    <w:unhideWhenUsed/>
    <w:rsid w:val="00743193"/>
  </w:style>
  <w:style w:type="character" w:styleId="CommentReference">
    <w:name w:val="annotation reference"/>
    <w:basedOn w:val="DefaultParagraphFont"/>
    <w:uiPriority w:val="99"/>
    <w:semiHidden/>
    <w:unhideWhenUsed/>
    <w:rsid w:val="00C3508F"/>
    <w:rPr>
      <w:sz w:val="16"/>
      <w:szCs w:val="16"/>
    </w:rPr>
  </w:style>
  <w:style w:type="paragraph" w:styleId="CommentText">
    <w:name w:val="annotation text"/>
    <w:basedOn w:val="Normal"/>
    <w:link w:val="CommentTextChar"/>
    <w:uiPriority w:val="99"/>
    <w:semiHidden/>
    <w:unhideWhenUsed/>
    <w:rsid w:val="00C3508F"/>
    <w:pPr>
      <w:spacing w:line="240" w:lineRule="auto"/>
    </w:pPr>
    <w:rPr>
      <w:sz w:val="20"/>
      <w:szCs w:val="20"/>
    </w:rPr>
  </w:style>
  <w:style w:type="character" w:customStyle="1" w:styleId="CommentTextChar">
    <w:name w:val="Comment Text Char"/>
    <w:basedOn w:val="DefaultParagraphFont"/>
    <w:link w:val="CommentText"/>
    <w:uiPriority w:val="99"/>
    <w:semiHidden/>
    <w:rsid w:val="00C3508F"/>
    <w:rPr>
      <w:sz w:val="20"/>
      <w:szCs w:val="20"/>
    </w:rPr>
  </w:style>
  <w:style w:type="paragraph" w:styleId="BalloonText">
    <w:name w:val="Balloon Text"/>
    <w:basedOn w:val="Normal"/>
    <w:link w:val="BalloonTextChar"/>
    <w:uiPriority w:val="99"/>
    <w:semiHidden/>
    <w:unhideWhenUsed/>
    <w:rsid w:val="00C350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08F"/>
    <w:rPr>
      <w:rFonts w:ascii="Segoe UI" w:hAnsi="Segoe UI" w:cs="Segoe UI"/>
      <w:sz w:val="18"/>
      <w:szCs w:val="18"/>
    </w:rPr>
  </w:style>
  <w:style w:type="paragraph" w:styleId="Header">
    <w:name w:val="header"/>
    <w:basedOn w:val="Normal"/>
    <w:link w:val="HeaderChar"/>
    <w:rsid w:val="00857B0D"/>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857B0D"/>
    <w:rPr>
      <w:rFonts w:ascii="Times New Roman" w:eastAsia="Times New Roman" w:hAnsi="Times New Roman" w:cs="Times New Roman"/>
      <w:sz w:val="24"/>
      <w:szCs w:val="24"/>
      <w:lang w:eastAsia="en-GB"/>
    </w:rPr>
  </w:style>
  <w:style w:type="paragraph" w:styleId="Footer">
    <w:name w:val="footer"/>
    <w:basedOn w:val="Normal"/>
    <w:link w:val="FooterChar"/>
    <w:rsid w:val="00857B0D"/>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857B0D"/>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97BFF"/>
    <w:rPr>
      <w:b/>
      <w:bCs/>
    </w:rPr>
  </w:style>
  <w:style w:type="character" w:customStyle="1" w:styleId="CommentSubjectChar">
    <w:name w:val="Comment Subject Char"/>
    <w:basedOn w:val="CommentTextChar"/>
    <w:link w:val="CommentSubject"/>
    <w:uiPriority w:val="99"/>
    <w:semiHidden/>
    <w:rsid w:val="00097BFF"/>
    <w:rPr>
      <w:b/>
      <w:bCs/>
      <w:sz w:val="20"/>
      <w:szCs w:val="20"/>
    </w:rPr>
  </w:style>
  <w:style w:type="character" w:customStyle="1" w:styleId="Heading1Char">
    <w:name w:val="Heading 1 Char"/>
    <w:basedOn w:val="DefaultParagraphFont"/>
    <w:link w:val="Heading1"/>
    <w:rsid w:val="00857B0D"/>
    <w:rPr>
      <w:rFonts w:ascii="Times New Roman" w:eastAsia="Times New Roman" w:hAnsi="Times New Roman" w:cs="Arial"/>
      <w:b/>
      <w:bCs/>
      <w:kern w:val="32"/>
      <w:sz w:val="24"/>
      <w:szCs w:val="32"/>
      <w:lang w:eastAsia="en-GB"/>
    </w:rPr>
  </w:style>
  <w:style w:type="character" w:customStyle="1" w:styleId="Heading3Char">
    <w:name w:val="Heading 3 Char"/>
    <w:basedOn w:val="DefaultParagraphFont"/>
    <w:link w:val="Heading3"/>
    <w:rsid w:val="00857B0D"/>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857B0D"/>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857B0D"/>
    <w:pPr>
      <w:spacing w:after="120" w:line="360" w:lineRule="auto"/>
    </w:pPr>
    <w:rPr>
      <w:b/>
      <w:sz w:val="28"/>
    </w:rPr>
  </w:style>
  <w:style w:type="paragraph" w:customStyle="1" w:styleId="Authornames">
    <w:name w:val="Author names"/>
    <w:basedOn w:val="Normal"/>
    <w:next w:val="Normal"/>
    <w:qFormat/>
    <w:rsid w:val="00857B0D"/>
    <w:pPr>
      <w:spacing w:before="240" w:line="360" w:lineRule="auto"/>
    </w:pPr>
    <w:rPr>
      <w:sz w:val="28"/>
    </w:rPr>
  </w:style>
  <w:style w:type="paragraph" w:customStyle="1" w:styleId="Affiliation">
    <w:name w:val="Affiliation"/>
    <w:basedOn w:val="Normal"/>
    <w:qFormat/>
    <w:rsid w:val="00857B0D"/>
    <w:pPr>
      <w:spacing w:before="240" w:line="360" w:lineRule="auto"/>
    </w:pPr>
    <w:rPr>
      <w:i/>
    </w:rPr>
  </w:style>
  <w:style w:type="paragraph" w:customStyle="1" w:styleId="Receiveddates">
    <w:name w:val="Received dates"/>
    <w:basedOn w:val="Affiliation"/>
    <w:next w:val="Normal"/>
    <w:qFormat/>
    <w:rsid w:val="00857B0D"/>
  </w:style>
  <w:style w:type="paragraph" w:customStyle="1" w:styleId="Abstract">
    <w:name w:val="Abstract"/>
    <w:basedOn w:val="Normal"/>
    <w:next w:val="Keywords"/>
    <w:qFormat/>
    <w:rsid w:val="00857B0D"/>
    <w:pPr>
      <w:spacing w:before="360" w:after="300" w:line="360" w:lineRule="auto"/>
      <w:ind w:left="720" w:right="567"/>
    </w:pPr>
    <w:rPr>
      <w:sz w:val="22"/>
    </w:rPr>
  </w:style>
  <w:style w:type="paragraph" w:customStyle="1" w:styleId="Keywords">
    <w:name w:val="Keywords"/>
    <w:basedOn w:val="Normal"/>
    <w:next w:val="Paragraph"/>
    <w:qFormat/>
    <w:rsid w:val="00857B0D"/>
    <w:pPr>
      <w:spacing w:before="240" w:after="240" w:line="360" w:lineRule="auto"/>
      <w:ind w:left="720" w:right="567"/>
    </w:pPr>
    <w:rPr>
      <w:sz w:val="22"/>
    </w:rPr>
  </w:style>
  <w:style w:type="paragraph" w:customStyle="1" w:styleId="Correspondencedetails">
    <w:name w:val="Correspondence details"/>
    <w:basedOn w:val="Normal"/>
    <w:qFormat/>
    <w:rsid w:val="00857B0D"/>
    <w:pPr>
      <w:spacing w:before="240" w:line="360" w:lineRule="auto"/>
    </w:pPr>
  </w:style>
  <w:style w:type="paragraph" w:customStyle="1" w:styleId="Displayedquotation">
    <w:name w:val="Displayed quotation"/>
    <w:basedOn w:val="Normal"/>
    <w:qFormat/>
    <w:rsid w:val="00857B0D"/>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857B0D"/>
    <w:pPr>
      <w:widowControl/>
      <w:numPr>
        <w:numId w:val="27"/>
      </w:numPr>
      <w:spacing w:after="240"/>
      <w:contextualSpacing/>
    </w:pPr>
  </w:style>
  <w:style w:type="paragraph" w:customStyle="1" w:styleId="Displayedequation">
    <w:name w:val="Displayed equation"/>
    <w:basedOn w:val="Normal"/>
    <w:next w:val="Paragraph"/>
    <w:qFormat/>
    <w:rsid w:val="00857B0D"/>
    <w:pPr>
      <w:tabs>
        <w:tab w:val="center" w:pos="4253"/>
        <w:tab w:val="right" w:pos="8222"/>
      </w:tabs>
      <w:spacing w:before="240" w:after="240"/>
      <w:jc w:val="center"/>
    </w:pPr>
  </w:style>
  <w:style w:type="paragraph" w:customStyle="1" w:styleId="Acknowledgements">
    <w:name w:val="Acknowledgements"/>
    <w:basedOn w:val="Normal"/>
    <w:next w:val="Normal"/>
    <w:qFormat/>
    <w:rsid w:val="00857B0D"/>
    <w:pPr>
      <w:spacing w:before="120" w:line="360" w:lineRule="auto"/>
    </w:pPr>
    <w:rPr>
      <w:sz w:val="22"/>
    </w:rPr>
  </w:style>
  <w:style w:type="paragraph" w:customStyle="1" w:styleId="Tabletitle">
    <w:name w:val="Table title"/>
    <w:basedOn w:val="Normal"/>
    <w:next w:val="Normal"/>
    <w:qFormat/>
    <w:rsid w:val="00857B0D"/>
    <w:pPr>
      <w:spacing w:before="240" w:line="360" w:lineRule="auto"/>
    </w:pPr>
  </w:style>
  <w:style w:type="paragraph" w:customStyle="1" w:styleId="Figurecaption">
    <w:name w:val="Figure caption"/>
    <w:basedOn w:val="Normal"/>
    <w:next w:val="Normal"/>
    <w:qFormat/>
    <w:rsid w:val="00857B0D"/>
    <w:pPr>
      <w:spacing w:before="240" w:line="360" w:lineRule="auto"/>
    </w:pPr>
  </w:style>
  <w:style w:type="paragraph" w:customStyle="1" w:styleId="Footnotes">
    <w:name w:val="Footnotes"/>
    <w:basedOn w:val="Normal"/>
    <w:qFormat/>
    <w:rsid w:val="00857B0D"/>
    <w:pPr>
      <w:spacing w:before="120" w:line="360" w:lineRule="auto"/>
      <w:ind w:left="482" w:hanging="482"/>
      <w:contextualSpacing/>
    </w:pPr>
    <w:rPr>
      <w:sz w:val="22"/>
    </w:rPr>
  </w:style>
  <w:style w:type="paragraph" w:customStyle="1" w:styleId="Notesoncontributors">
    <w:name w:val="Notes on contributors"/>
    <w:basedOn w:val="Normal"/>
    <w:qFormat/>
    <w:rsid w:val="00857B0D"/>
    <w:pPr>
      <w:spacing w:before="240" w:line="360" w:lineRule="auto"/>
    </w:pPr>
    <w:rPr>
      <w:sz w:val="22"/>
    </w:rPr>
  </w:style>
  <w:style w:type="paragraph" w:customStyle="1" w:styleId="Normalparagraphstyle">
    <w:name w:val="Normal paragraph style"/>
    <w:basedOn w:val="Normal"/>
    <w:next w:val="Normal"/>
    <w:rsid w:val="00857B0D"/>
  </w:style>
  <w:style w:type="paragraph" w:customStyle="1" w:styleId="Paragraph">
    <w:name w:val="Paragraph"/>
    <w:basedOn w:val="Normal"/>
    <w:next w:val="Newparagraph"/>
    <w:qFormat/>
    <w:rsid w:val="00857B0D"/>
    <w:pPr>
      <w:widowControl w:val="0"/>
      <w:spacing w:before="240"/>
    </w:pPr>
  </w:style>
  <w:style w:type="paragraph" w:customStyle="1" w:styleId="Newparagraph">
    <w:name w:val="New paragraph"/>
    <w:basedOn w:val="Normal"/>
    <w:qFormat/>
    <w:rsid w:val="00857B0D"/>
    <w:pPr>
      <w:ind w:firstLine="720"/>
    </w:pPr>
  </w:style>
  <w:style w:type="paragraph" w:styleId="NormalIndent">
    <w:name w:val="Normal Indent"/>
    <w:basedOn w:val="Normal"/>
    <w:rsid w:val="00857B0D"/>
    <w:pPr>
      <w:ind w:left="720"/>
    </w:pPr>
  </w:style>
  <w:style w:type="paragraph" w:customStyle="1" w:styleId="References">
    <w:name w:val="References"/>
    <w:basedOn w:val="Normal"/>
    <w:qFormat/>
    <w:rsid w:val="00857B0D"/>
    <w:pPr>
      <w:spacing w:before="120" w:line="360" w:lineRule="auto"/>
      <w:ind w:left="720" w:hanging="720"/>
      <w:contextualSpacing/>
    </w:pPr>
  </w:style>
  <w:style w:type="paragraph" w:customStyle="1" w:styleId="Subjectcodes">
    <w:name w:val="Subject codes"/>
    <w:basedOn w:val="Keywords"/>
    <w:next w:val="Paragraph"/>
    <w:qFormat/>
    <w:rsid w:val="00857B0D"/>
  </w:style>
  <w:style w:type="paragraph" w:customStyle="1" w:styleId="Bulletedlist">
    <w:name w:val="Bulleted list"/>
    <w:basedOn w:val="Paragraph"/>
    <w:next w:val="Paragraph"/>
    <w:qFormat/>
    <w:rsid w:val="00857B0D"/>
    <w:pPr>
      <w:widowControl/>
      <w:numPr>
        <w:numId w:val="28"/>
      </w:numPr>
      <w:spacing w:after="240"/>
      <w:contextualSpacing/>
    </w:pPr>
  </w:style>
  <w:style w:type="paragraph" w:styleId="FootnoteText">
    <w:name w:val="footnote text"/>
    <w:basedOn w:val="Normal"/>
    <w:link w:val="FootnoteTextChar"/>
    <w:autoRedefine/>
    <w:rsid w:val="00857B0D"/>
    <w:pPr>
      <w:ind w:left="284" w:hanging="284"/>
    </w:pPr>
    <w:rPr>
      <w:sz w:val="22"/>
      <w:szCs w:val="20"/>
    </w:rPr>
  </w:style>
  <w:style w:type="character" w:customStyle="1" w:styleId="FootnoteTextChar">
    <w:name w:val="Footnote Text Char"/>
    <w:basedOn w:val="DefaultParagraphFont"/>
    <w:link w:val="FootnoteText"/>
    <w:rsid w:val="00857B0D"/>
    <w:rPr>
      <w:rFonts w:ascii="Times New Roman" w:eastAsia="Times New Roman" w:hAnsi="Times New Roman" w:cs="Times New Roman"/>
      <w:szCs w:val="20"/>
      <w:lang w:eastAsia="en-GB"/>
    </w:rPr>
  </w:style>
  <w:style w:type="character" w:styleId="FootnoteReference">
    <w:name w:val="footnote reference"/>
    <w:basedOn w:val="DefaultParagraphFont"/>
    <w:rsid w:val="00857B0D"/>
    <w:rPr>
      <w:vertAlign w:val="superscript"/>
    </w:rPr>
  </w:style>
  <w:style w:type="paragraph" w:styleId="EndnoteText">
    <w:name w:val="endnote text"/>
    <w:basedOn w:val="Normal"/>
    <w:link w:val="EndnoteTextChar"/>
    <w:autoRedefine/>
    <w:rsid w:val="00857B0D"/>
    <w:pPr>
      <w:ind w:left="284" w:hanging="284"/>
    </w:pPr>
    <w:rPr>
      <w:sz w:val="22"/>
      <w:szCs w:val="20"/>
    </w:rPr>
  </w:style>
  <w:style w:type="character" w:customStyle="1" w:styleId="EndnoteTextChar">
    <w:name w:val="Endnote Text Char"/>
    <w:basedOn w:val="DefaultParagraphFont"/>
    <w:link w:val="EndnoteText"/>
    <w:rsid w:val="00857B0D"/>
    <w:rPr>
      <w:rFonts w:ascii="Times New Roman" w:eastAsia="Times New Roman" w:hAnsi="Times New Roman" w:cs="Times New Roman"/>
      <w:szCs w:val="20"/>
      <w:lang w:eastAsia="en-GB"/>
    </w:rPr>
  </w:style>
  <w:style w:type="character" w:styleId="EndnoteReference">
    <w:name w:val="endnote reference"/>
    <w:basedOn w:val="DefaultParagraphFont"/>
    <w:rsid w:val="00857B0D"/>
    <w:rPr>
      <w:vertAlign w:val="superscript"/>
    </w:rPr>
  </w:style>
  <w:style w:type="paragraph" w:customStyle="1" w:styleId="Heading4Paragraph">
    <w:name w:val="Heading 4 + Paragraph"/>
    <w:basedOn w:val="Paragraph"/>
    <w:next w:val="Newparagraph"/>
    <w:qFormat/>
    <w:rsid w:val="00857B0D"/>
    <w:pPr>
      <w:widowControl/>
      <w:spacing w:before="360"/>
    </w:pPr>
  </w:style>
  <w:style w:type="character" w:customStyle="1" w:styleId="UnresolvedMention">
    <w:name w:val="Unresolved Mention"/>
    <w:basedOn w:val="DefaultParagraphFont"/>
    <w:uiPriority w:val="99"/>
    <w:semiHidden/>
    <w:unhideWhenUsed/>
    <w:rsid w:val="000209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3850">
      <w:bodyDiv w:val="1"/>
      <w:marLeft w:val="0"/>
      <w:marRight w:val="0"/>
      <w:marTop w:val="0"/>
      <w:marBottom w:val="0"/>
      <w:divBdr>
        <w:top w:val="none" w:sz="0" w:space="0" w:color="auto"/>
        <w:left w:val="none" w:sz="0" w:space="0" w:color="auto"/>
        <w:bottom w:val="none" w:sz="0" w:space="0" w:color="auto"/>
        <w:right w:val="none" w:sz="0" w:space="0" w:color="auto"/>
      </w:divBdr>
    </w:div>
    <w:div w:id="1262950909">
      <w:bodyDiv w:val="1"/>
      <w:marLeft w:val="0"/>
      <w:marRight w:val="0"/>
      <w:marTop w:val="0"/>
      <w:marBottom w:val="0"/>
      <w:divBdr>
        <w:top w:val="none" w:sz="0" w:space="0" w:color="auto"/>
        <w:left w:val="none" w:sz="0" w:space="0" w:color="auto"/>
        <w:bottom w:val="none" w:sz="0" w:space="0" w:color="auto"/>
        <w:right w:val="none" w:sz="0" w:space="0" w:color="auto"/>
      </w:divBdr>
    </w:div>
    <w:div w:id="19742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93-5177"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cu.org.uk/7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Doctor\Dropbox\BCU%20PhD\HE%20Obs%20paper%20with%20Matt\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10AA-2E1A-4193-BCE9-5E507ADE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445</TotalTime>
  <Pages>26</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O'Leary</dc:creator>
  <cp:keywords/>
  <dc:description/>
  <cp:lastModifiedBy>Matthew O'Leary</cp:lastModifiedBy>
  <cp:revision>9</cp:revision>
  <dcterms:created xsi:type="dcterms:W3CDTF">2018-09-19T12:26:00Z</dcterms:created>
  <dcterms:modified xsi:type="dcterms:W3CDTF">2018-09-19T21:33:00Z</dcterms:modified>
</cp:coreProperties>
</file>