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EF3D5" w14:textId="05121AAC" w:rsidR="00202361" w:rsidRDefault="00B27E64" w:rsidP="00AF7C6B">
      <w:pPr>
        <w:jc w:val="both"/>
        <w:rPr>
          <w:rFonts w:ascii="Calibri" w:hAnsi="Calibri"/>
          <w:color w:val="1F497D"/>
        </w:rPr>
      </w:pPr>
      <w:r w:rsidRPr="00BE231B">
        <w:rPr>
          <w:rFonts w:ascii="Calibri" w:hAnsi="Calibri"/>
          <w:color w:val="1F497D"/>
          <w:sz w:val="32"/>
          <w:szCs w:val="32"/>
        </w:rPr>
        <w:t>A</w:t>
      </w:r>
      <w:r w:rsidR="00BE231B">
        <w:rPr>
          <w:rFonts w:ascii="Calibri" w:hAnsi="Calibri"/>
          <w:color w:val="1F497D"/>
          <w:sz w:val="32"/>
          <w:szCs w:val="32"/>
        </w:rPr>
        <w:t>n</w:t>
      </w:r>
      <w:r w:rsidRPr="00BE231B">
        <w:rPr>
          <w:rFonts w:ascii="Calibri" w:hAnsi="Calibri"/>
          <w:color w:val="1F497D"/>
          <w:sz w:val="32"/>
          <w:szCs w:val="32"/>
        </w:rPr>
        <w:t xml:space="preserve"> observational study on the rate of reporting of adverse event on healthcare staff in a mental health setting: an applicatio</w:t>
      </w:r>
      <w:r w:rsidR="00B756B9">
        <w:rPr>
          <w:rFonts w:ascii="Calibri" w:hAnsi="Calibri"/>
          <w:color w:val="1F497D"/>
          <w:sz w:val="32"/>
          <w:szCs w:val="32"/>
        </w:rPr>
        <w:t>n of Poisson Expectation Maximis</w:t>
      </w:r>
      <w:r w:rsidRPr="00BE231B">
        <w:rPr>
          <w:rFonts w:ascii="Calibri" w:hAnsi="Calibri"/>
          <w:color w:val="1F497D"/>
          <w:sz w:val="32"/>
          <w:szCs w:val="32"/>
        </w:rPr>
        <w:t>ation analysis on nurse staffing data</w:t>
      </w:r>
      <w:r>
        <w:rPr>
          <w:rFonts w:ascii="Calibri" w:hAnsi="Calibri"/>
          <w:color w:val="1F497D"/>
        </w:rPr>
        <w:t xml:space="preserve"> </w:t>
      </w:r>
    </w:p>
    <w:p w14:paraId="3A740ED7" w14:textId="7B5F884D" w:rsidR="00A44CA4" w:rsidRDefault="00C7748D" w:rsidP="00AF7C6B">
      <w:pPr>
        <w:jc w:val="both"/>
      </w:pPr>
      <w:r>
        <w:t>Key words:</w:t>
      </w:r>
      <w:r w:rsidR="00040F33">
        <w:t xml:space="preserve"> nurse staffing, safety, workforce, retention</w:t>
      </w:r>
      <w:r w:rsidR="00C943A4">
        <w:t>, count regression</w:t>
      </w:r>
    </w:p>
    <w:p w14:paraId="259FE8C2" w14:textId="5F19AAF3" w:rsidR="00EA10E0" w:rsidRDefault="00EA10E0" w:rsidP="00EA10E0">
      <w:pPr>
        <w:jc w:val="both"/>
      </w:pPr>
      <w:r>
        <w:t>Robert M. Cook</w:t>
      </w:r>
      <w:r w:rsidRPr="00EA10E0">
        <w:rPr>
          <w:vertAlign w:val="superscript"/>
        </w:rPr>
        <w:t>1</w:t>
      </w:r>
      <w:r>
        <w:t>, Sarahjane Jones</w:t>
      </w:r>
      <w:r w:rsidRPr="00EA10E0">
        <w:rPr>
          <w:vertAlign w:val="superscript"/>
        </w:rPr>
        <w:t>1</w:t>
      </w:r>
      <w:r>
        <w:t xml:space="preserve">, </w:t>
      </w:r>
      <w:r>
        <w:t>Daniel Worsley</w:t>
      </w:r>
      <w:r w:rsidRPr="00EA10E0">
        <w:rPr>
          <w:vertAlign w:val="superscript"/>
        </w:rPr>
        <w:t>2</w:t>
      </w:r>
      <w:r>
        <w:t xml:space="preserve">, </w:t>
      </w:r>
      <w:r>
        <w:t>Gemma C. Williams</w:t>
      </w:r>
      <w:r w:rsidRPr="00EA10E0">
        <w:rPr>
          <w:vertAlign w:val="superscript"/>
        </w:rPr>
        <w:t>1</w:t>
      </w:r>
      <w:r>
        <w:t xml:space="preserve">. </w:t>
      </w:r>
      <w:r>
        <w:t>Ray Walker</w:t>
      </w:r>
      <w:r w:rsidRPr="00EA10E0">
        <w:rPr>
          <w:vertAlign w:val="superscript"/>
        </w:rPr>
        <w:t>3</w:t>
      </w:r>
      <w:r>
        <w:t xml:space="preserve">, </w:t>
      </w:r>
      <w:r>
        <w:t>Mark Radford</w:t>
      </w:r>
      <w:r w:rsidRPr="00EA10E0">
        <w:rPr>
          <w:vertAlign w:val="superscript"/>
        </w:rPr>
        <w:t xml:space="preserve">1&amp;4 </w:t>
      </w:r>
      <w:r>
        <w:t>and A</w:t>
      </w:r>
      <w:r>
        <w:t>lison Leary</w:t>
      </w:r>
      <w:r w:rsidRPr="00EA10E0">
        <w:rPr>
          <w:vertAlign w:val="superscript"/>
        </w:rPr>
        <w:t>5</w:t>
      </w:r>
    </w:p>
    <w:p w14:paraId="317781CE" w14:textId="01F8637D" w:rsidR="00EA10E0" w:rsidRDefault="00EA10E0" w:rsidP="00EA10E0">
      <w:pPr>
        <w:jc w:val="both"/>
      </w:pPr>
      <w:r w:rsidRPr="00EA10E0">
        <w:rPr>
          <w:vertAlign w:val="superscript"/>
        </w:rPr>
        <w:t>1</w:t>
      </w:r>
      <w:r>
        <w:t xml:space="preserve">Birmingham City </w:t>
      </w:r>
      <w:r>
        <w:t xml:space="preserve">University, </w:t>
      </w:r>
      <w:r w:rsidRPr="00EA10E0">
        <w:rPr>
          <w:vertAlign w:val="superscript"/>
        </w:rPr>
        <w:t>2</w:t>
      </w:r>
      <w:r>
        <w:t xml:space="preserve">Mersey Care NHS Trust, </w:t>
      </w:r>
      <w:r w:rsidRPr="00EA10E0">
        <w:rPr>
          <w:vertAlign w:val="superscript"/>
        </w:rPr>
        <w:t>3</w:t>
      </w:r>
      <w:r>
        <w:t xml:space="preserve">Health Education England, </w:t>
      </w:r>
      <w:r w:rsidRPr="00EA10E0">
        <w:rPr>
          <w:vertAlign w:val="superscript"/>
        </w:rPr>
        <w:t>4</w:t>
      </w:r>
      <w:r w:rsidRPr="00EE23DE">
        <w:t>NHS England</w:t>
      </w:r>
      <w:r>
        <w:t xml:space="preserve"> and NHS Improvement</w:t>
      </w:r>
      <w:r>
        <w:t xml:space="preserve"> and </w:t>
      </w:r>
      <w:r w:rsidRPr="00EA10E0">
        <w:rPr>
          <w:vertAlign w:val="superscript"/>
        </w:rPr>
        <w:t>5</w:t>
      </w:r>
      <w:r>
        <w:t>London South Bank University</w:t>
      </w:r>
    </w:p>
    <w:p w14:paraId="5F83AD38" w14:textId="5B8AF055" w:rsidR="00B014FB" w:rsidRDefault="00BD77E6" w:rsidP="00AF7C6B">
      <w:pPr>
        <w:pStyle w:val="Heading2"/>
        <w:jc w:val="both"/>
      </w:pPr>
      <w:r>
        <w:t>Abstract:</w:t>
      </w:r>
    </w:p>
    <w:p w14:paraId="03BC10C4" w14:textId="367FA537" w:rsidR="00AA4A9C" w:rsidRDefault="005F50F0" w:rsidP="00AA4A9C">
      <w:pPr>
        <w:jc w:val="both"/>
      </w:pPr>
      <w:r>
        <w:t>Evidence highlights the intrinsic link between nurs</w:t>
      </w:r>
      <w:r w:rsidR="005D4E58">
        <w:t>e</w:t>
      </w:r>
      <w:r>
        <w:t xml:space="preserve"> </w:t>
      </w:r>
      <w:r w:rsidR="00AA4A9C">
        <w:t xml:space="preserve">staffing and </w:t>
      </w:r>
      <w:r>
        <w:t>expertise</w:t>
      </w:r>
      <w:r w:rsidR="00AA4A9C">
        <w:t>,</w:t>
      </w:r>
      <w:r>
        <w:t xml:space="preserve"> and outcomes for service users of healthcare, and that workforce retention is linked to the clinical and organisational expe</w:t>
      </w:r>
      <w:r w:rsidR="00AA4A9C">
        <w:t>riences of employees</w:t>
      </w:r>
      <w:r>
        <w:t>. However, this understanding is less well established in mental health.</w:t>
      </w:r>
      <w:r w:rsidRPr="005F50F0">
        <w:t xml:space="preserve"> </w:t>
      </w:r>
      <w:r>
        <w:t xml:space="preserve">This study comprises a retrospective observational study carried out on routinely collected data from a large mental healthcare provider. Two databases comprising </w:t>
      </w:r>
      <w:r w:rsidR="006A3839">
        <w:t xml:space="preserve">nurse </w:t>
      </w:r>
      <w:r>
        <w:t xml:space="preserve">staffing levels and adverse events were modelled using </w:t>
      </w:r>
      <w:r w:rsidR="00AA4A9C">
        <w:t xml:space="preserve">latent variable methods </w:t>
      </w:r>
      <w:r>
        <w:t xml:space="preserve">to account for the presence of multiple underlying behaviours. </w:t>
      </w:r>
      <w:r w:rsidR="00AA4A9C">
        <w:t>T</w:t>
      </w:r>
      <w:r>
        <w:t xml:space="preserve">he analysis reveals a strong dependence of the rate of adverse events on the </w:t>
      </w:r>
      <w:r w:rsidR="005D4E58">
        <w:t>location</w:t>
      </w:r>
      <w:r>
        <w:t xml:space="preserve"> and </w:t>
      </w:r>
      <w:r w:rsidR="003B4B95">
        <w:t>perceived clinical demand</w:t>
      </w:r>
      <w:r>
        <w:t xml:space="preserve"> of the wards, and a reduction in adverse events where </w:t>
      </w:r>
      <w:r w:rsidR="00040F33">
        <w:t>registered</w:t>
      </w:r>
      <w:r>
        <w:t xml:space="preserve"> nurses exceed </w:t>
      </w:r>
      <w:r w:rsidR="00040F33">
        <w:t>‘</w:t>
      </w:r>
      <w:r w:rsidR="00A37565">
        <w:t>clinically</w:t>
      </w:r>
      <w:r w:rsidR="00635E22">
        <w:t>-</w:t>
      </w:r>
      <w:r>
        <w:t>required levels</w:t>
      </w:r>
      <w:r w:rsidR="00A37565">
        <w:t>’</w:t>
      </w:r>
      <w:r>
        <w:t xml:space="preserve">. </w:t>
      </w:r>
      <w:r w:rsidR="00A37565">
        <w:t xml:space="preserve"> </w:t>
      </w:r>
      <w:r w:rsidR="00AA4A9C">
        <w:t xml:space="preserve">In the first study of its kind, these findings present significant implications for nursing workforce policy and present an opportunity to not only improve safety, but potentially impact nurse retention. </w:t>
      </w:r>
    </w:p>
    <w:p w14:paraId="310D53AE" w14:textId="77777777" w:rsidR="00EA10E0" w:rsidRDefault="00EA10E0" w:rsidP="00AA4A9C">
      <w:pPr>
        <w:jc w:val="both"/>
      </w:pPr>
    </w:p>
    <w:p w14:paraId="67500690" w14:textId="77777777" w:rsidR="00EA10E0" w:rsidRDefault="00EA10E0" w:rsidP="00AA4A9C">
      <w:pPr>
        <w:jc w:val="both"/>
      </w:pPr>
    </w:p>
    <w:p w14:paraId="0418B6AE" w14:textId="77777777" w:rsidR="00EA10E0" w:rsidRDefault="00EA10E0" w:rsidP="00AA4A9C">
      <w:pPr>
        <w:jc w:val="both"/>
      </w:pPr>
    </w:p>
    <w:p w14:paraId="4324E80F" w14:textId="77777777" w:rsidR="00EA10E0" w:rsidRDefault="00EA10E0" w:rsidP="00AA4A9C">
      <w:pPr>
        <w:jc w:val="both"/>
      </w:pPr>
    </w:p>
    <w:p w14:paraId="79E75FC9" w14:textId="77777777" w:rsidR="00EA10E0" w:rsidRDefault="00EA10E0" w:rsidP="00AA4A9C">
      <w:pPr>
        <w:jc w:val="both"/>
      </w:pPr>
    </w:p>
    <w:p w14:paraId="3C52A824" w14:textId="77777777" w:rsidR="00EA10E0" w:rsidRDefault="00EA10E0" w:rsidP="00AA4A9C">
      <w:pPr>
        <w:jc w:val="both"/>
      </w:pPr>
    </w:p>
    <w:p w14:paraId="4A094C50" w14:textId="77777777" w:rsidR="00EA10E0" w:rsidRDefault="00EA10E0" w:rsidP="00AA4A9C">
      <w:pPr>
        <w:jc w:val="both"/>
      </w:pPr>
    </w:p>
    <w:p w14:paraId="61C16DBB" w14:textId="77777777" w:rsidR="00EA10E0" w:rsidRDefault="00EA10E0" w:rsidP="00AA4A9C">
      <w:pPr>
        <w:jc w:val="both"/>
      </w:pPr>
    </w:p>
    <w:p w14:paraId="549B8283" w14:textId="77777777" w:rsidR="00EA10E0" w:rsidRDefault="00EA10E0" w:rsidP="00AA4A9C">
      <w:pPr>
        <w:jc w:val="both"/>
      </w:pPr>
    </w:p>
    <w:p w14:paraId="6CEAC4C9" w14:textId="77777777" w:rsidR="00EA10E0" w:rsidRDefault="00EA10E0" w:rsidP="00AA4A9C">
      <w:pPr>
        <w:jc w:val="both"/>
      </w:pPr>
    </w:p>
    <w:p w14:paraId="058C5420" w14:textId="77777777" w:rsidR="00EA10E0" w:rsidRDefault="00EA10E0" w:rsidP="00AA4A9C">
      <w:pPr>
        <w:jc w:val="both"/>
      </w:pPr>
    </w:p>
    <w:p w14:paraId="738401E6" w14:textId="77777777" w:rsidR="00EA10E0" w:rsidRDefault="00EA10E0" w:rsidP="00AA4A9C">
      <w:pPr>
        <w:jc w:val="both"/>
      </w:pPr>
    </w:p>
    <w:p w14:paraId="2A49D030" w14:textId="77777777" w:rsidR="00EA10E0" w:rsidRDefault="00EA10E0" w:rsidP="00AA4A9C">
      <w:pPr>
        <w:jc w:val="both"/>
      </w:pPr>
    </w:p>
    <w:p w14:paraId="6CC4902F" w14:textId="77777777" w:rsidR="00EA10E0" w:rsidRDefault="00EA10E0" w:rsidP="00AA4A9C">
      <w:pPr>
        <w:jc w:val="both"/>
      </w:pPr>
    </w:p>
    <w:p w14:paraId="4BDC579B" w14:textId="77777777" w:rsidR="00EA10E0" w:rsidRDefault="00EA10E0" w:rsidP="00AA4A9C">
      <w:pPr>
        <w:jc w:val="both"/>
      </w:pPr>
    </w:p>
    <w:p w14:paraId="76B8FF1E" w14:textId="447D37DA" w:rsidR="00BD77E6" w:rsidRDefault="00DF3E49" w:rsidP="00B07B5E">
      <w:pPr>
        <w:pStyle w:val="Heading2"/>
        <w:jc w:val="both"/>
      </w:pPr>
      <w:r>
        <w:lastRenderedPageBreak/>
        <w:t>Introduction</w:t>
      </w:r>
    </w:p>
    <w:p w14:paraId="298E553B" w14:textId="395DB77D" w:rsidR="00084EBF" w:rsidRDefault="00040F33" w:rsidP="00B07B5E">
      <w:pPr>
        <w:jc w:val="both"/>
      </w:pPr>
      <w:r>
        <w:t>Since the publication of To Err is Human</w:t>
      </w:r>
      <w:r w:rsidR="00351AED">
        <w:t xml:space="preserve"> </w:t>
      </w:r>
      <w:r w:rsidR="00DA211A">
        <w:fldChar w:fldCharType="begin"/>
      </w:r>
      <w:r w:rsidR="00587919">
        <w:instrText xml:space="preserve"> ADDIN ZOTERO_ITEM CSL_CITATION {"citationID":"QoeucVxw","properties":{"formattedCitation":"(1)","plainCitation":"(1)","noteIndex":0},"citationItems":[{"id":188,"uris":["http://zotero.org/users/local/buuMpNoH/items/YHDZ8KRA"],"uri":["http://zotero.org/users/local/buuMpNoH/items/YHDZ8KRA"],"itemData":{"id":188,"type":"book","title":"To Err is Human: Building a Safer Health System","publisher":"National Academies Press (US)","publisher-place":"Washington (DC)","source":"PubMed","event-place":"Washington (DC)","abstract":"Experts estimate that as many as 98,000 people die in any given year from medical errors that occur in hospitals. That's more than die from motor vehicle accidents, breast cancer, or AIDS--three causes that receive far more public attention. Indeed, more people die annually from medication errors than from workplace injuries. Add the financial cost to the human tragedy, and medical error easily rises to the top ranks of urgent, widespread public problems. To Err Is Human breaks the silence that has surrounded medical errors and their consequence--but not by pointing fingers at caring health care professionals who make honest mistakes. After all, to err is human. Instead, this book sets forth a national agenda--with state and local implications--for reducing medical errors and improving patient safety through the design of a safer health system. This volume reveals the often startling statistics of medical error and the disparity between the incidence of error and public perception of it, given many patients' expectations that the medical profession always performs perfectly. A careful examination is made of how the surrounding forces of legislation, regulation, and market activity influence the quality of care provided by health care organizations and then looks at their handling of medical mistakes. Using a detailed case study, the book reviews the current understanding of why these mistakes happen. A key theme is that legitimate liability concerns discourage reporting of errors--which begs the question, \"How can we learn from our mistakes?\" Balancing regulatory versus market-based initiatives and public versus private efforts, the Institute of Medicine presents wide-ranging recommendations for improving patient safety, in the areas of leadership, improved data collection and analysis, and development of effective systems at the level of direct patient care. To Err Is Human asserts that the problem is not bad people in health care--it is that good people are working in bad systems that need to be made safer. Comprehensive and straightforward, this book offers a clear prescription for raising the level of patient safety in American health care. It also explains how patients themselves can influence the quality of care that they receive once they check into the hospital. This book will be vitally important to federal, state, and local health policy makers and regulators, health professional licensing officials, hospital administrators, medical educators and students, health caregivers, health journalists, patient advocates--as well as patients themselves.  First in a series of publications from the Quality of Health Care in America, a project initiated by the Institute of Medicine","ISBN":"978-0-309-06837-6","call-number":"NBK225182","note":"PMID: 25077248","title-short":"To Err is Human","language":"eng","author":[{"literal":"Institute of Medicine (US) Committee on Quality of Health Care in America"}],"editor":[{"family":"Kohn","given":"Linda T."},{"family":"Corrigan","given":"Janet M."},{"family":"Donaldson","given":"Molla S."}],"issued":{"date-parts":[["2000"]]}}}],"schema":"https://github.com/citation-style-language/schema/raw/master/csl-citation.json"} </w:instrText>
      </w:r>
      <w:r w:rsidR="00DA211A">
        <w:fldChar w:fldCharType="separate"/>
      </w:r>
      <w:r w:rsidR="00DA211A" w:rsidRPr="00351AED">
        <w:rPr>
          <w:rFonts w:ascii="Calibri" w:hAnsi="Calibri"/>
        </w:rPr>
        <w:t>(1)</w:t>
      </w:r>
      <w:r w:rsidR="00DA211A">
        <w:fldChar w:fldCharType="end"/>
      </w:r>
      <w:r>
        <w:t>, patient safety has received growing attention from researchers and policy makers worldwide</w:t>
      </w:r>
      <w:r w:rsidR="00351AED">
        <w:t xml:space="preserve"> </w:t>
      </w:r>
      <w:r w:rsidR="00DA211A">
        <w:fldChar w:fldCharType="begin"/>
      </w:r>
      <w:r w:rsidR="00587919">
        <w:instrText xml:space="preserve"> ADDIN ZOTERO_ITEM CSL_CITATION {"citationID":"zBnH6E9k","properties":{"formattedCitation":"(2)","plainCitation":"(2)","noteIndex":0},"citationItems":[{"id":69,"uris":["http://zotero.org/users/local/buuMpNoH/items/87SKBTM4"],"uri":["http://zotero.org/users/local/buuMpNoH/items/87SKBTM4"],"itemData":{"id":69,"type":"book","title":"World Alliance for Patient Safety : forward programme 2005","publisher":"Geneva : World Health Organization","source":"apps.who.int","ISBN":"978-92-4-159244-4","title-short":"World Alliance for Patient Safety","language":"en","author":[{"family":"WHO","given":""}],"issued":{"date-parts":[["2004"]]}}}],"schema":"https://github.com/citation-style-language/schema/raw/master/csl-citation.json"} </w:instrText>
      </w:r>
      <w:r w:rsidR="00DA211A">
        <w:fldChar w:fldCharType="separate"/>
      </w:r>
      <w:r w:rsidR="00DA211A" w:rsidRPr="00351AED">
        <w:rPr>
          <w:rFonts w:ascii="Calibri" w:hAnsi="Calibri"/>
        </w:rPr>
        <w:t>(2)</w:t>
      </w:r>
      <w:r w:rsidR="00DA211A">
        <w:fldChar w:fldCharType="end"/>
      </w:r>
      <w:r w:rsidR="00182165">
        <w:t>.</w:t>
      </w:r>
      <w:r>
        <w:t xml:space="preserve"> </w:t>
      </w:r>
      <w:r w:rsidR="00182165">
        <w:t>T</w:t>
      </w:r>
      <w:r w:rsidR="005F50F0">
        <w:t>he NHS in England is no exception to this</w:t>
      </w:r>
      <w:r w:rsidR="00182165">
        <w:t xml:space="preserve"> and</w:t>
      </w:r>
      <w:r w:rsidR="00B44FD6">
        <w:t xml:space="preserve"> remains the</w:t>
      </w:r>
      <w:r w:rsidR="005D4E58">
        <w:t xml:space="preserve"> subject of</w:t>
      </w:r>
      <w:r>
        <w:t xml:space="preserve"> numerous reports condemning </w:t>
      </w:r>
      <w:r w:rsidRPr="00EA10E0">
        <w:t>the state of patient safety and highlighting insufficiencies that contribut</w:t>
      </w:r>
      <w:r w:rsidR="009902DE" w:rsidRPr="00EA10E0">
        <w:t>e</w:t>
      </w:r>
      <w:r w:rsidRPr="00EA10E0">
        <w:t xml:space="preserve"> to patient harm</w:t>
      </w:r>
      <w:r w:rsidR="00351AED" w:rsidRPr="00EA10E0">
        <w:t xml:space="preserve"> </w:t>
      </w:r>
      <w:r w:rsidR="00BC3F1D" w:rsidRPr="00EA10E0">
        <w:fldChar w:fldCharType="begin"/>
      </w:r>
      <w:r w:rsidR="00F83678" w:rsidRPr="00EA10E0">
        <w:instrText xml:space="preserve"> ADDIN ZOTERO_ITEM CSL_CITATION {"citationID":"MCqC708M","properties":{"formattedCitation":"(3\\uc0\\u8211{}5)","plainCitation":"(3–5)","noteIndex":0},"citationItems":[{"id":197,"uris":["http://zotero.org/users/local/buuMpNoH/items/KCW3EM7E"],"uri":["http://zotero.org/users/local/buuMpNoH/items/KCW3EM7E"],"itemData":{"id":197,"type":"report","title":"Better Births: Improving outcomes of maternity services in England – A Five Year Forward View for maternity care","author":[{"family":"NHS England","given":""}],"issued":{"date-parts":[["2016"]]}}},{"id":196,"uris":["http://zotero.org/users/local/buuMpNoH/items/SZ3JU27D"],"uri":["http://zotero.org/users/local/buuMpNoH/items/SZ3JU27D"],"itemData":{"id":196,"type":"book","title":"Report of the Mid Staffordshire NHS Foundation Trust Public Inquiry - Executive Summary.","publisher":"H.M.S.O.","publisher-place":"London","source":"Open WorldCat","event-place":"London","ISBN":"978-0-10-298147-6","note":"OCLC: 1036233906","language":"en","author":[{"family":"Francis","given":"Rohin"}],"issued":{"date-parts":[["0000"]],"season":"uuuu"}}},{"id":207,"uris":["http://zotero.org/users/local/buuMpNoH/items/DGTUPNUH"],"uri":["http://zotero.org/users/local/buuMpNoH/items/DGTUPNUH"],"itemData":{"id":207,"type":"report","title":"A promise to learn – a commitment to act – Improving the Safety of Patients in England","page":"46","source":"Zotero","language":"en","author":[{"family":"National Advisory Group on the Safety of Patients in England","given":""}],"issued":{"date-parts":[["2013"]]}}}],"schema":"https://github.com/citation-style-language/schema/raw/master/csl-citation.json"} </w:instrText>
      </w:r>
      <w:r w:rsidR="00BC3F1D" w:rsidRPr="00EA10E0">
        <w:fldChar w:fldCharType="separate"/>
      </w:r>
      <w:r w:rsidR="00F83678" w:rsidRPr="00EA10E0">
        <w:rPr>
          <w:rFonts w:ascii="Calibri" w:hAnsi="Calibri" w:cs="Times New Roman"/>
          <w:szCs w:val="24"/>
        </w:rPr>
        <w:t>(3–5)</w:t>
      </w:r>
      <w:r w:rsidR="00BC3F1D" w:rsidRPr="00EA10E0">
        <w:fldChar w:fldCharType="end"/>
      </w:r>
      <w:r w:rsidR="00485DF6" w:rsidRPr="00EA10E0">
        <w:t xml:space="preserve">. </w:t>
      </w:r>
      <w:r w:rsidR="002D77C8" w:rsidRPr="00EA10E0">
        <w:t>Evidence suggests that one in ten patients come to harm as a result of healthcare, and almost half are considered avoidable</w:t>
      </w:r>
      <w:r w:rsidR="001311C1" w:rsidRPr="00EA10E0">
        <w:t xml:space="preserve"> </w:t>
      </w:r>
      <w:r w:rsidR="00587919" w:rsidRPr="00EA10E0">
        <w:fldChar w:fldCharType="begin"/>
      </w:r>
      <w:r w:rsidR="00587919" w:rsidRPr="00EA10E0">
        <w:instrText xml:space="preserve"> ADDIN ZOTERO_ITEM CSL_CITATION {"citationID":"yhu26OmJ","properties":{"formattedCitation":"(6)","plainCitation":"(6)","noteIndex":0},"citationItems":[{"id":278,"uris":["http://zotero.org/users/local/buuMpNoH/items/JIS3WFU2"],"uri":["http://zotero.org/users/local/buuMpNoH/items/JIS3WFU2"],"itemData":{"id":278,"type":"article-journal","title":"The incidence and nature of in-hospital adverse events: a systematic review","container-title":"BMJ Quality &amp; Safety","page":"216-223","volume":"17","issue":"3","source":"qualitysafety.bmj.com","abstract":"Introduction: Adverse events in hospitals constitute a serious problem with grave consequences. Many studies have been conducted to gain an insight into this problem, but a general overview of the data is lacking. We performed a systematic review of the literature on in-hospital adverse events.\nMethods: A formal search of Embase, Cochrane and Medline was performed. Studies were reviewed independently for methodology, inclusion and exclusion criteria and endpoints. Primary endpoints were incidence of in-hospital adverse events and percentage of preventability. Secondary endpoints were adverse event outcome and subdivision by provider of care, location and type of event.\nResults: Eight studies including a total of 74 485 patient records were selected. The median overall incidence of in-hospital adverse events was 9.2%, with a median percentage of preventability of 43.5%. More than half (56.3%) of patients experienced no or minor disability, whereas 7.4% of events were lethal. Operation- (39.6%) and medication-related (15.1%) events constituted the majority. We present a summary of evidence-based interventions aimed at these categories of events.\nConclusions: Adverse events during hospital admission affect nearly one out of 10 patients. A substantial part of these events are preventable. Since a large proportion of the in-hospital events are operation- or drug-related, interventions aimed at preventing these events have the potential to make a substantial difference.","DOI":"10.1136/qshc.2007.023622","ISSN":"2044-5415, 2044-5423","title-short":"The incidence and nature of in-hospital adverse events","language":"en","author":[{"family":"Vries","given":"E. N.","dropping-particle":"de"},{"family":"Ramrattan","given":"M. A."},{"family":"Smorenburg","given":"S. M."},{"family":"Gouma","given":"D. J."},{"family":"Boermeester","given":"M. A."}],"issued":{"date-parts":[["2008",6,1]]}}}],"schema":"https://github.com/citation-style-language/schema/raw/master/csl-citation.json"} </w:instrText>
      </w:r>
      <w:r w:rsidR="00587919" w:rsidRPr="00EA10E0">
        <w:fldChar w:fldCharType="separate"/>
      </w:r>
      <w:r w:rsidR="00587919" w:rsidRPr="00EA10E0">
        <w:rPr>
          <w:rFonts w:ascii="Calibri" w:hAnsi="Calibri"/>
        </w:rPr>
        <w:t>(6)</w:t>
      </w:r>
      <w:r w:rsidR="00587919" w:rsidRPr="00EA10E0">
        <w:fldChar w:fldCharType="end"/>
      </w:r>
      <w:r w:rsidR="002D77C8" w:rsidRPr="00EA10E0">
        <w:t xml:space="preserve">. </w:t>
      </w:r>
      <w:r w:rsidR="00485DF6" w:rsidRPr="00EA10E0">
        <w:t>H</w:t>
      </w:r>
      <w:r w:rsidR="0045172E" w:rsidRPr="00EA10E0">
        <w:t xml:space="preserve">owever, </w:t>
      </w:r>
      <w:r w:rsidR="00556CB9" w:rsidRPr="00EA10E0">
        <w:t>understanding of</w:t>
      </w:r>
      <w:r w:rsidR="00041806" w:rsidRPr="00EA10E0">
        <w:t xml:space="preserve"> staff s</w:t>
      </w:r>
      <w:r w:rsidR="0045172E" w:rsidRPr="00EA10E0">
        <w:t xml:space="preserve">afety </w:t>
      </w:r>
      <w:r w:rsidR="00556CB9" w:rsidRPr="00EA10E0">
        <w:t>is</w:t>
      </w:r>
      <w:r w:rsidR="0045172E" w:rsidRPr="00EA10E0">
        <w:t xml:space="preserve"> far more limited</w:t>
      </w:r>
      <w:r w:rsidR="00C7748D" w:rsidRPr="00EA10E0">
        <w:t xml:space="preserve"> </w:t>
      </w:r>
      <w:r w:rsidR="004F2A78" w:rsidRPr="00EA10E0">
        <w:fldChar w:fldCharType="begin"/>
      </w:r>
      <w:r w:rsidR="00587919" w:rsidRPr="00EA10E0">
        <w:instrText xml:space="preserve"> ADDIN ZOTERO_ITEM CSL_CITATION {"citationID":"a2ed7usu765","properties":{"formattedCitation":"(7)","plainCitation":"(7)","noteIndex":0},"citationItems":[{"id":74,"uris":["http://zotero.org/users/local/buuMpNoH/items/HXRQCGJU"],"uri":["http://zotero.org/users/local/buuMpNoH/items/HXRQCGJU"],"itemData":{"id":74,"type":"article-journal","title":"Healthcare professionals' perspectives on working conditions, leadership, and safety climate: a cross-sectional study","container-title":"BMC health services research","page":"53","volume":"19","issue":"1","source":"PubMed","abstract":"BACKGROUND: Promoting patient and occupational safety are two key challenges for hospitals. When aiming to improve these two outcomes synergistically, psychosocial working conditions, leadership by hospital management and supervisors, and perceptions of patient and occupational safety climate have to be considered. Recent studies have shown that these key topics are interrelated and form a critical foundation for promoting patient and occupational safety in hospitals. So far, these topics have mainly been studied independently from each other. The present study investigated hospital staffs' perceptions of four different topics: (1) psychosocial working conditions, (2) leadership, (3) patient safety climate, and (4) occupational safety climate. We present results from a survey in two German university hospitals aiming to detect differences between nurses and physicians.\nMETHODS: We performed a cross-sectional study using a standardized paper-based questionnaire. The survey was conducted with nurses and physicians to assess the four topics. The instruments mainly consisted of scales of the German version of the COPSOQ (Copenhagen Psychosocial Questionnaire), one scale of the Copenhagen Burnout Inventory (CBI), scales to assess leadership and transformational leadership, scales to assess patient safety climate using the Hospital Survey on Patient Safety Culture (HSPSC), and analogous items to assess occupational safety climate.\nRESULTS: A total of 995 completed questionnaires out of 2512 distributed questionnaires were returned anonymously. The overall response rate was 39.6%. The sample consisted of 381 physicians and 567 nurses. We found various differences with regard to the four topics. In most of the COPSOQ and the HSPSC-scales, physicians rated psychosocial working conditions and patient safety climate more positively than nurses. With regard to occupational safety, nurses indicated higher occupational risks than physicians.\nCONCLUSIONS: The WorkSafeMed study combined the assessment of the four topics psychosocial working conditions, leadership, patient safety climate, and occupational safety climate in hospitals. Looking at the four topics provides an overview of where improvements in hospitals may be needed for nurses and physicians. Based on these results, improvements in working conditions, patient safety climate, and occupational safety climate are required for health care professionals in German university hospitals - especially for nurses.","DOI":"10.1186/s12913-018-3862-7","ISSN":"1472-6963","note":"PMID: 30665401\nPMCID: PMC6341698","title-short":"Healthcare professionals' perspectives on working conditions, leadership, and safety climate","journalAbbreviation":"BMC Health Serv Res","language":"eng","author":[{"family":"Wagner","given":"Anke"},{"family":"Rieger","given":"Monika A."},{"family":"Manser","given":"Tanja"},{"family":"Sturm","given":"Heidrun"},{"family":"Hardt","given":"Juliane"},{"family":"Martus","given":"Peter"},{"family":"Lessing","given":"Constanze"},{"family":"Hammer","given":"Antje"},{"literal":"WorkSafeMed Consortium"}],"issued":{"date-parts":[["2019",1,21]]}}}],"schema":"https://github.com/citation-style-language/schema/raw/master/csl-citation.json"} </w:instrText>
      </w:r>
      <w:r w:rsidR="004F2A78" w:rsidRPr="00EA10E0">
        <w:fldChar w:fldCharType="separate"/>
      </w:r>
      <w:r w:rsidR="00587919" w:rsidRPr="00EA10E0">
        <w:rPr>
          <w:rFonts w:ascii="Calibri" w:hAnsi="Calibri"/>
        </w:rPr>
        <w:t>(7)</w:t>
      </w:r>
      <w:r w:rsidR="004F2A78" w:rsidRPr="00EA10E0">
        <w:fldChar w:fldCharType="end"/>
      </w:r>
      <w:r w:rsidR="00041806" w:rsidRPr="00EA10E0">
        <w:t>. Staff safety is pertinent in the current climate within the NHS, which is</w:t>
      </w:r>
      <w:r w:rsidR="0045172E" w:rsidRPr="00EA10E0">
        <w:t xml:space="preserve"> facing a growing shortage of </w:t>
      </w:r>
      <w:r w:rsidR="008818B5" w:rsidRPr="00EA10E0">
        <w:t xml:space="preserve">overall </w:t>
      </w:r>
      <w:r w:rsidR="0045172E" w:rsidRPr="00EA10E0">
        <w:t>staff</w:t>
      </w:r>
      <w:r w:rsidR="00281AF7" w:rsidRPr="00EA10E0">
        <w:t xml:space="preserve"> </w:t>
      </w:r>
      <w:r w:rsidR="004F2A78" w:rsidRPr="00EA10E0">
        <w:fldChar w:fldCharType="begin"/>
      </w:r>
      <w:r w:rsidR="00587919" w:rsidRPr="00EA10E0">
        <w:instrText xml:space="preserve"> ADDIN ZOTERO_ITEM CSL_CITATION {"citationID":"a1rva4jqnuj","properties":{"formattedCitation":"(8,9)","plainCitation":"(8,9)","noteIndex":0},"citationItems":[{"id":78,"uris":["http://zotero.org/users/local/buuMpNoH/items/T5TUC3MD"],"uri":["http://zotero.org/users/local/buuMpNoH/items/T5TUC3MD"],"itemData":{"id":78,"type":"article-journal","title":"David Oliver: Falling immigration could destroy the NHS","container-title":"BMJ (Clinical research ed.)","page":"k5308","volume":"364","source":"PubMed","DOI":"10.1136/bmj.k5308","ISSN":"1756-1833","note":"PMID: 30602552","title-short":"David Oliver","journalAbbreviation":"BMJ","language":"eng","author":[{"family":"Oliver","given":"David"}],"issued":{"date-parts":[["2019",1,2]]}}},{"id":80,"uris":["http://zotero.org/users/local/buuMpNoH/items/KRGVASRR"],"uri":["http://zotero.org/users/local/buuMpNoH/items/KRGVASRR"],"itemData":{"id":80,"type":"article-journal","title":"\"A wealth of knowledge\": A survey of the employment experiences of older nurses and midwives in the NHS","container-title":"International Journal of Nursing Studies","page":"977-985","volume":"46","issue":"7","source":"PubMed","abstract":"BACKGROUND: The United Kingdom's National Health Service workforce is ageing, and the specific needs of this sector of its workforce need to be addressed. Nursing and midwifery shortage is a worldwide issue, and with increasing demands for care the retention of older nurses and midwives is crucial.\nOBJECTIVES: To report on the employment experiences of nurses and midwives with a particular focus on issues relating to age, ethnicity, ill-health and disability.\nDESIGN: The postal survey was developed following a literature review and analysis of National Health Service and Government policy documents.\nSETTINGS: This was a UK-wide survey of nurses and midwives working in National Health Service Trusts and Primary Care Trusts.\nPARTICIPANTS/METHODS: A postal survey of nurses and midwives was undertaken between May and December 2005. National Health Service Trusts and Primary Care Trusts (n=44) identified as having policies relevant to the study were contacted regarding the procedure for seeking research governance approval. Thirteen National Health Service Trusts and Primary Care Trusts participated, with 2610 surveys distributed; 510 surveys were returned (20% response rate).\nRESULTS: Nurses and midwives aged 50 years and over had undertaken fewer Continuing Professional Development activities than nurses and midwives under 50. Whilst not related to age, the study also found that 20% of the survey sample reported experiencing some form of discrimination. Nurses and midwives did not differ on either quality of life or psychological health using standard instruments. Having a disability did not lead to greater psychological morbidity but did have a negative effect on quality of life. Having a work-related illness had a negative impact on both quality of life and psychological morbidity. In relation to ethnicity, black nurses and midwives reported lower psychological morbidity than other ethnic groups; that is, they enjoyed a higher level of mental well-being.\nCONCLUSION: The nursing and midwifery workforce is ageing worldwide with a significant proportion now approaching, or having already reached, potential retirement age. With the recent introduction of the age legislation the working lives of older nurses and midwives in the National Health Service have never been more relevant. Whilst access to Continuing Professional Development is pertinent to the retention of nurses and midwives of all ages, in this study, older nurses reported less access than younger nurses.","DOI":"10.1016/j.ijnurstu.2008.07.008","ISSN":"1873-491X","note":"PMID: 18789438","title-short":"A wealth of knowledge","journalAbbreviation":"Int J Nurs Stud","language":"eng","author":[{"family":"Wray","given":"Jane"},{"family":"Aspland","given":"Jo"},{"family":"Gibson","given":"Helen"},{"family":"Stimpson","given":"Anne"},{"family":"Watson","given":"Roger"}],"issued":{"date-parts":[["2009",7]]}}}],"schema":"https://github.com/citation-style-language/schema/raw/master/csl-citation.json"} </w:instrText>
      </w:r>
      <w:r w:rsidR="004F2A78" w:rsidRPr="00EA10E0">
        <w:fldChar w:fldCharType="separate"/>
      </w:r>
      <w:r w:rsidR="00587919" w:rsidRPr="00EA10E0">
        <w:rPr>
          <w:rFonts w:ascii="Calibri" w:hAnsi="Calibri"/>
        </w:rPr>
        <w:t>(8,9)</w:t>
      </w:r>
      <w:r w:rsidR="004F2A78" w:rsidRPr="00EA10E0">
        <w:fldChar w:fldCharType="end"/>
      </w:r>
      <w:r w:rsidR="005A7F28" w:rsidRPr="00EA10E0">
        <w:t>,</w:t>
      </w:r>
      <w:r w:rsidR="0045172E" w:rsidRPr="00EA10E0">
        <w:t xml:space="preserve"> and </w:t>
      </w:r>
      <w:r w:rsidRPr="00EA10E0">
        <w:t>registered</w:t>
      </w:r>
      <w:r w:rsidR="0045172E" w:rsidRPr="00EA10E0">
        <w:t xml:space="preserve"> nurses in particular</w:t>
      </w:r>
      <w:r w:rsidR="00C7748D" w:rsidRPr="00EA10E0">
        <w:t xml:space="preserve"> </w:t>
      </w:r>
      <w:r w:rsidR="004F2A78" w:rsidRPr="00EA10E0">
        <w:fldChar w:fldCharType="begin"/>
      </w:r>
      <w:r w:rsidR="00587919" w:rsidRPr="00EA10E0">
        <w:instrText xml:space="preserve"> ADDIN ZOTERO_ITEM CSL_CITATION {"citationID":"g13myzLk","properties":{"formattedCitation":"(10\\uc0\\u8211{}13)","plainCitation":"(10–13)","noteIndex":0},"citationItems":[{"id":76,"uris":["http://zotero.org/users/local/buuMpNoH/items/PFH53GUP"],"uri":["http://zotero.org/users/local/buuMpNoH/items/PFH53GUP"],"itemData":{"id":76,"type":"article-journal","title":"Mind the gap: the extent of the NHS nursing shortage","container-title":"BMJ (Clinical research ed.)","page":"538-541","volume":"325","issue":"7363","source":"PubMed","ISSN":"1756-1833","note":"PMID: 12217997\nPMCID: PMC1124061","title-short":"Mind the gap","journalAbbreviation":"BMJ","language":"eng","author":[{"family":"Finlayson","given":"Belinda"},{"family":"Dixon","given":"Jennifer"},{"family":"Meadows","given":"Sandra"},{"family":"Blair","given":"George"}],"issued":{"date-parts":[["2002",9,7]]}}},{"id":139,"uris":["http://zotero.org/users/local/buuMpNoH/items/UF5HPX9X"],"uri":["http://zotero.org/users/local/buuMpNoH/items/UF5HPX9X"],"itemData":{"id":139,"type":"article-journal","title":"The global nursing faculty shortage: status and solutions for change","container-title":"Journal of Nursing Scholarship: An Official Publication of Sigma Theta Tau International Honor Society of Nursing","page":"317-326","volume":"45","issue":"3","source":"PubMed","abstract":"BACKGROUND: In addition to a global shortage of nurses, there is also a shortage of academically qualified faculty available to teach in schools of nursing.\nMETHODS: A systematic review examined proposed solutions to the global shortage of nursing faculty. Metasynthesis was used to compare and critically appraise strategies offered for solving or ameliorating the global nursing faculty shortage by premier nursing organizations.\nFINDINGS: 181 recommendations in 62 publications were categorized into eight major themed solutions, including centralizing data management, international collaboration in nursing research, and increased funding for full-time faculty positions in nursing programs.\nDISCUSSION: The nursing faculty shortage is due to a confluence of factors, including the global migration of nurses, a seeming persistent devaluation of faculty by academic programs, disincentives, and an overall reduction in full-time equivalent faculty positions.\nCONCLUSIONS: Results point to a needed change in direction and approach to solving the nursing faculty shortage. By designing new education models that fit global healthcare needs and pooling teaching resources, designing and using the same databases across organizations to track and project faculty needs, and collaborating between schools and businesses to create mutually beneficial agreements for services, nursing faculty capacity can be enhanced, and nursing's capacity to meet global healthcare needs can be expanded.\nCLINICAL RELEVANCE: The results of this systematic review can be used as a rubric for the design and development of strategies to end the nursing faculty shortage and expand global nursing capacity.","DOI":"10.1111/jnu.12030","ISSN":"1547-5069","note":"PMID: 23895289","title-short":"The global nursing faculty shortage","journalAbbreviation":"J Nurs Scholarsh","language":"eng","author":[{"family":"Nardi","given":"Deena A."},{"family":"Gyurko","given":"Charlene C."}],"issued":{"date-parts":[["2013",9]]}}},{"id":141,"uris":["http://zotero.org/users/local/buuMpNoH/items/W4UTKQ5J"],"uri":["http://zotero.org/users/local/buuMpNoH/items/W4UTKQ5J"],"itemData":{"id":141,"type":"article-journal","title":"The nursing shortage in the United States of America: an integrative review of the literature","container-title":"Journal of Advanced Nursing","page":"335-343","volume":"43","issue":"4","source":"PubMed","abstract":"AIM: The aims of this paper are to review the literature to determine what factors are contributing to the nursing shortage in the United States of America (USA) and discuss possible solutions to this current and future nursing shortage.\nBACKGROUND: The need for nurses is often depicted as cyclical in nature. Throughout history, the USA has experienced a series of nursing surpluses and shortages. However, the current shortage has been characterized as being unlike those experienced in the past. Trends of an ageing Registered Nurse (RN) workforce and limited supply to fill the impending vacancies are some of the unique aspects that bring a new dimension to an old problem. Today's nursing shortage will not be resolved by simply returning to the solutions of yesteryear, and strategies to reduce its impact will have to be more creative and focus on the long-term.\nMETHODS: Integrative literature review of published literature on the current nursing shortage in the USA from 1999 to 2001.\nDISCUSSION: Four main areas were identified as the major contributors to the nursing shortage in the USA: the ageing RN workforce; declining enrollment; the changing work climate; and the poor image of nursing. Solutions to the shortage followed similar themes to the contributing factors and encompassed four main areas: exploring recruitment efforts; exploring retainment efforts; improving the image of nursing; and supporting legislation that helps to rectify the shortage.\nCONCLUSION: There is firm evidence that the USA amidst a nursing shortage. Much is known about the many contributing factors but now nurses need to become proactive to help secure the future of their workforce. By forming partnerships within the profession and with other influential parties, nurses can be in the forefront of resolving their workforce issues.","ISSN":"0309-2402","note":"PMID: 12887349","title-short":"The nursing shortage in the United States of America","journalAbbreviation":"J Adv Nurs","language":"eng","author":[{"family":"Janiszewski Goodin","given":"Heather"}],"issued":{"date-parts":[["2003",8]]}}},{"id":143,"uris":["http://zotero.org/users/local/buuMpNoH/items/PE6TTINZ"],"uri":["http://zotero.org/users/local/buuMpNoH/items/PE6TTINZ"],"itemData":{"id":143,"type":"article-journal","title":"Systematic review on the relationship between the nursing shortage and job satisfaction, stress and burnout levels among nurses in oncology/haematology settings","container-title":"International Journal of Evidence-Based Healthcare","page":"126-141","volume":"10","issue":"2","source":"PubMed","abstract":"AIM: To establish the best available evidence regarding the relationship between the nursing shortage and nurses' job satisfaction, stress and burnout levels in oncology/haematology settings.\nMETHODS: Electronic databases (CINAHL, Medline, Scopus, ScienceDirect, PsycInfo, PsycArticles, Web of Science, The Cochrane Library, Proquest and Mednar) were searched using a three-step strategy in order to identify published and unpublished studies conducted between 1990 and 2010. Grey literature was excluded in the review. The identified studies were evaluated using standardised critical appraisal instruments from the Joanna Briggs Institute-Meta Analysis of Statistics Assessment and Review Instrument (JBI-MAStARI). A total of seven descriptive and descriptive-correlational studies published in English were included and data were presented in a narrative summary.\nRESULTS: Findings revealed a positive bidirectional relationship between the nursing shortage and oncology registered nurses' (RNs') job dissatisfaction, stress and burnout. The extent of the job dissatisfaction, stress and burnout experienced by the oncology RNs and their perception of staffing inadequacy differed according to their demography and work settings. Particularly, nurses who had higher qualifications and positions, who worked full-time and who worked in inpatient settings and non-Magnet hospitals were more likely to attribute staffing inadequacy as one of the main contributing factors for their job dissatisfaction, stress and burnout. This led to a rise in the number of oncology RNs leaving the speciality.\nCONCLUSION: Within the constraints of the study and the few quality papers available, it appears that oncology RNs who worked in substandard staffing units often express job dissatisfaction, stress and burnout, which prompt them to seek new employment out of the oncology specialty. This entails a pressing need for organisations to ensure sufficient staffing in oncology/haematology settings, in order to ensure that quality patient care is provided. Limited studies that examine the relationship between the nursing shortage and oncology RNs' stress and burnout have been conducted. Also, no studies in the Asian context have previously been conducted.\nIMPLICATIONS FOR PRACTICE: Organizations need to customize their strategies for the recruitment and retention of oncology nurses. The strategies should take into consideration the specific demographic characteristics of oncology nurses or those of work settings that are experiencing staffing inadequacy and negative nursing outcomes. The strategies should also aim to replicate features of other institutions that are attractive to oncology nurses, and also include training that help oncology nurses better manage their emotions.\nIMPLICATIONS FOR RESEARCH: Future research needs to examine the relationship between the nursing shortage and oncology nurses' job satisfaction, stress and burnout in bone marrow transplant units, paediatric oncology settings and Asian oncology settings. The characteristics of oncology nurses or workplaces that are more likely to experience negative nursing outcomes due the nursing shortage should also be identified.","DOI":"10.1111/j.1744-1609.2012.00271.x","ISSN":"1744-1609","note":"PMID: 22672602","journalAbbreviation":"Int J Evid Based Healthc","language":"eng","author":[{"family":"Toh","given":"Shir Gi"},{"family":"Ang","given":"Emily"},{"family":"Devi","given":"M. Kamala"}],"issued":{"date-parts":[["2012",6]]}}}],"schema":"https://github.com/citation-style-language/schema/raw/master/csl-citation.json"} </w:instrText>
      </w:r>
      <w:r w:rsidR="004F2A78" w:rsidRPr="00EA10E0">
        <w:fldChar w:fldCharType="separate"/>
      </w:r>
      <w:r w:rsidR="00587919" w:rsidRPr="00EA10E0">
        <w:rPr>
          <w:rFonts w:ascii="Calibri" w:hAnsi="Calibri" w:cs="Times New Roman"/>
          <w:szCs w:val="24"/>
        </w:rPr>
        <w:t>(10–13)</w:t>
      </w:r>
      <w:r w:rsidR="004F2A78" w:rsidRPr="00EA10E0">
        <w:fldChar w:fldCharType="end"/>
      </w:r>
      <w:r w:rsidR="00041806" w:rsidRPr="00EA10E0">
        <w:t>.</w:t>
      </w:r>
      <w:r w:rsidR="00C7748D" w:rsidRPr="00EA10E0">
        <w:t xml:space="preserve"> </w:t>
      </w:r>
      <w:r w:rsidR="0073661B" w:rsidRPr="00EA10E0">
        <w:t>Safety measures</w:t>
      </w:r>
      <w:r w:rsidR="008818B5" w:rsidRPr="00EA10E0">
        <w:t xml:space="preserve"> within healthcare</w:t>
      </w:r>
      <w:r w:rsidR="0073661B" w:rsidRPr="00EA10E0">
        <w:t xml:space="preserve"> have historically related to the patient</w:t>
      </w:r>
      <w:r w:rsidR="00556CB9" w:rsidRPr="00EA10E0">
        <w:t>.</w:t>
      </w:r>
      <w:r w:rsidR="00C7748D" w:rsidRPr="00EA10E0">
        <w:t xml:space="preserve"> </w:t>
      </w:r>
      <w:r w:rsidR="00D71931" w:rsidRPr="00EA10E0">
        <w:t xml:space="preserve">The collection of data on ‘violence and aggression’ in the Mental Health Safety Thermometer is recognition of this being a common harm experienced in this care setting </w:t>
      </w:r>
      <w:r w:rsidR="00D71931" w:rsidRPr="00EA10E0">
        <w:fldChar w:fldCharType="begin"/>
      </w:r>
      <w:r w:rsidR="00D71931" w:rsidRPr="00EA10E0">
        <w:instrText xml:space="preserve"> ADDIN ZOTERO_ITEM CSL_CITATION {"citationID":"S3uEzgMF","properties":{"formattedCitation":"(14)","plainCitation":"(14)","noteIndex":0},"citationItems":[{"id":248,"uris":["http://zotero.org/users/local/buuMpNoH/items/UD9Q9GEH"],"uri":["http://zotero.org/users/local/buuMpNoH/items/UD9Q9GEH"],"itemData":{"id":248,"type":"article-journal","title":"What is the NHS safety thermometer?","container-title":"Clinical risk","page":"163–169","volume":"18","issue":"5","source":"Google Scholar","author":[{"family":"Power","given":"Maxine"},{"family":"Stewart","given":"Kevin"},{"family":"Brotherton","given":"Ailsa"}],"issued":{"date-parts":[["2012"]]}}}],"schema":"https://github.com/citation-style-language/schema/raw/master/csl-citation.json"} </w:instrText>
      </w:r>
      <w:r w:rsidR="00D71931" w:rsidRPr="00EA10E0">
        <w:fldChar w:fldCharType="separate"/>
      </w:r>
      <w:r w:rsidR="00D71931" w:rsidRPr="00EA10E0">
        <w:rPr>
          <w:rFonts w:ascii="Calibri" w:hAnsi="Calibri"/>
        </w:rPr>
        <w:t>(14)</w:t>
      </w:r>
      <w:r w:rsidR="00D71931" w:rsidRPr="00EA10E0">
        <w:fldChar w:fldCharType="end"/>
      </w:r>
      <w:r w:rsidR="00D71931" w:rsidRPr="00EA10E0">
        <w:t xml:space="preserve">. However, the metric does not distinguish between harm to other patients </w:t>
      </w:r>
      <w:r w:rsidR="0067509D" w:rsidRPr="00EA10E0">
        <w:t>and</w:t>
      </w:r>
      <w:r w:rsidR="00683509" w:rsidRPr="00EA10E0">
        <w:t xml:space="preserve"> harm to</w:t>
      </w:r>
      <w:r w:rsidR="00D71931" w:rsidRPr="00EA10E0">
        <w:t xml:space="preserve"> staff. T</w:t>
      </w:r>
      <w:r w:rsidR="00084EBF" w:rsidRPr="00EA10E0">
        <w:t>here has been some qualitative work that highlights the concept of the absence of threat of harm to staff</w:t>
      </w:r>
      <w:r w:rsidR="00084EBF">
        <w:t xml:space="preserve"> as being essential for nurses to be able to work effectively</w:t>
      </w:r>
      <w:r w:rsidR="00D71931">
        <w:t xml:space="preserve"> in the inpatient psychiatric setting</w:t>
      </w:r>
      <w:r w:rsidR="00084EBF">
        <w:t xml:space="preserve"> </w:t>
      </w:r>
      <w:r w:rsidR="00084EBF">
        <w:fldChar w:fldCharType="begin"/>
      </w:r>
      <w:r w:rsidR="00587919">
        <w:instrText xml:space="preserve"> ADDIN ZOTERO_ITEM CSL_CITATION {"citationID":"anag7np6dq","properties":{"formattedCitation":"(15)","plainCitation":"(15)","noteIndex":0},"citationItems":[{"id":122,"uris":["http://zotero.org/users/local/buuMpNoH/items/4ZIT7HP7"],"uri":["http://zotero.org/users/local/buuMpNoH/items/4ZIT7HP7"],"itemData":{"id":122,"type":"article-journal","title":"Nursing Staff's Perceptions of Patient Safety in Psychiatric Inpatient Care","container-title":"Perspectives in Psychiatric Care","page":"25-31","volume":"52","issue":"1","source":"PubMed","abstract":"PURPOSE: This study aims to explore nursing staff's perceptions of patient safety in psychiatric inpatient care.\nDESIGN AND METHODS: Nurses were asked to describe their perceptions in semi-structured interviews, and their responses were analyzed by inductive content analysis.\nFINDINGS: Nurses addressed two sets of factors: one related to the experiences of safety and the other related to the implementation of safe care.\nPRACTICE IMPLICATIONS: The views of the nurses contribute to formalization of organizational policies and strategies. In particular, they highlight the importance of continual training for the staff and management, considering patients' views, and treating patients as collaborators in their care.","DOI":"10.1111/ppc.12098","ISSN":"1744-6163","note":"PMID: 25623953","journalAbbreviation":"Perspect Psychiatr Care","language":"eng","author":[{"family":"Kanerva","given":"Anne"},{"family":"Lammintakanen","given":"Johanna"},{"family":"Kivinen","given":"Tuula"}],"issued":{"date-parts":[["2016",1]]}}}],"schema":"https://github.com/citation-style-language/schema/raw/master/csl-citation.json"} </w:instrText>
      </w:r>
      <w:r w:rsidR="00084EBF">
        <w:fldChar w:fldCharType="separate"/>
      </w:r>
      <w:r w:rsidR="00587919" w:rsidRPr="001311C1">
        <w:rPr>
          <w:rFonts w:ascii="Calibri" w:hAnsi="Calibri"/>
        </w:rPr>
        <w:t>(15)</w:t>
      </w:r>
      <w:r w:rsidR="00084EBF">
        <w:fldChar w:fldCharType="end"/>
      </w:r>
      <w:r w:rsidR="00084EBF">
        <w:t xml:space="preserve">, </w:t>
      </w:r>
      <w:r w:rsidR="0067509D">
        <w:t xml:space="preserve">but there is little published research quantifying staff harm and exploring its relationship with staffing. </w:t>
      </w:r>
    </w:p>
    <w:p w14:paraId="78841EC7" w14:textId="67F8C8F5" w:rsidR="00485DF6" w:rsidRDefault="0073661B" w:rsidP="00B07B5E">
      <w:pPr>
        <w:jc w:val="both"/>
      </w:pPr>
      <w:r w:rsidRPr="006A7D67">
        <w:t xml:space="preserve">Of the limited research that is available regarding </w:t>
      </w:r>
      <w:r w:rsidR="00270C47">
        <w:t xml:space="preserve">staff harm and </w:t>
      </w:r>
      <w:r w:rsidRPr="006A7D67">
        <w:t>safety measures, it has been found that feelings of safety correlate with experiences of stress and burnout</w:t>
      </w:r>
      <w:r w:rsidR="00556CB9">
        <w:t xml:space="preserve">. </w:t>
      </w:r>
      <w:r w:rsidR="00485DF6">
        <w:t>Evidence suggests that concern for personal safety is a high stressor and can contribute to burnout</w:t>
      </w:r>
      <w:r w:rsidR="00A37565">
        <w:t xml:space="preserve"> </w:t>
      </w:r>
      <w:r w:rsidR="00A37565">
        <w:fldChar w:fldCharType="begin"/>
      </w:r>
      <w:r w:rsidR="00587919">
        <w:instrText xml:space="preserve"> ADDIN ZOTERO_ITEM CSL_CITATION {"citationID":"aqrenn158p","properties":{"formattedCitation":"(16)","plainCitation":"(16)","noteIndex":0},"citationItems":[{"id":124,"uris":["http://zotero.org/users/local/buuMpNoH/items/U5CDCEM3"],"uri":["http://zotero.org/users/local/buuMpNoH/items/U5CDCEM3"],"itemData":{"id":124,"type":"article-journal","title":"Community mental health nurses in Wales: self-reported stressors and coping strategies","container-title":"Journal of Psychiatric and Mental Health Nursing","page":"523-528","volume":"7","issue":"6","source":"PubMed","abstract":"There is evidence to suggest that community mental health nurses experience stress and burnout related to their work. Previous research has been limited by a number of methodological problems. One of the problems is that studies have tended to have small or unrepresentative samples, and many researchers have only examined mental health nurses as a subset within their research, which limits the generalizability of the findings. The All-Wales Community Mental Health Nurse (CMHN) Stress Study was set up in order to address this issue. The total population of CMHNs in Wales was surveyed (N = 614) and 301 (49%) responded. The questionnaire booklet contained a number of validated instruments to measure stress, burnout, and coping, together with a demographic questionnaire. The demographic questionnaire included three open ended-questions. These questions were asked in order in determine the CMHNs' own views of the sources of stress in the workplace, and to investigate which methods they use to cope. This paper reports the findings from the content analysis of the three questions. The results from the other measures are reported in the companion paper (Edwards et al. 2000). The most frequently cited stressors included perceived workload, excessive paperwork and administration, and a broad spectrum of client-related issues. Coping strategies that CMHNs reported using included peer support, a range of personal strategies such as relaxation, and belief in self and supervision. It appears from the findings that a range of factors such as organizational pressures and factors related to working with patients are important in determining stress levels, and that informal rather than formal support networks are the preferred methods of coping.","ISSN":"1351-0126","note":"PMID: 11933510","title-short":"Community mental health nurses in Wales","journalAbbreviation":"J Psychiatr Ment Health Nurs","language":"eng","author":[{"family":"Burnard","given":"P."},{"family":"Edwards","given":"D."},{"family":"Fothergill","given":"A."},{"family":"Hannigan","given":"B."},{"family":"Coyle","given":"D."}],"issued":{"date-parts":[["2000",12]]}}}],"schema":"https://github.com/citation-style-language/schema/raw/master/csl-citation.json"} </w:instrText>
      </w:r>
      <w:r w:rsidR="00A37565">
        <w:fldChar w:fldCharType="separate"/>
      </w:r>
      <w:r w:rsidR="00587919" w:rsidRPr="001311C1">
        <w:rPr>
          <w:rFonts w:ascii="Calibri" w:hAnsi="Calibri"/>
        </w:rPr>
        <w:t>(16)</w:t>
      </w:r>
      <w:r w:rsidR="00A37565">
        <w:fldChar w:fldCharType="end"/>
      </w:r>
      <w:r w:rsidR="00485DF6">
        <w:t xml:space="preserve">. Given that higher burnout has been linked with staff being more likely to view their work environment as ‘unsafe’ but reduces the likelihood of ‘near misses’ being reported </w:t>
      </w:r>
      <w:r w:rsidR="00485DF6">
        <w:fldChar w:fldCharType="begin"/>
      </w:r>
      <w:r w:rsidR="00587919">
        <w:instrText xml:space="preserve"> ADDIN ZOTERO_ITEM CSL_CITATION {"citationID":"a22f7eisr02","properties":{"formattedCitation":"(17)","plainCitation":"(17)","noteIndex":0},"citationItems":[{"id":126,"uris":["http://zotero.org/users/local/buuMpNoH/items/VQIXTZTI"],"uri":["http://zotero.org/users/local/buuMpNoH/items/VQIXTZTI"],"itemData":{"id":126,"type":"article-journal","title":"Nurse burnout and patient safety outcomes: nurse safety perception versus reporting behavior","container-title":"Western Journal of Nursing Research","page":"560-577","volume":"30","issue":"5","source":"PubMed","abstract":"This article examines the relationship between nurse burnout and patient safety indicators, including both safety perceptions and reporting behavior. Based on the Conservation of Resources model of stress and burnout, it is predicted that burnout will negatively affect both patient safety perceptions and perceived likelihood of reporting events. Nurses from a Veteran's Administration hospital completed the Maslach Burnout Inventory and safety outcomes subset of measures from the Agency for Healthcare Research and Quality Patient Safety Culture measure. After controlling for work-related demographics, multiple regression analysis supported the prediction that burnout was associated with the perception of lower patient safety. Burnout was not associated with event-reporting behavior but was negatively associated with reporting of mistakes that did not lead to adverse events. The findings extend previous research on the relationship between burnout and patient outcomes and offer avenues for future research on how nurse motivation resources are invested in light of their stressful work environment.","DOI":"10.1177/0193945907311322","ISSN":"0193-9459","note":"PMID: 18187408","title-short":"Nurse burnout and patient safety outcomes","journalAbbreviation":"West J Nurs Res","language":"eng","author":[{"family":"Halbesleben","given":"Jonathon R. B."},{"family":"Wakefield","given":"Bonnie J."},{"family":"Wakefield","given":"Douglas S."},{"family":"Cooper","given":"Lynn B."}],"issued":{"date-parts":[["2008",8]]}}}],"schema":"https://github.com/citation-style-language/schema/raw/master/csl-citation.json"} </w:instrText>
      </w:r>
      <w:r w:rsidR="00485DF6">
        <w:fldChar w:fldCharType="separate"/>
      </w:r>
      <w:r w:rsidR="00587919" w:rsidRPr="001311C1">
        <w:rPr>
          <w:rFonts w:ascii="Calibri" w:hAnsi="Calibri"/>
        </w:rPr>
        <w:t>(17)</w:t>
      </w:r>
      <w:r w:rsidR="00485DF6">
        <w:fldChar w:fldCharType="end"/>
      </w:r>
      <w:r w:rsidR="00485DF6">
        <w:t>, staff wellbeing is important in ensuring</w:t>
      </w:r>
      <w:r w:rsidR="00A37565">
        <w:t xml:space="preserve"> both</w:t>
      </w:r>
      <w:r w:rsidR="00485DF6">
        <w:t xml:space="preserve"> an </w:t>
      </w:r>
      <w:r w:rsidR="00A37565">
        <w:t xml:space="preserve">adequate </w:t>
      </w:r>
      <w:r w:rsidR="00485DF6">
        <w:t xml:space="preserve">workforce and being able to accurately capture the state of safety in healthcare. </w:t>
      </w:r>
    </w:p>
    <w:p w14:paraId="15213812" w14:textId="1D0297DC" w:rsidR="0045172E" w:rsidRDefault="00CC745B" w:rsidP="00EB0DE9">
      <w:pPr>
        <w:jc w:val="both"/>
        <w:rPr>
          <w:color w:val="FF0000"/>
        </w:rPr>
      </w:pPr>
      <w:r w:rsidRPr="003C6871">
        <w:t>The NHS currently utilise</w:t>
      </w:r>
      <w:r w:rsidR="001624CC">
        <w:t>s</w:t>
      </w:r>
      <w:r w:rsidRPr="003C6871">
        <w:t xml:space="preserve"> a number of operational databases for adverse events</w:t>
      </w:r>
      <w:r w:rsidR="00A37565">
        <w:t xml:space="preserve"> </w:t>
      </w:r>
      <w:r w:rsidR="0067509D">
        <w:t xml:space="preserve">reporting </w:t>
      </w:r>
      <w:r w:rsidR="00A37565">
        <w:t xml:space="preserve">and </w:t>
      </w:r>
      <w:r w:rsidR="0067509D">
        <w:t xml:space="preserve">management of </w:t>
      </w:r>
      <w:r w:rsidR="00A37565">
        <w:t xml:space="preserve">staffing levels, </w:t>
      </w:r>
      <w:r w:rsidRPr="003C6871">
        <w:t xml:space="preserve">which collate routine </w:t>
      </w:r>
      <w:r w:rsidR="00BA7B35" w:rsidRPr="003C6871">
        <w:t xml:space="preserve">patient </w:t>
      </w:r>
      <w:r w:rsidR="00A37565">
        <w:t>a</w:t>
      </w:r>
      <w:r w:rsidR="00070501">
        <w:t>n</w:t>
      </w:r>
      <w:r w:rsidR="00A37565">
        <w:t xml:space="preserve">d operational </w:t>
      </w:r>
      <w:r w:rsidRPr="003C6871">
        <w:t xml:space="preserve">data that could be used for such purposes. </w:t>
      </w:r>
      <w:r w:rsidR="00635CAE" w:rsidRPr="003C6871">
        <w:t xml:space="preserve">The inherent </w:t>
      </w:r>
      <w:r w:rsidR="002342AB" w:rsidRPr="003C6871">
        <w:t>availability</w:t>
      </w:r>
      <w:r w:rsidR="00635CAE" w:rsidRPr="003C6871">
        <w:t xml:space="preserve"> of </w:t>
      </w:r>
      <w:r w:rsidR="005C4A50" w:rsidRPr="003C6871">
        <w:t>large, routinely collected data</w:t>
      </w:r>
      <w:r w:rsidR="00635CAE" w:rsidRPr="003C6871">
        <w:t>sets</w:t>
      </w:r>
      <w:r w:rsidR="00556CB9">
        <w:t xml:space="preserve"> </w:t>
      </w:r>
      <w:r w:rsidR="004F2A78" w:rsidRPr="003C6871">
        <w:fldChar w:fldCharType="begin"/>
      </w:r>
      <w:r w:rsidR="00587919">
        <w:instrText xml:space="preserve"> ADDIN ZOTERO_ITEM CSL_CITATION {"citationID":"a2i31rfmmam","properties":{"formattedCitation":"(18,19)","plainCitation":"(18,19)","noteIndex":0},"citationItems":[{"id":85,"uris":["http://zotero.org/users/local/buuMpNoH/items/SQDA6FAD"],"uri":["http://zotero.org/users/local/buuMpNoH/items/SQDA6FAD"],"itemData":{"id":85,"type":"article-journal","title":"Challenges in accessing routinely collected data from multiple providers in the UK for primary studies: Managing the morass.","container-title":"International Journal of Population Data Science","volume":"3","issue":"3","source":"ijpds.org","DOI":"10.23889/ijpds.v3i3.432","ISSN":"2399-4908","title-short":"Challenges in accessing routinely collected data from multiple providers in the UK for primary studies","journalAbbreviation":"1","language":"en","author":[{"family":"Lugg-Widger","given":"Fiona V."},{"family":"Angel","given":"Lianna"},{"family":"Cannings-John","given":"Rebecca"},{"family":"Hood","given":"Kerenza"},{"family":"Hughes","given":"Kathryn"},{"family":"Moody","given":"Gwenllian"},{"family":"Robling","given":"Michael"}],"issued":{"date-parts":[["2018",9,12]]}}},{"id":88,"uris":["http://zotero.org/users/local/buuMpNoH/items/KB2IHND8"],"uri":["http://zotero.org/users/local/buuMpNoH/items/KB2IHND8"],"itemData":{"id":88,"type":"article-journal","title":"Monitoring the hepatitis C epidemic in England and evaluating intervention scale-up using routinely collected data","container-title":"Journal of Viral Hepatitis","source":"PubMed","abstract":"In England, 160,000 individuals were estimated to be chronically infected with hepatitis C virus (HCV) in 2005 and the burden of severe HCV-related liver disease has increased steadily for the past 15 years. Direct-acting antiviral treatments can clear infection in most patients, motivating HCV elimination targets. However, the current burden of HCV is unknown and new methods are required to monitor progress. We employed a Bayesian back-calculation approach, combining data on severe HCV-related liver disease and disease progression, to reconstruct historical HCV incidence and estimate current prevalence in England. We explicitly modelled infections occurring in people who inject drugs, the key risk group, allowing information on the size of this population and surveillance data on HCV prevalence to inform recent incidence. We estimated that there were 143,000 chronic infections in 2015 (95% credible interval 123,000-161,000), with 34% and 54% in those with recent and past injecting drug use respectively. Following the planned scale-up of new treatments, chronic infections were predicted to fall to 113,400 (94,900-132,400) by the end of 2018 and to 89,500 (71,300-108,600) by the end of 2020. Numbers developing severe HCV-related liver disease were predicted to fall by at least 24% from 2015 to 2020. Thus, we describe a coherent framework to monitor progress using routinely-collected data, which can be extended to incorporate additional data sources. Planned treatment scale-up is likely to achieve 2020 WHO targets for HCV morbidity, but substantial efforts will be required to ensure that HCV testing and patient engagement are sufficiently high. This article is protected by copyright. All rights reserved.","DOI":"10.1111/jvh.13063","ISSN":"1365-2893","note":"PMID: 30663179","journalAbbreviation":"J. Viral Hepat.","language":"eng","author":[{"family":"Harris","given":"Ross J."},{"family":"Harris","given":"Helen"},{"family":"Mandal","given":"Sema"},{"family":"Ramsay","given":"Mary"},{"family":"Vickerman","given":"Peter"},{"family":"Hickman","given":"Matthew"},{"family":"De Angelis","given":"Daniela"}],"issued":{"date-parts":[["2019",1,21]]}}}],"schema":"https://github.com/citation-style-language/schema/raw/master/csl-citation.json"} </w:instrText>
      </w:r>
      <w:r w:rsidR="004F2A78" w:rsidRPr="003C6871">
        <w:fldChar w:fldCharType="separate"/>
      </w:r>
      <w:r w:rsidR="00587919" w:rsidRPr="001311C1">
        <w:rPr>
          <w:rFonts w:ascii="Calibri" w:hAnsi="Calibri"/>
        </w:rPr>
        <w:t>(18,19)</w:t>
      </w:r>
      <w:r w:rsidR="004F2A78" w:rsidRPr="003C6871">
        <w:fldChar w:fldCharType="end"/>
      </w:r>
      <w:r w:rsidR="002342AB" w:rsidRPr="003C6871">
        <w:t xml:space="preserve"> </w:t>
      </w:r>
      <w:r w:rsidR="00635CAE" w:rsidRPr="003C6871">
        <w:t>alongside the emerging power of</w:t>
      </w:r>
      <w:r w:rsidR="00351AED">
        <w:t xml:space="preserve"> machine learning and knowledge-</w:t>
      </w:r>
      <w:r w:rsidR="00635CAE" w:rsidRPr="003C6871">
        <w:t>driven decision making tools</w:t>
      </w:r>
      <w:r w:rsidR="00556CB9">
        <w:t xml:space="preserve"> </w:t>
      </w:r>
      <w:r w:rsidR="004F2A78" w:rsidRPr="003C6871">
        <w:fldChar w:fldCharType="begin"/>
      </w:r>
      <w:r w:rsidR="00587919">
        <w:instrText xml:space="preserve"> ADDIN ZOTERO_ITEM CSL_CITATION {"citationID":"a1267j439ij","properties":{"formattedCitation":"(20)","plainCitation":"(20)","noteIndex":0},"citationItems":[{"id":90,"uris":["http://zotero.org/users/local/buuMpNoH/items/ZM5MHQAZ"],"uri":["http://zotero.org/users/local/buuMpNoH/items/ZM5MHQAZ"],"itemData":{"id":90,"type":"article-journal","title":"Predicting persistent depressive symptoms in older adults: A machine learning approach to personalised mental healthcare","container-title":"Journal of Affective Disorders","page":"857-860","volume":"246","source":"ScienceDirect","abstract":"Background\nDepression causes significant physical and psychosocial morbidity. Predicting persistence of depressive symptoms could permit targeted prevention, and lessen the burden of depression. Machine learning is a rapidly expanding field, and such approaches offer powerful predictive abilities. We investigated the utility of a machine learning approach to predict the persistence of depressive symptoms in older adults.\nMethod\nBaseline demographic and psychometric data from 284 patients were used to predict the likelihood of older adults having persistent depressive symptoms after 12 months, using a machine learning approach (‘extreme gradient boosting’). Predictive performance was compared to a conventional statistical approach (logistic regression). Data were drawn from the ‘treatment-as-usual’ arm of the CASPER (CollAborative care and active surveillance for Screen-Positive EldeRs with subthreshold depression) trial.\nResults\nPredictive performance was superior using machine learning compared to logistic regression (mean AUC 0.72 vs. 0.67, p &lt; 0.0001). Using machine learning, an average of 89% of those predicted to have PHQ-9 scores above threshold at 12 months actually did, compared to 78% using logistic regression. However, mean negative predictive values were somewhat lower for the machine learning approach (45% vs. 35%).\nLimitations\nA relatively small sample size potentially limited the predictive power of the algorithm. In addition, PHQ-9 scores were used as an indicator of persistent depressive symptoms, and whilst well validated, a clinical interview would have been preferable.\nConclusions\nOverall, our findings support the potential application of machine learning in personalised mental healthcare.","DOI":"10.1016/j.jad.2018.12.095","ISSN":"0165-0327","title-short":"Predicting persistent depressive symptoms in older adults","journalAbbreviation":"Journal of Affective Disorders","author":[{"family":"Hatton","given":"Christopher M."},{"family":"Paton","given":"Lewis W."},{"family":"McMillan","given":"Dean"},{"family":"Cussens","given":"James"},{"family":"Gilbody","given":"Simon"},{"family":"Tiffin","given":"Paul A."}],"issued":{"date-parts":[["2019",3,1]]}}}],"schema":"https://github.com/citation-style-language/schema/raw/master/csl-citation.json"} </w:instrText>
      </w:r>
      <w:r w:rsidR="004F2A78" w:rsidRPr="003C6871">
        <w:fldChar w:fldCharType="separate"/>
      </w:r>
      <w:r w:rsidR="00587919" w:rsidRPr="001311C1">
        <w:rPr>
          <w:rFonts w:ascii="Calibri" w:hAnsi="Calibri"/>
        </w:rPr>
        <w:t>(20)</w:t>
      </w:r>
      <w:r w:rsidR="004F2A78" w:rsidRPr="003C6871">
        <w:fldChar w:fldCharType="end"/>
      </w:r>
      <w:r w:rsidR="001C7175" w:rsidRPr="003C6871">
        <w:t>,</w:t>
      </w:r>
      <w:r w:rsidR="00635CAE" w:rsidRPr="003C6871">
        <w:t xml:space="preserve"> has been championed as a promising </w:t>
      </w:r>
      <w:r w:rsidR="007105A4" w:rsidRPr="003C6871">
        <w:t xml:space="preserve">area </w:t>
      </w:r>
      <w:r w:rsidR="003C6871" w:rsidRPr="003C6871">
        <w:t>for improving health</w:t>
      </w:r>
      <w:r w:rsidR="00635CAE" w:rsidRPr="003C6871">
        <w:t>care services</w:t>
      </w:r>
      <w:r w:rsidR="00556CB9">
        <w:t xml:space="preserve"> </w:t>
      </w:r>
      <w:r w:rsidR="004F2A78" w:rsidRPr="003C6871">
        <w:fldChar w:fldCharType="begin"/>
      </w:r>
      <w:r w:rsidR="00587919">
        <w:instrText xml:space="preserve"> ADDIN ZOTERO_ITEM CSL_CITATION {"citationID":"CqN17npy","properties":{"formattedCitation":"(21,22)","plainCitation":"(21,22)","noteIndex":0},"citationItems":[{"id":93,"uris":["http://zotero.org/users/local/buuMpNoH/items/5WJ67TSE"],"uri":["http://zotero.org/users/local/buuMpNoH/items/5WJ67TSE"],"itemData":{"id":93,"type":"article-journal","title":"Big data and new knowledge in medicine: the thinking, training, and tools needed for a learning health system","container-title":"Health Affairs (Project Hope)","page":"1163-1170","volume":"33","issue":"7","source":"PubMed","abstract":"Big data in medicine--massive quantities of health care data accumulating from patients and populations and the advanced analytics that can give those data meaning--hold the prospect of becoming an engine for the knowledge generation that is necessary to address the extensive unmet information needs of patients, clinicians, administrators, researchers, and health policy makers. This article explores the ways in which big data can be harnessed to advance prediction, performance, discovery, and comparative effectiveness research to address the complexity of patients, populations, and organizations. Incorporating big data and next-generation analytics into clinical and population health research and practice will require not only new data sources but also new thinking, training, and tools. Adequately utilized, these reservoirs of data can be a practically inexhaustible source of knowledge to fuel a learning health care system.","DOI":"10.1377/hlthaff.2014.0053","ISSN":"1544-5208","note":"PMID: 25006142\nPMCID: PMC5459394","title-short":"Big data and new knowledge in medicine","journalAbbreviation":"Health Aff (Millwood)","language":"eng","author":[{"family":"Krumholz","given":"Harlan M."}],"issued":{"date-parts":[["2014",7]]}}},{"id":96,"uris":["http://zotero.org/users/local/buuMpNoH/items/A5FGRG23"],"uri":["http://zotero.org/users/local/buuMpNoH/items/A5FGRG23"],"itemData":{"id":96,"type":"article-journal","title":"Why policymakers should care about “big data” in healthcare","container-title":"Health Policy and Technology","page":"211-216","volume":"7","issue":"2","source":"ScienceDirect","abstract":"The term “big data” has gotten increasing popular attention, and there is growing focus on how such data can be used to measure and improve health and healthcare. Analytic techniques for extracting information from these data have grown vastly more powerful, and they are now broadly available. But for these approaches to be most useful, large amounts of data must be available, and barriers to use should be low. We discuss how “smart cities” are beginning to invest in this area to improve the health of their populations; provide examples around model approaches for making large quantities of data available to researchers and clinicians among other stakeholders; discuss the current state of big data approaches to improve clinical care including specific examples, and then discuss some of the policy issues around and examples of successful regulatory approaches, including deidentification and privacy protection.","DOI":"10.1016/j.hlpt.2018.04.006","ISSN":"2211-8837","journalAbbreviation":"Health Policy and Technology","author":[{"family":"Bates","given":"David W."},{"family":"Heitmueller","given":"Axel"},{"family":"Kakad","given":"Meetali"},{"family":"Saria","given":"Suchi"}],"issued":{"date-parts":[["2018",6,1]]}}}],"schema":"https://github.com/citation-style-language/schema/raw/master/csl-citation.json"} </w:instrText>
      </w:r>
      <w:r w:rsidR="004F2A78" w:rsidRPr="003C6871">
        <w:fldChar w:fldCharType="separate"/>
      </w:r>
      <w:r w:rsidR="00587919" w:rsidRPr="001311C1">
        <w:rPr>
          <w:rFonts w:ascii="Calibri" w:hAnsi="Calibri"/>
        </w:rPr>
        <w:t>(21,22)</w:t>
      </w:r>
      <w:r w:rsidR="004F2A78" w:rsidRPr="003C6871">
        <w:fldChar w:fldCharType="end"/>
      </w:r>
      <w:r w:rsidR="00635CAE" w:rsidRPr="003C6871">
        <w:t>.</w:t>
      </w:r>
      <w:r w:rsidR="003C6871" w:rsidRPr="003C6871">
        <w:t xml:space="preserve"> </w:t>
      </w:r>
      <w:r w:rsidRPr="003C6871">
        <w:t>Indeed, the overlap between patient safety and staffing has been well established</w:t>
      </w:r>
      <w:r w:rsidR="00556CB9">
        <w:t xml:space="preserve"> utilising such datasets </w:t>
      </w:r>
      <w:r w:rsidR="00F72487" w:rsidRPr="003C6871">
        <w:fldChar w:fldCharType="begin"/>
      </w:r>
      <w:r w:rsidR="00587919">
        <w:instrText xml:space="preserve"> ADDIN ZOTERO_ITEM CSL_CITATION {"citationID":"PY1pjN0p","properties":{"formattedCitation":"(23\\uc0\\u8211{}27)","plainCitation":"(23–27)","noteIndex":0},"citationItems":[{"id":133,"uris":["http://zotero.org/users/local/buuMpNoH/items/CR5G6VFH"],"uri":["http://zotero.org/users/local/buuMpNoH/items/CR5G6VFH"],"itemData":{"id":133,"type":"article-journal","title":"Nurse Staffing In Hospitals: Is There A Business Case For Quality?","container-title":"Health Affairs","page":"204-211","volume":"25","issue":"1","source":"healthaffairs.org (Atypon)","abstract":"We construct national estimates of the cost of increasing hospital nurse staffing and associated reductions in days, deaths, and adverse outcomes. Raising the proportion of nursing hours provided by registered nurses (RNs) without increasing total nursing hours is associated with a net reduction in costs. Increasing nursing hours, with or without increasing the proportion of hours provided by RNs, reduces days, adverse outcomes, and patient deaths, but with a net increase in hospital costs of 1.5 percent or less at the staffing levels modeled. Whether or not staffing should be increased depends on the value patients and payers assign to avoided deaths and complications.","DOI":"10.1377/hlthaff.25.1.204","ISSN":"0278-2715","title-short":"Nurse Staffing In Hospitals","journalAbbreviation":"Health Affairs","author":[{"family":"Needleman","given":"Jack"},{"family":"Buerhaus","given":"Peter I."},{"family":"Stewart","given":"Maureen"},{"family":"Zelevinsky","given":"Katya"},{"family":"Mattke","given":"Soeren"}],"issued":{"date-parts":[["2006",1,1]]}}},{"id":130,"uris":["http://zotero.org/users/local/buuMpNoH/items/DX5RBP4G"],"uri":["http://zotero.org/users/local/buuMpNoH/items/DX5RBP4G"],"itemData":{"id":130,"type":"book","title":"Nurse Staffing and Patient Care Quality and Safety","publisher":"Agency for Healthcare Research and Quality (US)","abstract":"From a research tradition in which nurse staffing factors were primarily background variables, the study of nurse staffing and patient outcomes has emerged as a legitimate and strategically crucial field of inquiry. However, despite significant growth in the number and sophistication of studies responding to public policy and provider demand for these findings, results have been inconsistent. This chapter highlights the methodologic challenges inherent in this area of inquiry and explicates how the diversity in measures and units of analyses confound literature synthesis. In the face of myriad pressures to adopt a position for or against mandated nurse-to-patient ratios, the state of the young science does not permit precision in prescribing safe ratios. In fact, it may be concluded that further research is crucial to tease out the nuances in the staffing-outcomes equation. It is essential to advancing the field that future studies replicate, extend, and refine the current body of knowledge, making explicit how characteristics of the workforce, now barely considered (for example, years of experience or professional certification), in addition to the “dose” of the nurse, are linked to processes of care that ultimately result in clinical outcomes (both desirable and adverse). Until then, selected better practices have been noted, with the potential to contribute to pragmatic efforts to improve patient care quality and safety in hospitals.","note":"PMID: 21328775","language":"en","author":[{"family":"Clarke","given":"Sean P."},{"family":"Donaldson","given":"Nancy E."}],"issued":{"date-parts":[["2008",4]]}}},{"id":175,"uris":["http://zotero.org/users/local/buuMpNoH/items/JLD4PPWV"],"uri":["http://zotero.org/users/local/buuMpNoH/items/JLD4PPWV"],"itemData":{"id":175,"type":"article-journal","title":"Mining routinely collected acute data to reveal non-linear relationships between nurse staffing levels and outcomes","container-title":"BMJ Open","page":"e011177","volume":"6","issue":"12","source":"Crossref","abstract":"Objectives: Nursing is a safety critical activity but not easily quantified. This makes the building of predictive staffing models a challenge. The aim of this study was to determine if relationships between registered and non-registered nurse staffing levels and clinical outcomes could be discovered through the mining of routinely collected clinical data. The secondary aim was to examine the feasibility and develop the use of ‘big data’ techniques commonly used in industry for this area of healthcare and examine future uses. Setting: The data were obtained from 1 large acute National Health Service hospital trust in England. Routinely collected physiological, signs and symptom data from a clinical database were extracted, imported and mined alongside a bespoke staffing and outcomes database using Mathmatica V.10. The physiological data consisted of 120 million patient entries over 6 years, the bespoke database consisted of 9 years of daily data on staffing levels and safety factors such as falls. Primary and secondary outcomes: To discover patterns in these data or non-linear relationships that would contribute to modelling. To examine feasibility of this technique in this field.\nResults: After mining, 40 correlations ( p&lt;0.00005) emerged between safety factors, physiological data (such as the presence or absence of nausea) and staffing factors. Several inter-related factors demonstrated step changes where registered nurse availability appeared to relate to physiological parameters or outcomes such as falls and the management of symptoms. Data extraction proved challenging as some commercial databases were not built for extraction of the massive data sets they contain.\nConclusions: The relationship between staffing and outcomes appears to exist. It appears to be non-linear but calculable and a data-driven model appears possible. These findings could be used to build an initial mathematical model for acute staffing which could be further tested.","DOI":"10.1136/bmjopen-2016-011177","ISSN":"2044-6055, 2044-6055","language":"en","author":[{"family":"Leary","given":"Alison"},{"family":"Cook","given":"Rob"},{"family":"Jones","given":"Sarahjane"},{"family":"Smith","given":"Judith"},{"family":"Gough","given":"Malcolm"},{"family":"Maxwell","given":"Elaine"},{"family":"Punshon","given":"Geoffrey"},{"family":"Radford","given":"Mark"}],"issued":{"date-parts":[["2016",12]]}}},{"id":178,"uris":["http://zotero.org/users/local/buuMpNoH/items/BXRP2SA9"],"uri":["http://zotero.org/users/local/buuMpNoH/items/BXRP2SA9"],"itemData":{"id":178,"type":"article-journal","title":"Registered nurse, healthcare support worker, medical staffing levels and mortality in English hospital trusts: a cross-sectional study","container-title":"BMJ Open","page":"e008751","volume":"6","issue":"2","source":"bmjopen.bmj.com","abstract":"Objectives To examine associations between mortality and registered nurse (RN) staffing in English hospital trusts taking account of medical and healthcare support worker (HCSW) staffing.\nSetting Secondary care provided in acute hospital National Health Service (NHS) trusts in England.\nParticipants Two data sets are examined: Administrative data from 137 NHS acute hospital trusts (staffing measured as beds per staff member). A cross-sectional survey of 2917 registered nurses in a subsample of 31 trusts (measured patients per ward nurse).\nOutcome measure Risk-adjusted mortality rates for adult patients (administrative data).\nResults For medical admissions, higher mortality was associated with more occupied beds per RN (RR 1.22, 95% CI 1.04 to 1.43, p=0.02) and per doctor (RR 1.10, 95% CI 1.05 to 1.15, p &lt;0.01) employed by the trust whereas, lower HCSW staffing was associated with lower mortality (RR 0.95, 95% CI 0.91 to 1.00, p=0.04). In multivariable models the relationship was statistically significant for doctors (RR 1.08, 95% CI 1.02 to 1.15, p=0.02) and HCSWs (RR 0.93, 95% CI 0.89 to 0.98, p&lt;01) but not RNs (RR 1.14, 95% CI 0.95 to 1.38, p=0.17). Trusts with an average of ≤6 patients per RN in medical wards had a 20% lower mortality rate compared to trusts with &gt;10 patients per nurse (RR 0.80, 95% CI 0.76 to 0.85, p&lt;0.01). The relationship remained significant in the multivariable model (RR 0.89, 95% CI 0.83 to 0.95, p&lt;0.01). Results for surgical wards/admissions followed a similar pattern but with fewer significant results.\nConclusions Ward-based RN staffing is significantly associated with reduced mortality for medical patients. There is little evidence for beneficial associations with HCSW staffing. Higher doctor staffing levels is associated with reduced mortality. The estimated association between RN staffing and mortality changes when medical and HCSW staffing is considered and depending on whether ward or trust wide staffing levels are considered.","DOI":"10.1136/bmjopen-2015-008751","ISSN":"2044-6055, 2044-6055","note":"PMID: 26861934","title-short":"Registered nurse, healthcare support worker, medical staffing levels and mortality in English hospital trusts","language":"en","author":[{"family":"Griffiths","given":"Peter"},{"family":"Ball","given":"Jane"},{"family":"Murrells","given":"Trevor"},{"family":"Jones","given":"Simon"},{"family":"Rafferty","given":"Anne Marie"}],"issued":{"date-parts":[["2016",1,1]]}}},{"id":183,"uris":["http://zotero.org/users/local/buuMpNoH/items/XSVST7FL"],"uri":["http://zotero.org/users/local/buuMpNoH/items/XSVST7FL"],"itemData":{"id":183,"type":"article-journal","title":"Nurse staffing levels and outcomes – mining the UK national data sets for insight","container-title":"International Journal of Health Care Quality Assurance","page":"235-247","volume":"30","issue":"3","source":"Crossref","abstract":"Purpose – Despite the generation of mass data by the nursing workforce, determining the impact of the contribution to patient safety remains challenging. Several cross-sectional studies have indicated a relationship between staffing and safety. The purpose of this paper is to uncover possible associations and explore if a deeper understanding of relationships between staffing and other factors such as safety could be revealed within routinely collected national data sets.","DOI":"10.1108/IJHCQA-08-2016-0118","ISSN":"0952-6862","language":"en","author":[{"family":"Leary","given":"Alison"},{"family":"Tomai","given":"Barbara"},{"family":"Swift","given":"Adrian"},{"family":"Woodward","given":"Andrew"},{"family":"Hurst","given":"Keith"}],"issued":{"date-parts":[["2017",4,18]]}}}],"schema":"https://github.com/citation-style-language/schema/raw/master/csl-citation.json"} </w:instrText>
      </w:r>
      <w:r w:rsidR="00F72487" w:rsidRPr="003C6871">
        <w:fldChar w:fldCharType="separate"/>
      </w:r>
      <w:r w:rsidR="00587919" w:rsidRPr="001311C1">
        <w:rPr>
          <w:rFonts w:ascii="Calibri" w:hAnsi="Calibri" w:cs="Times New Roman"/>
          <w:szCs w:val="24"/>
        </w:rPr>
        <w:t>(23–27)</w:t>
      </w:r>
      <w:r w:rsidR="00F72487" w:rsidRPr="003C6871">
        <w:fldChar w:fldCharType="end"/>
      </w:r>
      <w:r w:rsidR="00556CB9">
        <w:t>.</w:t>
      </w:r>
      <w:r w:rsidRPr="006A7D67">
        <w:rPr>
          <w:color w:val="FF0000"/>
        </w:rPr>
        <w:t xml:space="preserve"> </w:t>
      </w:r>
    </w:p>
    <w:p w14:paraId="46F0E06D" w14:textId="0C9638FA" w:rsidR="00966724" w:rsidRDefault="00144BBD" w:rsidP="00EB0DE9">
      <w:pPr>
        <w:jc w:val="both"/>
      </w:pPr>
      <w:r w:rsidRPr="007D435D">
        <w:t xml:space="preserve">This study utilises existing data from a large English </w:t>
      </w:r>
      <w:r w:rsidR="00973149" w:rsidRPr="007D435D">
        <w:t>mental h</w:t>
      </w:r>
      <w:r w:rsidRPr="007D435D">
        <w:t>ealth</w:t>
      </w:r>
      <w:r w:rsidR="00973149" w:rsidRPr="007D435D">
        <w:t>care provider of</w:t>
      </w:r>
      <w:r w:rsidRPr="007D435D">
        <w:t xml:space="preserve"> both acute and community services, focusing on the analysis of reported incidents to examine how such data can be used to monitor and predict where staff safety may be at risk.  We examine the extent to which the perceived demand for registered and unregistered nurses, as well as the variations from the ‘</w:t>
      </w:r>
      <w:r w:rsidR="001311C1">
        <w:t xml:space="preserve">clinically </w:t>
      </w:r>
      <w:r w:rsidRPr="007D435D">
        <w:t xml:space="preserve">required’ levels, </w:t>
      </w:r>
      <w:r w:rsidR="00D76A9E" w:rsidRPr="007D435D">
        <w:t>are</w:t>
      </w:r>
      <w:r w:rsidRPr="007D435D">
        <w:t xml:space="preserve"> correlated with increases in staff</w:t>
      </w:r>
      <w:r w:rsidR="00966724" w:rsidRPr="007D435D">
        <w:t xml:space="preserve"> </w:t>
      </w:r>
      <w:r w:rsidRPr="007D435D">
        <w:t>adverse event reporting</w:t>
      </w:r>
      <w:r w:rsidR="00D76A9E" w:rsidRPr="007D435D">
        <w:t>.</w:t>
      </w:r>
      <w:r w:rsidR="00351AED" w:rsidRPr="007D435D">
        <w:t xml:space="preserve"> </w:t>
      </w:r>
      <w:r w:rsidR="00D76A9E" w:rsidRPr="007D435D">
        <w:t>By utili</w:t>
      </w:r>
      <w:r w:rsidR="00351AED" w:rsidRPr="007D435D">
        <w:t>s</w:t>
      </w:r>
      <w:r w:rsidR="00D76A9E" w:rsidRPr="007D435D">
        <w:t xml:space="preserve">ing the clinically-perceived requirements in place of the pre-planned levels the analysis better reflects the </w:t>
      </w:r>
      <w:r w:rsidR="00966724" w:rsidRPr="007D435D">
        <w:t>shift by shift</w:t>
      </w:r>
      <w:r w:rsidR="00D76A9E" w:rsidRPr="007D435D">
        <w:t xml:space="preserve"> requirements. </w:t>
      </w:r>
    </w:p>
    <w:p w14:paraId="25DCA390" w14:textId="70C85F6D" w:rsidR="0050594D" w:rsidRPr="007D435D" w:rsidRDefault="0050594D" w:rsidP="00EB0DE9">
      <w:pPr>
        <w:jc w:val="both"/>
      </w:pPr>
      <w:r w:rsidRPr="00EA10E0">
        <w:t>This study utilise</w:t>
      </w:r>
      <w:r w:rsidR="001311C1" w:rsidRPr="00EA10E0">
        <w:t>s</w:t>
      </w:r>
      <w:r w:rsidRPr="00EA10E0">
        <w:t xml:space="preserve"> anonymised, routinely collected administrative data and therefore was not subject to NHS ethical approval</w:t>
      </w:r>
      <w:r w:rsidR="00B41E61" w:rsidRPr="00EA10E0">
        <w:t xml:space="preserve"> HRA algorithm</w:t>
      </w:r>
      <w:r w:rsidRPr="00EA10E0">
        <w:t xml:space="preserve">. Institutional </w:t>
      </w:r>
      <w:r w:rsidR="00B41E61" w:rsidRPr="00EA10E0">
        <w:t xml:space="preserve">ethical </w:t>
      </w:r>
      <w:r w:rsidRPr="00EA10E0">
        <w:t>approval was sought and granted by the University and access granted by the participating trust’s research and development department following protocol review.</w:t>
      </w:r>
    </w:p>
    <w:p w14:paraId="36789FFD" w14:textId="1B768CC3" w:rsidR="00845CCE" w:rsidRDefault="00845CCE" w:rsidP="007D435D">
      <w:pPr>
        <w:pStyle w:val="Heading2"/>
      </w:pPr>
      <w:r>
        <w:t>Data selection criteria</w:t>
      </w:r>
    </w:p>
    <w:p w14:paraId="55F18E8E" w14:textId="08191EAC" w:rsidR="00B014FB" w:rsidRPr="005B6DA2" w:rsidRDefault="006B3D92">
      <w:pPr>
        <w:jc w:val="both"/>
      </w:pPr>
      <w:r>
        <w:t xml:space="preserve">Two databases were extracted from </w:t>
      </w:r>
      <w:r w:rsidR="005D4E58">
        <w:t>a large English mental health</w:t>
      </w:r>
      <w:r w:rsidR="00070501">
        <w:t>care provider in England providing both acute and community services</w:t>
      </w:r>
      <w:r>
        <w:t xml:space="preserve"> – </w:t>
      </w:r>
      <w:r w:rsidR="009902DE">
        <w:t xml:space="preserve">one containing safety incidents and one containing nurse staffing data. </w:t>
      </w:r>
      <w:r>
        <w:t xml:space="preserve">The </w:t>
      </w:r>
      <w:r w:rsidR="009902DE">
        <w:t>nurse staffing</w:t>
      </w:r>
      <w:r>
        <w:t xml:space="preserve"> dataset comprise</w:t>
      </w:r>
      <w:r w:rsidR="009902DE">
        <w:t>d</w:t>
      </w:r>
      <w:r>
        <w:t xml:space="preserve"> a singl</w:t>
      </w:r>
      <w:r w:rsidR="00A9001A">
        <w:t>e data table detailing the ward-</w:t>
      </w:r>
      <w:r>
        <w:t>level nursing complement on each shift (early, late, and night) by nurse type (registered or unregistered)</w:t>
      </w:r>
      <w:r w:rsidR="006A3839">
        <w:t xml:space="preserve"> specifically for inpatient areas</w:t>
      </w:r>
      <w:r w:rsidR="009902DE">
        <w:t xml:space="preserve">. Additionally, the dataset </w:t>
      </w:r>
      <w:r w:rsidR="00D2782B">
        <w:t>comprised</w:t>
      </w:r>
      <w:r w:rsidR="009902DE">
        <w:t xml:space="preserve"> the ‘planned level’ and </w:t>
      </w:r>
      <w:r w:rsidR="00D2782B">
        <w:t>‘</w:t>
      </w:r>
      <w:r w:rsidR="009902DE">
        <w:t>clinically required level’ of nur</w:t>
      </w:r>
      <w:r w:rsidR="00070501">
        <w:t>se staffing. The planned level wa</w:t>
      </w:r>
      <w:r w:rsidR="009902DE">
        <w:t xml:space="preserve">s determined annually in line with available budgets, </w:t>
      </w:r>
      <w:r w:rsidR="009902DE">
        <w:lastRenderedPageBreak/>
        <w:t xml:space="preserve">whereas the clinically required </w:t>
      </w:r>
      <w:r w:rsidR="00D2782B">
        <w:t>level</w:t>
      </w:r>
      <w:r w:rsidR="009902DE">
        <w:t xml:space="preserve"> </w:t>
      </w:r>
      <w:r w:rsidR="00D2782B">
        <w:t xml:space="preserve">allowed clinical staff to report additional staff requirements in accordance with demand and clinical judgements for safe staffing. The incident reporting </w:t>
      </w:r>
      <w:r w:rsidRPr="00A9001A">
        <w:t>system is a commonly used system</w:t>
      </w:r>
      <w:r w:rsidR="00A9001A" w:rsidRPr="00A9001A">
        <w:t xml:space="preserve"> for reporting adverse events </w:t>
      </w:r>
      <w:r w:rsidRPr="00A9001A">
        <w:t xml:space="preserve">comprising a web-form for data capture and SQL engine for data storage. The data storage </w:t>
      </w:r>
      <w:r w:rsidR="00070501">
        <w:t>element</w:t>
      </w:r>
      <w:r w:rsidRPr="00A9001A">
        <w:t xml:space="preserve"> comprised two key data tables – one detailing the incident (inc</w:t>
      </w:r>
      <w:r w:rsidR="00A9001A" w:rsidRPr="00A9001A">
        <w:t>luding</w:t>
      </w:r>
      <w:r w:rsidRPr="00A9001A">
        <w:t xml:space="preserve"> location, severity, likelihood to repeat, and date) and the other detail</w:t>
      </w:r>
      <w:r w:rsidR="00C93721" w:rsidRPr="00A9001A">
        <w:t>ing those</w:t>
      </w:r>
      <w:r w:rsidRPr="00A9001A">
        <w:t xml:space="preserve"> involved (patient vs staff, victim vs perpetrator vs witness, age).</w:t>
      </w:r>
      <w:r>
        <w:t xml:space="preserve"> </w:t>
      </w:r>
      <w:r w:rsidR="00D2782B">
        <w:t xml:space="preserve">The </w:t>
      </w:r>
      <w:r w:rsidR="00B014FB" w:rsidRPr="005B6DA2">
        <w:t>database was initially aggregated to day and ward level, pooling adverse events to find the total daily rate.</w:t>
      </w:r>
      <w:r w:rsidR="005C4A50" w:rsidRPr="005B6DA2">
        <w:t xml:space="preserve"> </w:t>
      </w:r>
      <w:r w:rsidR="00ED62E1" w:rsidRPr="005B6DA2">
        <w:t xml:space="preserve">This selection was then </w:t>
      </w:r>
      <w:r w:rsidR="00566789" w:rsidRPr="005B6DA2">
        <w:t>aligned</w:t>
      </w:r>
      <w:r w:rsidR="00B014FB" w:rsidRPr="005B6DA2">
        <w:t xml:space="preserve"> </w:t>
      </w:r>
      <w:r w:rsidR="005C4A50" w:rsidRPr="005B6DA2">
        <w:t>with the t</w:t>
      </w:r>
      <w:r w:rsidR="00ED62E1" w:rsidRPr="005B6DA2">
        <w:t>rust</w:t>
      </w:r>
      <w:r w:rsidR="003C6871">
        <w:t>’</w:t>
      </w:r>
      <w:r w:rsidR="00ED62E1" w:rsidRPr="005B6DA2">
        <w:t xml:space="preserve">s staffing database </w:t>
      </w:r>
      <w:r w:rsidR="00B014FB" w:rsidRPr="005B6DA2">
        <w:t>by date and ward ID</w:t>
      </w:r>
      <w:r w:rsidR="00ED62E1" w:rsidRPr="005B6DA2">
        <w:t>.</w:t>
      </w:r>
      <w:r w:rsidR="00B014FB" w:rsidRPr="005B6DA2">
        <w:t xml:space="preserve">   </w:t>
      </w:r>
    </w:p>
    <w:p w14:paraId="01896098" w14:textId="50F510A7" w:rsidR="00BE069D" w:rsidRDefault="006A47DE">
      <w:pPr>
        <w:jc w:val="both"/>
      </w:pPr>
      <w:r w:rsidRPr="005B6DA2">
        <w:t>The co-variates of interest selected f</w:t>
      </w:r>
      <w:r w:rsidR="00B014FB" w:rsidRPr="005B6DA2">
        <w:t xml:space="preserve">rom the staffing database </w:t>
      </w:r>
      <w:r w:rsidRPr="005B6DA2">
        <w:t>were</w:t>
      </w:r>
      <w:r w:rsidR="00B014FB" w:rsidRPr="005B6DA2">
        <w:t xml:space="preserve"> the</w:t>
      </w:r>
      <w:r w:rsidR="004068A6" w:rsidRPr="005B6DA2">
        <w:t xml:space="preserve"> </w:t>
      </w:r>
      <w:r w:rsidR="00114A4C" w:rsidRPr="005B6DA2">
        <w:t>clinically</w:t>
      </w:r>
      <w:r w:rsidR="00114A4C">
        <w:t>-</w:t>
      </w:r>
      <w:r w:rsidR="004068A6" w:rsidRPr="005B6DA2">
        <w:t xml:space="preserve">required </w:t>
      </w:r>
      <w:r w:rsidR="00B014FB" w:rsidRPr="005B6DA2">
        <w:t>staffing level</w:t>
      </w:r>
      <w:r w:rsidR="00F66FE9" w:rsidRPr="005B6DA2">
        <w:t>,</w:t>
      </w:r>
      <w:r w:rsidR="00B014FB" w:rsidRPr="005B6DA2">
        <w:t xml:space="preserve"> and the </w:t>
      </w:r>
      <w:r w:rsidR="00F66FE9" w:rsidRPr="005B6DA2">
        <w:t xml:space="preserve">variation of </w:t>
      </w:r>
      <w:r w:rsidR="005D4E58">
        <w:t xml:space="preserve">actual </w:t>
      </w:r>
      <w:r w:rsidR="00F66FE9" w:rsidRPr="005B6DA2">
        <w:t xml:space="preserve">staffing from the required levels </w:t>
      </w:r>
      <w:r w:rsidR="003C6871">
        <w:t>for each of the three shifts</w:t>
      </w:r>
      <w:r w:rsidR="00F66FE9" w:rsidRPr="005B6DA2">
        <w:t xml:space="preserve"> (referred to as the </w:t>
      </w:r>
      <m:oMath>
        <m:sSubSup>
          <m:sSubSupPr>
            <m:ctrlPr>
              <w:rPr>
                <w:rFonts w:ascii="Cambria Math" w:hAnsi="Cambria Math"/>
                <w:i/>
              </w:rPr>
            </m:ctrlPr>
          </m:sSubSupPr>
          <m:e>
            <m:r>
              <w:rPr>
                <w:rFonts w:ascii="Cambria Math" w:hAnsi="Cambria Math"/>
              </w:rPr>
              <m:t>Delta</m:t>
            </m:r>
          </m:e>
          <m:sub>
            <m:r>
              <w:rPr>
                <w:rFonts w:ascii="Cambria Math" w:hAnsi="Cambria Math"/>
              </w:rPr>
              <m:t>Shift</m:t>
            </m:r>
          </m:sub>
          <m:sup>
            <m:r>
              <w:rPr>
                <w:rFonts w:ascii="Cambria Math" w:hAnsi="Cambria Math"/>
              </w:rPr>
              <m:t>Staff type</m:t>
            </m:r>
          </m:sup>
        </m:sSubSup>
      </m:oMath>
      <w:r w:rsidR="00F66FE9" w:rsidRPr="005B6DA2">
        <w:rPr>
          <w:rFonts w:eastAsiaTheme="minorEastAsia"/>
        </w:rPr>
        <w:t xml:space="preserve"> </w:t>
      </w:r>
      <w:r w:rsidR="00F66FE9" w:rsidRPr="005B6DA2">
        <w:t>terms)</w:t>
      </w:r>
      <w:r w:rsidR="005D4E58">
        <w:t xml:space="preserve">. </w:t>
      </w:r>
      <w:r w:rsidR="00BE069D">
        <w:t>This clinically required level</w:t>
      </w:r>
      <w:r w:rsidR="002027FE">
        <w:t xml:space="preserve"> </w:t>
      </w:r>
      <w:r w:rsidR="00BE231B">
        <w:t xml:space="preserve">showed a </w:t>
      </w:r>
      <w:r w:rsidR="00114A4C">
        <w:t xml:space="preserve">change </w:t>
      </w:r>
      <w:r w:rsidR="001311C1">
        <w:t xml:space="preserve">(either more or less) </w:t>
      </w:r>
      <w:r w:rsidR="002027FE">
        <w:t>from the planned level on 37% of the ward-shift pairings (and 72% of ward-days having at least one shift</w:t>
      </w:r>
      <w:r w:rsidR="00114A4C">
        <w:t xml:space="preserve"> recommending a change</w:t>
      </w:r>
      <w:r w:rsidR="002027FE">
        <w:t>)</w:t>
      </w:r>
      <w:r w:rsidR="00114A4C">
        <w:t>.</w:t>
      </w:r>
      <w:r w:rsidR="002027FE">
        <w:t xml:space="preserve">  </w:t>
      </w:r>
      <w:r w:rsidR="00114A4C">
        <w:t xml:space="preserve">These clinically required levels have the advantage of reflecting </w:t>
      </w:r>
      <w:r w:rsidR="00144BBD">
        <w:t xml:space="preserve">both </w:t>
      </w:r>
      <w:r w:rsidR="00114A4C">
        <w:t>the perceived demand, combining case complexity and ward activity</w:t>
      </w:r>
      <w:r w:rsidR="00144BBD">
        <w:t xml:space="preserve">, and the </w:t>
      </w:r>
      <w:r w:rsidR="00114A4C">
        <w:t>confidence</w:t>
      </w:r>
      <w:r w:rsidR="00144BBD">
        <w:t xml:space="preserve"> of the staff in delivering </w:t>
      </w:r>
      <w:r w:rsidR="006A3839">
        <w:t xml:space="preserve">safe </w:t>
      </w:r>
      <w:r w:rsidR="00144BBD">
        <w:t>care</w:t>
      </w:r>
      <w:r w:rsidR="00114A4C">
        <w:t>.</w:t>
      </w:r>
    </w:p>
    <w:p w14:paraId="36CEC3F2" w14:textId="0B4E2A7E" w:rsidR="000F3797" w:rsidRDefault="004068A6" w:rsidP="00524A88">
      <w:pPr>
        <w:spacing w:before="240"/>
        <w:jc w:val="both"/>
      </w:pPr>
      <w:r w:rsidRPr="005B6DA2">
        <w:t xml:space="preserve">The </w:t>
      </w:r>
      <w:r w:rsidR="00114A4C">
        <w:t xml:space="preserve">variation from the clinically-required staffing levels were used instead of the </w:t>
      </w:r>
      <w:r w:rsidRPr="005B6DA2">
        <w:t xml:space="preserve">absolute staffing level </w:t>
      </w:r>
      <w:r w:rsidR="00114A4C">
        <w:t xml:space="preserve">to reduce the collinearity of the covariates. </w:t>
      </w:r>
      <w:r w:rsidR="000F3797">
        <w:t>Where the level of staffing is less than the clinical demand, we can infer a situation in which</w:t>
      </w:r>
      <w:r w:rsidR="00524A88">
        <w:t xml:space="preserve"> staff members must optimis</w:t>
      </w:r>
      <w:r w:rsidR="000F3797">
        <w:t>e their t</w:t>
      </w:r>
      <w:r w:rsidR="00D50843">
        <w:t xml:space="preserve">ime, </w:t>
      </w:r>
      <w:r w:rsidR="006C0201">
        <w:t>with a greater risk of</w:t>
      </w:r>
      <w:r w:rsidR="00D50843">
        <w:t xml:space="preserve"> tasks going undone or work being rushed.</w:t>
      </w:r>
      <w:r w:rsidR="000F3797">
        <w:t xml:space="preserve"> </w:t>
      </w:r>
      <w:r w:rsidR="000B2761">
        <w:t xml:space="preserve"> Hence, where staffing levels are less than the demand requires we could expect to see</w:t>
      </w:r>
      <w:r w:rsidR="00144BBD">
        <w:t xml:space="preserve"> low priority tasks (such as the reporting of near misses) going undone.</w:t>
      </w:r>
    </w:p>
    <w:p w14:paraId="190FCA42" w14:textId="102C9410" w:rsidR="00C5107F" w:rsidRDefault="00C5107F">
      <w:pPr>
        <w:jc w:val="both"/>
      </w:pPr>
      <w:r w:rsidRPr="005B6DA2">
        <w:t xml:space="preserve">The </w:t>
      </w:r>
      <w:r w:rsidR="00323F97" w:rsidRPr="005B6DA2">
        <w:t>other co</w:t>
      </w:r>
      <w:r w:rsidR="00070501">
        <w:t>n</w:t>
      </w:r>
      <w:r w:rsidR="00323F97" w:rsidRPr="005B6DA2">
        <w:t>founding variable included for analysis was the geographical location of the ward.</w:t>
      </w:r>
      <w:r w:rsidR="005C4A50" w:rsidRPr="005B6DA2">
        <w:t xml:space="preserve"> </w:t>
      </w:r>
      <w:r w:rsidR="00323F97" w:rsidRPr="005B6DA2">
        <w:t xml:space="preserve">The data from this trust was tagged within </w:t>
      </w:r>
      <w:r w:rsidR="00070501">
        <w:t>the incident reporting database</w:t>
      </w:r>
      <w:r w:rsidR="00323F97" w:rsidRPr="005B6DA2">
        <w:t xml:space="preserve"> for one of 10 geographical locations</w:t>
      </w:r>
      <w:r w:rsidR="005C4A50" w:rsidRPr="005B6DA2">
        <w:t>,</w:t>
      </w:r>
      <w:r w:rsidR="00323F97" w:rsidRPr="005B6DA2">
        <w:t xml:space="preserve"> which have been </w:t>
      </w:r>
      <w:proofErr w:type="spellStart"/>
      <w:r w:rsidR="005C4A50" w:rsidRPr="005B6DA2">
        <w:t>pseudonymi</w:t>
      </w:r>
      <w:r w:rsidR="003C6871">
        <w:t>s</w:t>
      </w:r>
      <w:r w:rsidR="00B50E44" w:rsidRPr="005B6DA2">
        <w:t>ed</w:t>
      </w:r>
      <w:proofErr w:type="spellEnd"/>
      <w:r w:rsidR="00323F97" w:rsidRPr="005B6DA2">
        <w:t xml:space="preserve"> for this analysis.  </w:t>
      </w:r>
      <w:r w:rsidR="00B009F2" w:rsidRPr="005B6DA2">
        <w:t xml:space="preserve">A </w:t>
      </w:r>
      <w:r w:rsidRPr="005B6DA2">
        <w:t>brief description of the specialt</w:t>
      </w:r>
      <w:r w:rsidR="00F40468" w:rsidRPr="005B6DA2">
        <w:t>ies</w:t>
      </w:r>
      <w:r w:rsidR="00247199" w:rsidRPr="005B6DA2">
        <w:t xml:space="preserve"> and </w:t>
      </w:r>
      <w:r w:rsidR="00B50E44" w:rsidRPr="005B6DA2">
        <w:t>characteristics</w:t>
      </w:r>
      <w:r w:rsidR="00247199" w:rsidRPr="005B6DA2">
        <w:t xml:space="preserve"> of each location</w:t>
      </w:r>
      <w:r w:rsidR="00F40468" w:rsidRPr="005B6DA2">
        <w:t xml:space="preserve"> are supplied in </w:t>
      </w:r>
      <w:r w:rsidR="00F40468" w:rsidRPr="009F50A2">
        <w:t xml:space="preserve">Table </w:t>
      </w:r>
      <w:r w:rsidR="005B6DA2" w:rsidRPr="009F50A2">
        <w:t>1</w:t>
      </w:r>
      <w:r w:rsidR="00F40468" w:rsidRPr="009F50A2">
        <w:t>.</w:t>
      </w:r>
    </w:p>
    <w:p w14:paraId="64AEFDCA" w14:textId="3E0796D4" w:rsidR="00F40468" w:rsidRPr="00693880" w:rsidRDefault="00F40468" w:rsidP="00C93721">
      <w:pPr>
        <w:jc w:val="both"/>
        <w:rPr>
          <w:b/>
        </w:rPr>
      </w:pPr>
      <w:r w:rsidRPr="00693880">
        <w:rPr>
          <w:b/>
        </w:rPr>
        <w:t xml:space="preserve">Table </w:t>
      </w:r>
      <w:r w:rsidR="005B6DA2" w:rsidRPr="00693880">
        <w:rPr>
          <w:b/>
        </w:rPr>
        <w:t>1</w:t>
      </w:r>
      <w:r w:rsidR="000F7124" w:rsidRPr="00693880">
        <w:rPr>
          <w:b/>
        </w:rPr>
        <w:t>:</w:t>
      </w:r>
      <w:r w:rsidRPr="00693880">
        <w:rPr>
          <w:b/>
        </w:rPr>
        <w:t xml:space="preserve"> </w:t>
      </w:r>
      <w:r w:rsidR="00E645A8" w:rsidRPr="00693880">
        <w:rPr>
          <w:b/>
        </w:rPr>
        <w:t>Location descriptions.</w:t>
      </w:r>
    </w:p>
    <w:tbl>
      <w:tblPr>
        <w:tblStyle w:val="GridTable2-Accent1"/>
        <w:tblW w:w="5954" w:type="dxa"/>
        <w:jc w:val="center"/>
        <w:tblLook w:val="04A0" w:firstRow="1" w:lastRow="0" w:firstColumn="1" w:lastColumn="0" w:noHBand="0" w:noVBand="1"/>
      </w:tblPr>
      <w:tblGrid>
        <w:gridCol w:w="1187"/>
        <w:gridCol w:w="1903"/>
        <w:gridCol w:w="2864"/>
      </w:tblGrid>
      <w:tr w:rsidR="00F40468" w:rsidRPr="00C93721" w14:paraId="37C17E8C" w14:textId="77777777" w:rsidTr="00C93721">
        <w:trPr>
          <w:gridAfter w:val="1"/>
          <w:cnfStyle w:val="100000000000" w:firstRow="1" w:lastRow="0" w:firstColumn="0" w:lastColumn="0" w:oddVBand="0" w:evenVBand="0" w:oddHBand="0" w:evenHBand="0" w:firstRowFirstColumn="0" w:firstRowLastColumn="0" w:lastRowFirstColumn="0" w:lastRowLastColumn="0"/>
          <w:wAfter w:w="2864" w:type="dxa"/>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53EAFE58" w14:textId="77777777" w:rsidR="00F40468" w:rsidRPr="00C93721" w:rsidRDefault="00F40468" w:rsidP="00C93721">
            <w:pPr>
              <w:pStyle w:val="NoSpacing"/>
              <w:jc w:val="both"/>
              <w:rPr>
                <w:lang w:eastAsia="en-GB"/>
              </w:rPr>
            </w:pPr>
            <w:bookmarkStart w:id="0" w:name="_Hlk692708"/>
          </w:p>
        </w:tc>
        <w:tc>
          <w:tcPr>
            <w:tcW w:w="1903" w:type="dxa"/>
            <w:noWrap/>
          </w:tcPr>
          <w:p w14:paraId="792C68E8" w14:textId="77777777" w:rsidR="00F40468" w:rsidRPr="00C93721" w:rsidRDefault="00F40468" w:rsidP="00C93721">
            <w:pPr>
              <w:pStyle w:val="NoSpacing"/>
              <w:jc w:val="both"/>
              <w:cnfStyle w:val="100000000000" w:firstRow="1" w:lastRow="0" w:firstColumn="0" w:lastColumn="0" w:oddVBand="0" w:evenVBand="0" w:oddHBand="0" w:evenHBand="0" w:firstRowFirstColumn="0" w:firstRowLastColumn="0" w:lastRowFirstColumn="0" w:lastRowLastColumn="0"/>
              <w:rPr>
                <w:lang w:eastAsia="en-GB"/>
              </w:rPr>
            </w:pPr>
            <w:r w:rsidRPr="00C93721">
              <w:rPr>
                <w:lang w:eastAsia="en-GB"/>
              </w:rPr>
              <w:t>Code</w:t>
            </w:r>
          </w:p>
        </w:tc>
      </w:tr>
      <w:tr w:rsidR="00F40468" w:rsidRPr="00725A6B" w14:paraId="45BDFE33" w14:textId="77777777" w:rsidTr="00C9372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15209ADA" w14:textId="77777777" w:rsidR="00F40468" w:rsidRPr="00C93721" w:rsidRDefault="00F40468" w:rsidP="00C93721">
            <w:pPr>
              <w:pStyle w:val="NoSpacing"/>
              <w:jc w:val="both"/>
              <w:rPr>
                <w:lang w:eastAsia="en-GB"/>
              </w:rPr>
            </w:pPr>
            <w:r w:rsidRPr="00C93721">
              <w:rPr>
                <w:lang w:eastAsia="en-GB"/>
              </w:rPr>
              <w:t>Loc1</w:t>
            </w:r>
          </w:p>
        </w:tc>
        <w:tc>
          <w:tcPr>
            <w:tcW w:w="4767" w:type="dxa"/>
            <w:gridSpan w:val="2"/>
          </w:tcPr>
          <w:p w14:paraId="1EE15671" w14:textId="77777777"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C93721">
              <w:rPr>
                <w:rFonts w:eastAsia="Times New Roman" w:cs="Times New Roman"/>
                <w:lang w:eastAsia="en-GB"/>
              </w:rPr>
              <w:t>Low security unit (Men)</w:t>
            </w:r>
          </w:p>
        </w:tc>
      </w:tr>
      <w:tr w:rsidR="00F40468" w:rsidRPr="00725A6B" w14:paraId="079D2689" w14:textId="77777777" w:rsidTr="00C93721">
        <w:trPr>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24CDB981" w14:textId="77777777" w:rsidR="00F40468" w:rsidRPr="00C93721" w:rsidRDefault="00F40468" w:rsidP="00C93721">
            <w:pPr>
              <w:pStyle w:val="NoSpacing"/>
              <w:jc w:val="both"/>
              <w:rPr>
                <w:lang w:eastAsia="en-GB"/>
              </w:rPr>
            </w:pPr>
            <w:r w:rsidRPr="00C93721">
              <w:rPr>
                <w:lang w:eastAsia="en-GB"/>
              </w:rPr>
              <w:t>Loc2</w:t>
            </w:r>
          </w:p>
        </w:tc>
        <w:tc>
          <w:tcPr>
            <w:tcW w:w="4767" w:type="dxa"/>
            <w:gridSpan w:val="2"/>
          </w:tcPr>
          <w:p w14:paraId="03524E94" w14:textId="22D2C4E6" w:rsidR="00F40468" w:rsidRPr="00C93721" w:rsidRDefault="001E03B8" w:rsidP="00C93721">
            <w:pPr>
              <w:pStyle w:val="NoSpacing"/>
              <w:jc w:val="both"/>
              <w:cnfStyle w:val="000000000000" w:firstRow="0" w:lastRow="0" w:firstColumn="0" w:lastColumn="0" w:oddVBand="0" w:evenVBand="0" w:oddHBand="0" w:evenHBand="0" w:firstRowFirstColumn="0" w:firstRowLastColumn="0" w:lastRowFirstColumn="0" w:lastRowLastColumn="0"/>
              <w:rPr>
                <w:lang w:eastAsia="en-GB"/>
              </w:rPr>
            </w:pPr>
            <w:r w:rsidRPr="00C93721">
              <w:t>Hospital with high security wards</w:t>
            </w:r>
          </w:p>
        </w:tc>
      </w:tr>
      <w:tr w:rsidR="00F40468" w:rsidRPr="00725A6B" w14:paraId="6379FEEA" w14:textId="77777777" w:rsidTr="00C9372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32DC140A" w14:textId="77777777" w:rsidR="00F40468" w:rsidRPr="00C93721" w:rsidRDefault="00F40468" w:rsidP="00C93721">
            <w:pPr>
              <w:pStyle w:val="NoSpacing"/>
              <w:jc w:val="both"/>
              <w:rPr>
                <w:lang w:eastAsia="en-GB"/>
              </w:rPr>
            </w:pPr>
            <w:r w:rsidRPr="00C93721">
              <w:rPr>
                <w:lang w:eastAsia="en-GB"/>
              </w:rPr>
              <w:t>Loc3</w:t>
            </w:r>
          </w:p>
        </w:tc>
        <w:tc>
          <w:tcPr>
            <w:tcW w:w="4767" w:type="dxa"/>
            <w:gridSpan w:val="2"/>
          </w:tcPr>
          <w:p w14:paraId="3FF98BEE" w14:textId="77777777"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lang w:eastAsia="en-GB"/>
              </w:rPr>
            </w:pPr>
            <w:r w:rsidRPr="00C93721">
              <w:rPr>
                <w:lang w:eastAsia="en-GB"/>
              </w:rPr>
              <w:t>Inpatient Adult ward</w:t>
            </w:r>
          </w:p>
        </w:tc>
      </w:tr>
      <w:tr w:rsidR="00F40468" w:rsidRPr="00725A6B" w14:paraId="24CD5531" w14:textId="77777777" w:rsidTr="00C93721">
        <w:trPr>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5A354A3F" w14:textId="77777777" w:rsidR="00F40468" w:rsidRPr="00C93721" w:rsidRDefault="00F40468" w:rsidP="00C93721">
            <w:pPr>
              <w:pStyle w:val="NoSpacing"/>
              <w:jc w:val="both"/>
              <w:rPr>
                <w:lang w:eastAsia="en-GB"/>
              </w:rPr>
            </w:pPr>
            <w:r w:rsidRPr="00C93721">
              <w:rPr>
                <w:lang w:eastAsia="en-GB"/>
              </w:rPr>
              <w:t>Loc4</w:t>
            </w:r>
          </w:p>
        </w:tc>
        <w:tc>
          <w:tcPr>
            <w:tcW w:w="4767" w:type="dxa"/>
            <w:gridSpan w:val="2"/>
          </w:tcPr>
          <w:p w14:paraId="496E3AAA" w14:textId="77777777" w:rsidR="00F40468" w:rsidRPr="00C93721" w:rsidRDefault="00F40468" w:rsidP="00C93721">
            <w:pPr>
              <w:pStyle w:val="No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C93721">
              <w:rPr>
                <w:rFonts w:eastAsia="Times New Roman" w:cs="Times New Roman"/>
                <w:lang w:eastAsia="en-GB"/>
              </w:rPr>
              <w:t xml:space="preserve">Adult working age </w:t>
            </w:r>
          </w:p>
        </w:tc>
      </w:tr>
      <w:tr w:rsidR="00F40468" w:rsidRPr="00725A6B" w14:paraId="1C622356" w14:textId="77777777" w:rsidTr="00C9372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7449EC93" w14:textId="77777777" w:rsidR="00F40468" w:rsidRPr="00C93721" w:rsidRDefault="00F40468" w:rsidP="00C93721">
            <w:pPr>
              <w:pStyle w:val="NoSpacing"/>
              <w:jc w:val="both"/>
              <w:rPr>
                <w:lang w:eastAsia="en-GB"/>
              </w:rPr>
            </w:pPr>
            <w:r w:rsidRPr="00C93721">
              <w:rPr>
                <w:lang w:eastAsia="en-GB"/>
              </w:rPr>
              <w:t>Loc5</w:t>
            </w:r>
          </w:p>
        </w:tc>
        <w:tc>
          <w:tcPr>
            <w:tcW w:w="4767" w:type="dxa"/>
            <w:gridSpan w:val="2"/>
          </w:tcPr>
          <w:p w14:paraId="5305B0F2" w14:textId="77777777"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lang w:eastAsia="en-GB"/>
              </w:rPr>
            </w:pPr>
            <w:r w:rsidRPr="00C93721">
              <w:rPr>
                <w:lang w:eastAsia="en-GB"/>
              </w:rPr>
              <w:t>Older people</w:t>
            </w:r>
          </w:p>
        </w:tc>
      </w:tr>
      <w:tr w:rsidR="00F40468" w:rsidRPr="00725A6B" w14:paraId="16C382D8" w14:textId="77777777" w:rsidTr="00C93721">
        <w:trPr>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7BF25189" w14:textId="77777777" w:rsidR="00F40468" w:rsidRPr="00C93721" w:rsidRDefault="00F40468" w:rsidP="00C93721">
            <w:pPr>
              <w:pStyle w:val="NoSpacing"/>
              <w:jc w:val="both"/>
              <w:rPr>
                <w:lang w:eastAsia="en-GB"/>
              </w:rPr>
            </w:pPr>
            <w:r w:rsidRPr="00C93721">
              <w:rPr>
                <w:lang w:eastAsia="en-GB"/>
              </w:rPr>
              <w:t>Loc6</w:t>
            </w:r>
          </w:p>
        </w:tc>
        <w:tc>
          <w:tcPr>
            <w:tcW w:w="4767" w:type="dxa"/>
            <w:gridSpan w:val="2"/>
          </w:tcPr>
          <w:p w14:paraId="1A2EF6EC" w14:textId="77777777" w:rsidR="00F40468" w:rsidRPr="00C93721" w:rsidRDefault="00F40468" w:rsidP="00C93721">
            <w:pPr>
              <w:pStyle w:val="NoSpacing"/>
              <w:jc w:val="both"/>
              <w:cnfStyle w:val="000000000000" w:firstRow="0" w:lastRow="0" w:firstColumn="0" w:lastColumn="0" w:oddVBand="0" w:evenVBand="0" w:oddHBand="0" w:evenHBand="0" w:firstRowFirstColumn="0" w:firstRowLastColumn="0" w:lastRowFirstColumn="0" w:lastRowLastColumn="0"/>
              <w:rPr>
                <w:lang w:eastAsia="en-GB"/>
              </w:rPr>
            </w:pPr>
            <w:r w:rsidRPr="00C93721">
              <w:rPr>
                <w:lang w:eastAsia="en-GB"/>
              </w:rPr>
              <w:t xml:space="preserve">Older people </w:t>
            </w:r>
          </w:p>
        </w:tc>
      </w:tr>
      <w:tr w:rsidR="00F40468" w:rsidRPr="00725A6B" w14:paraId="31FD3E76" w14:textId="77777777" w:rsidTr="00C9372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657F5A67" w14:textId="77777777" w:rsidR="00F40468" w:rsidRPr="00C93721" w:rsidRDefault="00F40468" w:rsidP="00C93721">
            <w:pPr>
              <w:pStyle w:val="NoSpacing"/>
              <w:jc w:val="both"/>
              <w:rPr>
                <w:lang w:eastAsia="en-GB"/>
              </w:rPr>
            </w:pPr>
            <w:r w:rsidRPr="00C93721">
              <w:rPr>
                <w:lang w:eastAsia="en-GB"/>
              </w:rPr>
              <w:t>Loc7</w:t>
            </w:r>
          </w:p>
        </w:tc>
        <w:tc>
          <w:tcPr>
            <w:tcW w:w="4767" w:type="dxa"/>
            <w:gridSpan w:val="2"/>
          </w:tcPr>
          <w:p w14:paraId="61BC1BA0" w14:textId="5F20EBE1"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lang w:eastAsia="en-GB"/>
              </w:rPr>
            </w:pPr>
            <w:r w:rsidRPr="00C93721">
              <w:rPr>
                <w:lang w:eastAsia="en-GB"/>
              </w:rPr>
              <w:t>General in-patient inc</w:t>
            </w:r>
            <w:r w:rsidR="005C4A50">
              <w:rPr>
                <w:lang w:eastAsia="en-GB"/>
              </w:rPr>
              <w:t>luding</w:t>
            </w:r>
            <w:r w:rsidRPr="00C93721">
              <w:rPr>
                <w:lang w:eastAsia="en-GB"/>
              </w:rPr>
              <w:t xml:space="preserve"> PICU</w:t>
            </w:r>
          </w:p>
          <w:p w14:paraId="087CACC9" w14:textId="77777777"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lang w:eastAsia="en-GB"/>
              </w:rPr>
            </w:pPr>
          </w:p>
        </w:tc>
      </w:tr>
      <w:tr w:rsidR="00F40468" w:rsidRPr="00725A6B" w14:paraId="1A54F0B1" w14:textId="77777777" w:rsidTr="00C93721">
        <w:trPr>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5B520B7C" w14:textId="77777777" w:rsidR="00F40468" w:rsidRPr="00C93721" w:rsidRDefault="00F40468" w:rsidP="00C93721">
            <w:pPr>
              <w:pStyle w:val="NoSpacing"/>
              <w:jc w:val="both"/>
              <w:rPr>
                <w:lang w:eastAsia="en-GB"/>
              </w:rPr>
            </w:pPr>
            <w:r w:rsidRPr="00C93721">
              <w:rPr>
                <w:lang w:eastAsia="en-GB"/>
              </w:rPr>
              <w:t>Loc8</w:t>
            </w:r>
          </w:p>
        </w:tc>
        <w:tc>
          <w:tcPr>
            <w:tcW w:w="4767" w:type="dxa"/>
            <w:gridSpan w:val="2"/>
          </w:tcPr>
          <w:p w14:paraId="758F6CFC" w14:textId="77777777" w:rsidR="00F40468" w:rsidRPr="00C93721" w:rsidRDefault="00F40468" w:rsidP="00C93721">
            <w:pPr>
              <w:pStyle w:val="NoSpacing"/>
              <w:jc w:val="both"/>
              <w:cnfStyle w:val="000000000000" w:firstRow="0" w:lastRow="0" w:firstColumn="0" w:lastColumn="0" w:oddVBand="0" w:evenVBand="0" w:oddHBand="0" w:evenHBand="0" w:firstRowFirstColumn="0" w:firstRowLastColumn="0" w:lastRowFirstColumn="0" w:lastRowLastColumn="0"/>
              <w:rPr>
                <w:lang w:eastAsia="en-GB"/>
              </w:rPr>
            </w:pPr>
            <w:r w:rsidRPr="00C93721">
              <w:rPr>
                <w:lang w:eastAsia="en-GB"/>
              </w:rPr>
              <w:t>Medium security unit</w:t>
            </w:r>
          </w:p>
        </w:tc>
      </w:tr>
      <w:tr w:rsidR="00F40468" w:rsidRPr="00725A6B" w14:paraId="7CEEE1AF" w14:textId="77777777" w:rsidTr="00C9372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47A27491" w14:textId="77777777" w:rsidR="00F40468" w:rsidRPr="00C93721" w:rsidRDefault="00F40468" w:rsidP="00C93721">
            <w:pPr>
              <w:pStyle w:val="NoSpacing"/>
              <w:jc w:val="both"/>
              <w:rPr>
                <w:lang w:eastAsia="en-GB"/>
              </w:rPr>
            </w:pPr>
            <w:r w:rsidRPr="00C93721">
              <w:rPr>
                <w:lang w:eastAsia="en-GB"/>
              </w:rPr>
              <w:t>Loc9</w:t>
            </w:r>
          </w:p>
        </w:tc>
        <w:tc>
          <w:tcPr>
            <w:tcW w:w="4767" w:type="dxa"/>
            <w:gridSpan w:val="2"/>
          </w:tcPr>
          <w:p w14:paraId="3E5EB658" w14:textId="77777777"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lang w:eastAsia="en-GB"/>
              </w:rPr>
            </w:pPr>
            <w:r w:rsidRPr="00C93721">
              <w:rPr>
                <w:lang w:eastAsia="en-GB"/>
              </w:rPr>
              <w:t>Community Inpatient</w:t>
            </w:r>
          </w:p>
          <w:p w14:paraId="52861560" w14:textId="3F526D4D" w:rsidR="00F40468" w:rsidRPr="00C93721" w:rsidRDefault="00F40468" w:rsidP="00C93721">
            <w:pPr>
              <w:pStyle w:val="NoSpacing"/>
              <w:jc w:val="both"/>
              <w:cnfStyle w:val="000000100000" w:firstRow="0" w:lastRow="0" w:firstColumn="0" w:lastColumn="0" w:oddVBand="0" w:evenVBand="0" w:oddHBand="1" w:evenHBand="0" w:firstRowFirstColumn="0" w:firstRowLastColumn="0" w:lastRowFirstColumn="0" w:lastRowLastColumn="0"/>
              <w:rPr>
                <w:lang w:eastAsia="en-GB"/>
              </w:rPr>
            </w:pPr>
            <w:r w:rsidRPr="00C93721">
              <w:rPr>
                <w:lang w:eastAsia="en-GB"/>
              </w:rPr>
              <w:t>(autism and substance abuse</w:t>
            </w:r>
            <w:r w:rsidR="006A3839">
              <w:rPr>
                <w:lang w:eastAsia="en-GB"/>
              </w:rPr>
              <w:t xml:space="preserve"> assisted living</w:t>
            </w:r>
            <w:r w:rsidRPr="00C93721">
              <w:rPr>
                <w:lang w:eastAsia="en-GB"/>
              </w:rPr>
              <w:t>)</w:t>
            </w:r>
          </w:p>
        </w:tc>
      </w:tr>
      <w:tr w:rsidR="00F40468" w:rsidRPr="00725A6B" w14:paraId="64B302DD" w14:textId="77777777" w:rsidTr="00C93721">
        <w:trPr>
          <w:trHeight w:val="285"/>
          <w:jc w:val="center"/>
        </w:trPr>
        <w:tc>
          <w:tcPr>
            <w:cnfStyle w:val="001000000000" w:firstRow="0" w:lastRow="0" w:firstColumn="1" w:lastColumn="0" w:oddVBand="0" w:evenVBand="0" w:oddHBand="0" w:evenHBand="0" w:firstRowFirstColumn="0" w:firstRowLastColumn="0" w:lastRowFirstColumn="0" w:lastRowLastColumn="0"/>
            <w:tcW w:w="1187" w:type="dxa"/>
          </w:tcPr>
          <w:p w14:paraId="7354E04C" w14:textId="77777777" w:rsidR="00F40468" w:rsidRPr="00C93721" w:rsidRDefault="00F40468" w:rsidP="00C93721">
            <w:pPr>
              <w:pStyle w:val="NoSpacing"/>
              <w:jc w:val="both"/>
              <w:rPr>
                <w:lang w:eastAsia="en-GB"/>
              </w:rPr>
            </w:pPr>
            <w:r w:rsidRPr="00C93721">
              <w:rPr>
                <w:lang w:eastAsia="en-GB"/>
              </w:rPr>
              <w:t>Loc10</w:t>
            </w:r>
          </w:p>
        </w:tc>
        <w:tc>
          <w:tcPr>
            <w:tcW w:w="4767" w:type="dxa"/>
            <w:gridSpan w:val="2"/>
          </w:tcPr>
          <w:p w14:paraId="1A2DA8D7" w14:textId="77777777" w:rsidR="00F40468" w:rsidRPr="00C93721" w:rsidRDefault="00F40468" w:rsidP="00C93721">
            <w:pPr>
              <w:pStyle w:val="NoSpacing"/>
              <w:jc w:val="both"/>
              <w:cnfStyle w:val="000000000000" w:firstRow="0" w:lastRow="0" w:firstColumn="0" w:lastColumn="0" w:oddVBand="0" w:evenVBand="0" w:oddHBand="0" w:evenHBand="0" w:firstRowFirstColumn="0" w:firstRowLastColumn="0" w:lastRowFirstColumn="0" w:lastRowLastColumn="0"/>
              <w:rPr>
                <w:lang w:eastAsia="en-GB"/>
              </w:rPr>
            </w:pPr>
            <w:r w:rsidRPr="00C93721">
              <w:rPr>
                <w:lang w:eastAsia="en-GB"/>
              </w:rPr>
              <w:t>Long Stay rehab</w:t>
            </w:r>
          </w:p>
        </w:tc>
      </w:tr>
      <w:bookmarkEnd w:id="0"/>
    </w:tbl>
    <w:p w14:paraId="2A84F046" w14:textId="2BE0D42E" w:rsidR="00F40468" w:rsidRDefault="00F40468" w:rsidP="00C93721">
      <w:pPr>
        <w:jc w:val="both"/>
      </w:pPr>
    </w:p>
    <w:p w14:paraId="082A8B1A" w14:textId="55030079" w:rsidR="0094340A" w:rsidRDefault="00646997">
      <w:pPr>
        <w:jc w:val="both"/>
      </w:pPr>
      <w:r w:rsidRPr="00524A88">
        <w:t>Each feature of the constructed dataset was inspected as histograms in order to remove extreme outliers</w:t>
      </w:r>
      <w:r w:rsidR="002A5CDF" w:rsidRPr="00524A88">
        <w:t>,</w:t>
      </w:r>
      <w:r w:rsidRPr="00524A88">
        <w:t xml:space="preserve"> which were</w:t>
      </w:r>
      <w:r w:rsidR="002A5CDF" w:rsidRPr="00524A88">
        <w:t xml:space="preserve"> then</w:t>
      </w:r>
      <w:r w:rsidRPr="00524A88">
        <w:t xml:space="preserve"> c</w:t>
      </w:r>
      <w:r w:rsidR="00626E79" w:rsidRPr="00524A88">
        <w:t>lassified as miss-entered data</w:t>
      </w:r>
      <w:r w:rsidR="00070501" w:rsidRPr="00524A88">
        <w:t xml:space="preserve">, constituting </w:t>
      </w:r>
      <w:r w:rsidRPr="00524A88">
        <w:t>1.2% of the extracted data.</w:t>
      </w:r>
      <w:r w:rsidR="000B2761" w:rsidRPr="00524A88">
        <w:t xml:space="preserve">  The analysis subsequently addressed the relationship between </w:t>
      </w:r>
      <w:r w:rsidR="002A7ABE" w:rsidRPr="00524A88">
        <w:t xml:space="preserve">the variation of nurse </w:t>
      </w:r>
      <w:r w:rsidR="000B2761" w:rsidRPr="00524A88">
        <w:t>staffing (by shift)</w:t>
      </w:r>
      <w:r w:rsidR="002A7ABE" w:rsidRPr="00524A88">
        <w:t xml:space="preserve"> and perceived clinical demand</w:t>
      </w:r>
      <w:r w:rsidR="000B2761" w:rsidRPr="00524A88">
        <w:t xml:space="preserve"> on the rate at which members of staff were reported as victims of adverse events.  The definition of ‘victim’</w:t>
      </w:r>
      <w:r w:rsidR="0094340A" w:rsidRPr="00524A88">
        <w:t xml:space="preserve"> arises from the event reporting system where each individual is </w:t>
      </w:r>
      <w:r w:rsidR="0094340A" w:rsidRPr="00524A88">
        <w:lastRenderedPageBreak/>
        <w:t>flagged for their involvement e.g. ‘victim’, ‘perpetrator’</w:t>
      </w:r>
      <w:r w:rsidR="00524A88" w:rsidRPr="00524A88">
        <w:t xml:space="preserve"> or</w:t>
      </w:r>
      <w:r w:rsidR="0094340A" w:rsidRPr="00524A88">
        <w:t xml:space="preserve"> ’witness’.  To allow for variation in ward sizes, the </w:t>
      </w:r>
      <w:r w:rsidR="002A7ABE" w:rsidRPr="00524A88">
        <w:t>rate</w:t>
      </w:r>
      <w:r w:rsidR="0094340A" w:rsidRPr="00524A88">
        <w:t xml:space="preserve"> of </w:t>
      </w:r>
      <w:r w:rsidR="002A7ABE" w:rsidRPr="00524A88">
        <w:t>reports</w:t>
      </w:r>
      <w:r w:rsidR="0094340A" w:rsidRPr="00524A88">
        <w:t xml:space="preserve"> was corrected for the total number of nurses on shift for a given ward and day.  The analysis hence models the number of staff reported as victims of an adverse event per nurse on shift as a function of </w:t>
      </w:r>
      <w:r w:rsidR="006A3839">
        <w:t xml:space="preserve">perceived </w:t>
      </w:r>
      <w:r w:rsidR="0094340A" w:rsidRPr="00524A88">
        <w:t>clinical demand, and variation in staf</w:t>
      </w:r>
      <w:r w:rsidR="007D435D">
        <w:t xml:space="preserve">fing from </w:t>
      </w:r>
      <w:r w:rsidR="006A3839">
        <w:t xml:space="preserve">the perceived </w:t>
      </w:r>
      <w:r w:rsidR="007D435D">
        <w:t>clinical demand with l</w:t>
      </w:r>
      <w:r w:rsidR="0094340A" w:rsidRPr="00524A88">
        <w:t>ocation ID serving as a proxy for safety and reporting culture.</w:t>
      </w:r>
    </w:p>
    <w:p w14:paraId="769A41FE" w14:textId="277B76DD" w:rsidR="0077211E" w:rsidRDefault="0077211E">
      <w:pPr>
        <w:pStyle w:val="Heading2"/>
        <w:jc w:val="both"/>
      </w:pPr>
      <w:r>
        <w:t>Method</w:t>
      </w:r>
    </w:p>
    <w:p w14:paraId="4E307586" w14:textId="25F8A01D" w:rsidR="00665A17" w:rsidRDefault="0077211E">
      <w:pPr>
        <w:jc w:val="both"/>
      </w:pPr>
      <w:r>
        <w:t>The data w</w:t>
      </w:r>
      <w:r w:rsidR="005C4A50">
        <w:t>ere</w:t>
      </w:r>
      <w:r>
        <w:t xml:space="preserve"> analysed via a selection of count-based models including Poisson, zero-inflated Poisson, negative binomial and hurdle </w:t>
      </w:r>
      <w:r w:rsidR="004924F3">
        <w:t>regression</w:t>
      </w:r>
      <w:r w:rsidR="008F7213">
        <w:t xml:space="preserve"> </w:t>
      </w:r>
      <w:r w:rsidR="007105A4">
        <w:fldChar w:fldCharType="begin"/>
      </w:r>
      <w:r w:rsidR="00587919">
        <w:instrText xml:space="preserve"> ADDIN ZOTERO_ITEM CSL_CITATION {"citationID":"atuusf3gtf","properties":{"formattedCitation":"(28)","plainCitation":"(28)","noteIndex":0},"citationItems":[{"id":152,"uris":["http://zotero.org/users/local/buuMpNoH/items/F43FTWPU"],"uri":["http://zotero.org/users/local/buuMpNoH/items/F43FTWPU"],"itemData":{"id":152,"type":"article-journal","title":"Specification and testing of some modified count data models","container-title":"Journal of Econometrics","page":"341-365","volume":"33","issue":"3","source":"ScienceDirect","abstract":"This paper explores the specification and testing of some modified count data models. These alternatives permit more flexible specification of the data-generating process (dgp) than do familiar count data models (e.g., the Poisson), and provide a natural means for modeling data that are over- or underdispersed by the standards of the basic models. In the cases considered, the familiar forms of the distributions result as parameter-restricted versions of the proposed modified distributions. Accordingly, score tests of the restrictions that use only the easily-computed ML estimates of the standard models are proposed. The tests proposed by Hausman (1978) and White (1982) are also considered. The tests are then applied to count data models estimated using survey microdata on beverage consumption.","DOI":"10.1016/0304-4076(86)90002-3","ISSN":"0304-4076","journalAbbreviation":"Journal of Econometrics","author":[{"family":"Mullahy","given":"John"}],"issued":{"date-parts":[["1986",12,1]]}}}],"schema":"https://github.com/citation-style-language/schema/raw/master/csl-citation.json"} </w:instrText>
      </w:r>
      <w:r w:rsidR="007105A4">
        <w:fldChar w:fldCharType="separate"/>
      </w:r>
      <w:r w:rsidR="00587919" w:rsidRPr="004804D0">
        <w:rPr>
          <w:rFonts w:ascii="Calibri" w:hAnsi="Calibri"/>
        </w:rPr>
        <w:t>(28)</w:t>
      </w:r>
      <w:r w:rsidR="007105A4">
        <w:fldChar w:fldCharType="end"/>
      </w:r>
      <w:r w:rsidR="000F7124">
        <w:t xml:space="preserve">. </w:t>
      </w:r>
      <w:r w:rsidR="00F446B1">
        <w:t>The Poisson regression is the typic</w:t>
      </w:r>
      <w:r w:rsidR="005C4A50">
        <w:t xml:space="preserve">al form of general linear model </w:t>
      </w:r>
      <w:r w:rsidR="00F446B1">
        <w:t xml:space="preserve">to apply to count data, with the others dealing with variations from the basic Poisson distribution. </w:t>
      </w:r>
      <w:r w:rsidR="00C12CC7">
        <w:t>The negative binomial regression is designed to model count data with over-dispersion (i.e. larger error variance than allowed for by Poisson regression), while the hurdle and zero-inflated regression model</w:t>
      </w:r>
      <w:r w:rsidR="000F7124">
        <w:t>s</w:t>
      </w:r>
      <w:r w:rsidR="00C12CC7">
        <w:t xml:space="preserve"> count data that contains more zeros than is typical of the Poisson process.</w:t>
      </w:r>
      <w:r w:rsidR="005C4A50">
        <w:t xml:space="preserve"> </w:t>
      </w:r>
      <w:r w:rsidR="008F7213">
        <w:t>Each analysis routine used</w:t>
      </w:r>
      <w:r>
        <w:t xml:space="preserve"> the well-documented implementations in the R language in the PSCL</w:t>
      </w:r>
      <w:r w:rsidR="004804D0">
        <w:t xml:space="preserve"> </w:t>
      </w:r>
      <w:r w:rsidR="004F2A78">
        <w:fldChar w:fldCharType="begin"/>
      </w:r>
      <w:r w:rsidR="00587919">
        <w:instrText xml:space="preserve"> ADDIN ZOTERO_ITEM CSL_CITATION {"citationID":"UcqQ6lxo","properties":{"formattedCitation":"(29)","plainCitation":"(29)","noteIndex":0},"citationItems":[{"id":107,"uris":["http://zotero.org/users/local/buuMpNoH/items/KG3VRJJC"],"uri":["http://zotero.org/users/local/buuMpNoH/items/KG3VRJJC"],"itemData":{"id":107,"type":"article-journal","title":"Regression Models for Count Data in R","container-title":"Journal of Statistical Software","page":"1-25","volume":"27","issue":"1","source":"www.jstatsoft.org","DOI":"10.18637/jss.v027.i08","ISSN":"1548-7660","language":"en","author":[{"family":"Zeileis","given":"Achim"},{"family":"Kleiber","given":"Christian"},{"family":"Jackman","given":"Simon"}],"issued":{"date-parts":[["2008",7,29]]}}}],"schema":"https://github.com/citation-style-language/schema/raw/master/csl-citation.json"} </w:instrText>
      </w:r>
      <w:r w:rsidR="004F2A78">
        <w:fldChar w:fldCharType="separate"/>
      </w:r>
      <w:r w:rsidR="00587919" w:rsidRPr="004804D0">
        <w:rPr>
          <w:rFonts w:ascii="Calibri" w:hAnsi="Calibri"/>
        </w:rPr>
        <w:t>(29)</w:t>
      </w:r>
      <w:r w:rsidR="004F2A78">
        <w:fldChar w:fldCharType="end"/>
      </w:r>
      <w:r>
        <w:t xml:space="preserve"> and MASS</w:t>
      </w:r>
      <w:r w:rsidR="004804D0">
        <w:t xml:space="preserve"> </w:t>
      </w:r>
      <w:r w:rsidR="003E4260">
        <w:fldChar w:fldCharType="begin"/>
      </w:r>
      <w:r w:rsidR="00587919">
        <w:instrText xml:space="preserve"> ADDIN ZOTERO_ITEM CSL_CITATION {"citationID":"6G1x8SFH","properties":{"formattedCitation":"(30)","plainCitation":"(30)","noteIndex":0},"citationItems":[{"id":150,"uris":["http://zotero.org/users/local/buuMpNoH/items/7JNJ9ECU"],"uri":["http://zotero.org/users/local/buuMpNoH/items/7JNJ9ECU"],"itemData":{"id":150,"type":"book","title":"Modern Applied Statistics with S","publisher":"Springer","publisher-place":"New York","edition":"Fourth","event-place":"New York","author":[{"family":"Venables","given":"W. N."},{"family":"Ripley","given":"B. D."}],"issued":{"date-parts":[["2002"]]}}}],"schema":"https://github.com/citation-style-language/schema/raw/master/csl-citation.json"} </w:instrText>
      </w:r>
      <w:r w:rsidR="003E4260">
        <w:fldChar w:fldCharType="separate"/>
      </w:r>
      <w:r w:rsidR="00587919" w:rsidRPr="004804D0">
        <w:rPr>
          <w:rFonts w:ascii="Calibri" w:hAnsi="Calibri"/>
        </w:rPr>
        <w:t>(30)</w:t>
      </w:r>
      <w:r w:rsidR="003E4260">
        <w:fldChar w:fldCharType="end"/>
      </w:r>
      <w:r w:rsidR="000F7124">
        <w:t xml:space="preserve"> </w:t>
      </w:r>
      <w:r>
        <w:t>packages.</w:t>
      </w:r>
      <w:r w:rsidR="000F7124">
        <w:t xml:space="preserve"> </w:t>
      </w:r>
      <w:r w:rsidR="00E47158">
        <w:t>Model comparisons were made using the Bayesian Inference Criteria (BIC) in which a smaller BIC score is indicative of a superior model</w:t>
      </w:r>
      <w:r w:rsidR="009F50A2">
        <w:t xml:space="preserve"> </w:t>
      </w:r>
      <w:r w:rsidR="003E4260">
        <w:fldChar w:fldCharType="begin"/>
      </w:r>
      <w:r w:rsidR="00587919">
        <w:instrText xml:space="preserve"> ADDIN ZOTERO_ITEM CSL_CITATION {"citationID":"ac2vbmkr5a","properties":{"formattedCitation":"(31)","plainCitation":"(31)","noteIndex":0},"citationItems":[{"id":110,"uris":["http://zotero.org/users/local/buuMpNoH/items/ISTKPEGX"],"uri":["http://zotero.org/users/local/buuMpNoH/items/ISTKPEGX"],"itemData":{"id":110,"type":"article-journal","title":"AIC and BIC: Comparisons of Assumptions and Performance","container-title":"Sociological Methods &amp; Research","page":"188-229","volume":"33","issue":"2","source":"SAGE Journals","abstract":"The two most commonly used penalized model selection criteria, the Bayesian information criterion (BIC) and Akaike’s information criterion (AIC), are examined and compared. Their motivations as approximations of two different target quantities are discussed, and their performance in estimating those quantities is assessed. Despite their different foundations, some similarities between the two statistics can be observed, for example, in analogous interpretations of their penalty terms. The behavior of the criteria in selecting good models for observed data is examined with simulated data and also illustrated with the analysis of two well-known data sets on social mobility. It is argued that useful information for model selection can be obtained from using AIC and BIC together, particularly from trying as far as possible to find models favored by both criteria.","DOI":"10.1177/0049124103262065","ISSN":"0049-1241","title-short":"AIC and BIC","journalAbbreviation":"Sociological Methods &amp; Research","language":"en","author":[{"family":"Kuha","given":"Jouni"}],"issued":{"date-parts":[["2004",11,1]]}}}],"schema":"https://github.com/citation-style-language/schema/raw/master/csl-citation.json"} </w:instrText>
      </w:r>
      <w:r w:rsidR="003E4260">
        <w:fldChar w:fldCharType="separate"/>
      </w:r>
      <w:r w:rsidR="00587919" w:rsidRPr="004804D0">
        <w:rPr>
          <w:rFonts w:ascii="Calibri" w:hAnsi="Calibri"/>
        </w:rPr>
        <w:t>(31)</w:t>
      </w:r>
      <w:r w:rsidR="004804D0">
        <w:t>.</w:t>
      </w:r>
      <w:r w:rsidR="003E4260">
        <w:fldChar w:fldCharType="end"/>
      </w:r>
      <w:r w:rsidR="00F9240F">
        <w:t xml:space="preserve">  </w:t>
      </w:r>
    </w:p>
    <w:p w14:paraId="67D4195E" w14:textId="190B0F38" w:rsidR="006D4DA7" w:rsidRPr="004804D0" w:rsidRDefault="00665A17">
      <w:pPr>
        <w:jc w:val="both"/>
        <w:rPr>
          <w:rFonts w:ascii="Calibri" w:hAnsi="Calibri"/>
        </w:rPr>
      </w:pPr>
      <w:r>
        <w:t>S</w:t>
      </w:r>
      <w:r w:rsidR="005C4A50">
        <w:t>ub</w:t>
      </w:r>
      <w:r w:rsidR="0077211E">
        <w:t xml:space="preserve">set selection </w:t>
      </w:r>
      <w:r>
        <w:t>w</w:t>
      </w:r>
      <w:r w:rsidR="0077211E">
        <w:t xml:space="preserve">as carried out </w:t>
      </w:r>
      <w:r>
        <w:t xml:space="preserve">via </w:t>
      </w:r>
      <w:r w:rsidR="0077211E">
        <w:t>LASSO-regulari</w:t>
      </w:r>
      <w:r w:rsidR="008552E7">
        <w:t>s</w:t>
      </w:r>
      <w:r w:rsidR="0077211E">
        <w:t>ed regression routines</w:t>
      </w:r>
      <w:r w:rsidR="004804D0">
        <w:t xml:space="preserve"> </w:t>
      </w:r>
      <w:r w:rsidR="004804D0">
        <w:fldChar w:fldCharType="begin"/>
      </w:r>
      <w:r w:rsidR="004804D0">
        <w:instrText xml:space="preserve"> ADDIN ZOTERO_ITEM CSL_CITATION {"citationID":"a1htc88nat8","properties":{"formattedCitation":"(32)","plainCitation":"(32)","noteIndex":0},"citationItems":[{"id":112,"uris":["http://zotero.org/users/local/buuMpNoH/items/2WX3CDBJ"],"uri":["http://zotero.org/users/local/buuMpNoH/items/2WX3CDBJ"],"itemData":{"id":112,"type":"article-journal","title":"Regression Shrinkage and Selection via the Lasso","container-title":"Journal of the Royal Statistical Society. Series B (Methodological)","page":"267-288","volume":"58","issue":"1","source":"JSTOR","archive":"JSTOR","abstract":"[We propose a new method for estimation in linear models. The `lasso' minimizes the residual sum of squares subject to the sum of the absolute value of the coefficients being less than a constant. Because of the nature of this constraint it tends to produce some coefficients that are exactly 0 and hence gives interpretable models. Our simulation studies suggest that the lasso enjoys some of the favourable properties of both subset selection and ridge regression. It produces interpretable models like subset selection and exhibits the stability of ridge regression. There is also an interesting relationship with recent work in adaptive function estimation by Donoho and Johnstone. The lasso idea is quite general and can be applied in a variety of statistical models: extensions to generalized regression models and tree-based models are briefly described.]","ISSN":"0035-9246","author":[{"family":"Tibshirani","given":"Robert"}],"issued":{"date-parts":[["1996"]]}}}],"schema":"https://github.com/citation-style-language/schema/raw/master/csl-citation.json"} </w:instrText>
      </w:r>
      <w:r w:rsidR="004804D0">
        <w:fldChar w:fldCharType="separate"/>
      </w:r>
      <w:r w:rsidR="004804D0" w:rsidRPr="004804D0">
        <w:t>(32)</w:t>
      </w:r>
      <w:r w:rsidR="004804D0">
        <w:fldChar w:fldCharType="end"/>
      </w:r>
      <w:r>
        <w:t xml:space="preserve">, in particular the Poisson and Binomial-family </w:t>
      </w:r>
      <w:proofErr w:type="spellStart"/>
      <w:r>
        <w:t>glmnet</w:t>
      </w:r>
      <w:proofErr w:type="spellEnd"/>
      <w:r>
        <w:t xml:space="preserve"> algorithms implemented in</w:t>
      </w:r>
      <w:r w:rsidR="0077211E">
        <w:t xml:space="preserve"> R by the </w:t>
      </w:r>
      <w:proofErr w:type="spellStart"/>
      <w:r w:rsidR="00B24FAF">
        <w:t>glmnet</w:t>
      </w:r>
      <w:proofErr w:type="spellEnd"/>
      <w:r w:rsidR="00B24FAF">
        <w:t xml:space="preserve"> </w:t>
      </w:r>
      <w:r w:rsidR="0077211E">
        <w:t>packag</w:t>
      </w:r>
      <w:r>
        <w:t>e</w:t>
      </w:r>
      <w:r w:rsidR="004804D0">
        <w:t xml:space="preserve"> </w:t>
      </w:r>
      <w:r w:rsidR="003E4260">
        <w:fldChar w:fldCharType="begin"/>
      </w:r>
      <w:r w:rsidR="00587919">
        <w:instrText xml:space="preserve"> ADDIN ZOTERO_ITEM CSL_CITATION {"citationID":"a2d4hljhgg6","properties":{"formattedCitation":"(33)","plainCitation":"(33)","noteIndex":0},"citationItems":[{"id":114,"uris":["http://zotero.org/users/local/buuMpNoH/items/CNVE9W9M"],"uri":["http://zotero.org/users/local/buuMpNoH/items/CNVE9W9M"],"itemData":{"id":114,"type":"article-journal","title":"Regularization Paths for Generalized Linear Models via Coordinate Descent","container-title":"Journal of Statistical Software","page":"1-22","volume":"33","issue":"1","source":"PubMed","abstract":"We develop fast algorithms for estimation of generalized linear models with convex penalties. The models include linear regression, two-class logistic regression, and multinomial regression problems while the penalties include ℓ(1) (the lasso), ℓ(2) (ridge regression) and mixtures of the two (the elastic net). The algorithms use cyclical coordinate descent, computed along a regularization path. The methods can handle large problems and can also deal efficiently with sparse features. In comparative timings we find that the new algorithms are considerably faster than competing methods.","ISSN":"1548-7660","note":"PMID: 20808728\nPMCID: PMC2929880","journalAbbreviation":"J Stat Softw","language":"eng","author":[{"family":"Friedman","given":"Jerome"},{"family":"Hastie","given":"Trevor"},{"family":"Tibshirani","given":"Rob"}],"issued":{"date-parts":[["2010"]]}}}],"schema":"https://github.com/citation-style-language/schema/raw/master/csl-citation.json"} </w:instrText>
      </w:r>
      <w:r w:rsidR="003E4260">
        <w:fldChar w:fldCharType="separate"/>
      </w:r>
      <w:r w:rsidR="00587919" w:rsidRPr="004804D0">
        <w:rPr>
          <w:rFonts w:ascii="Calibri" w:hAnsi="Calibri"/>
        </w:rPr>
        <w:t>(33)</w:t>
      </w:r>
      <w:r w:rsidR="003E4260">
        <w:fldChar w:fldCharType="end"/>
      </w:r>
      <w:r w:rsidR="006D4DA7">
        <w:t>.</w:t>
      </w:r>
      <w:r w:rsidR="009F50A2">
        <w:t xml:space="preserve"> The LASSO-</w:t>
      </w:r>
      <w:r w:rsidR="00F446B1">
        <w:t>regulari</w:t>
      </w:r>
      <w:r w:rsidR="00524A88">
        <w:t>s</w:t>
      </w:r>
      <w:r w:rsidR="00F446B1">
        <w:t xml:space="preserve">ation approach </w:t>
      </w:r>
      <w:r w:rsidR="00921516">
        <w:t>a</w:t>
      </w:r>
      <w:r w:rsidR="005C4A50">
        <w:t>ims to extract the smallest sub</w:t>
      </w:r>
      <w:r w:rsidR="00921516">
        <w:t>set of features that explain the model without the reduced error bars inherent in stepwise selection</w:t>
      </w:r>
      <w:r w:rsidR="008F7213">
        <w:t xml:space="preserve"> </w:t>
      </w:r>
      <w:r w:rsidR="00364E14">
        <w:fldChar w:fldCharType="begin"/>
      </w:r>
      <w:r w:rsidR="00587919">
        <w:instrText xml:space="preserve"> ADDIN ZOTERO_ITEM CSL_CITATION {"citationID":"xF0uZUoc","properties":{"formattedCitation":"(34)","plainCitation":"(34)","noteIndex":0},"citationItems":[{"id":169,"uris":["http://zotero.org/users/local/buuMpNoH/items/I7JD73VF"],"uri":["http://zotero.org/users/local/buuMpNoH/items/I7JD73VF"],"itemData":{"id":169,"type":"article-journal","title":"Stepwise Regression and Stepwise Discriminant Analysis Need Not Apply here: A Guidelines Editorial","container-title":"Educational and Psychological Measurement","page":"525-534","volume":"55","issue":"4","source":"SAGE Journals","abstract":"Stepwise methods are frequently employed in educational and psychological research, both to select useful subsets of variables and to evaluate the order of importance of variables. Three problems with stepwise applications are explored in some detail. First, computer packages use incorrect degrees of freedom in their stepwise computations, resulting in artifactually greater likelihood of obtaining spurious statistical significance. Second, stepwise methods do not correctly identify the best variable set of a given size, as illustrated by a concrete heuristic example. Third, stepwise methods tend to capitalize on sampling error and thus tend to yield results that are not replicable.","DOI":"10.1177/0013164495055004001","ISSN":"0013-1644","title-short":"Stepwise Regression and Stepwise Discriminant Analysis Need Not Apply here","journalAbbreviation":"Educational and Psychological Measurement","language":"en","author":[{"family":"Thompson","given":"Bruce"}],"issued":{"date-parts":[["1995",8,1]]}}}],"schema":"https://github.com/citation-style-language/schema/raw/master/csl-citation.json"} </w:instrText>
      </w:r>
      <w:r w:rsidR="00364E14">
        <w:fldChar w:fldCharType="separate"/>
      </w:r>
      <w:r w:rsidR="00587919" w:rsidRPr="004804D0">
        <w:rPr>
          <w:rFonts w:ascii="Calibri" w:hAnsi="Calibri"/>
        </w:rPr>
        <w:t>(34)</w:t>
      </w:r>
      <w:r w:rsidR="00364E14">
        <w:fldChar w:fldCharType="end"/>
      </w:r>
      <w:r w:rsidR="008F7213">
        <w:t>.</w:t>
      </w:r>
      <w:r w:rsidR="009F50A2">
        <w:t xml:space="preserve"> </w:t>
      </w:r>
      <w:r>
        <w:t>The regulari</w:t>
      </w:r>
      <w:r w:rsidR="00524A88">
        <w:t>s</w:t>
      </w:r>
      <w:r>
        <w:t xml:space="preserve">ation parameter </w:t>
      </w:r>
      <w:r>
        <w:rPr>
          <w:rFonts w:ascii="Segoe UI Light" w:hAnsi="Segoe UI Light" w:cs="Segoe UI Light"/>
        </w:rPr>
        <w:t>λ</w:t>
      </w:r>
      <w:r>
        <w:t xml:space="preserve"> was tuned via 10-fold cross validation (CV), and model coefficients are reported for the “one standard error” </w:t>
      </w:r>
      <w:r>
        <w:rPr>
          <w:rFonts w:ascii="Segoe UI Light" w:hAnsi="Segoe UI Light" w:cs="Segoe UI Light"/>
        </w:rPr>
        <w:t>λ</w:t>
      </w:r>
      <w:r>
        <w:t xml:space="preserve"> term</w:t>
      </w:r>
      <w:proofErr w:type="gramStart"/>
      <w:r>
        <w:t xml:space="preserve">, </w:t>
      </w:r>
      <w:proofErr w:type="gramEnd"/>
      <m:oMath>
        <m:sSub>
          <m:sSubPr>
            <m:ctrlPr>
              <w:rPr>
                <w:rFonts w:ascii="Cambria Math" w:hAnsi="Cambria Math"/>
                <w:i/>
              </w:rPr>
            </m:ctrlPr>
          </m:sSubPr>
          <m:e>
            <m:r>
              <w:rPr>
                <w:rFonts w:ascii="Cambria Math" w:hAnsi="Cambria Math"/>
              </w:rPr>
              <m:t>λ</m:t>
            </m:r>
          </m:e>
          <m:sub>
            <m:r>
              <w:rPr>
                <w:rFonts w:ascii="Cambria Math" w:hAnsi="Cambria Math"/>
              </w:rPr>
              <m:t>1SE</m:t>
            </m:r>
          </m:sub>
        </m:sSub>
      </m:oMath>
      <w:r>
        <w:t xml:space="preserve">.  Using </w:t>
      </w:r>
      <m:oMath>
        <m:sSub>
          <m:sSubPr>
            <m:ctrlPr>
              <w:rPr>
                <w:rFonts w:ascii="Cambria Math" w:hAnsi="Cambria Math"/>
                <w:i/>
              </w:rPr>
            </m:ctrlPr>
          </m:sSubPr>
          <m:e>
            <m:r>
              <w:rPr>
                <w:rFonts w:ascii="Cambria Math" w:hAnsi="Cambria Math"/>
              </w:rPr>
              <m:t>λ</m:t>
            </m:r>
          </m:e>
          <m:sub>
            <m:r>
              <w:rPr>
                <w:rFonts w:ascii="Cambria Math" w:hAnsi="Cambria Math"/>
              </w:rPr>
              <m:t>1SE</m:t>
            </m:r>
          </m:sub>
        </m:sSub>
      </m:oMath>
      <w:r>
        <w:rPr>
          <w:rFonts w:eastAsiaTheme="minorEastAsia"/>
        </w:rPr>
        <w:t xml:space="preserve"> has been suggested to result in a simpler model, minimizing over-fitting error, and hence give the more parsimonious explanation of the system</w:t>
      </w:r>
      <w:r w:rsidR="009F50A2">
        <w:rPr>
          <w:rFonts w:eastAsiaTheme="minorEastAsia"/>
        </w:rPr>
        <w:t xml:space="preserve"> </w:t>
      </w:r>
      <w:r w:rsidR="003E4260">
        <w:rPr>
          <w:rFonts w:eastAsiaTheme="minorEastAsia"/>
        </w:rPr>
        <w:fldChar w:fldCharType="begin"/>
      </w:r>
      <w:r w:rsidR="00587919">
        <w:rPr>
          <w:rFonts w:eastAsiaTheme="minorEastAsia"/>
        </w:rPr>
        <w:instrText xml:space="preserve"> ADDIN ZOTERO_ITEM CSL_CITATION {"citationID":"a1bjkd846l","properties":{"formattedCitation":"(33,35)","plainCitation":"(33,35)","noteIndex":0},"citationItems":[{"id":114,"uris":["http://zotero.org/users/local/buuMpNoH/items/CNVE9W9M"],"uri":["http://zotero.org/users/local/buuMpNoH/items/CNVE9W9M"],"itemData":{"id":114,"type":"article-journal","title":"Regularization Paths for Generalized Linear Models via Coordinate Descent","container-title":"Journal of Statistical Software","page":"1-22","volume":"33","issue":"1","source":"PubMed","abstract":"We develop fast algorithms for estimation of generalized linear models with convex penalties. The models include linear regression, two-class logistic regression, and multinomial regression problems while the penalties include ℓ(1) (the lasso), ℓ(2) (ridge regression) and mixtures of the two (the elastic net). The algorithms use cyclical coordinate descent, computed along a regularization path. The methods can handle large problems and can also deal efficiently with sparse features. In comparative timings we find that the new algorithms are considerably faster than competing methods.","ISSN":"1548-7660","note":"PMID: 20808728\nPMCID: PMC2929880","journalAbbreviation":"J Stat Softw","language":"eng","author":[{"family":"Friedman","given":"Jerome"},{"family":"Hastie","given":"Trevor"},{"family":"Tibshirani","given":"Rob"}],"issued":{"date-parts":[["2010"]]}}},{"id":116,"uris":["http://zotero.org/users/local/buuMpNoH/items/ISSIJDKA"],"uri":["http://zotero.org/users/local/buuMpNoH/items/ISSIJDKA"],"itemData":{"id":116,"type":"article-journal","title":"Cross-validation pitfalls when selecting and assessing regression and classification models","container-title":"Journal of Cheminformatics","page":"10","volume":"6","issue":"1","source":"PubMed","abstract":"BACKGROUND: We address the problem of selecting and assessing classification and regression models using cross-validation. Current state-of-the-art methods can yield models with high variance, rendering them unsuitable for a number of practical applications including QSAR. In this paper we describe and evaluate best practices which improve reliability and increase confidence in selected models. A key operational component of the proposed methods is cloud computing which enables routine use of previously infeasible approaches.\nMETHODS: We describe in detail an algorithm for repeated grid-search V-fold cross-validation for parameter tuning in classification and regression, and we define a repeated nested cross-validation algorithm for model assessment. As regards variable selection and parameter tuning we define two algorithms (repeated grid-search cross-validation and double cross-validation), and provide arguments for using the repeated grid-search in the general case.\nRESULTS: We show results of our algorithms on seven QSAR datasets. The variation of the prediction performance, which is the result of choosing different splits of the dataset in V-fold cross-validation, needs to be taken into account when selecting and assessing classification and regression models.\nCONCLUSIONS: We demonstrate the importance of repeating cross-validation when selecting an optimal model, as well as the importance of repeating nested cross-validation when assessing a prediction error.","DOI":"10.1186/1758-2946-6-10","ISSN":"1758-2946","note":"PMID: 24678909\nPMCID: PMC3994246","journalAbbreviation":"J Cheminform","language":"eng","author":[{"family":"Krstajic","given":"Damjan"},{"family":"Buturovic","given":"Ljubomir J."},{"family":"Leahy","given":"David E."},{"family":"Thomas","given":"Simon"}],"issued":{"date-parts":[["2014",3,29]]}}}],"schema":"https://github.com/citation-style-language/schema/raw/master/csl-citation.json"} </w:instrText>
      </w:r>
      <w:r w:rsidR="003E4260">
        <w:rPr>
          <w:rFonts w:eastAsiaTheme="minorEastAsia"/>
        </w:rPr>
        <w:fldChar w:fldCharType="separate"/>
      </w:r>
      <w:r w:rsidR="00587919" w:rsidRPr="004804D0">
        <w:rPr>
          <w:rFonts w:ascii="Calibri" w:hAnsi="Calibri"/>
        </w:rPr>
        <w:t>(33,35)</w:t>
      </w:r>
      <w:r w:rsidR="003E4260">
        <w:rPr>
          <w:rFonts w:eastAsiaTheme="minorEastAsia"/>
        </w:rPr>
        <w:fldChar w:fldCharType="end"/>
      </w:r>
      <w:r w:rsidR="003E4260">
        <w:rPr>
          <w:rFonts w:eastAsiaTheme="minorEastAsia"/>
        </w:rPr>
        <w:t>.</w:t>
      </w:r>
    </w:p>
    <w:p w14:paraId="0DA5BE71" w14:textId="0094B5BC" w:rsidR="009C389B" w:rsidRDefault="00486E85">
      <w:pPr>
        <w:jc w:val="both"/>
      </w:pPr>
      <w:r>
        <w:t>The E</w:t>
      </w:r>
      <w:r w:rsidR="00665A17">
        <w:t>xpectation-</w:t>
      </w:r>
      <w:r>
        <w:t>M</w:t>
      </w:r>
      <w:r w:rsidR="00665A17">
        <w:t>aximization (EM)</w:t>
      </w:r>
      <w:r>
        <w:t xml:space="preserve"> algorithm</w:t>
      </w:r>
      <w:r w:rsidR="009F50A2">
        <w:t xml:space="preserve"> </w:t>
      </w:r>
      <w:r w:rsidR="003E4260">
        <w:fldChar w:fldCharType="begin"/>
      </w:r>
      <w:r w:rsidR="00587919">
        <w:instrText xml:space="preserve"> ADDIN ZOTERO_ITEM CSL_CITATION {"citationID":"KwRC8sA4","properties":{"formattedCitation":"(36\\uc0\\u8211{}38)","plainCitation":"(36–38)","noteIndex":0},"citationItems":[{"id":145,"uris":["http://zotero.org/users/local/buuMpNoH/items/KZQB9G3D"],"uri":["http://zotero.org/users/local/buuMpNoH/items/KZQB9G3D"],"itemData":{"id":145,"type":"article-journal","title":"Statistical methods and strategies for working with large data bases","container-title":"Medical Care","page":"OS35-42","volume":"33","issue":"10 Suppl","source":"PubMed","abstract":"This article describes the statistical methods and strategies to be used in establishing the linkages between processes and structures of care with risk-adjusted outcomes in a large multicenter Veterans Affairs cooperative study in health services of patients undergoing cardiac surgery. The statistical analyses consist of test involving nine specific hypotheses related to the effect of processes and structures of care on risk-adjusted outcomes. From the statistical point of view, the major obstacles of this study are the need for data reduction and imputation of missing data. The former obstacle is addressed through the use of data-reduction techniques, such as principal components and cluster of variables. The latter is addressed through the use of classic and new techniques for imputation of missing data, such as MISSGEN, principal components for qualitative data, and the expectation and maximization algorithm. Data reduction and imputation of missing data are done with clinically derived variable groups called \"dimensions\" or \"subdimensions.\" The effect of processes and structures of care is assessed by a two-step process. First, outcomes are modeled using only patient risk factors. The selection of risk factors in the modeling process is discussed in detail. Second, these risk-adjusted outcomes are modeled using one of the nine process or structure subhypotheses. The relationship of the processes and structures of care dimensions and/or subdimensions that are linked to risk-adjusted outcomes are identified.","ISSN":"0025-7079","note":"PMID: 7475410","journalAbbreviation":"Med Care","language":"eng","author":[{"family":"Marshall","given":"G."},{"family":"Henderson","given":"W. G."},{"family":"Moritz","given":"T. E."},{"family":"Shroyer","given":"A. L."},{"family":"Grover","given":"F. L."},{"family":"Hammermeister","given":"K. E."}],"issued":{"date-parts":[["1995",10]]}}},{"id":119,"uris":["http://zotero.org/users/local/buuMpNoH/items/2AITE4WQ"],"uri":["http://zotero.org/users/local/buuMpNoH/items/2AITE4WQ"],"itemData":{"id":119,"type":"article-journal","title":"Cyclic minimizers, majorization techniques, and the expectation-maximization algorithm: a refresher","container-title":"IEEE Signal Processing Magazine","page":"112-114","volume":"21","issue":"1","source":"IEEE Xplore","abstract":"Many parameter estimation problems in signal processing can be reduced to the task of minimizing a function of the unknown parameters. This task is difficult owing to the existence of possibly local minima and the sharpness of the global minimum. In this article we review three approaches that can be used to minimize functions of the type encountered in parameter estimation problems. The first two approaches, the cyclic minimization and the majorization technique, are quite general, whereas the third one, the expectation-maximization (EM) algorithm, is tied to the use of the maximum likelihood (ML) method for parameter estimation. The article provides a quick refresher of the aforementioned approaches for a wide readership.","DOI":"10.1109/MSP.2004.1267055","ISSN":"1053-5888","title-short":"Cyclic minimizers, majorization techniques, and the expectation-maximization algorithm","author":[{"family":"Stoica","given":"P."},{"family":"Selen","given":"Y."}],"issued":{"date-parts":[["2004",1]]}}},{"id":147,"uris":["http://zotero.org/users/local/buuMpNoH/items/JFQDS4GN"],"uri":["http://zotero.org/users/local/buuMpNoH/items/JFQDS4GN"],"itemData":{"id":147,"type":"article-journal","title":"Analysis with missing data in drug prevention research","container-title":"NIDA research monograph","page":"13-63","volume":"142","source":"PubMed","abstract":"Missing data problems have been a thorn in the side of prevention researchers for years. Although some solutions for these problems have been available in the statistical literature, these solutions have not found their way into mainstream prevention research. This chapter is meant to serve as an introduction to the systematic application of the missing data analysis solutions presented recently by Little and Rubin (1987) and others. The chapter does not describe a complete strategy, but it is relevant for (1) missing data analysis with continuous (but not categorical) data, (2) data that are reasonably normally distributed, and (3) solutions for missing data problems for analyses related to the general linear model in particular, analyses that use (or can use) a covariance matrix as input. The examples in the chapter come from drug prevention research. The chapter discusses (1) the problem of wanting to ask respondents more questions than most individuals can answer; (2) the problem of attrition and some solutions; and (3) the problem of special measurement procedures that are too expensive or time consuming to obtain for all subjects. The authors end with several conclusions: Whenever possible, researchers should use the Expectation-Maximization (EM) algorithm (or other maximum likelihood procedure, including the multiple-group structural equation-modeling procedure or, where appropriate, multiple imputation, for analyses involving missing data [the chapter provides concrete examples]); If researchers must use other analyses, they should keep in mind that these others produce biased results and should not be relied upon for final analyses; When data are missing, the appropriate missing data analysis procedures do not generate something out of nothing but do make the most out of the data available; When data are missing, researchers should work hard (especially when planning a study) to find the cause of missingness and include the cause in the analysis models; and Researchers should sample the cases originally missing (whenever possible) and adjust EM algorithm parameter estimates accordingly.","ISSN":"1046-9516","note":"PMID: 9243532","journalAbbreviation":"NIDA Res. Monogr.","language":"eng","author":[{"family":"Graham","given":"J. W."},{"family":"Hofer","given":"S. M."},{"family":"Piccinin","given":"A. M."}],"issued":{"date-parts":[["1994"]]}}}],"schema":"https://github.com/citation-style-language/schema/raw/master/csl-citation.json"} </w:instrText>
      </w:r>
      <w:r w:rsidR="003E4260">
        <w:fldChar w:fldCharType="separate"/>
      </w:r>
      <w:r w:rsidR="00587919" w:rsidRPr="004804D0">
        <w:rPr>
          <w:rFonts w:ascii="Calibri" w:hAnsi="Calibri" w:cs="Times New Roman"/>
          <w:szCs w:val="24"/>
        </w:rPr>
        <w:t>(36–38)</w:t>
      </w:r>
      <w:r w:rsidR="003E4260">
        <w:fldChar w:fldCharType="end"/>
      </w:r>
      <w:r w:rsidR="006A7D67">
        <w:t xml:space="preserve"> </w:t>
      </w:r>
      <w:r>
        <w:t xml:space="preserve">used in the </w:t>
      </w:r>
      <w:r w:rsidR="00921516">
        <w:t xml:space="preserve">study </w:t>
      </w:r>
      <w:r w:rsidR="009C389B">
        <w:t xml:space="preserve">makes use of the </w:t>
      </w:r>
      <w:r w:rsidR="00524A88">
        <w:t>‘</w:t>
      </w:r>
      <w:proofErr w:type="spellStart"/>
      <w:r w:rsidR="00524A88">
        <w:t>emax.glm</w:t>
      </w:r>
      <w:proofErr w:type="spellEnd"/>
      <w:r w:rsidR="00524A88">
        <w:t xml:space="preserve">’ </w:t>
      </w:r>
      <w:r w:rsidR="009C389B">
        <w:t>R impl</w:t>
      </w:r>
      <w:r w:rsidR="00626E79">
        <w:t xml:space="preserve">ementation. </w:t>
      </w:r>
      <w:r w:rsidR="009331F8">
        <w:t>The data analysis wa</w:t>
      </w:r>
      <w:r w:rsidR="009C389B">
        <w:t>s limited to two competing Poisson regression</w:t>
      </w:r>
      <w:r w:rsidR="009331F8">
        <w:t xml:space="preserve"> models for simplicity, </w:t>
      </w:r>
      <w:r w:rsidR="009C389B">
        <w:t>us</w:t>
      </w:r>
      <w:r w:rsidR="009331F8">
        <w:t>ing</w:t>
      </w:r>
      <w:r w:rsidR="009C389B">
        <w:t xml:space="preserve"> 20 randomly selected starting conditions</w:t>
      </w:r>
      <w:r w:rsidR="007A2739">
        <w:t xml:space="preserve"> to perform early ending fits in order to</w:t>
      </w:r>
      <w:r w:rsidR="009C389B">
        <w:t xml:space="preserve"> explore the parameter space and</w:t>
      </w:r>
      <w:r w:rsidR="009331F8">
        <w:t xml:space="preserve"> check for an optimal starting point</w:t>
      </w:r>
      <w:r w:rsidR="009C389B">
        <w:t xml:space="preserve">.  </w:t>
      </w:r>
    </w:p>
    <w:p w14:paraId="2E59CDF3" w14:textId="1B2A13C4" w:rsidR="004D6D0E" w:rsidRPr="004D6D0E" w:rsidRDefault="00845CCE">
      <w:pPr>
        <w:pStyle w:val="Heading2"/>
        <w:jc w:val="both"/>
      </w:pPr>
      <w:r>
        <w:t>Results</w:t>
      </w:r>
    </w:p>
    <w:p w14:paraId="2472B0E6" w14:textId="4F0D3A1D" w:rsidR="007975B3" w:rsidRDefault="006B7C5F">
      <w:pPr>
        <w:jc w:val="both"/>
      </w:pPr>
      <w:r>
        <w:t>The aggregated dataset analysed comprised 40,123 observed days (total) divided betw</w:t>
      </w:r>
      <w:r w:rsidR="005C4A50">
        <w:t>een 51 wards and 10 locations</w:t>
      </w:r>
      <w:r w:rsidR="008F7213">
        <w:t xml:space="preserve"> (see Table 1 for descriptions)</w:t>
      </w:r>
      <w:r w:rsidR="005C4A50">
        <w:t xml:space="preserve">. </w:t>
      </w:r>
      <w:r>
        <w:t>The data w</w:t>
      </w:r>
      <w:r w:rsidR="005C4A50">
        <w:t>ere recorded over three</w:t>
      </w:r>
      <w:r>
        <w:t xml:space="preserve"> years as part </w:t>
      </w:r>
      <w:r w:rsidR="005C4A50">
        <w:t>of the routine function of the t</w:t>
      </w:r>
      <w:r>
        <w:t>rust with the earliest observations taken on the 1</w:t>
      </w:r>
      <w:r w:rsidRPr="00B07B5E">
        <w:rPr>
          <w:vertAlign w:val="superscript"/>
        </w:rPr>
        <w:t>st</w:t>
      </w:r>
      <w:r>
        <w:t xml:space="preserve"> September 2014 </w:t>
      </w:r>
      <w:r w:rsidR="008F7213">
        <w:t>until</w:t>
      </w:r>
      <w:r>
        <w:t xml:space="preserve"> the 31</w:t>
      </w:r>
      <w:r w:rsidRPr="00B07B5E">
        <w:rPr>
          <w:vertAlign w:val="superscript"/>
        </w:rPr>
        <w:t>st</w:t>
      </w:r>
      <w:r>
        <w:t xml:space="preserve"> March 2017. </w:t>
      </w:r>
      <w:r w:rsidR="007975B3">
        <w:t xml:space="preserve">Within the study there were 10,119 events reported, accounting for </w:t>
      </w:r>
      <w:r w:rsidR="007975B3" w:rsidRPr="00144067">
        <w:rPr>
          <w:rFonts w:ascii="Calibri" w:eastAsia="Times New Roman" w:hAnsi="Calibri" w:cs="Times New Roman"/>
          <w:color w:val="000000"/>
          <w:lang w:eastAsia="en-GB"/>
        </w:rPr>
        <w:t>19</w:t>
      </w:r>
      <w:r w:rsidR="007975B3">
        <w:rPr>
          <w:rFonts w:ascii="Calibri" w:eastAsia="Times New Roman" w:hAnsi="Calibri" w:cs="Times New Roman"/>
          <w:color w:val="000000"/>
          <w:lang w:eastAsia="en-GB"/>
        </w:rPr>
        <w:t>,</w:t>
      </w:r>
      <w:r w:rsidR="007975B3" w:rsidRPr="00144067">
        <w:rPr>
          <w:rFonts w:ascii="Calibri" w:eastAsia="Times New Roman" w:hAnsi="Calibri" w:cs="Times New Roman"/>
          <w:color w:val="000000"/>
          <w:lang w:eastAsia="en-GB"/>
        </w:rPr>
        <w:t>693</w:t>
      </w:r>
      <w:r w:rsidR="007975B3">
        <w:rPr>
          <w:rFonts w:ascii="Calibri" w:eastAsia="Times New Roman" w:hAnsi="Calibri" w:cs="Times New Roman"/>
          <w:color w:val="000000"/>
          <w:lang w:eastAsia="en-GB"/>
        </w:rPr>
        <w:t xml:space="preserve"> members of staff being the victim of an adverse event</w:t>
      </w:r>
      <w:r w:rsidR="00EB4DDB">
        <w:rPr>
          <w:rFonts w:ascii="Calibri" w:eastAsia="Times New Roman" w:hAnsi="Calibri" w:cs="Times New Roman"/>
          <w:color w:val="000000"/>
          <w:lang w:eastAsia="en-GB"/>
        </w:rPr>
        <w:t>, inclusive of near misses and non-harm incidents</w:t>
      </w:r>
      <w:r w:rsidR="00626E79">
        <w:rPr>
          <w:rFonts w:ascii="Calibri" w:eastAsia="Times New Roman" w:hAnsi="Calibri" w:cs="Times New Roman"/>
          <w:color w:val="000000"/>
          <w:lang w:eastAsia="en-GB"/>
        </w:rPr>
        <w:t xml:space="preserve">. </w:t>
      </w:r>
      <w:r w:rsidR="007975B3">
        <w:t>The events reported have a raw prevalence of 0.25</w:t>
      </w:r>
      <w:r w:rsidR="00CA306C">
        <w:t>2</w:t>
      </w:r>
      <w:r w:rsidR="00BE026A">
        <w:t>(± 0.004</w:t>
      </w:r>
      <w:r w:rsidR="00CA306C">
        <w:t>)</w:t>
      </w:r>
      <w:r w:rsidR="007975B3">
        <w:t xml:space="preserve"> events reported per ward per day and 0.49</w:t>
      </w:r>
      <w:r w:rsidR="00A92B98">
        <w:t>1(</w:t>
      </w:r>
      <w:r w:rsidR="00BE026A">
        <w:t>± 0.009</w:t>
      </w:r>
      <w:r w:rsidR="00A92B98">
        <w:t>)</w:t>
      </w:r>
      <w:r w:rsidR="007975B3">
        <w:t xml:space="preserve"> members of staff a victim of an event per day per ward.</w:t>
      </w:r>
    </w:p>
    <w:p w14:paraId="7AFC8513" w14:textId="22658875" w:rsidR="005434E5" w:rsidRDefault="005434E5" w:rsidP="00626E79">
      <w:pPr>
        <w:jc w:val="both"/>
      </w:pPr>
      <w:r>
        <w:t>Prior to analysis</w:t>
      </w:r>
      <w:r w:rsidR="002C5605">
        <w:t>,</w:t>
      </w:r>
      <w:r>
        <w:t xml:space="preserve"> the rate of adverse events where </w:t>
      </w:r>
      <w:r w:rsidR="00B07B5E">
        <w:t xml:space="preserve">staff </w:t>
      </w:r>
      <w:r>
        <w:t>we</w:t>
      </w:r>
      <w:r w:rsidR="005C4A50">
        <w:t>re victims was first characteris</w:t>
      </w:r>
      <w:r>
        <w:t>ed</w:t>
      </w:r>
      <w:r w:rsidR="00A433BA">
        <w:t xml:space="preserve"> </w:t>
      </w:r>
      <w:r w:rsidR="007975B3">
        <w:t xml:space="preserve">before </w:t>
      </w:r>
      <w:r w:rsidR="00A433BA">
        <w:t>removing outlier</w:t>
      </w:r>
      <w:r w:rsidR="007975B3">
        <w:t>s</w:t>
      </w:r>
      <w:r>
        <w:t>.</w:t>
      </w:r>
      <w:r w:rsidR="005C4A50">
        <w:t xml:space="preserve"> </w:t>
      </w:r>
      <w:r w:rsidR="001466DD">
        <w:t>The</w:t>
      </w:r>
      <w:r w:rsidR="0078520D">
        <w:t xml:space="preserve"> majority of day-ward combinations resulted in no adverse events </w:t>
      </w:r>
      <w:r w:rsidR="00626E79">
        <w:t>being</w:t>
      </w:r>
      <w:r w:rsidR="0078520D">
        <w:t xml:space="preserve"> reported, accounting for 84% of the dataset.  Where events were reported, each was </w:t>
      </w:r>
      <w:r w:rsidR="00C6015B">
        <w:t>tagged</w:t>
      </w:r>
      <w:r w:rsidR="0078520D">
        <w:t xml:space="preserve"> for an incident type. Aggregating by incident type the most prevalent events were “</w:t>
      </w:r>
      <w:r w:rsidR="0078520D">
        <w:rPr>
          <w:rFonts w:ascii="Calibri" w:eastAsia="Times New Roman" w:hAnsi="Calibri" w:cs="Times New Roman"/>
          <w:color w:val="000000"/>
          <w:lang w:eastAsia="en-GB"/>
        </w:rPr>
        <w:t>Aggression by Patient</w:t>
      </w:r>
      <w:r w:rsidR="0078520D" w:rsidRPr="00144067">
        <w:rPr>
          <w:rFonts w:ascii="Calibri" w:eastAsia="Times New Roman" w:hAnsi="Calibri" w:cs="Times New Roman"/>
          <w:color w:val="000000"/>
          <w:lang w:eastAsia="en-GB"/>
        </w:rPr>
        <w:br/>
        <w:t>on Staff or Other</w:t>
      </w:r>
      <w:r w:rsidR="0078520D">
        <w:t>” (6,520 events reported with 12,138 members of staff as victims), “Inappropriate Behaviour” (1,762 events reported with 4,058 members of staff as victims), “</w:t>
      </w:r>
      <w:proofErr w:type="spellStart"/>
      <w:r w:rsidR="0078520D">
        <w:t>Self Harm</w:t>
      </w:r>
      <w:proofErr w:type="spellEnd"/>
      <w:r w:rsidR="0078520D">
        <w:t>” (429 events reported with 929 members of staff as victims) and “Sexual Incidents” (298 events reported with 493 members of staff as victims).</w:t>
      </w:r>
    </w:p>
    <w:p w14:paraId="73117853" w14:textId="05FFC28D" w:rsidR="00845CCE" w:rsidRPr="009F50A2" w:rsidRDefault="00D01DF9" w:rsidP="00BB613A">
      <w:pPr>
        <w:jc w:val="both"/>
      </w:pPr>
      <w:r>
        <w:t xml:space="preserve">Initial trials of the Poisson </w:t>
      </w:r>
      <w:r w:rsidR="002A1C4E">
        <w:t>model</w:t>
      </w:r>
      <w:r w:rsidR="00F26E45">
        <w:t xml:space="preserve"> (BIC = 74,</w:t>
      </w:r>
      <w:r w:rsidR="004E781E">
        <w:t>295</w:t>
      </w:r>
      <w:r w:rsidR="00F26E45">
        <w:t>)</w:t>
      </w:r>
      <w:r w:rsidR="002A1C4E">
        <w:t xml:space="preserve"> demonstrated</w:t>
      </w:r>
      <w:r w:rsidR="00882759">
        <w:t xml:space="preserve"> evidence of</w:t>
      </w:r>
      <w:r w:rsidR="002A1C4E">
        <w:t xml:space="preserve"> over-dispersion</w:t>
      </w:r>
      <w:r w:rsidR="00882759">
        <w:t>,</w:t>
      </w:r>
      <w:r w:rsidR="00845CCE">
        <w:t xml:space="preserve"> with the deviance residuals showing non-normal behaviour on a Q-Q plot </w:t>
      </w:r>
      <w:r w:rsidR="00845CCE" w:rsidRPr="009F50A2">
        <w:t xml:space="preserve">(see </w:t>
      </w:r>
      <w:r w:rsidR="005B6DA2" w:rsidRPr="009F50A2">
        <w:t>F</w:t>
      </w:r>
      <w:r w:rsidR="00845CCE" w:rsidRPr="009F50A2">
        <w:t xml:space="preserve">igure </w:t>
      </w:r>
      <w:r w:rsidR="005B6DA2" w:rsidRPr="009F50A2">
        <w:t>1</w:t>
      </w:r>
      <w:r w:rsidR="00C6015B" w:rsidRPr="009F50A2">
        <w:t xml:space="preserve"> </w:t>
      </w:r>
      <w:r w:rsidR="00337149" w:rsidRPr="009F50A2">
        <w:t>A</w:t>
      </w:r>
      <w:r w:rsidR="00845CCE" w:rsidRPr="009F50A2">
        <w:t>)</w:t>
      </w:r>
      <w:r w:rsidR="000F7124" w:rsidRPr="009F50A2">
        <w:t xml:space="preserve">. </w:t>
      </w:r>
      <w:r w:rsidR="00882759">
        <w:t>The</w:t>
      </w:r>
      <w:r w:rsidR="00414C8E">
        <w:t xml:space="preserve"> model dispersion </w:t>
      </w:r>
      <w:r w:rsidR="00414C8E">
        <w:lastRenderedPageBreak/>
        <w:t>was estimated at 3.07 via auxiliary OLS regression (with an associated p-value below numeric precision) implying over-dispersed errors</w:t>
      </w:r>
      <w:r w:rsidR="00845CCE">
        <w:t>.</w:t>
      </w:r>
      <w:r w:rsidR="005B6DA2">
        <w:t xml:space="preserve"> </w:t>
      </w:r>
      <w:r w:rsidR="002A1C4E">
        <w:t>Trials of the</w:t>
      </w:r>
      <w:r w:rsidR="00807111">
        <w:t xml:space="preserve"> dispersion-corrected count models </w:t>
      </w:r>
      <w:r w:rsidR="00807111" w:rsidRPr="009F50A2">
        <w:t>showed an improvement in the BIC scores</w:t>
      </w:r>
      <w:r w:rsidR="00807111">
        <w:t xml:space="preserve">, with the </w:t>
      </w:r>
      <w:r w:rsidR="00807111" w:rsidRPr="009F50A2">
        <w:t>negative binomial</w:t>
      </w:r>
      <w:r w:rsidR="00807111">
        <w:t xml:space="preserve"> giving the optimal model (BIC = 52,7</w:t>
      </w:r>
      <w:r w:rsidR="004E781E">
        <w:t>26</w:t>
      </w:r>
      <w:r w:rsidR="00807111">
        <w:t>) compared to the zero-inflated (BIC = 5</w:t>
      </w:r>
      <w:r w:rsidR="004E781E">
        <w:t>6</w:t>
      </w:r>
      <w:r w:rsidR="00807111">
        <w:t>,</w:t>
      </w:r>
      <w:r w:rsidR="004E781E">
        <w:t>928</w:t>
      </w:r>
      <w:r w:rsidR="00807111">
        <w:t xml:space="preserve">), and hurdle (BIC = </w:t>
      </w:r>
      <w:r w:rsidR="004E781E">
        <w:t>56,916</w:t>
      </w:r>
      <w:r w:rsidR="00807111">
        <w:t>)</w:t>
      </w:r>
      <w:r w:rsidR="006A3839">
        <w:t xml:space="preserve"> models</w:t>
      </w:r>
      <w:r w:rsidR="00807111">
        <w:t>.</w:t>
      </w:r>
      <w:r w:rsidR="00392473" w:rsidRPr="009F50A2">
        <w:t xml:space="preserve"> </w:t>
      </w:r>
      <w:r w:rsidR="00807111">
        <w:t xml:space="preserve"> </w:t>
      </w:r>
      <w:r w:rsidR="00392473" w:rsidRPr="009F50A2">
        <w:t>T</w:t>
      </w:r>
      <w:r w:rsidR="002A1C4E" w:rsidRPr="009F50A2">
        <w:t>he negative binomial model result</w:t>
      </w:r>
      <w:r w:rsidR="004A7F33" w:rsidRPr="009F50A2">
        <w:t>ed</w:t>
      </w:r>
      <w:r w:rsidR="002A1C4E" w:rsidRPr="009F50A2">
        <w:t xml:space="preserve"> in </w:t>
      </w:r>
      <w:r w:rsidR="00405452" w:rsidRPr="009F50A2">
        <w:t>a sizeable reduction in the BIC score in comparison to the Poisson model</w:t>
      </w:r>
      <w:r w:rsidR="00392473" w:rsidRPr="009F50A2">
        <w:t xml:space="preserve">, indicating the </w:t>
      </w:r>
      <w:r w:rsidR="00166A67" w:rsidRPr="009F50A2">
        <w:t xml:space="preserve">reporting of adverse events </w:t>
      </w:r>
      <w:r w:rsidR="00392473" w:rsidRPr="009F50A2">
        <w:t xml:space="preserve">is </w:t>
      </w:r>
      <w:r w:rsidR="00166A67" w:rsidRPr="009F50A2">
        <w:t>better explaine</w:t>
      </w:r>
      <w:r w:rsidR="00392473" w:rsidRPr="009F50A2">
        <w:t xml:space="preserve">d by the negative binomial model.   </w:t>
      </w:r>
    </w:p>
    <w:p w14:paraId="682FA57A" w14:textId="5B96CABF" w:rsidR="003C6AC8" w:rsidRPr="009F50A2" w:rsidRDefault="002A1C4E" w:rsidP="00EB0DE9">
      <w:pPr>
        <w:jc w:val="both"/>
      </w:pPr>
      <w:r>
        <w:t>Despite the improvement in BIC score, i</w:t>
      </w:r>
      <w:r w:rsidR="00405452">
        <w:t>nspection of the negat</w:t>
      </w:r>
      <w:r>
        <w:t xml:space="preserve">ive </w:t>
      </w:r>
      <w:r w:rsidRPr="009F50A2">
        <w:t>binomial deviance residuals</w:t>
      </w:r>
      <w:r w:rsidR="00405452" w:rsidRPr="009F50A2">
        <w:t xml:space="preserve"> reveals a distinct structure</w:t>
      </w:r>
      <w:r w:rsidRPr="009F50A2">
        <w:t>. Notably</w:t>
      </w:r>
      <w:r w:rsidR="001466DD">
        <w:t>,</w:t>
      </w:r>
      <w:r w:rsidRPr="009F50A2">
        <w:t xml:space="preserve"> the model shows </w:t>
      </w:r>
      <w:r w:rsidR="00405452" w:rsidRPr="009F50A2">
        <w:t xml:space="preserve">a bias </w:t>
      </w:r>
      <w:r w:rsidRPr="009F50A2">
        <w:t xml:space="preserve">to under-estimating </w:t>
      </w:r>
      <w:r w:rsidR="00BE1876" w:rsidRPr="009F50A2">
        <w:t xml:space="preserve">larger values (Figure </w:t>
      </w:r>
      <w:r w:rsidR="005B6DA2" w:rsidRPr="009F50A2">
        <w:t>1</w:t>
      </w:r>
      <w:r w:rsidR="00BE1876" w:rsidRPr="009F50A2">
        <w:t xml:space="preserve"> </w:t>
      </w:r>
      <w:r w:rsidR="00337149" w:rsidRPr="009F50A2">
        <w:t>B</w:t>
      </w:r>
      <w:r w:rsidR="00BE1876" w:rsidRPr="009F50A2">
        <w:t>) and</w:t>
      </w:r>
      <w:r w:rsidR="00405452" w:rsidRPr="009F50A2">
        <w:t xml:space="preserve"> a strong discontinuity in the Q-Q </w:t>
      </w:r>
      <w:r w:rsidR="00BE1876" w:rsidRPr="009F50A2">
        <w:t>plot</w:t>
      </w:r>
      <w:r w:rsidR="00405452" w:rsidRPr="009F50A2">
        <w:t xml:space="preserve"> (see Figure </w:t>
      </w:r>
      <w:r w:rsidR="005B6DA2" w:rsidRPr="009F50A2">
        <w:t>1</w:t>
      </w:r>
      <w:r w:rsidR="00BE1876" w:rsidRPr="009F50A2">
        <w:t xml:space="preserve"> </w:t>
      </w:r>
      <w:r w:rsidR="00337149" w:rsidRPr="009F50A2">
        <w:t>A</w:t>
      </w:r>
      <w:r w:rsidR="005B6DA2" w:rsidRPr="009F50A2">
        <w:t xml:space="preserve">). </w:t>
      </w:r>
      <w:r w:rsidR="00B473E8" w:rsidRPr="009F50A2">
        <w:t xml:space="preserve">This behaviour </w:t>
      </w:r>
      <w:r w:rsidR="00BE1876" w:rsidRPr="009F50A2">
        <w:t xml:space="preserve">may well be explained by having two competing </w:t>
      </w:r>
      <w:r w:rsidR="00B473E8" w:rsidRPr="009F50A2">
        <w:t xml:space="preserve">processes – one driving the inflated zero counts, and the other the expected Poisson behaviour.  </w:t>
      </w:r>
    </w:p>
    <w:p w14:paraId="3BFDCFCD" w14:textId="44F02DBA" w:rsidR="00C87271" w:rsidRPr="00693880" w:rsidRDefault="00C87271" w:rsidP="004A7F33">
      <w:pPr>
        <w:jc w:val="both"/>
        <w:rPr>
          <w:b/>
        </w:rPr>
      </w:pPr>
      <w:r w:rsidRPr="00693880">
        <w:rPr>
          <w:b/>
        </w:rPr>
        <w:t xml:space="preserve">Figure </w:t>
      </w:r>
      <w:r w:rsidR="005B6DA2" w:rsidRPr="00693880">
        <w:rPr>
          <w:b/>
        </w:rPr>
        <w:t>1</w:t>
      </w:r>
      <w:r w:rsidRPr="00693880">
        <w:rPr>
          <w:b/>
        </w:rPr>
        <w:t xml:space="preserve">.  Comparison of residuals for Poisson and Negative Binomial regression.  </w:t>
      </w:r>
    </w:p>
    <w:p w14:paraId="740B820F" w14:textId="15D4D80D" w:rsidR="00E46B21" w:rsidRDefault="00EA10E0" w:rsidP="00EA10E0">
      <w:pPr>
        <w:spacing w:before="240"/>
        <w:jc w:val="both"/>
      </w:pPr>
      <w:r w:rsidRPr="00EA10E0">
        <w:rPr>
          <w:rFonts w:ascii="Arial" w:hAnsi="Arial" w:cs="Arial"/>
          <w:noProof/>
          <w:color w:val="333333"/>
          <w:sz w:val="21"/>
          <w:szCs w:val="21"/>
          <w:shd w:val="clear" w:color="auto" w:fill="FFFFFF"/>
          <w:lang w:eastAsia="en-GB"/>
        </w:rPr>
        <w:drawing>
          <wp:inline distT="0" distB="0" distL="0" distR="0" wp14:anchorId="696BD933" wp14:editId="34B5CB0A">
            <wp:extent cx="5731510" cy="3253120"/>
            <wp:effectExtent l="0" t="0" r="2540" b="4445"/>
            <wp:docPr id="1" name="Picture 1" descr="Y:\Research\NHSI_MH data study\publications\Health informatics journal\HIJ publication April 2019\1st submission\R.Cook et al_Figure 1_09.0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esearch\NHSI_MH data study\publications\Health informatics journal\HIJ publication April 2019\1st submission\R.Cook et al_Figure 1_09.04.1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53120"/>
                    </a:xfrm>
                    <a:prstGeom prst="rect">
                      <a:avLst/>
                    </a:prstGeom>
                    <a:noFill/>
                    <a:ln>
                      <a:noFill/>
                    </a:ln>
                  </pic:spPr>
                </pic:pic>
              </a:graphicData>
            </a:graphic>
          </wp:inline>
        </w:drawing>
      </w:r>
      <w:r w:rsidR="00BE1876">
        <w:t xml:space="preserve">Two competing behaviours is relatively common, and should in theory be well modelled via the </w:t>
      </w:r>
      <w:r w:rsidR="00387762">
        <w:t xml:space="preserve">hurdle or zero-inflated models. </w:t>
      </w:r>
      <w:r w:rsidR="00BE1876">
        <w:t xml:space="preserve">However, if the variables being modelled do not account for which of the two behaviours dominates, these models will </w:t>
      </w:r>
      <w:r w:rsidR="00387762">
        <w:t xml:space="preserve">have only limited performance. </w:t>
      </w:r>
      <w:r w:rsidR="00BE1876">
        <w:t>As an alternative, we turn now to consider how well a latent variable model, such as the EM algorithm, explains the data.</w:t>
      </w:r>
      <w:r w:rsidR="00387762">
        <w:t xml:space="preserve"> </w:t>
      </w:r>
    </w:p>
    <w:p w14:paraId="33B68DE8" w14:textId="42ECEB56" w:rsidR="00F45BDB" w:rsidRDefault="009C2145" w:rsidP="002A4FBF">
      <w:pPr>
        <w:jc w:val="both"/>
        <w:rPr>
          <w:rFonts w:eastAsiaTheme="minorEastAsia"/>
        </w:rPr>
      </w:pPr>
      <w:r>
        <w:rPr>
          <w:rFonts w:eastAsiaTheme="minorEastAsia"/>
        </w:rPr>
        <w:t>Having fit the EM algorithm, the data w</w:t>
      </w:r>
      <w:r w:rsidR="005C4A50">
        <w:rPr>
          <w:rFonts w:eastAsiaTheme="minorEastAsia"/>
        </w:rPr>
        <w:t>ere</w:t>
      </w:r>
      <w:r>
        <w:rPr>
          <w:rFonts w:eastAsiaTheme="minorEastAsia"/>
        </w:rPr>
        <w:t xml:space="preserve"> found to be well divided between two </w:t>
      </w:r>
      <w:r w:rsidR="00F45BDB">
        <w:rPr>
          <w:rFonts w:eastAsiaTheme="minorEastAsia"/>
        </w:rPr>
        <w:t>models</w:t>
      </w:r>
      <w:r>
        <w:rPr>
          <w:rFonts w:eastAsiaTheme="minorEastAsia"/>
        </w:rPr>
        <w:t xml:space="preserve">. </w:t>
      </w:r>
      <w:r w:rsidR="00F45BDB">
        <w:rPr>
          <w:rFonts w:eastAsiaTheme="minorEastAsia"/>
        </w:rPr>
        <w:t>Dividing the data at a</w:t>
      </w:r>
      <w:r w:rsidR="004A1B14">
        <w:rPr>
          <w:rFonts w:eastAsiaTheme="minorEastAsia"/>
        </w:rPr>
        <w:t xml:space="preserve"> model-</w:t>
      </w:r>
      <w:r w:rsidR="00F45BDB">
        <w:rPr>
          <w:rFonts w:eastAsiaTheme="minorEastAsia"/>
        </w:rPr>
        <w:t xml:space="preserve">probability of 0.5, the two models show remarkably different </w:t>
      </w:r>
      <w:r>
        <w:rPr>
          <w:rFonts w:eastAsiaTheme="minorEastAsia"/>
        </w:rPr>
        <w:t>average rates of</w:t>
      </w:r>
      <w:r w:rsidR="00F45BDB">
        <w:rPr>
          <w:rFonts w:eastAsiaTheme="minorEastAsia"/>
        </w:rPr>
        <w:t xml:space="preserve"> adverse events per nurse on the ward of</w:t>
      </w:r>
      <w:r>
        <w:rPr>
          <w:rFonts w:eastAsiaTheme="minorEastAsia"/>
        </w:rPr>
        <w:t xml:space="preserve"> 0.175</w:t>
      </w:r>
      <w:r w:rsidR="001624CC">
        <w:rPr>
          <w:rFonts w:eastAsiaTheme="minorEastAsia"/>
        </w:rPr>
        <w:t xml:space="preserve"> </w:t>
      </w:r>
      <w:r>
        <w:rPr>
          <w:rFonts w:eastAsiaTheme="minorEastAsia"/>
        </w:rPr>
        <w:t>(</w:t>
      </w:r>
      <w:r w:rsidR="00BE026A">
        <w:t>± 0.00</w:t>
      </w:r>
      <w:r>
        <w:rPr>
          <w:rFonts w:eastAsiaTheme="minorEastAsia"/>
        </w:rPr>
        <w:t>2) and 0.00087</w:t>
      </w:r>
      <w:r w:rsidR="001624CC">
        <w:rPr>
          <w:rFonts w:eastAsiaTheme="minorEastAsia"/>
        </w:rPr>
        <w:t xml:space="preserve"> </w:t>
      </w:r>
      <w:r>
        <w:rPr>
          <w:rFonts w:eastAsiaTheme="minorEastAsia"/>
        </w:rPr>
        <w:t>(</w:t>
      </w:r>
      <w:r w:rsidR="00BE026A">
        <w:t>± 0.0000</w:t>
      </w:r>
      <w:r>
        <w:rPr>
          <w:rFonts w:eastAsiaTheme="minorEastAsia"/>
        </w:rPr>
        <w:t>4</w:t>
      </w:r>
      <w:r w:rsidR="00F45BDB">
        <w:rPr>
          <w:rFonts w:eastAsiaTheme="minorEastAsia"/>
        </w:rPr>
        <w:t>)</w:t>
      </w:r>
      <w:r>
        <w:rPr>
          <w:rFonts w:eastAsiaTheme="minorEastAsia"/>
        </w:rPr>
        <w:t xml:space="preserve"> for 5,908 and 34,079 observations respectively. </w:t>
      </w:r>
      <w:r w:rsidR="00F45BDB">
        <w:rPr>
          <w:rFonts w:eastAsiaTheme="minorEastAsia"/>
        </w:rPr>
        <w:t xml:space="preserve">With these values in mind, it appears the system is divided between adverse events being reported at a moderate rate, and at a low rate.  We hence adopt the term “Moderate </w:t>
      </w:r>
      <w:r w:rsidR="004A1B14">
        <w:rPr>
          <w:rFonts w:eastAsiaTheme="minorEastAsia"/>
        </w:rPr>
        <w:t xml:space="preserve">Reporting </w:t>
      </w:r>
      <w:r w:rsidR="00F45BDB">
        <w:rPr>
          <w:rFonts w:eastAsiaTheme="minorEastAsia"/>
        </w:rPr>
        <w:t>Model”</w:t>
      </w:r>
      <w:r w:rsidR="004A1B14">
        <w:rPr>
          <w:rFonts w:eastAsiaTheme="minorEastAsia"/>
        </w:rPr>
        <w:t xml:space="preserve"> (MRM)</w:t>
      </w:r>
      <w:r w:rsidR="00F45BDB">
        <w:rPr>
          <w:rFonts w:eastAsiaTheme="minorEastAsia"/>
        </w:rPr>
        <w:t xml:space="preserve"> and “Low </w:t>
      </w:r>
      <w:r w:rsidR="004A1B14">
        <w:rPr>
          <w:rFonts w:eastAsiaTheme="minorEastAsia"/>
        </w:rPr>
        <w:t xml:space="preserve">Reporting </w:t>
      </w:r>
      <w:r w:rsidR="00F45BDB">
        <w:rPr>
          <w:rFonts w:eastAsiaTheme="minorEastAsia"/>
        </w:rPr>
        <w:t>Model”</w:t>
      </w:r>
      <w:r w:rsidR="004A1B14">
        <w:rPr>
          <w:rFonts w:eastAsiaTheme="minorEastAsia"/>
        </w:rPr>
        <w:t xml:space="preserve"> (LRM)</w:t>
      </w:r>
      <w:r w:rsidR="00F45BDB">
        <w:rPr>
          <w:rFonts w:eastAsiaTheme="minorEastAsia"/>
        </w:rPr>
        <w:t xml:space="preserve"> to describe the two competing scenarios.</w:t>
      </w:r>
      <w:r w:rsidR="005B6DA2">
        <w:rPr>
          <w:rFonts w:eastAsiaTheme="minorEastAsia"/>
        </w:rPr>
        <w:t xml:space="preserve"> </w:t>
      </w:r>
    </w:p>
    <w:p w14:paraId="45AEA7F9" w14:textId="5877AEB8" w:rsidR="00920A32" w:rsidRPr="00C65ABF" w:rsidRDefault="00920A32" w:rsidP="00920A32">
      <w:pPr>
        <w:jc w:val="both"/>
        <w:rPr>
          <w:rFonts w:eastAsiaTheme="minorEastAsia"/>
        </w:rPr>
      </w:pPr>
      <w:r>
        <w:rPr>
          <w:rFonts w:eastAsiaTheme="minorEastAsia"/>
        </w:rPr>
        <w:t>To explore how well we can predict which model applies to a new observation, the LRM</w:t>
      </w:r>
      <w:r w:rsidR="005B6DA2">
        <w:rPr>
          <w:rFonts w:eastAsiaTheme="minorEastAsia"/>
        </w:rPr>
        <w:t xml:space="preserve"> </w:t>
      </w:r>
      <w:r>
        <w:rPr>
          <w:rFonts w:eastAsiaTheme="minorEastAsia"/>
        </w:rPr>
        <w:t>probabilities arising from the EM algorithm were fit using LASSO-logistic regression.</w:t>
      </w:r>
      <w:r w:rsidR="005B6DA2">
        <w:rPr>
          <w:rFonts w:eastAsiaTheme="minorEastAsia"/>
        </w:rPr>
        <w:t xml:space="preserve"> </w:t>
      </w:r>
      <w:r>
        <w:rPr>
          <w:rFonts w:eastAsiaTheme="minorEastAsia"/>
        </w:rPr>
        <w:t xml:space="preserve">By aggregating the data into two groups, LRM vs MRM, the regression becomes a binomial regression problem and is hence referred to as the </w:t>
      </w:r>
      <w:r w:rsidR="00282B24">
        <w:rPr>
          <w:rFonts w:eastAsiaTheme="minorEastAsia"/>
        </w:rPr>
        <w:t>B</w:t>
      </w:r>
      <w:r>
        <w:rPr>
          <w:rFonts w:eastAsiaTheme="minorEastAsia"/>
        </w:rPr>
        <w:t xml:space="preserve">inomial </w:t>
      </w:r>
      <w:r w:rsidR="00282B24">
        <w:rPr>
          <w:rFonts w:eastAsiaTheme="minorEastAsia"/>
        </w:rPr>
        <w:t>M</w:t>
      </w:r>
      <w:r>
        <w:rPr>
          <w:rFonts w:eastAsiaTheme="minorEastAsia"/>
        </w:rPr>
        <w:t xml:space="preserve">odel (BM). The initial BM, performed using the same variables as the EM </w:t>
      </w:r>
      <w:r>
        <w:rPr>
          <w:rFonts w:eastAsiaTheme="minorEastAsia"/>
        </w:rPr>
        <w:lastRenderedPageBreak/>
        <w:t>algorithm, showed some predictive power (‘Receiver Operator curve – area under curve’ score (</w:t>
      </w:r>
      <w:r w:rsidRPr="000F0172">
        <w:rPr>
          <w:rFonts w:eastAsiaTheme="minorEastAsia"/>
          <w:i/>
        </w:rPr>
        <w:t>roc-</w:t>
      </w:r>
      <w:proofErr w:type="spellStart"/>
      <w:r w:rsidRPr="000F0172">
        <w:rPr>
          <w:rFonts w:eastAsiaTheme="minorEastAsia"/>
          <w:i/>
        </w:rPr>
        <w:t>auc</w:t>
      </w:r>
      <w:proofErr w:type="spellEnd"/>
      <w:r>
        <w:rPr>
          <w:rFonts w:eastAsiaTheme="minorEastAsia"/>
        </w:rPr>
        <w:t xml:space="preserve">) = 0.7474).  The </w:t>
      </w:r>
      <w:r w:rsidRPr="00C65ABF">
        <w:rPr>
          <w:rFonts w:eastAsiaTheme="minorEastAsia"/>
          <w:i/>
        </w:rPr>
        <w:t>roc-</w:t>
      </w:r>
      <w:proofErr w:type="spellStart"/>
      <w:r w:rsidRPr="00C65ABF">
        <w:rPr>
          <w:rFonts w:eastAsiaTheme="minorEastAsia"/>
          <w:i/>
        </w:rPr>
        <w:t>auc</w:t>
      </w:r>
      <w:proofErr w:type="spellEnd"/>
      <w:r>
        <w:rPr>
          <w:rFonts w:eastAsiaTheme="minorEastAsia"/>
          <w:i/>
        </w:rPr>
        <w:t xml:space="preserve"> </w:t>
      </w:r>
      <w:r>
        <w:rPr>
          <w:rFonts w:eastAsiaTheme="minorEastAsia"/>
        </w:rPr>
        <w:t xml:space="preserve">score takes values between 0.5 (unable to predict the correct model) and 1 (perfect prediction of the correct model), with a value of 0.75 suggesting only </w:t>
      </w:r>
      <w:r w:rsidR="00526CCA">
        <w:t>moderate</w:t>
      </w:r>
      <w:r w:rsidR="00526CCA" w:rsidDel="00526CCA">
        <w:rPr>
          <w:rFonts w:eastAsiaTheme="minorEastAsia"/>
        </w:rPr>
        <w:t xml:space="preserve"> </w:t>
      </w:r>
      <w:r>
        <w:rPr>
          <w:rFonts w:eastAsiaTheme="minorEastAsia"/>
        </w:rPr>
        <w:t xml:space="preserve">predictive power.  </w:t>
      </w:r>
    </w:p>
    <w:p w14:paraId="7484E31C" w14:textId="77777777" w:rsidR="003C6AC8" w:rsidRDefault="00920A32" w:rsidP="00EB0DE9">
      <w:pPr>
        <w:jc w:val="both"/>
        <w:rPr>
          <w:rFonts w:eastAsiaTheme="minorEastAsia"/>
        </w:rPr>
      </w:pPr>
      <w:r>
        <w:rPr>
          <w:rFonts w:eastAsiaTheme="minorEastAsia"/>
        </w:rPr>
        <w:t>To improve the predictive power of the BM</w:t>
      </w:r>
      <w:r w:rsidR="005B6DA2">
        <w:rPr>
          <w:rFonts w:eastAsiaTheme="minorEastAsia"/>
        </w:rPr>
        <w:t>,</w:t>
      </w:r>
      <w:r>
        <w:rPr>
          <w:rFonts w:eastAsiaTheme="minorEastAsia"/>
        </w:rPr>
        <w:t xml:space="preserve"> the covariates were expanded to include the last reported rate of adverse event on each ward. The addition of the extra term dramatically improved the </w:t>
      </w:r>
      <w:r w:rsidRPr="002D0B0F">
        <w:rPr>
          <w:rFonts w:eastAsiaTheme="minorEastAsia"/>
          <w:i/>
        </w:rPr>
        <w:t>roc-</w:t>
      </w:r>
      <w:proofErr w:type="spellStart"/>
      <w:r w:rsidRPr="002D0B0F">
        <w:rPr>
          <w:rFonts w:eastAsiaTheme="minorEastAsia"/>
          <w:i/>
        </w:rPr>
        <w:t>auc</w:t>
      </w:r>
      <w:proofErr w:type="spellEnd"/>
      <w:r>
        <w:rPr>
          <w:rFonts w:eastAsiaTheme="minorEastAsia"/>
        </w:rPr>
        <w:t xml:space="preserve"> score (0.9983, near perfect prediction). This suggests that the model division learnt through the EM </w:t>
      </w:r>
      <w:r w:rsidRPr="00BF29D9">
        <w:rPr>
          <w:rFonts w:eastAsiaTheme="minorEastAsia"/>
        </w:rPr>
        <w:t>algorithm may be well predicted for new observations, not merely learnt retrospectively, and is highly dependent o</w:t>
      </w:r>
      <w:r w:rsidR="005B6DA2" w:rsidRPr="00BF29D9">
        <w:rPr>
          <w:rFonts w:eastAsiaTheme="minorEastAsia"/>
        </w:rPr>
        <w:t xml:space="preserve">n the previous reporting rate. </w:t>
      </w:r>
      <w:r w:rsidRPr="00BF29D9">
        <w:rPr>
          <w:rFonts w:eastAsiaTheme="minorEastAsia"/>
        </w:rPr>
        <w:t xml:space="preserve">The parameter values for the optimal BM are given in Table </w:t>
      </w:r>
      <w:r w:rsidR="00BE026A">
        <w:rPr>
          <w:rFonts w:eastAsiaTheme="minorEastAsia"/>
        </w:rPr>
        <w:t>2</w:t>
      </w:r>
      <w:r w:rsidR="00BE026A" w:rsidRPr="00BF29D9">
        <w:rPr>
          <w:rFonts w:eastAsiaTheme="minorEastAsia"/>
        </w:rPr>
        <w:t xml:space="preserve"> </w:t>
      </w:r>
      <w:r w:rsidRPr="00BF29D9">
        <w:rPr>
          <w:rFonts w:eastAsiaTheme="minorEastAsia"/>
        </w:rPr>
        <w:t>and the odds-ratio confidence-intervals for the staffing parameters</w:t>
      </w:r>
      <w:r w:rsidR="008F7213">
        <w:rPr>
          <w:rFonts w:eastAsiaTheme="minorEastAsia"/>
        </w:rPr>
        <w:t xml:space="preserve"> are</w:t>
      </w:r>
      <w:r w:rsidRPr="00BF29D9">
        <w:rPr>
          <w:rFonts w:eastAsiaTheme="minorEastAsia"/>
        </w:rPr>
        <w:t xml:space="preserve"> included in Figure </w:t>
      </w:r>
      <w:r w:rsidR="005B6DA2" w:rsidRPr="00BF29D9">
        <w:rPr>
          <w:rFonts w:eastAsiaTheme="minorEastAsia"/>
        </w:rPr>
        <w:t>2</w:t>
      </w:r>
      <w:r w:rsidRPr="00BF29D9">
        <w:rPr>
          <w:rFonts w:eastAsiaTheme="minorEastAsia"/>
        </w:rPr>
        <w:t xml:space="preserve"> where a positive parameter value indicates a preference for the LRM. </w:t>
      </w:r>
    </w:p>
    <w:p w14:paraId="11633086" w14:textId="29099FDC" w:rsidR="004D6D0E" w:rsidRPr="00B07C54" w:rsidRDefault="004D6D0E" w:rsidP="00EB0DE9">
      <w:pPr>
        <w:jc w:val="both"/>
        <w:rPr>
          <w:b/>
        </w:rPr>
      </w:pPr>
      <w:r w:rsidRPr="00B07C54">
        <w:rPr>
          <w:b/>
        </w:rPr>
        <w:t>T</w:t>
      </w:r>
      <w:r w:rsidR="005B6DA2" w:rsidRPr="00B07C54">
        <w:rPr>
          <w:b/>
        </w:rPr>
        <w:t xml:space="preserve">able </w:t>
      </w:r>
      <w:r w:rsidR="00BE026A" w:rsidRPr="00B07C54">
        <w:rPr>
          <w:b/>
        </w:rPr>
        <w:t>2</w:t>
      </w:r>
      <w:r w:rsidR="005B6DA2" w:rsidRPr="00B07C54">
        <w:rPr>
          <w:b/>
        </w:rPr>
        <w:t xml:space="preserve">: </w:t>
      </w:r>
      <w:r w:rsidR="00076971" w:rsidRPr="00B07C54">
        <w:rPr>
          <w:b/>
        </w:rPr>
        <w:t xml:space="preserve">Location parameters for the three </w:t>
      </w:r>
      <w:r w:rsidRPr="00B07C54">
        <w:rPr>
          <w:b/>
        </w:rPr>
        <w:t>model</w:t>
      </w:r>
      <w:r w:rsidR="00076971" w:rsidRPr="00B07C54">
        <w:rPr>
          <w:b/>
        </w:rPr>
        <w:t>s</w:t>
      </w:r>
      <w:r w:rsidR="00630915" w:rsidRPr="00B07C54">
        <w:rPr>
          <w:b/>
        </w:rPr>
        <w:t xml:space="preserve"> (with 95% confidence inte</w:t>
      </w:r>
      <w:r w:rsidR="00BF29D9" w:rsidRPr="00B07C54">
        <w:rPr>
          <w:b/>
        </w:rPr>
        <w:t>rvals and significance level)</w:t>
      </w:r>
    </w:p>
    <w:tbl>
      <w:tblPr>
        <w:tblStyle w:val="GridTable2-Accent1"/>
        <w:tblW w:w="8789" w:type="dxa"/>
        <w:tblLook w:val="04A0" w:firstRow="1" w:lastRow="0" w:firstColumn="1" w:lastColumn="0" w:noHBand="0" w:noVBand="1"/>
      </w:tblPr>
      <w:tblGrid>
        <w:gridCol w:w="1111"/>
        <w:gridCol w:w="2433"/>
        <w:gridCol w:w="2835"/>
        <w:gridCol w:w="2410"/>
      </w:tblGrid>
      <w:tr w:rsidR="00920A32" w:rsidRPr="00630915" w14:paraId="0195EC4C" w14:textId="77777777" w:rsidTr="00A9001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79E354CD" w14:textId="70970AE2" w:rsidR="00920A32" w:rsidRPr="00630915" w:rsidRDefault="00920A32" w:rsidP="00A9001A">
            <w:pPr>
              <w:rPr>
                <w:rFonts w:ascii="Times New Roman" w:eastAsia="Times New Roman" w:hAnsi="Times New Roman" w:cs="Times New Roman"/>
                <w:sz w:val="24"/>
                <w:szCs w:val="24"/>
                <w:lang w:eastAsia="en-GB"/>
              </w:rPr>
            </w:pPr>
          </w:p>
        </w:tc>
        <w:tc>
          <w:tcPr>
            <w:tcW w:w="2433" w:type="dxa"/>
            <w:noWrap/>
            <w:hideMark/>
          </w:tcPr>
          <w:p w14:paraId="21392F57" w14:textId="77777777" w:rsidR="00920A32" w:rsidRDefault="00920A32" w:rsidP="00A900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Binomial </w:t>
            </w:r>
          </w:p>
          <w:p w14:paraId="29D9E19E" w14:textId="77777777" w:rsidR="00920A32" w:rsidRPr="00630915" w:rsidRDefault="00920A32" w:rsidP="00A900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Model</w:t>
            </w:r>
          </w:p>
        </w:tc>
        <w:tc>
          <w:tcPr>
            <w:tcW w:w="2835" w:type="dxa"/>
            <w:noWrap/>
            <w:hideMark/>
          </w:tcPr>
          <w:p w14:paraId="26B1290A" w14:textId="77777777" w:rsidR="00920A32" w:rsidRDefault="00920A32" w:rsidP="00A900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Moderate Reporting </w:t>
            </w:r>
          </w:p>
          <w:p w14:paraId="758038C6" w14:textId="77777777" w:rsidR="00920A32" w:rsidRPr="00630915" w:rsidRDefault="00920A32" w:rsidP="00A900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B74003">
              <w:rPr>
                <w:rFonts w:ascii="Calibri" w:eastAsia="Times New Roman" w:hAnsi="Calibri" w:cs="Times New Roman"/>
                <w:color w:val="000000"/>
                <w:lang w:eastAsia="en-GB"/>
              </w:rPr>
              <w:t>Model</w:t>
            </w:r>
          </w:p>
        </w:tc>
        <w:tc>
          <w:tcPr>
            <w:tcW w:w="2410" w:type="dxa"/>
            <w:noWrap/>
            <w:hideMark/>
          </w:tcPr>
          <w:p w14:paraId="530F0375" w14:textId="77777777" w:rsidR="00920A32" w:rsidRDefault="00920A32" w:rsidP="00A900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Low Reporting </w:t>
            </w:r>
          </w:p>
          <w:p w14:paraId="02047F57" w14:textId="77777777" w:rsidR="00920A32" w:rsidRPr="00630915" w:rsidRDefault="00920A32" w:rsidP="00A9001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Model</w:t>
            </w:r>
          </w:p>
        </w:tc>
      </w:tr>
      <w:tr w:rsidR="00920A32" w:rsidRPr="00630915" w14:paraId="319B5A4F" w14:textId="77777777" w:rsidTr="00A900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6F96E238" w14:textId="77777777" w:rsidR="00920A32" w:rsidRPr="00630915" w:rsidRDefault="00920A32" w:rsidP="00A9001A">
            <w:pPr>
              <w:rPr>
                <w:rFonts w:ascii="Calibri" w:eastAsia="Times New Roman" w:hAnsi="Calibri" w:cs="Times New Roman"/>
                <w:color w:val="000000"/>
                <w:lang w:eastAsia="en-GB"/>
              </w:rPr>
            </w:pPr>
            <w:r>
              <w:rPr>
                <w:lang w:eastAsia="en-GB"/>
              </w:rPr>
              <w:t>Loc1</w:t>
            </w:r>
          </w:p>
        </w:tc>
        <w:tc>
          <w:tcPr>
            <w:tcW w:w="2433" w:type="dxa"/>
            <w:noWrap/>
            <w:hideMark/>
          </w:tcPr>
          <w:p w14:paraId="0A71818A"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0.341 [0.0924, 1.17] (-)</w:t>
            </w:r>
          </w:p>
        </w:tc>
        <w:tc>
          <w:tcPr>
            <w:tcW w:w="2835" w:type="dxa"/>
            <w:noWrap/>
            <w:hideMark/>
          </w:tcPr>
          <w:p w14:paraId="3F8353E3"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-1.75 [-1.95, -1.47] (***)</w:t>
            </w:r>
          </w:p>
        </w:tc>
        <w:tc>
          <w:tcPr>
            <w:tcW w:w="2410" w:type="dxa"/>
            <w:noWrap/>
            <w:hideMark/>
          </w:tcPr>
          <w:p w14:paraId="2C36139E"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1F6A4A5E" w14:textId="77777777" w:rsidTr="00A9001A">
        <w:trPr>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2FE44E3C" w14:textId="77777777" w:rsidR="00920A32" w:rsidRPr="00630915" w:rsidRDefault="00920A32" w:rsidP="00A9001A">
            <w:pPr>
              <w:rPr>
                <w:rFonts w:ascii="Calibri" w:eastAsia="Times New Roman" w:hAnsi="Calibri" w:cs="Times New Roman"/>
                <w:color w:val="000000"/>
                <w:lang w:eastAsia="en-GB"/>
              </w:rPr>
            </w:pPr>
            <w:r>
              <w:rPr>
                <w:lang w:eastAsia="en-GB"/>
              </w:rPr>
              <w:t>Loc2</w:t>
            </w:r>
          </w:p>
        </w:tc>
        <w:tc>
          <w:tcPr>
            <w:tcW w:w="2433" w:type="dxa"/>
            <w:noWrap/>
            <w:hideMark/>
          </w:tcPr>
          <w:p w14:paraId="649A1CDA"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[-0.0808, 0.0808] (-)</w:t>
            </w:r>
          </w:p>
        </w:tc>
        <w:tc>
          <w:tcPr>
            <w:tcW w:w="2835" w:type="dxa"/>
            <w:noWrap/>
            <w:hideMark/>
          </w:tcPr>
          <w:p w14:paraId="0751B4DC"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-1.03 [-1.23, -0.749] (***)</w:t>
            </w:r>
          </w:p>
        </w:tc>
        <w:tc>
          <w:tcPr>
            <w:tcW w:w="2410" w:type="dxa"/>
            <w:noWrap/>
            <w:hideMark/>
          </w:tcPr>
          <w:p w14:paraId="64941158"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12E4ED3A" w14:textId="77777777" w:rsidTr="00A900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4BB3B31E" w14:textId="77777777" w:rsidR="00920A32" w:rsidRPr="00630915" w:rsidRDefault="00920A32" w:rsidP="00A9001A">
            <w:pPr>
              <w:rPr>
                <w:rFonts w:ascii="Calibri" w:eastAsia="Times New Roman" w:hAnsi="Calibri" w:cs="Times New Roman"/>
                <w:color w:val="000000"/>
                <w:lang w:eastAsia="en-GB"/>
              </w:rPr>
            </w:pPr>
            <w:r w:rsidRPr="002701B4">
              <w:rPr>
                <w:lang w:eastAsia="en-GB"/>
              </w:rPr>
              <w:t>Loc3</w:t>
            </w:r>
          </w:p>
        </w:tc>
        <w:tc>
          <w:tcPr>
            <w:tcW w:w="2433" w:type="dxa"/>
            <w:noWrap/>
            <w:hideMark/>
          </w:tcPr>
          <w:p w14:paraId="47EB5DDD"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0.769 [0.352, 2.32] (-)</w:t>
            </w:r>
          </w:p>
        </w:tc>
        <w:tc>
          <w:tcPr>
            <w:tcW w:w="2835" w:type="dxa"/>
            <w:noWrap/>
            <w:hideMark/>
          </w:tcPr>
          <w:p w14:paraId="2B7CCA91"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-1.08 [-1.62, -0.471] (***)</w:t>
            </w:r>
          </w:p>
        </w:tc>
        <w:tc>
          <w:tcPr>
            <w:tcW w:w="2410" w:type="dxa"/>
            <w:noWrap/>
            <w:hideMark/>
          </w:tcPr>
          <w:p w14:paraId="6D73EA00"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6FA9AC7D" w14:textId="77777777" w:rsidTr="00A9001A">
        <w:trPr>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736D7AD9" w14:textId="77777777" w:rsidR="00920A32" w:rsidRPr="00630915" w:rsidRDefault="00920A32" w:rsidP="00A9001A">
            <w:pPr>
              <w:rPr>
                <w:rFonts w:ascii="Calibri" w:eastAsia="Times New Roman" w:hAnsi="Calibri" w:cs="Times New Roman"/>
                <w:color w:val="000000"/>
                <w:lang w:eastAsia="en-GB"/>
              </w:rPr>
            </w:pPr>
            <w:r w:rsidRPr="00BE47B5">
              <w:rPr>
                <w:lang w:eastAsia="en-GB"/>
              </w:rPr>
              <w:t>Loc4</w:t>
            </w:r>
          </w:p>
        </w:tc>
        <w:tc>
          <w:tcPr>
            <w:tcW w:w="2433" w:type="dxa"/>
            <w:noWrap/>
            <w:hideMark/>
          </w:tcPr>
          <w:p w14:paraId="4A0EBA30"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1.6 [1.33, 2.63] (***)</w:t>
            </w:r>
          </w:p>
        </w:tc>
        <w:tc>
          <w:tcPr>
            <w:tcW w:w="2835" w:type="dxa"/>
            <w:noWrap/>
            <w:hideMark/>
          </w:tcPr>
          <w:p w14:paraId="320997E2"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-1.46 [-1.66, -1.18] (***)</w:t>
            </w:r>
          </w:p>
        </w:tc>
        <w:tc>
          <w:tcPr>
            <w:tcW w:w="2410" w:type="dxa"/>
            <w:noWrap/>
            <w:hideMark/>
          </w:tcPr>
          <w:p w14:paraId="351487C7"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52601A82" w14:textId="77777777" w:rsidTr="00A900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5B4B3763" w14:textId="77777777" w:rsidR="00920A32" w:rsidRPr="00630915" w:rsidRDefault="00920A32" w:rsidP="00A9001A">
            <w:pPr>
              <w:rPr>
                <w:rFonts w:ascii="Calibri" w:eastAsia="Times New Roman" w:hAnsi="Calibri" w:cs="Times New Roman"/>
                <w:color w:val="000000"/>
                <w:lang w:eastAsia="en-GB"/>
              </w:rPr>
            </w:pPr>
            <w:r>
              <w:rPr>
                <w:lang w:eastAsia="en-GB"/>
              </w:rPr>
              <w:t>Loc5</w:t>
            </w:r>
          </w:p>
        </w:tc>
        <w:tc>
          <w:tcPr>
            <w:tcW w:w="2433" w:type="dxa"/>
            <w:noWrap/>
            <w:hideMark/>
          </w:tcPr>
          <w:p w14:paraId="6F98B418"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1.97 [1.74, 2.9] (***)</w:t>
            </w:r>
          </w:p>
        </w:tc>
        <w:tc>
          <w:tcPr>
            <w:tcW w:w="2835" w:type="dxa"/>
            <w:noWrap/>
            <w:hideMark/>
          </w:tcPr>
          <w:p w14:paraId="5041E279"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-1.39 [-1.6, -1.1] (***)</w:t>
            </w:r>
          </w:p>
        </w:tc>
        <w:tc>
          <w:tcPr>
            <w:tcW w:w="2410" w:type="dxa"/>
            <w:noWrap/>
            <w:hideMark/>
          </w:tcPr>
          <w:p w14:paraId="0A9A0936"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03F2CF39" w14:textId="77777777" w:rsidTr="00A9001A">
        <w:trPr>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4BE5C86A" w14:textId="77777777" w:rsidR="00920A32" w:rsidRPr="00630915" w:rsidRDefault="00920A32" w:rsidP="00A9001A">
            <w:pPr>
              <w:rPr>
                <w:rFonts w:ascii="Calibri" w:eastAsia="Times New Roman" w:hAnsi="Calibri" w:cs="Times New Roman"/>
                <w:color w:val="000000"/>
                <w:lang w:eastAsia="en-GB"/>
              </w:rPr>
            </w:pPr>
            <w:r>
              <w:rPr>
                <w:lang w:eastAsia="en-GB"/>
              </w:rPr>
              <w:t>Loc6</w:t>
            </w:r>
          </w:p>
        </w:tc>
        <w:tc>
          <w:tcPr>
            <w:tcW w:w="2433" w:type="dxa"/>
            <w:noWrap/>
            <w:hideMark/>
          </w:tcPr>
          <w:p w14:paraId="49466685"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1.26 [0.947, 2.38] (**)</w:t>
            </w:r>
          </w:p>
        </w:tc>
        <w:tc>
          <w:tcPr>
            <w:tcW w:w="2835" w:type="dxa"/>
            <w:noWrap/>
            <w:hideMark/>
          </w:tcPr>
          <w:p w14:paraId="2CD7D841"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-1.48 [-1.69, -1.2] (***)</w:t>
            </w:r>
          </w:p>
        </w:tc>
        <w:tc>
          <w:tcPr>
            <w:tcW w:w="2410" w:type="dxa"/>
            <w:noWrap/>
            <w:hideMark/>
          </w:tcPr>
          <w:p w14:paraId="6F900A94"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5B12D80D" w14:textId="77777777" w:rsidTr="00A900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15047023" w14:textId="77777777" w:rsidR="00920A32" w:rsidRPr="00630915" w:rsidRDefault="00920A32" w:rsidP="00A9001A">
            <w:pPr>
              <w:rPr>
                <w:rFonts w:ascii="Calibri" w:eastAsia="Times New Roman" w:hAnsi="Calibri" w:cs="Times New Roman"/>
                <w:color w:val="000000"/>
                <w:lang w:eastAsia="en-GB"/>
              </w:rPr>
            </w:pPr>
            <w:r w:rsidRPr="002701B4">
              <w:rPr>
                <w:lang w:eastAsia="en-GB"/>
              </w:rPr>
              <w:t>Loc7</w:t>
            </w:r>
          </w:p>
        </w:tc>
        <w:tc>
          <w:tcPr>
            <w:tcW w:w="2433" w:type="dxa"/>
            <w:noWrap/>
            <w:hideMark/>
          </w:tcPr>
          <w:p w14:paraId="664EAB8E"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0.931 [0.643, 1.89] (**)</w:t>
            </w:r>
          </w:p>
        </w:tc>
        <w:tc>
          <w:tcPr>
            <w:tcW w:w="2835" w:type="dxa"/>
            <w:noWrap/>
            <w:hideMark/>
          </w:tcPr>
          <w:p w14:paraId="7318534E"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-1.47 [-1.69, -1.16] (***)</w:t>
            </w:r>
          </w:p>
        </w:tc>
        <w:tc>
          <w:tcPr>
            <w:tcW w:w="2410" w:type="dxa"/>
            <w:noWrap/>
            <w:hideMark/>
          </w:tcPr>
          <w:p w14:paraId="0740C6AF"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54D041AC" w14:textId="77777777" w:rsidTr="00A9001A">
        <w:trPr>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7CF75890" w14:textId="77777777" w:rsidR="00920A32" w:rsidRPr="00630915" w:rsidRDefault="00920A32" w:rsidP="00A9001A">
            <w:pPr>
              <w:rPr>
                <w:rFonts w:ascii="Calibri" w:eastAsia="Times New Roman" w:hAnsi="Calibri" w:cs="Times New Roman"/>
                <w:color w:val="000000"/>
                <w:lang w:eastAsia="en-GB"/>
              </w:rPr>
            </w:pPr>
            <w:r>
              <w:rPr>
                <w:lang w:eastAsia="en-GB"/>
              </w:rPr>
              <w:t>Loc8</w:t>
            </w:r>
          </w:p>
        </w:tc>
        <w:tc>
          <w:tcPr>
            <w:tcW w:w="2433" w:type="dxa"/>
            <w:noWrap/>
            <w:hideMark/>
          </w:tcPr>
          <w:p w14:paraId="380D9775"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0.299 [0.0703, 1.05] (-)</w:t>
            </w:r>
          </w:p>
        </w:tc>
        <w:tc>
          <w:tcPr>
            <w:tcW w:w="2835" w:type="dxa"/>
            <w:noWrap/>
            <w:hideMark/>
          </w:tcPr>
          <w:p w14:paraId="7C7822D1"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-1.58 [-1.8, -1.27] (***)</w:t>
            </w:r>
          </w:p>
        </w:tc>
        <w:tc>
          <w:tcPr>
            <w:tcW w:w="2410" w:type="dxa"/>
            <w:noWrap/>
            <w:hideMark/>
          </w:tcPr>
          <w:p w14:paraId="27DC986C"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230E3ED9" w14:textId="77777777" w:rsidTr="00A900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5474468A" w14:textId="77777777" w:rsidR="00920A32" w:rsidRPr="00630915" w:rsidRDefault="00920A32" w:rsidP="00A9001A">
            <w:pPr>
              <w:rPr>
                <w:rFonts w:ascii="Calibri" w:eastAsia="Times New Roman" w:hAnsi="Calibri" w:cs="Times New Roman"/>
                <w:color w:val="000000"/>
                <w:lang w:eastAsia="en-GB"/>
              </w:rPr>
            </w:pPr>
            <w:r>
              <w:rPr>
                <w:lang w:eastAsia="en-GB"/>
              </w:rPr>
              <w:t>Loc9</w:t>
            </w:r>
          </w:p>
        </w:tc>
        <w:tc>
          <w:tcPr>
            <w:tcW w:w="2433" w:type="dxa"/>
            <w:noWrap/>
            <w:hideMark/>
          </w:tcPr>
          <w:p w14:paraId="0BC2FAEC"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2.39 [2.17, 3.25] (***)</w:t>
            </w:r>
          </w:p>
        </w:tc>
        <w:tc>
          <w:tcPr>
            <w:tcW w:w="2835" w:type="dxa"/>
            <w:noWrap/>
            <w:hideMark/>
          </w:tcPr>
          <w:p w14:paraId="5220DA98"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-1.42 [-1.64, -1.14] (***)</w:t>
            </w:r>
          </w:p>
        </w:tc>
        <w:tc>
          <w:tcPr>
            <w:tcW w:w="2410" w:type="dxa"/>
            <w:noWrap/>
            <w:hideMark/>
          </w:tcPr>
          <w:p w14:paraId="516ECF29"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-0.87 [-1, -0.745] (***)</w:t>
            </w:r>
          </w:p>
        </w:tc>
      </w:tr>
      <w:tr w:rsidR="00920A32" w:rsidRPr="00630915" w14:paraId="45B5DA51" w14:textId="77777777" w:rsidTr="00A9001A">
        <w:trPr>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748DD455" w14:textId="77777777" w:rsidR="00920A32" w:rsidRPr="00630915" w:rsidRDefault="00920A32" w:rsidP="00A9001A">
            <w:pPr>
              <w:rPr>
                <w:rFonts w:ascii="Calibri" w:eastAsia="Times New Roman" w:hAnsi="Calibri" w:cs="Times New Roman"/>
                <w:color w:val="000000"/>
                <w:lang w:eastAsia="en-GB"/>
              </w:rPr>
            </w:pPr>
            <w:r>
              <w:rPr>
                <w:lang w:eastAsia="en-GB"/>
              </w:rPr>
              <w:t>Loc10</w:t>
            </w:r>
          </w:p>
        </w:tc>
        <w:tc>
          <w:tcPr>
            <w:tcW w:w="2433" w:type="dxa"/>
            <w:noWrap/>
            <w:hideMark/>
          </w:tcPr>
          <w:p w14:paraId="0017C85A"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2.96 [2.77, 3.85] (***)</w:t>
            </w:r>
          </w:p>
        </w:tc>
        <w:tc>
          <w:tcPr>
            <w:tcW w:w="2835" w:type="dxa"/>
            <w:noWrap/>
            <w:hideMark/>
          </w:tcPr>
          <w:p w14:paraId="2B6DE7C2"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-1.37 [-1.6, -1.09] (***)</w:t>
            </w:r>
          </w:p>
        </w:tc>
        <w:tc>
          <w:tcPr>
            <w:tcW w:w="2410" w:type="dxa"/>
            <w:noWrap/>
            <w:hideMark/>
          </w:tcPr>
          <w:p w14:paraId="3260C6C2" w14:textId="77777777" w:rsidR="00920A32" w:rsidRPr="00630915" w:rsidRDefault="00920A32" w:rsidP="00A9001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0 [0, 0] (-)</w:t>
            </w:r>
          </w:p>
        </w:tc>
      </w:tr>
      <w:tr w:rsidR="00920A32" w:rsidRPr="00630915" w14:paraId="555EF7E3" w14:textId="77777777" w:rsidTr="00A900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dxa"/>
            <w:noWrap/>
            <w:hideMark/>
          </w:tcPr>
          <w:p w14:paraId="6C852718" w14:textId="77777777" w:rsidR="00920A32" w:rsidRPr="00630915" w:rsidRDefault="00920A32" w:rsidP="00A9001A">
            <w:pPr>
              <w:rPr>
                <w:rFonts w:ascii="Calibri" w:eastAsia="Times New Roman" w:hAnsi="Calibri" w:cs="Times New Roman"/>
                <w:color w:val="000000"/>
                <w:lang w:eastAsia="en-GB"/>
              </w:rPr>
            </w:pPr>
            <w:proofErr w:type="spellStart"/>
            <w:r w:rsidRPr="00630915">
              <w:rPr>
                <w:rFonts w:ascii="Calibri" w:eastAsia="Times New Roman" w:hAnsi="Calibri" w:cs="Times New Roman"/>
                <w:color w:val="000000"/>
                <w:lang w:eastAsia="en-GB"/>
              </w:rPr>
              <w:t>prev_rate</w:t>
            </w:r>
            <w:proofErr w:type="spellEnd"/>
          </w:p>
        </w:tc>
        <w:tc>
          <w:tcPr>
            <w:tcW w:w="2433" w:type="dxa"/>
            <w:noWrap/>
            <w:hideMark/>
          </w:tcPr>
          <w:p w14:paraId="4B39C379"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30915">
              <w:rPr>
                <w:rFonts w:ascii="Calibri" w:eastAsia="Times New Roman" w:hAnsi="Calibri" w:cs="Times New Roman"/>
                <w:color w:val="000000"/>
                <w:lang w:eastAsia="en-GB"/>
              </w:rPr>
              <w:t>-169 [-185, -161] (***)</w:t>
            </w:r>
          </w:p>
        </w:tc>
        <w:tc>
          <w:tcPr>
            <w:tcW w:w="2835" w:type="dxa"/>
            <w:noWrap/>
            <w:hideMark/>
          </w:tcPr>
          <w:p w14:paraId="020CC743"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p>
        </w:tc>
        <w:tc>
          <w:tcPr>
            <w:tcW w:w="2410" w:type="dxa"/>
            <w:noWrap/>
            <w:hideMark/>
          </w:tcPr>
          <w:p w14:paraId="3F4501B3" w14:textId="77777777" w:rsidR="00920A32" w:rsidRPr="00630915" w:rsidRDefault="00920A32" w:rsidP="00A900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bl>
    <w:p w14:paraId="0E8EB4F6" w14:textId="64A75D5F" w:rsidR="004D6D0E" w:rsidRDefault="004D6D0E" w:rsidP="004A7F33">
      <w:pPr>
        <w:jc w:val="both"/>
        <w:rPr>
          <w:rFonts w:eastAsiaTheme="minorEastAsia"/>
        </w:rPr>
      </w:pPr>
      <w:r>
        <w:rPr>
          <w:rFonts w:eastAsiaTheme="minorEastAsia"/>
        </w:rPr>
        <w:t xml:space="preserve">N.B.: </w:t>
      </w:r>
    </w:p>
    <w:tbl>
      <w:tblPr>
        <w:tblStyle w:val="TableGrid"/>
        <w:tblW w:w="0" w:type="auto"/>
        <w:tblInd w:w="539" w:type="dxa"/>
        <w:tblLook w:val="04A0" w:firstRow="1" w:lastRow="0" w:firstColumn="1" w:lastColumn="0" w:noHBand="0" w:noVBand="1"/>
      </w:tblPr>
      <w:tblGrid>
        <w:gridCol w:w="562"/>
        <w:gridCol w:w="2977"/>
      </w:tblGrid>
      <w:tr w:rsidR="004D6D0E" w14:paraId="55945194" w14:textId="77777777" w:rsidTr="004A7F33">
        <w:tc>
          <w:tcPr>
            <w:tcW w:w="562" w:type="dxa"/>
          </w:tcPr>
          <w:p w14:paraId="13C0F991" w14:textId="77777777" w:rsidR="004D6D0E" w:rsidRDefault="004D6D0E" w:rsidP="004A7F33">
            <w:pPr>
              <w:jc w:val="both"/>
              <w:rPr>
                <w:rFonts w:eastAsiaTheme="minorEastAsia"/>
              </w:rPr>
            </w:pPr>
            <w:r>
              <w:rPr>
                <w:rFonts w:eastAsiaTheme="minorEastAsia"/>
              </w:rPr>
              <w:t>*</w:t>
            </w:r>
          </w:p>
        </w:tc>
        <w:tc>
          <w:tcPr>
            <w:tcW w:w="2977" w:type="dxa"/>
          </w:tcPr>
          <w:p w14:paraId="6D32EBFE" w14:textId="77777777" w:rsidR="004D6D0E" w:rsidRDefault="004D6D0E" w:rsidP="004A7F33">
            <w:pPr>
              <w:jc w:val="both"/>
              <w:rPr>
                <w:rFonts w:eastAsiaTheme="minorEastAsia"/>
              </w:rPr>
            </w:pPr>
            <w:r w:rsidRPr="00A111C9">
              <w:rPr>
                <w:rFonts w:eastAsiaTheme="minorEastAsia"/>
              </w:rPr>
              <w:t>significant</w:t>
            </w:r>
            <w:r>
              <w:rPr>
                <w:rFonts w:eastAsiaTheme="minorEastAsia"/>
              </w:rPr>
              <w:t xml:space="preserve"> at the 0.05 level</w:t>
            </w:r>
          </w:p>
        </w:tc>
      </w:tr>
      <w:tr w:rsidR="004D6D0E" w14:paraId="6EC7B814" w14:textId="77777777" w:rsidTr="004A7F33">
        <w:tc>
          <w:tcPr>
            <w:tcW w:w="562" w:type="dxa"/>
          </w:tcPr>
          <w:p w14:paraId="360A8098" w14:textId="77777777" w:rsidR="004D6D0E" w:rsidRDefault="004D6D0E" w:rsidP="004A7F33">
            <w:pPr>
              <w:jc w:val="both"/>
              <w:rPr>
                <w:rFonts w:eastAsiaTheme="minorEastAsia"/>
              </w:rPr>
            </w:pPr>
            <w:r>
              <w:rPr>
                <w:rFonts w:eastAsiaTheme="minorEastAsia"/>
              </w:rPr>
              <w:t>**</w:t>
            </w:r>
          </w:p>
        </w:tc>
        <w:tc>
          <w:tcPr>
            <w:tcW w:w="2977" w:type="dxa"/>
          </w:tcPr>
          <w:p w14:paraId="4BF41B4A" w14:textId="77777777" w:rsidR="004D6D0E" w:rsidRDefault="004D6D0E" w:rsidP="004A7F33">
            <w:pPr>
              <w:jc w:val="both"/>
              <w:rPr>
                <w:rFonts w:eastAsiaTheme="minorEastAsia"/>
              </w:rPr>
            </w:pPr>
            <w:r w:rsidRPr="00A111C9">
              <w:rPr>
                <w:rFonts w:eastAsiaTheme="minorEastAsia"/>
              </w:rPr>
              <w:t>significant</w:t>
            </w:r>
            <w:r>
              <w:rPr>
                <w:rFonts w:eastAsiaTheme="minorEastAsia"/>
              </w:rPr>
              <w:t xml:space="preserve"> at the 0.005 level</w:t>
            </w:r>
          </w:p>
        </w:tc>
      </w:tr>
      <w:tr w:rsidR="004D6D0E" w14:paraId="6EEF8D9B" w14:textId="77777777" w:rsidTr="004A7F33">
        <w:tc>
          <w:tcPr>
            <w:tcW w:w="562" w:type="dxa"/>
          </w:tcPr>
          <w:p w14:paraId="7EEDBB11" w14:textId="77777777" w:rsidR="004D6D0E" w:rsidRDefault="004D6D0E" w:rsidP="004A7F33">
            <w:pPr>
              <w:jc w:val="both"/>
              <w:rPr>
                <w:rFonts w:eastAsiaTheme="minorEastAsia"/>
              </w:rPr>
            </w:pPr>
            <w:r>
              <w:rPr>
                <w:rFonts w:eastAsiaTheme="minorEastAsia"/>
              </w:rPr>
              <w:t>***</w:t>
            </w:r>
          </w:p>
        </w:tc>
        <w:tc>
          <w:tcPr>
            <w:tcW w:w="2977" w:type="dxa"/>
          </w:tcPr>
          <w:p w14:paraId="012E7949" w14:textId="3C5BACFF" w:rsidR="009D37B9" w:rsidRDefault="004D6D0E" w:rsidP="004A7F33">
            <w:pPr>
              <w:jc w:val="both"/>
              <w:rPr>
                <w:rFonts w:eastAsiaTheme="minorEastAsia"/>
              </w:rPr>
            </w:pPr>
            <w:r w:rsidRPr="00A111C9">
              <w:rPr>
                <w:rFonts w:eastAsiaTheme="minorEastAsia"/>
              </w:rPr>
              <w:t>significant</w:t>
            </w:r>
            <w:r>
              <w:rPr>
                <w:rFonts w:eastAsiaTheme="minorEastAsia"/>
              </w:rPr>
              <w:t xml:space="preserve"> at the 0.0005 level</w:t>
            </w:r>
          </w:p>
        </w:tc>
      </w:tr>
    </w:tbl>
    <w:p w14:paraId="515B9561" w14:textId="26F4C0E0" w:rsidR="007E6281" w:rsidRDefault="007E6281">
      <w:pPr>
        <w:rPr>
          <w:rFonts w:ascii="Calibri" w:eastAsia="Times New Roman" w:hAnsi="Calibri" w:cs="Calibri"/>
          <w:color w:val="000000"/>
          <w:lang w:eastAsia="en-GB"/>
        </w:rPr>
      </w:pPr>
    </w:p>
    <w:p w14:paraId="3D891726" w14:textId="77777777" w:rsidR="00EA10E0" w:rsidRDefault="00EA10E0" w:rsidP="00EB0DE9">
      <w:pPr>
        <w:jc w:val="both"/>
        <w:rPr>
          <w:rFonts w:ascii="Calibri" w:eastAsia="Times New Roman" w:hAnsi="Calibri" w:cs="Calibri"/>
          <w:b/>
          <w:color w:val="000000"/>
          <w:lang w:eastAsia="en-GB"/>
        </w:rPr>
      </w:pPr>
    </w:p>
    <w:p w14:paraId="4F49D70F" w14:textId="77777777" w:rsidR="00EA10E0" w:rsidRDefault="00EA10E0" w:rsidP="00EB0DE9">
      <w:pPr>
        <w:jc w:val="both"/>
        <w:rPr>
          <w:rFonts w:ascii="Calibri" w:eastAsia="Times New Roman" w:hAnsi="Calibri" w:cs="Calibri"/>
          <w:b/>
          <w:color w:val="000000"/>
          <w:lang w:eastAsia="en-GB"/>
        </w:rPr>
      </w:pPr>
    </w:p>
    <w:p w14:paraId="5ECC3483" w14:textId="77777777" w:rsidR="00EA10E0" w:rsidRDefault="00EA10E0" w:rsidP="00EB0DE9">
      <w:pPr>
        <w:jc w:val="both"/>
        <w:rPr>
          <w:rFonts w:ascii="Calibri" w:eastAsia="Times New Roman" w:hAnsi="Calibri" w:cs="Calibri"/>
          <w:b/>
          <w:color w:val="000000"/>
          <w:lang w:eastAsia="en-GB"/>
        </w:rPr>
      </w:pPr>
    </w:p>
    <w:p w14:paraId="5B076C2A" w14:textId="77777777" w:rsidR="00EA10E0" w:rsidRDefault="00EA10E0" w:rsidP="00EB0DE9">
      <w:pPr>
        <w:jc w:val="both"/>
        <w:rPr>
          <w:rFonts w:ascii="Calibri" w:eastAsia="Times New Roman" w:hAnsi="Calibri" w:cs="Calibri"/>
          <w:b/>
          <w:color w:val="000000"/>
          <w:lang w:eastAsia="en-GB"/>
        </w:rPr>
      </w:pPr>
    </w:p>
    <w:p w14:paraId="46CD7AA6" w14:textId="77777777" w:rsidR="00EA10E0" w:rsidRDefault="00EA10E0" w:rsidP="00EB0DE9">
      <w:pPr>
        <w:jc w:val="both"/>
        <w:rPr>
          <w:rFonts w:ascii="Calibri" w:eastAsia="Times New Roman" w:hAnsi="Calibri" w:cs="Calibri"/>
          <w:b/>
          <w:color w:val="000000"/>
          <w:lang w:eastAsia="en-GB"/>
        </w:rPr>
      </w:pPr>
    </w:p>
    <w:p w14:paraId="53E701A7" w14:textId="77777777" w:rsidR="00EA10E0" w:rsidRDefault="00EA10E0" w:rsidP="00EB0DE9">
      <w:pPr>
        <w:jc w:val="both"/>
        <w:rPr>
          <w:rFonts w:ascii="Calibri" w:eastAsia="Times New Roman" w:hAnsi="Calibri" w:cs="Calibri"/>
          <w:b/>
          <w:color w:val="000000"/>
          <w:lang w:eastAsia="en-GB"/>
        </w:rPr>
      </w:pPr>
    </w:p>
    <w:p w14:paraId="60374B38" w14:textId="77777777" w:rsidR="00EA10E0" w:rsidRDefault="00EA10E0" w:rsidP="00EB0DE9">
      <w:pPr>
        <w:jc w:val="both"/>
        <w:rPr>
          <w:rFonts w:ascii="Calibri" w:eastAsia="Times New Roman" w:hAnsi="Calibri" w:cs="Calibri"/>
          <w:b/>
          <w:color w:val="000000"/>
          <w:lang w:eastAsia="en-GB"/>
        </w:rPr>
      </w:pPr>
    </w:p>
    <w:p w14:paraId="444D7E3B" w14:textId="77777777" w:rsidR="00EA10E0" w:rsidRDefault="00EA10E0" w:rsidP="00EB0DE9">
      <w:pPr>
        <w:jc w:val="both"/>
        <w:rPr>
          <w:rFonts w:ascii="Calibri" w:eastAsia="Times New Roman" w:hAnsi="Calibri" w:cs="Calibri"/>
          <w:b/>
          <w:color w:val="000000"/>
          <w:lang w:eastAsia="en-GB"/>
        </w:rPr>
      </w:pPr>
    </w:p>
    <w:p w14:paraId="2E23CC10" w14:textId="77777777" w:rsidR="00EA10E0" w:rsidRDefault="00EA10E0" w:rsidP="00EB0DE9">
      <w:pPr>
        <w:jc w:val="both"/>
        <w:rPr>
          <w:rFonts w:ascii="Calibri" w:eastAsia="Times New Roman" w:hAnsi="Calibri" w:cs="Calibri"/>
          <w:b/>
          <w:color w:val="000000"/>
          <w:lang w:eastAsia="en-GB"/>
        </w:rPr>
      </w:pPr>
    </w:p>
    <w:p w14:paraId="30F0FDAA" w14:textId="4340F5D5" w:rsidR="002B7CD6" w:rsidRDefault="00EA10E0" w:rsidP="00EB0DE9">
      <w:pPr>
        <w:jc w:val="both"/>
        <w:rPr>
          <w:rFonts w:ascii="Calibri" w:eastAsia="Times New Roman" w:hAnsi="Calibri" w:cs="Calibri"/>
          <w:b/>
          <w:color w:val="000000"/>
          <w:lang w:eastAsia="en-GB"/>
        </w:rPr>
      </w:pPr>
      <w:r>
        <w:rPr>
          <w:rFonts w:ascii="Calibri" w:eastAsia="Times New Roman" w:hAnsi="Calibri" w:cs="Calibri"/>
          <w:b/>
          <w:color w:val="000000"/>
          <w:lang w:eastAsia="en-GB"/>
        </w:rPr>
        <w:lastRenderedPageBreak/>
        <w:t>F</w:t>
      </w:r>
      <w:r w:rsidR="005B6DA2" w:rsidRPr="00B07C54">
        <w:rPr>
          <w:rFonts w:ascii="Calibri" w:eastAsia="Times New Roman" w:hAnsi="Calibri" w:cs="Calibri"/>
          <w:b/>
          <w:color w:val="000000"/>
          <w:lang w:eastAsia="en-GB"/>
        </w:rPr>
        <w:t>igure 2</w:t>
      </w:r>
      <w:r w:rsidR="002B7CD6" w:rsidRPr="00B07C54">
        <w:rPr>
          <w:rFonts w:ascii="Calibri" w:eastAsia="Times New Roman" w:hAnsi="Calibri" w:cs="Calibri"/>
          <w:b/>
          <w:color w:val="000000"/>
          <w:lang w:eastAsia="en-GB"/>
        </w:rPr>
        <w:t>:</w:t>
      </w:r>
      <w:r w:rsidR="005B6DA2" w:rsidRPr="00B07C54">
        <w:rPr>
          <w:rFonts w:ascii="Calibri" w:eastAsia="Times New Roman" w:hAnsi="Calibri" w:cs="Calibri"/>
          <w:b/>
          <w:color w:val="000000"/>
          <w:lang w:eastAsia="en-GB"/>
        </w:rPr>
        <w:t xml:space="preserve"> </w:t>
      </w:r>
      <w:r w:rsidR="00414C8E" w:rsidRPr="00B07C54">
        <w:rPr>
          <w:rFonts w:ascii="Calibri" w:eastAsia="Times New Roman" w:hAnsi="Calibri" w:cs="Calibri"/>
          <w:b/>
          <w:color w:val="000000"/>
          <w:lang w:eastAsia="en-GB"/>
        </w:rPr>
        <w:t xml:space="preserve">Bootstrapped 95% Confidence intervals for the staffing </w:t>
      </w:r>
      <w:r w:rsidR="00BF29D9" w:rsidRPr="00B07C54">
        <w:rPr>
          <w:rFonts w:ascii="Calibri" w:eastAsia="Times New Roman" w:hAnsi="Calibri" w:cs="Calibri"/>
          <w:b/>
          <w:color w:val="000000"/>
          <w:lang w:eastAsia="en-GB"/>
        </w:rPr>
        <w:t>parameters</w:t>
      </w:r>
      <w:r w:rsidR="00414C8E" w:rsidRPr="00B07C54">
        <w:rPr>
          <w:rFonts w:ascii="Calibri" w:eastAsia="Times New Roman" w:hAnsi="Calibri" w:cs="Calibri"/>
          <w:b/>
          <w:color w:val="000000"/>
          <w:lang w:eastAsia="en-GB"/>
        </w:rPr>
        <w:t xml:space="preserve"> across the BM, MRM, and LRM.</w:t>
      </w:r>
    </w:p>
    <w:p w14:paraId="56256DBC" w14:textId="4FAA6792" w:rsidR="00547515" w:rsidRPr="00B07C54" w:rsidRDefault="00EA10E0" w:rsidP="00EB0DE9">
      <w:pPr>
        <w:jc w:val="both"/>
        <w:rPr>
          <w:rFonts w:ascii="Calibri" w:eastAsia="Times New Roman" w:hAnsi="Calibri" w:cs="Calibri"/>
          <w:b/>
          <w:color w:val="000000"/>
          <w:lang w:eastAsia="en-GB"/>
        </w:rPr>
      </w:pPr>
      <w:r w:rsidRPr="00EA10E0">
        <w:rPr>
          <w:rFonts w:ascii="Calibri" w:eastAsia="Times New Roman" w:hAnsi="Calibri" w:cs="Calibri"/>
          <w:b/>
          <w:noProof/>
          <w:color w:val="000000"/>
          <w:lang w:eastAsia="en-GB"/>
        </w:rPr>
        <w:drawing>
          <wp:inline distT="0" distB="0" distL="0" distR="0" wp14:anchorId="3DF49A9A" wp14:editId="280AB331">
            <wp:extent cx="5731510" cy="7250520"/>
            <wp:effectExtent l="0" t="0" r="2540" b="7620"/>
            <wp:docPr id="2" name="Picture 2" descr="Y:\Research\NHSI_MH data study\publications\Health informatics journal\HIJ publication April 2019\1st submission\R.Cook et al_Figure 2_09.0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esearch\NHSI_MH data study\publications\Health informatics journal\HIJ publication April 2019\1st submission\R.Cook et al_Figure 2_09.04.1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250520"/>
                    </a:xfrm>
                    <a:prstGeom prst="rect">
                      <a:avLst/>
                    </a:prstGeom>
                    <a:noFill/>
                    <a:ln>
                      <a:noFill/>
                    </a:ln>
                  </pic:spPr>
                </pic:pic>
              </a:graphicData>
            </a:graphic>
          </wp:inline>
        </w:drawing>
      </w:r>
    </w:p>
    <w:p w14:paraId="584B4932" w14:textId="77777777" w:rsidR="00EA10E0" w:rsidRDefault="00EA10E0" w:rsidP="001B79AA">
      <w:pPr>
        <w:jc w:val="both"/>
        <w:rPr>
          <w:b/>
          <w:u w:val="single"/>
        </w:rPr>
      </w:pPr>
    </w:p>
    <w:p w14:paraId="5B43F98D" w14:textId="77777777" w:rsidR="00EA10E0" w:rsidRDefault="00EA10E0" w:rsidP="001B79AA">
      <w:pPr>
        <w:jc w:val="both"/>
        <w:rPr>
          <w:b/>
          <w:u w:val="single"/>
        </w:rPr>
      </w:pPr>
    </w:p>
    <w:p w14:paraId="59C96FC3" w14:textId="77777777" w:rsidR="00EA10E0" w:rsidRDefault="00EA10E0" w:rsidP="001B79AA">
      <w:pPr>
        <w:jc w:val="both"/>
        <w:rPr>
          <w:b/>
          <w:u w:val="single"/>
        </w:rPr>
      </w:pPr>
    </w:p>
    <w:p w14:paraId="4D2E5284" w14:textId="77777777" w:rsidR="001B79AA" w:rsidRPr="007011EE" w:rsidRDefault="001B79AA" w:rsidP="001B79AA">
      <w:pPr>
        <w:jc w:val="both"/>
        <w:rPr>
          <w:b/>
          <w:u w:val="single"/>
        </w:rPr>
      </w:pPr>
      <w:r w:rsidRPr="007011EE">
        <w:rPr>
          <w:b/>
          <w:u w:val="single"/>
        </w:rPr>
        <w:lastRenderedPageBreak/>
        <w:t>Binomial Model Interpretation</w:t>
      </w:r>
    </w:p>
    <w:p w14:paraId="05207337" w14:textId="61E1058A" w:rsidR="001B79AA" w:rsidRDefault="001B79AA" w:rsidP="001B79AA">
      <w:pPr>
        <w:jc w:val="both"/>
      </w:pPr>
      <w:r w:rsidRPr="00203A12">
        <w:t>The Binomial Model (BM), which describes the likelihood of an observation belong</w:t>
      </w:r>
      <w:r w:rsidR="002F35AC">
        <w:t>ing</w:t>
      </w:r>
      <w:r w:rsidRPr="00203A12">
        <w:t xml:space="preserve"> to the “Low Reporting Model” (LRM), shows a strong dependency on the location.</w:t>
      </w:r>
      <w:r w:rsidR="002F35AC">
        <w:t xml:space="preserve"> </w:t>
      </w:r>
      <w:r>
        <w:t xml:space="preserve">Four locations (1, 2, 3 and 8) have no significant parameter, implying a baseline 50% probability of being in either model, </w:t>
      </w:r>
      <w:r w:rsidR="009F6B7B">
        <w:t>if demand</w:t>
      </w:r>
      <w:r w:rsidR="00932F47">
        <w:t xml:space="preserve"> is</w:t>
      </w:r>
      <w:r w:rsidR="00E645A8">
        <w:t xml:space="preserve"> not considered</w:t>
      </w:r>
      <w:r>
        <w:t>. Of the other locations there is a steadily growing likelihood of the ward following the LRM with Locations 6 and 7 having the lowest chance (75%), and Locations 9 and 10 the highest (93%).</w:t>
      </w:r>
    </w:p>
    <w:p w14:paraId="48F0AF9D" w14:textId="01A04061" w:rsidR="001B79AA" w:rsidRPr="007011EE" w:rsidRDefault="001B79AA" w:rsidP="001B79AA">
      <w:pPr>
        <w:jc w:val="both"/>
      </w:pPr>
      <w:r>
        <w:t>Across the trust, the best predictor for which</w:t>
      </w:r>
      <w:r w:rsidR="00BF29D9">
        <w:t xml:space="preserve"> model </w:t>
      </w:r>
      <w:r>
        <w:t>will dominate (LRM or MRM) is the rate at which adverse eve</w:t>
      </w:r>
      <w:r w:rsidR="002973AA">
        <w:t xml:space="preserve">nts were previously reported. </w:t>
      </w:r>
      <w:r>
        <w:t>In general, the more events are reported by a ward on the previous day, the greater the probability t</w:t>
      </w:r>
      <w:r w:rsidR="002973AA">
        <w:t xml:space="preserve">he ward will remain in the MRM. </w:t>
      </w:r>
      <w:r>
        <w:t>The level of reporting needed varies, with Location 10 requiring 0.017 events reported per nurse on shift to give even odds of either model. To put thi</w:t>
      </w:r>
      <w:r w:rsidR="00F459DE">
        <w:t>s into context, across the data</w:t>
      </w:r>
      <w:r>
        <w:t>set</w:t>
      </w:r>
      <w:r w:rsidR="00F459DE">
        <w:t>,</w:t>
      </w:r>
      <w:r>
        <w:t xml:space="preserve"> the average rate of reporting is 0.0265(</w:t>
      </w:r>
      <w:r w:rsidR="00BE026A">
        <w:t>± 0.000</w:t>
      </w:r>
      <w:r>
        <w:t>5) events reported per</w:t>
      </w:r>
      <w:r w:rsidR="00526CCA">
        <w:t xml:space="preserve"> nurse</w:t>
      </w:r>
      <w:r>
        <w:t>, so each location can attain the MRM scenario.</w:t>
      </w:r>
    </w:p>
    <w:p w14:paraId="548E016F" w14:textId="48A45AD4" w:rsidR="001B79AA" w:rsidRDefault="001B79AA" w:rsidP="00824EA8">
      <w:pPr>
        <w:jc w:val="both"/>
      </w:pPr>
      <w:r>
        <w:t xml:space="preserve">The </w:t>
      </w:r>
      <w:r w:rsidR="00C13C74">
        <w:t>clinically-</w:t>
      </w:r>
      <w:r>
        <w:t>required staffing levels show a marked effect on the BM as well.</w:t>
      </w:r>
      <w:r w:rsidR="002973AA">
        <w:t xml:space="preserve"> </w:t>
      </w:r>
      <w:r>
        <w:t xml:space="preserve">As the </w:t>
      </w:r>
      <w:r w:rsidR="00282B24">
        <w:t>clinically-</w:t>
      </w:r>
      <w:r>
        <w:t>required levels of registered nurses (RNs) increases (</w:t>
      </w:r>
      <w:r w:rsidR="00824EA8">
        <w:t>i.e. as the demand for more clinical nursing skills increases)</w:t>
      </w:r>
      <w:r>
        <w:t xml:space="preserve"> there is a growing preference for the LRM.</w:t>
      </w:r>
      <w:r w:rsidR="002973AA">
        <w:t xml:space="preserve"> </w:t>
      </w:r>
      <w:r w:rsidR="00824EA8">
        <w:t xml:space="preserve">Hence, a </w:t>
      </w:r>
      <w:r>
        <w:t xml:space="preserve">greater </w:t>
      </w:r>
      <w:r w:rsidR="00C13C74">
        <w:t xml:space="preserve">registered </w:t>
      </w:r>
      <w:r w:rsidR="00824EA8">
        <w:t>nurs</w:t>
      </w:r>
      <w:r w:rsidR="00C13C74">
        <w:t>e</w:t>
      </w:r>
      <w:r w:rsidR="00824EA8">
        <w:t xml:space="preserve"> demand appears</w:t>
      </w:r>
      <w:r>
        <w:t xml:space="preserve"> indicative of a decrease in</w:t>
      </w:r>
      <w:r w:rsidR="00282B24">
        <w:t xml:space="preserve"> adverse events being reported. </w:t>
      </w:r>
      <w:r>
        <w:t>Considering this dataset include</w:t>
      </w:r>
      <w:r w:rsidR="00932F47">
        <w:t>s near misses, this is not over</w:t>
      </w:r>
      <w:r>
        <w:t>ly surprising.</w:t>
      </w:r>
      <w:r w:rsidR="002973AA">
        <w:t xml:space="preserve"> </w:t>
      </w:r>
      <w:r>
        <w:t xml:space="preserve">As </w:t>
      </w:r>
      <w:r w:rsidR="00824EA8">
        <w:t>workload increases</w:t>
      </w:r>
      <w:r>
        <w:t xml:space="preserve"> there is a distinct possi</w:t>
      </w:r>
      <w:r w:rsidR="009F6B7B">
        <w:t>bility that staff will prioritis</w:t>
      </w:r>
      <w:r>
        <w:t>e delivering care over reporting</w:t>
      </w:r>
      <w:r w:rsidR="00A700B4">
        <w:t xml:space="preserve"> near misses or</w:t>
      </w:r>
      <w:r>
        <w:t xml:space="preserve"> adverse events.</w:t>
      </w:r>
      <w:r w:rsidR="002973AA">
        <w:t xml:space="preserve"> </w:t>
      </w:r>
      <w:r>
        <w:t xml:space="preserve">The exception to this is the night shift </w:t>
      </w:r>
      <w:r w:rsidR="00282B24">
        <w:t>for unregistered nurses</w:t>
      </w:r>
      <w:r>
        <w:t xml:space="preserve">, where a greater </w:t>
      </w:r>
      <w:r w:rsidR="00824EA8">
        <w:t xml:space="preserve">perceived demand </w:t>
      </w:r>
      <w:r>
        <w:t xml:space="preserve">leads to a preference for the MRM. </w:t>
      </w:r>
    </w:p>
    <w:p w14:paraId="21FAD143" w14:textId="5BDCD8CB" w:rsidR="00932F47" w:rsidRDefault="00932F47" w:rsidP="001B79AA">
      <w:pPr>
        <w:jc w:val="both"/>
      </w:pPr>
      <w:r>
        <w:t>T</w:t>
      </w:r>
      <w:r w:rsidR="001B79AA">
        <w:t>he delta staffing variables</w:t>
      </w:r>
      <w:r>
        <w:t xml:space="preserve"> (variation from </w:t>
      </w:r>
      <w:r w:rsidR="00282B24">
        <w:t>‘clinically-</w:t>
      </w:r>
      <w:r>
        <w:t>required levels</w:t>
      </w:r>
      <w:r w:rsidR="008F7213">
        <w:t>’</w:t>
      </w:r>
      <w:r>
        <w:t>)</w:t>
      </w:r>
      <w:r w:rsidR="001B79AA">
        <w:t xml:space="preserve"> suggest a shift to the MRM when the </w:t>
      </w:r>
      <w:r>
        <w:t>number</w:t>
      </w:r>
      <w:r w:rsidR="001B79AA">
        <w:t xml:space="preserve"> of RNs exceed</w:t>
      </w:r>
      <w:r w:rsidR="00A700B4">
        <w:t>s</w:t>
      </w:r>
      <w:r w:rsidR="001B79AA">
        <w:t xml:space="preserve"> the </w:t>
      </w:r>
      <w:r w:rsidR="0027770B">
        <w:t>clinically-</w:t>
      </w:r>
      <w:r w:rsidR="001B79AA">
        <w:t xml:space="preserve">required levels on the late and night shifts, and a shift to the LRM when the </w:t>
      </w:r>
      <w:r>
        <w:t>number</w:t>
      </w:r>
      <w:r w:rsidR="00282B24">
        <w:t xml:space="preserve"> of unregistered nurses</w:t>
      </w:r>
      <w:r w:rsidR="001B79AA">
        <w:t xml:space="preserve"> exceed</w:t>
      </w:r>
      <w:r w:rsidR="00A700B4">
        <w:t>s</w:t>
      </w:r>
      <w:r w:rsidR="001B79AA">
        <w:t xml:space="preserve"> the </w:t>
      </w:r>
      <w:r w:rsidR="000721B7">
        <w:t>clinically-</w:t>
      </w:r>
      <w:r w:rsidR="001B79AA">
        <w:t xml:space="preserve">required levels on the early shift. The increase in reporting with more RNs is unsurprising, considering </w:t>
      </w:r>
      <w:r w:rsidR="00A700B4">
        <w:t xml:space="preserve">that </w:t>
      </w:r>
      <w:r w:rsidR="001B79AA">
        <w:t xml:space="preserve">the more staff members </w:t>
      </w:r>
      <w:r w:rsidR="00A700B4">
        <w:t xml:space="preserve">that </w:t>
      </w:r>
      <w:r w:rsidR="001B79AA">
        <w:t>are present</w:t>
      </w:r>
      <w:r w:rsidR="00A700B4">
        <w:t>,</w:t>
      </w:r>
      <w:r w:rsidR="001B79AA">
        <w:t xml:space="preserve"> the easier it is for events to be observed and reported. The </w:t>
      </w:r>
      <w:r>
        <w:t>lower reporting</w:t>
      </w:r>
      <w:r w:rsidR="001B79AA">
        <w:t xml:space="preserve"> with more unregistered </w:t>
      </w:r>
      <w:r w:rsidR="00282B24">
        <w:t xml:space="preserve">nurses </w:t>
      </w:r>
      <w:r w:rsidR="001B79AA">
        <w:t>than required</w:t>
      </w:r>
      <w:r>
        <w:t xml:space="preserve"> may be due to the division in responsibilities between registered and unregistered </w:t>
      </w:r>
      <w:r w:rsidR="009F6B7B">
        <w:t xml:space="preserve">nursing </w:t>
      </w:r>
      <w:r>
        <w:t xml:space="preserve">staff – it is not merely a question of </w:t>
      </w:r>
      <w:r w:rsidR="008F7213">
        <w:t xml:space="preserve">higher headcount </w:t>
      </w:r>
      <w:r>
        <w:t xml:space="preserve">but the nurse’s </w:t>
      </w:r>
      <w:r w:rsidR="008F7213">
        <w:t xml:space="preserve">professional practice and education </w:t>
      </w:r>
      <w:r>
        <w:t>as well.</w:t>
      </w:r>
    </w:p>
    <w:p w14:paraId="5A33625A" w14:textId="3F03B480" w:rsidR="00585EFA" w:rsidRDefault="00585EFA" w:rsidP="00585EFA">
      <w:pPr>
        <w:jc w:val="both"/>
      </w:pPr>
      <w:r>
        <w:t xml:space="preserve">The </w:t>
      </w:r>
      <w:r w:rsidR="008F7213">
        <w:t>strong dependency of the BM on l</w:t>
      </w:r>
      <w:r>
        <w:t xml:space="preserve">ocation and previous rate of reporting suggests there is a cultural aspect to the divide between the MRM and LRM scenarios.  Interpreting what a low reporting of adverse events and near misses means is complex, and </w:t>
      </w:r>
      <w:r w:rsidRPr="007011EE">
        <w:t>we consider</w:t>
      </w:r>
      <w:r>
        <w:t xml:space="preserve"> two competing hypotheses -</w:t>
      </w:r>
      <w:r w:rsidRPr="007011EE">
        <w:t xml:space="preserve"> a reduction either occurs because of less adverse events occurring, or because fewer adverse events are reported</w:t>
      </w:r>
      <w:r>
        <w:t>.   If the later of these is true, and the variation in reporting is due to changes in reporting culture, we would expect these locations to be biased towards reporting higher severity incidents.  The result of this would be a decrease in the relative p</w:t>
      </w:r>
      <w:r w:rsidR="009F6B7B">
        <w:t>roportion of “near miss” and “n</w:t>
      </w:r>
      <w:r>
        <w:t xml:space="preserve">o harm” events compared </w:t>
      </w:r>
      <w:r w:rsidR="00A700B4">
        <w:t xml:space="preserve">to higher severity incidents. </w:t>
      </w:r>
      <w:r>
        <w:t xml:space="preserve">Table </w:t>
      </w:r>
      <w:r w:rsidR="00BE026A">
        <w:t xml:space="preserve">3 </w:t>
      </w:r>
      <w:r>
        <w:t>summarises the relativ</w:t>
      </w:r>
      <w:r w:rsidR="009F6B7B">
        <w:t>e event severity across the 10 l</w:t>
      </w:r>
      <w:r>
        <w:t xml:space="preserve">ocations, and we observe that three of the four locations with the highest rate of </w:t>
      </w:r>
      <w:r w:rsidR="009F6B7B">
        <w:t>‘n</w:t>
      </w:r>
      <w:r>
        <w:t xml:space="preserve">o </w:t>
      </w:r>
      <w:r w:rsidR="009F6B7B">
        <w:t>h</w:t>
      </w:r>
      <w:r>
        <w:t>arm</w:t>
      </w:r>
      <w:r w:rsidR="009F6B7B">
        <w:t>’ events reported (l</w:t>
      </w:r>
      <w:r>
        <w:t xml:space="preserve">ocations 1, 2 and 8) are amongst the three locations most favouring the MRM.  It appears that a higher rate of reporting, as implied by favouring the MRM, is linked to a better reporting culture, </w:t>
      </w:r>
      <w:r w:rsidR="009F6B7B">
        <w:t>as implied by the increase in “n</w:t>
      </w:r>
      <w:r>
        <w:t>o harm” events, and hence the MRM should be considered the preferred behaviour we wish to instil on a ward.</w:t>
      </w:r>
    </w:p>
    <w:p w14:paraId="734EDE89" w14:textId="77777777" w:rsidR="002A4FBF" w:rsidRDefault="002A4FBF" w:rsidP="00585EFA">
      <w:pPr>
        <w:jc w:val="both"/>
      </w:pPr>
    </w:p>
    <w:p w14:paraId="2E5859EE" w14:textId="77777777" w:rsidR="00EA10E0" w:rsidRDefault="00EA10E0" w:rsidP="00585EFA">
      <w:pPr>
        <w:jc w:val="both"/>
      </w:pPr>
    </w:p>
    <w:p w14:paraId="2E190020" w14:textId="25A687FF" w:rsidR="00585EFA" w:rsidRPr="00CA19C3" w:rsidRDefault="00585EFA" w:rsidP="00585EFA">
      <w:pPr>
        <w:jc w:val="both"/>
        <w:rPr>
          <w:b/>
        </w:rPr>
      </w:pPr>
      <w:r w:rsidRPr="00CA19C3">
        <w:rPr>
          <w:b/>
        </w:rPr>
        <w:lastRenderedPageBreak/>
        <w:t xml:space="preserve">Table </w:t>
      </w:r>
      <w:r w:rsidR="00BE026A" w:rsidRPr="00CA19C3">
        <w:rPr>
          <w:b/>
        </w:rPr>
        <w:t>3</w:t>
      </w:r>
      <w:r w:rsidR="00792ED6" w:rsidRPr="00CA19C3">
        <w:rPr>
          <w:b/>
        </w:rPr>
        <w:t>:</w:t>
      </w:r>
      <w:r w:rsidRPr="00CA19C3">
        <w:rPr>
          <w:b/>
        </w:rPr>
        <w:t xml:space="preserve">  Event severity by location.</w:t>
      </w:r>
    </w:p>
    <w:tbl>
      <w:tblPr>
        <w:tblStyle w:val="GridTable2-Accent1"/>
        <w:tblW w:w="7576" w:type="dxa"/>
        <w:tblLook w:val="04A0" w:firstRow="1" w:lastRow="0" w:firstColumn="1" w:lastColumn="0" w:noHBand="0" w:noVBand="1"/>
      </w:tblPr>
      <w:tblGrid>
        <w:gridCol w:w="1480"/>
        <w:gridCol w:w="1480"/>
        <w:gridCol w:w="1480"/>
        <w:gridCol w:w="1480"/>
        <w:gridCol w:w="1656"/>
      </w:tblGrid>
      <w:tr w:rsidR="00585EFA" w:rsidRPr="00695BC8" w14:paraId="5A50B7AF" w14:textId="77777777" w:rsidTr="000F712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80" w:type="dxa"/>
          </w:tcPr>
          <w:p w14:paraId="10268C4B" w14:textId="77777777" w:rsidR="00585EFA" w:rsidRPr="00695BC8" w:rsidRDefault="00585EFA" w:rsidP="000F7124">
            <w:pPr>
              <w:jc w:val="both"/>
              <w:rPr>
                <w:rFonts w:ascii="Calibri" w:eastAsia="Times New Roman" w:hAnsi="Calibri" w:cs="Times New Roman"/>
                <w:color w:val="000000"/>
                <w:lang w:eastAsia="en-GB"/>
              </w:rPr>
            </w:pPr>
          </w:p>
        </w:tc>
        <w:tc>
          <w:tcPr>
            <w:tcW w:w="1480" w:type="dxa"/>
            <w:noWrap/>
            <w:hideMark/>
          </w:tcPr>
          <w:p w14:paraId="31E0C35B" w14:textId="77777777" w:rsidR="00585EFA" w:rsidRPr="00695BC8" w:rsidRDefault="00585EFA" w:rsidP="000F7124">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No harm (%)</w:t>
            </w:r>
          </w:p>
        </w:tc>
        <w:tc>
          <w:tcPr>
            <w:tcW w:w="1480" w:type="dxa"/>
            <w:noWrap/>
            <w:hideMark/>
          </w:tcPr>
          <w:p w14:paraId="16B3570C" w14:textId="77777777" w:rsidR="00585EFA" w:rsidRPr="00695BC8" w:rsidRDefault="00585EFA" w:rsidP="000F7124">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Low (%)</w:t>
            </w:r>
          </w:p>
        </w:tc>
        <w:tc>
          <w:tcPr>
            <w:tcW w:w="1480" w:type="dxa"/>
            <w:noWrap/>
            <w:hideMark/>
          </w:tcPr>
          <w:p w14:paraId="791F2ACB" w14:textId="77777777" w:rsidR="00585EFA" w:rsidRPr="00695BC8" w:rsidRDefault="00585EFA" w:rsidP="000F7124">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Moderate (%)</w:t>
            </w:r>
          </w:p>
        </w:tc>
        <w:tc>
          <w:tcPr>
            <w:tcW w:w="1656" w:type="dxa"/>
            <w:noWrap/>
            <w:hideMark/>
          </w:tcPr>
          <w:p w14:paraId="3BB999DE" w14:textId="77777777" w:rsidR="00585EFA" w:rsidRPr="00695BC8" w:rsidRDefault="00585EFA" w:rsidP="000F7124">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Sever (%)</w:t>
            </w:r>
          </w:p>
        </w:tc>
      </w:tr>
      <w:tr w:rsidR="00585EFA" w:rsidRPr="00695BC8" w14:paraId="5805281A" w14:textId="77777777" w:rsidTr="000F712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80" w:type="dxa"/>
          </w:tcPr>
          <w:p w14:paraId="65A38CD6" w14:textId="77777777" w:rsidR="00585EFA" w:rsidRPr="00695BC8" w:rsidRDefault="00585EFA" w:rsidP="000F7124">
            <w:pPr>
              <w:jc w:val="both"/>
              <w:rPr>
                <w:rFonts w:ascii="Calibri" w:eastAsia="Times New Roman" w:hAnsi="Calibri" w:cs="Times New Roman"/>
                <w:color w:val="000000"/>
                <w:lang w:eastAsia="en-GB"/>
              </w:rPr>
            </w:pPr>
            <w:r>
              <w:rPr>
                <w:lang w:eastAsia="en-GB"/>
              </w:rPr>
              <w:t>Loc1</w:t>
            </w:r>
          </w:p>
        </w:tc>
        <w:tc>
          <w:tcPr>
            <w:tcW w:w="1480" w:type="dxa"/>
            <w:noWrap/>
            <w:hideMark/>
          </w:tcPr>
          <w:p w14:paraId="4E5EECE5"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97.8</w:t>
            </w:r>
          </w:p>
        </w:tc>
        <w:tc>
          <w:tcPr>
            <w:tcW w:w="1480" w:type="dxa"/>
            <w:noWrap/>
            <w:hideMark/>
          </w:tcPr>
          <w:p w14:paraId="2AB2F066"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2.0</w:t>
            </w:r>
          </w:p>
        </w:tc>
        <w:tc>
          <w:tcPr>
            <w:tcW w:w="1480" w:type="dxa"/>
            <w:noWrap/>
            <w:hideMark/>
          </w:tcPr>
          <w:p w14:paraId="2DBD3F6A"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0.2</w:t>
            </w:r>
          </w:p>
        </w:tc>
        <w:tc>
          <w:tcPr>
            <w:tcW w:w="1656" w:type="dxa"/>
            <w:noWrap/>
            <w:hideMark/>
          </w:tcPr>
          <w:p w14:paraId="50368E7D"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3E50BB03" w14:textId="77777777" w:rsidTr="000F7124">
        <w:trPr>
          <w:trHeight w:val="285"/>
        </w:trPr>
        <w:tc>
          <w:tcPr>
            <w:cnfStyle w:val="001000000000" w:firstRow="0" w:lastRow="0" w:firstColumn="1" w:lastColumn="0" w:oddVBand="0" w:evenVBand="0" w:oddHBand="0" w:evenHBand="0" w:firstRowFirstColumn="0" w:firstRowLastColumn="0" w:lastRowFirstColumn="0" w:lastRowLastColumn="0"/>
            <w:tcW w:w="1480" w:type="dxa"/>
          </w:tcPr>
          <w:p w14:paraId="58E04D5A" w14:textId="77777777" w:rsidR="00585EFA" w:rsidRPr="00695BC8" w:rsidRDefault="00585EFA" w:rsidP="000F7124">
            <w:pPr>
              <w:jc w:val="both"/>
              <w:rPr>
                <w:rFonts w:ascii="Calibri" w:eastAsia="Times New Roman" w:hAnsi="Calibri" w:cs="Times New Roman"/>
                <w:color w:val="000000"/>
                <w:lang w:eastAsia="en-GB"/>
              </w:rPr>
            </w:pPr>
            <w:r>
              <w:rPr>
                <w:lang w:eastAsia="en-GB"/>
              </w:rPr>
              <w:t>Loc2</w:t>
            </w:r>
          </w:p>
        </w:tc>
        <w:tc>
          <w:tcPr>
            <w:tcW w:w="1480" w:type="dxa"/>
            <w:noWrap/>
            <w:hideMark/>
          </w:tcPr>
          <w:p w14:paraId="300462B8"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94.8</w:t>
            </w:r>
          </w:p>
        </w:tc>
        <w:tc>
          <w:tcPr>
            <w:tcW w:w="1480" w:type="dxa"/>
            <w:noWrap/>
            <w:hideMark/>
          </w:tcPr>
          <w:p w14:paraId="334BEB56"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4.2</w:t>
            </w:r>
          </w:p>
        </w:tc>
        <w:tc>
          <w:tcPr>
            <w:tcW w:w="1480" w:type="dxa"/>
            <w:noWrap/>
            <w:hideMark/>
          </w:tcPr>
          <w:p w14:paraId="02900874"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0.8</w:t>
            </w:r>
          </w:p>
        </w:tc>
        <w:tc>
          <w:tcPr>
            <w:tcW w:w="1656" w:type="dxa"/>
            <w:noWrap/>
            <w:hideMark/>
          </w:tcPr>
          <w:p w14:paraId="6AA1052F"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0.2</w:t>
            </w:r>
          </w:p>
        </w:tc>
      </w:tr>
      <w:tr w:rsidR="00585EFA" w:rsidRPr="00695BC8" w14:paraId="42809CC5" w14:textId="77777777" w:rsidTr="000F71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80" w:type="dxa"/>
          </w:tcPr>
          <w:p w14:paraId="3A2331E4" w14:textId="77777777" w:rsidR="00585EFA" w:rsidRPr="00695BC8" w:rsidRDefault="00585EFA" w:rsidP="000F7124">
            <w:pPr>
              <w:jc w:val="both"/>
              <w:rPr>
                <w:rFonts w:ascii="Calibri" w:eastAsia="Times New Roman" w:hAnsi="Calibri" w:cs="Times New Roman"/>
                <w:color w:val="000000"/>
                <w:lang w:eastAsia="en-GB"/>
              </w:rPr>
            </w:pPr>
            <w:r w:rsidRPr="002701B4">
              <w:rPr>
                <w:lang w:eastAsia="en-GB"/>
              </w:rPr>
              <w:t>Loc3</w:t>
            </w:r>
          </w:p>
        </w:tc>
        <w:tc>
          <w:tcPr>
            <w:tcW w:w="1480" w:type="dxa"/>
            <w:noWrap/>
            <w:hideMark/>
          </w:tcPr>
          <w:p w14:paraId="733DBC76"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83.3</w:t>
            </w:r>
          </w:p>
        </w:tc>
        <w:tc>
          <w:tcPr>
            <w:tcW w:w="1480" w:type="dxa"/>
            <w:noWrap/>
            <w:hideMark/>
          </w:tcPr>
          <w:p w14:paraId="2273E365"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16.7</w:t>
            </w:r>
          </w:p>
        </w:tc>
        <w:tc>
          <w:tcPr>
            <w:tcW w:w="1480" w:type="dxa"/>
            <w:noWrap/>
            <w:hideMark/>
          </w:tcPr>
          <w:p w14:paraId="52E75C27"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c>
          <w:tcPr>
            <w:tcW w:w="1656" w:type="dxa"/>
            <w:noWrap/>
            <w:hideMark/>
          </w:tcPr>
          <w:p w14:paraId="10C7226E"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4C251C08" w14:textId="77777777" w:rsidTr="000F7124">
        <w:trPr>
          <w:trHeight w:val="285"/>
        </w:trPr>
        <w:tc>
          <w:tcPr>
            <w:cnfStyle w:val="001000000000" w:firstRow="0" w:lastRow="0" w:firstColumn="1" w:lastColumn="0" w:oddVBand="0" w:evenVBand="0" w:oddHBand="0" w:evenHBand="0" w:firstRowFirstColumn="0" w:firstRowLastColumn="0" w:lastRowFirstColumn="0" w:lastRowLastColumn="0"/>
            <w:tcW w:w="1480" w:type="dxa"/>
          </w:tcPr>
          <w:p w14:paraId="5B0AFDFE" w14:textId="77777777" w:rsidR="00585EFA" w:rsidRPr="00695BC8" w:rsidRDefault="00585EFA" w:rsidP="000F7124">
            <w:pPr>
              <w:jc w:val="both"/>
              <w:rPr>
                <w:rFonts w:ascii="Calibri" w:eastAsia="Times New Roman" w:hAnsi="Calibri" w:cs="Times New Roman"/>
                <w:color w:val="000000"/>
                <w:lang w:eastAsia="en-GB"/>
              </w:rPr>
            </w:pPr>
            <w:r w:rsidRPr="00BE47B5">
              <w:rPr>
                <w:lang w:eastAsia="en-GB"/>
              </w:rPr>
              <w:t>Loc4</w:t>
            </w:r>
          </w:p>
        </w:tc>
        <w:tc>
          <w:tcPr>
            <w:tcW w:w="1480" w:type="dxa"/>
            <w:noWrap/>
            <w:hideMark/>
          </w:tcPr>
          <w:p w14:paraId="4FBEDD9A"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89.7</w:t>
            </w:r>
          </w:p>
        </w:tc>
        <w:tc>
          <w:tcPr>
            <w:tcW w:w="1480" w:type="dxa"/>
            <w:noWrap/>
            <w:hideMark/>
          </w:tcPr>
          <w:p w14:paraId="68483F19"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10.0</w:t>
            </w:r>
          </w:p>
        </w:tc>
        <w:tc>
          <w:tcPr>
            <w:tcW w:w="1480" w:type="dxa"/>
            <w:noWrap/>
            <w:hideMark/>
          </w:tcPr>
          <w:p w14:paraId="36A9A056"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0.3</w:t>
            </w:r>
          </w:p>
        </w:tc>
        <w:tc>
          <w:tcPr>
            <w:tcW w:w="1656" w:type="dxa"/>
            <w:noWrap/>
            <w:hideMark/>
          </w:tcPr>
          <w:p w14:paraId="2478DF8E"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38991597" w14:textId="77777777" w:rsidTr="000F71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80" w:type="dxa"/>
          </w:tcPr>
          <w:p w14:paraId="46B149C1" w14:textId="77777777" w:rsidR="00585EFA" w:rsidRPr="00695BC8" w:rsidRDefault="00585EFA" w:rsidP="000F7124">
            <w:pPr>
              <w:jc w:val="both"/>
              <w:rPr>
                <w:rFonts w:ascii="Calibri" w:eastAsia="Times New Roman" w:hAnsi="Calibri" w:cs="Times New Roman"/>
                <w:color w:val="000000"/>
                <w:lang w:eastAsia="en-GB"/>
              </w:rPr>
            </w:pPr>
            <w:r>
              <w:rPr>
                <w:lang w:eastAsia="en-GB"/>
              </w:rPr>
              <w:t>Loc5</w:t>
            </w:r>
          </w:p>
        </w:tc>
        <w:tc>
          <w:tcPr>
            <w:tcW w:w="1480" w:type="dxa"/>
            <w:noWrap/>
            <w:hideMark/>
          </w:tcPr>
          <w:p w14:paraId="1A674BB4"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83.8</w:t>
            </w:r>
          </w:p>
        </w:tc>
        <w:tc>
          <w:tcPr>
            <w:tcW w:w="1480" w:type="dxa"/>
            <w:noWrap/>
            <w:hideMark/>
          </w:tcPr>
          <w:p w14:paraId="07D00306"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16.0</w:t>
            </w:r>
          </w:p>
        </w:tc>
        <w:tc>
          <w:tcPr>
            <w:tcW w:w="1480" w:type="dxa"/>
            <w:noWrap/>
            <w:hideMark/>
          </w:tcPr>
          <w:p w14:paraId="5210AD5C"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0.1</w:t>
            </w:r>
          </w:p>
        </w:tc>
        <w:tc>
          <w:tcPr>
            <w:tcW w:w="1656" w:type="dxa"/>
            <w:noWrap/>
            <w:hideMark/>
          </w:tcPr>
          <w:p w14:paraId="64D77464"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32081EFA" w14:textId="77777777" w:rsidTr="000F7124">
        <w:trPr>
          <w:trHeight w:val="278"/>
        </w:trPr>
        <w:tc>
          <w:tcPr>
            <w:cnfStyle w:val="001000000000" w:firstRow="0" w:lastRow="0" w:firstColumn="1" w:lastColumn="0" w:oddVBand="0" w:evenVBand="0" w:oddHBand="0" w:evenHBand="0" w:firstRowFirstColumn="0" w:firstRowLastColumn="0" w:lastRowFirstColumn="0" w:lastRowLastColumn="0"/>
            <w:tcW w:w="1480" w:type="dxa"/>
          </w:tcPr>
          <w:p w14:paraId="63DE25F5" w14:textId="77777777" w:rsidR="00585EFA" w:rsidRPr="00695BC8" w:rsidRDefault="00585EFA" w:rsidP="000F7124">
            <w:pPr>
              <w:jc w:val="both"/>
              <w:rPr>
                <w:rFonts w:ascii="Calibri" w:eastAsia="Times New Roman" w:hAnsi="Calibri" w:cs="Times New Roman"/>
                <w:color w:val="000000"/>
                <w:lang w:eastAsia="en-GB"/>
              </w:rPr>
            </w:pPr>
            <w:r>
              <w:rPr>
                <w:lang w:eastAsia="en-GB"/>
              </w:rPr>
              <w:t>Loc6</w:t>
            </w:r>
          </w:p>
        </w:tc>
        <w:tc>
          <w:tcPr>
            <w:tcW w:w="1480" w:type="dxa"/>
            <w:noWrap/>
            <w:hideMark/>
          </w:tcPr>
          <w:p w14:paraId="5C631B9E"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87.7</w:t>
            </w:r>
          </w:p>
        </w:tc>
        <w:tc>
          <w:tcPr>
            <w:tcW w:w="1480" w:type="dxa"/>
            <w:noWrap/>
            <w:hideMark/>
          </w:tcPr>
          <w:p w14:paraId="612760A7"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11.7</w:t>
            </w:r>
          </w:p>
        </w:tc>
        <w:tc>
          <w:tcPr>
            <w:tcW w:w="1480" w:type="dxa"/>
            <w:noWrap/>
            <w:hideMark/>
          </w:tcPr>
          <w:p w14:paraId="3EB3C1DB"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0.5</w:t>
            </w:r>
          </w:p>
        </w:tc>
        <w:tc>
          <w:tcPr>
            <w:tcW w:w="1656" w:type="dxa"/>
            <w:noWrap/>
            <w:hideMark/>
          </w:tcPr>
          <w:p w14:paraId="1120CA93"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0.1</w:t>
            </w:r>
          </w:p>
        </w:tc>
      </w:tr>
      <w:tr w:rsidR="00585EFA" w:rsidRPr="00695BC8" w14:paraId="6C8AFEBE" w14:textId="77777777" w:rsidTr="000F71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80" w:type="dxa"/>
          </w:tcPr>
          <w:p w14:paraId="7C9931C9" w14:textId="77777777" w:rsidR="00585EFA" w:rsidRPr="00695BC8" w:rsidRDefault="00585EFA" w:rsidP="000F7124">
            <w:pPr>
              <w:jc w:val="both"/>
              <w:rPr>
                <w:rFonts w:ascii="Calibri" w:eastAsia="Times New Roman" w:hAnsi="Calibri" w:cs="Times New Roman"/>
                <w:color w:val="000000"/>
                <w:lang w:eastAsia="en-GB"/>
              </w:rPr>
            </w:pPr>
            <w:r w:rsidRPr="002701B4">
              <w:rPr>
                <w:lang w:eastAsia="en-GB"/>
              </w:rPr>
              <w:t>Loc7</w:t>
            </w:r>
          </w:p>
        </w:tc>
        <w:tc>
          <w:tcPr>
            <w:tcW w:w="1480" w:type="dxa"/>
            <w:noWrap/>
            <w:hideMark/>
          </w:tcPr>
          <w:p w14:paraId="1C17EB7A"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89.8</w:t>
            </w:r>
          </w:p>
        </w:tc>
        <w:tc>
          <w:tcPr>
            <w:tcW w:w="1480" w:type="dxa"/>
            <w:noWrap/>
            <w:hideMark/>
          </w:tcPr>
          <w:p w14:paraId="5CB159BF"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9.6</w:t>
            </w:r>
          </w:p>
        </w:tc>
        <w:tc>
          <w:tcPr>
            <w:tcW w:w="1480" w:type="dxa"/>
            <w:noWrap/>
            <w:hideMark/>
          </w:tcPr>
          <w:p w14:paraId="1ACCD798"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0.7</w:t>
            </w:r>
          </w:p>
        </w:tc>
        <w:tc>
          <w:tcPr>
            <w:tcW w:w="1656" w:type="dxa"/>
            <w:noWrap/>
            <w:hideMark/>
          </w:tcPr>
          <w:p w14:paraId="3F77A894"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3B007300" w14:textId="77777777" w:rsidTr="000F7124">
        <w:trPr>
          <w:trHeight w:val="285"/>
        </w:trPr>
        <w:tc>
          <w:tcPr>
            <w:cnfStyle w:val="001000000000" w:firstRow="0" w:lastRow="0" w:firstColumn="1" w:lastColumn="0" w:oddVBand="0" w:evenVBand="0" w:oddHBand="0" w:evenHBand="0" w:firstRowFirstColumn="0" w:firstRowLastColumn="0" w:lastRowFirstColumn="0" w:lastRowLastColumn="0"/>
            <w:tcW w:w="1480" w:type="dxa"/>
          </w:tcPr>
          <w:p w14:paraId="2B5BBC15" w14:textId="77777777" w:rsidR="00585EFA" w:rsidRPr="00695BC8" w:rsidRDefault="00585EFA" w:rsidP="000F7124">
            <w:pPr>
              <w:jc w:val="both"/>
              <w:rPr>
                <w:rFonts w:ascii="Calibri" w:eastAsia="Times New Roman" w:hAnsi="Calibri" w:cs="Times New Roman"/>
                <w:color w:val="000000"/>
                <w:lang w:eastAsia="en-GB"/>
              </w:rPr>
            </w:pPr>
            <w:r>
              <w:rPr>
                <w:lang w:eastAsia="en-GB"/>
              </w:rPr>
              <w:t>Loc8</w:t>
            </w:r>
          </w:p>
        </w:tc>
        <w:tc>
          <w:tcPr>
            <w:tcW w:w="1480" w:type="dxa"/>
            <w:noWrap/>
            <w:hideMark/>
          </w:tcPr>
          <w:p w14:paraId="794B2B3F"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90.5</w:t>
            </w:r>
          </w:p>
        </w:tc>
        <w:tc>
          <w:tcPr>
            <w:tcW w:w="1480" w:type="dxa"/>
            <w:noWrap/>
            <w:hideMark/>
          </w:tcPr>
          <w:p w14:paraId="53C703E0"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9.3</w:t>
            </w:r>
          </w:p>
        </w:tc>
        <w:tc>
          <w:tcPr>
            <w:tcW w:w="1480" w:type="dxa"/>
            <w:noWrap/>
            <w:hideMark/>
          </w:tcPr>
          <w:p w14:paraId="14EC891C"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0.2</w:t>
            </w:r>
          </w:p>
        </w:tc>
        <w:tc>
          <w:tcPr>
            <w:tcW w:w="1656" w:type="dxa"/>
            <w:noWrap/>
            <w:hideMark/>
          </w:tcPr>
          <w:p w14:paraId="5154BDC1"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5428A66A" w14:textId="77777777" w:rsidTr="000F71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80" w:type="dxa"/>
          </w:tcPr>
          <w:p w14:paraId="1B489155" w14:textId="77777777" w:rsidR="00585EFA" w:rsidRPr="00695BC8" w:rsidRDefault="00585EFA" w:rsidP="000F7124">
            <w:pPr>
              <w:jc w:val="both"/>
              <w:rPr>
                <w:rFonts w:ascii="Calibri" w:eastAsia="Times New Roman" w:hAnsi="Calibri" w:cs="Times New Roman"/>
                <w:color w:val="000000"/>
                <w:lang w:eastAsia="en-GB"/>
              </w:rPr>
            </w:pPr>
            <w:r>
              <w:rPr>
                <w:lang w:eastAsia="en-GB"/>
              </w:rPr>
              <w:t>Loc9</w:t>
            </w:r>
          </w:p>
        </w:tc>
        <w:tc>
          <w:tcPr>
            <w:tcW w:w="1480" w:type="dxa"/>
            <w:noWrap/>
            <w:hideMark/>
          </w:tcPr>
          <w:p w14:paraId="49FC248C"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92.5</w:t>
            </w:r>
          </w:p>
        </w:tc>
        <w:tc>
          <w:tcPr>
            <w:tcW w:w="1480" w:type="dxa"/>
            <w:noWrap/>
            <w:hideMark/>
          </w:tcPr>
          <w:p w14:paraId="6912F150"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6.7</w:t>
            </w:r>
          </w:p>
        </w:tc>
        <w:tc>
          <w:tcPr>
            <w:tcW w:w="1480" w:type="dxa"/>
            <w:noWrap/>
            <w:hideMark/>
          </w:tcPr>
          <w:p w14:paraId="16C07DD4"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0.9</w:t>
            </w:r>
          </w:p>
        </w:tc>
        <w:tc>
          <w:tcPr>
            <w:tcW w:w="1656" w:type="dxa"/>
            <w:noWrap/>
            <w:hideMark/>
          </w:tcPr>
          <w:p w14:paraId="71A7F9D7" w14:textId="77777777" w:rsidR="00585EFA" w:rsidRPr="00695BC8" w:rsidRDefault="00585EFA" w:rsidP="000F71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r w:rsidR="00585EFA" w:rsidRPr="00695BC8" w14:paraId="7B9859A7" w14:textId="77777777" w:rsidTr="000F7124">
        <w:trPr>
          <w:trHeight w:val="285"/>
        </w:trPr>
        <w:tc>
          <w:tcPr>
            <w:cnfStyle w:val="001000000000" w:firstRow="0" w:lastRow="0" w:firstColumn="1" w:lastColumn="0" w:oddVBand="0" w:evenVBand="0" w:oddHBand="0" w:evenHBand="0" w:firstRowFirstColumn="0" w:firstRowLastColumn="0" w:lastRowFirstColumn="0" w:lastRowLastColumn="0"/>
            <w:tcW w:w="1480" w:type="dxa"/>
          </w:tcPr>
          <w:p w14:paraId="36850D58" w14:textId="77777777" w:rsidR="00585EFA" w:rsidRPr="00695BC8" w:rsidRDefault="00585EFA" w:rsidP="000F7124">
            <w:pPr>
              <w:jc w:val="both"/>
              <w:rPr>
                <w:rFonts w:ascii="Calibri" w:eastAsia="Times New Roman" w:hAnsi="Calibri" w:cs="Times New Roman"/>
                <w:color w:val="000000"/>
                <w:lang w:eastAsia="en-GB"/>
              </w:rPr>
            </w:pPr>
            <w:r>
              <w:rPr>
                <w:lang w:eastAsia="en-GB"/>
              </w:rPr>
              <w:t>Loc10</w:t>
            </w:r>
          </w:p>
        </w:tc>
        <w:tc>
          <w:tcPr>
            <w:tcW w:w="1480" w:type="dxa"/>
            <w:noWrap/>
            <w:hideMark/>
          </w:tcPr>
          <w:p w14:paraId="295DC4D5"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85.7</w:t>
            </w:r>
          </w:p>
        </w:tc>
        <w:tc>
          <w:tcPr>
            <w:tcW w:w="1480" w:type="dxa"/>
            <w:noWrap/>
            <w:hideMark/>
          </w:tcPr>
          <w:p w14:paraId="0D54ED62"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14.3</w:t>
            </w:r>
          </w:p>
        </w:tc>
        <w:tc>
          <w:tcPr>
            <w:tcW w:w="1480" w:type="dxa"/>
            <w:noWrap/>
            <w:hideMark/>
          </w:tcPr>
          <w:p w14:paraId="0E237F74"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c>
          <w:tcPr>
            <w:tcW w:w="1656" w:type="dxa"/>
            <w:noWrap/>
            <w:hideMark/>
          </w:tcPr>
          <w:p w14:paraId="02DD371F" w14:textId="77777777" w:rsidR="00585EFA" w:rsidRPr="00695BC8" w:rsidRDefault="00585EFA" w:rsidP="000F71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695BC8">
              <w:rPr>
                <w:rFonts w:ascii="Calibri" w:eastAsia="Times New Roman" w:hAnsi="Calibri" w:cs="Times New Roman"/>
                <w:color w:val="000000"/>
                <w:lang w:eastAsia="en-GB"/>
              </w:rPr>
              <w:t>0.0</w:t>
            </w:r>
          </w:p>
        </w:tc>
      </w:tr>
    </w:tbl>
    <w:p w14:paraId="01F52D47" w14:textId="076176BE" w:rsidR="00585EFA" w:rsidRDefault="00585EFA" w:rsidP="001B79AA">
      <w:pPr>
        <w:jc w:val="both"/>
      </w:pPr>
    </w:p>
    <w:p w14:paraId="523E45F5" w14:textId="77777777" w:rsidR="001B79AA" w:rsidRDefault="001B79AA" w:rsidP="001B79AA">
      <w:pPr>
        <w:jc w:val="both"/>
        <w:rPr>
          <w:b/>
          <w:u w:val="single"/>
        </w:rPr>
      </w:pPr>
      <w:r w:rsidRPr="007011EE">
        <w:rPr>
          <w:b/>
          <w:u w:val="single"/>
        </w:rPr>
        <w:t>Moderate R</w:t>
      </w:r>
      <w:r>
        <w:rPr>
          <w:b/>
          <w:u w:val="single"/>
        </w:rPr>
        <w:t>eporting</w:t>
      </w:r>
      <w:r w:rsidRPr="007011EE">
        <w:rPr>
          <w:b/>
          <w:u w:val="single"/>
        </w:rPr>
        <w:t xml:space="preserve"> Model Interpretation</w:t>
      </w:r>
    </w:p>
    <w:p w14:paraId="3A0EB3AD" w14:textId="59055519" w:rsidR="001B79AA" w:rsidRDefault="001B79AA" w:rsidP="001B79AA">
      <w:pPr>
        <w:jc w:val="both"/>
      </w:pPr>
      <w:r w:rsidRPr="007011EE">
        <w:t>Assuming</w:t>
      </w:r>
      <w:r>
        <w:t xml:space="preserve"> a ward</w:t>
      </w:r>
      <w:r w:rsidR="00E23FB8">
        <w:t>’</w:t>
      </w:r>
      <w:r>
        <w:t>s event reporting follows the MRM</w:t>
      </w:r>
      <w:r w:rsidR="00E23FB8">
        <w:t>,</w:t>
      </w:r>
      <w:r w:rsidR="005F6B6E">
        <w:t xml:space="preserve"> </w:t>
      </w:r>
      <w:r>
        <w:t>the rate at which events are reported is reasonabl</w:t>
      </w:r>
      <w:r w:rsidR="00696D93">
        <w:t xml:space="preserve">y consistent across locations. </w:t>
      </w:r>
      <w:r>
        <w:t>The only exceptions are</w:t>
      </w:r>
      <w:r w:rsidR="00E23FB8">
        <w:t>:</w:t>
      </w:r>
      <w:r w:rsidR="009F6B7B">
        <w:t xml:space="preserve"> l</w:t>
      </w:r>
      <w:r>
        <w:t>ocation 1</w:t>
      </w:r>
      <w:r w:rsidR="00E23FB8">
        <w:t>,</w:t>
      </w:r>
      <w:r>
        <w:t xml:space="preserve"> which shows the lowest baseline rate</w:t>
      </w:r>
      <w:r w:rsidR="00E23FB8">
        <w:t>;</w:t>
      </w:r>
      <w:r w:rsidR="009F6B7B">
        <w:t xml:space="preserve"> and l</w:t>
      </w:r>
      <w:r>
        <w:t>ocations 2 and 3</w:t>
      </w:r>
      <w:r w:rsidR="00E23FB8">
        <w:t xml:space="preserve">, which show the highest. </w:t>
      </w:r>
      <w:r w:rsidR="005F6B6E">
        <w:t xml:space="preserve">Considering this model is consistent with a good reporting culture, </w:t>
      </w:r>
      <w:r w:rsidR="00401CDF">
        <w:t xml:space="preserve">we can assume the shift in rate is due to shifts in prevalence of adverse events. Location 1 being a low security </w:t>
      </w:r>
      <w:r w:rsidR="00282B24">
        <w:t>location</w:t>
      </w:r>
      <w:r w:rsidR="009F6B7B">
        <w:t xml:space="preserve"> while l</w:t>
      </w:r>
      <w:r w:rsidR="00E23FB8">
        <w:t>ocation 2 being</w:t>
      </w:r>
      <w:r w:rsidR="00401CDF">
        <w:t xml:space="preserve"> a high security </w:t>
      </w:r>
      <w:r w:rsidR="00282B24">
        <w:t>location</w:t>
      </w:r>
      <w:r w:rsidR="00401CDF">
        <w:t xml:space="preserve"> could be the reason for this shift in inherent safety of the location.</w:t>
      </w:r>
    </w:p>
    <w:p w14:paraId="610FCE5C" w14:textId="02F6A203" w:rsidR="001B79AA" w:rsidRDefault="001B79AA" w:rsidP="00A918CB">
      <w:pPr>
        <w:jc w:val="both"/>
      </w:pPr>
      <w:r>
        <w:t xml:space="preserve">In the MRM scenario, the rate of reporting appears to be weakly linked to the </w:t>
      </w:r>
      <w:r w:rsidR="007C7FA2">
        <w:t>clinically-</w:t>
      </w:r>
      <w:r>
        <w:t xml:space="preserve">required staffing levels. The only significant parameter is the required level of unregistered nurses on the night shift, where each extra </w:t>
      </w:r>
      <w:r w:rsidR="001B2F72">
        <w:t>unregistered nurse</w:t>
      </w:r>
      <w:r w:rsidR="00FD73DD">
        <w:t xml:space="preserve"> </w:t>
      </w:r>
      <w:r w:rsidR="00E23FB8">
        <w:t xml:space="preserve">required reduces the rate of incidents reported by 15%. </w:t>
      </w:r>
      <w:r>
        <w:t>Fewer events being reported as</w:t>
      </w:r>
      <w:r w:rsidR="00A918CB">
        <w:t xml:space="preserve"> the perceived</w:t>
      </w:r>
      <w:r w:rsidR="003B4B95">
        <w:t xml:space="preserve"> demand grows</w:t>
      </w:r>
      <w:r w:rsidR="00A918CB">
        <w:t xml:space="preserve"> implies more events reported at the lowest perceived demand.  </w:t>
      </w:r>
      <w:r>
        <w:t xml:space="preserve">Considering that the </w:t>
      </w:r>
      <w:r w:rsidR="00282B24">
        <w:t>night</w:t>
      </w:r>
      <w:r>
        <w:t xml:space="preserve"> shifts generally run with the fewest staff members (between 1 to 2 RNs and 0 to 6 </w:t>
      </w:r>
      <w:r w:rsidR="00C13C74">
        <w:t>unregistered nurses</w:t>
      </w:r>
      <w:r>
        <w:t xml:space="preserve">) where </w:t>
      </w:r>
      <w:r w:rsidR="007C7FA2">
        <w:t xml:space="preserve">perceived demand </w:t>
      </w:r>
      <w:r>
        <w:t>is lowest</w:t>
      </w:r>
      <w:r w:rsidR="0022322E">
        <w:t>,</w:t>
      </w:r>
      <w:r>
        <w:t xml:space="preserve"> the risk of </w:t>
      </w:r>
      <w:r w:rsidR="00A8552A">
        <w:t xml:space="preserve">very </w:t>
      </w:r>
      <w:r w:rsidR="00282B24">
        <w:t>low numbers of staff</w:t>
      </w:r>
      <w:r>
        <w:t xml:space="preserve"> </w:t>
      </w:r>
      <w:r w:rsidR="00A8552A">
        <w:t xml:space="preserve">on shift </w:t>
      </w:r>
      <w:r>
        <w:t xml:space="preserve">would inherently increase. It appears that even a small increase in </w:t>
      </w:r>
      <w:r w:rsidR="00A8552A">
        <w:t>unregistered nurses</w:t>
      </w:r>
      <w:r>
        <w:t xml:space="preserve"> on the late shift</w:t>
      </w:r>
      <w:r w:rsidR="00A918CB">
        <w:t xml:space="preserve"> above what clinical staff perceive as being </w:t>
      </w:r>
      <w:r w:rsidR="00727E08">
        <w:t>required</w:t>
      </w:r>
      <w:r>
        <w:t xml:space="preserve"> can result in a strong increase in staff safety.  </w:t>
      </w:r>
    </w:p>
    <w:p w14:paraId="366C8972" w14:textId="217FDD99" w:rsidR="001B79AA" w:rsidRDefault="001B79AA" w:rsidP="001B79AA">
      <w:pPr>
        <w:jc w:val="both"/>
      </w:pPr>
      <w:r>
        <w:t>The reporting of adverse events in the MRM scenario also appears to be only weakly li</w:t>
      </w:r>
      <w:r w:rsidR="00986FD5">
        <w:t xml:space="preserve">nked to variation in staffing. </w:t>
      </w:r>
      <w:r>
        <w:t>The only two significant terms show a reduction in adverse events on staff being report</w:t>
      </w:r>
      <w:r w:rsidR="00C13C74">
        <w:t>ed as the levels of RNs on the e</w:t>
      </w:r>
      <w:r>
        <w:t xml:space="preserve">arly and </w:t>
      </w:r>
      <w:r w:rsidR="00C13C74">
        <w:t>l</w:t>
      </w:r>
      <w:r>
        <w:t xml:space="preserve">ate shifts exceed the </w:t>
      </w:r>
      <w:r w:rsidR="00B44FD6">
        <w:t>clinically-</w:t>
      </w:r>
      <w:r>
        <w:t xml:space="preserve">required levels. Given the assumption these observations arise from wards with a good reporting culture, the remaining explanation is that more RNs result in a safer environment for staff. </w:t>
      </w:r>
    </w:p>
    <w:p w14:paraId="7CE1B513" w14:textId="77777777" w:rsidR="001B79AA" w:rsidRDefault="001B79AA" w:rsidP="001B79AA">
      <w:pPr>
        <w:jc w:val="both"/>
        <w:rPr>
          <w:b/>
          <w:u w:val="single"/>
        </w:rPr>
      </w:pPr>
      <w:r w:rsidRPr="007011EE">
        <w:rPr>
          <w:b/>
          <w:u w:val="single"/>
        </w:rPr>
        <w:t>Low Reporting Model</w:t>
      </w:r>
    </w:p>
    <w:p w14:paraId="79EC91DC" w14:textId="7BF75C49" w:rsidR="001B79AA" w:rsidRDefault="001B79AA" w:rsidP="001B79AA">
      <w:pPr>
        <w:jc w:val="both"/>
      </w:pPr>
      <w:r w:rsidRPr="007011EE">
        <w:t xml:space="preserve">Assuming a </w:t>
      </w:r>
      <w:r>
        <w:t>ward</w:t>
      </w:r>
      <w:r w:rsidR="00EE19E0">
        <w:t>’</w:t>
      </w:r>
      <w:r>
        <w:t>s event reporting follows the LRM, the rate at which events are reported is relatively consiste</w:t>
      </w:r>
      <w:r w:rsidR="00EE19E0">
        <w:t>nt across locations, with only l</w:t>
      </w:r>
      <w:r>
        <w:t xml:space="preserve">ocation 9 showing a strong decrease in rate (58% decrease) compared to the others.    </w:t>
      </w:r>
    </w:p>
    <w:p w14:paraId="03A49DC9" w14:textId="3F86EDD9" w:rsidR="001B79AA" w:rsidRPr="007D435D" w:rsidRDefault="001B79AA" w:rsidP="00367ABA">
      <w:pPr>
        <w:jc w:val="both"/>
      </w:pPr>
      <w:r w:rsidRPr="007D435D">
        <w:t xml:space="preserve">The LRM has the majority of its behaviour arising from the staffing parameters, with a strong link between increasing </w:t>
      </w:r>
      <w:r w:rsidR="007C7FA2" w:rsidRPr="007D435D">
        <w:t xml:space="preserve">demand </w:t>
      </w:r>
      <w:r w:rsidR="00C13C74">
        <w:t>and decreased reporting on the n</w:t>
      </w:r>
      <w:r w:rsidRPr="007D435D">
        <w:t xml:space="preserve">ight shift for RN staffing, and all shifts for </w:t>
      </w:r>
      <w:r w:rsidR="00A8552A">
        <w:t>unregistered nurses</w:t>
      </w:r>
      <w:r w:rsidRPr="007D435D">
        <w:t>, though the</w:t>
      </w:r>
      <w:r w:rsidR="00A8552A">
        <w:t xml:space="preserve"> signal arising from the </w:t>
      </w:r>
      <w:r w:rsidR="00C13C74">
        <w:t>n</w:t>
      </w:r>
      <w:r w:rsidR="00367ABA">
        <w:t>ight shift is by far the strongest.</w:t>
      </w:r>
      <w:r w:rsidR="00986FD5" w:rsidRPr="007D435D">
        <w:t xml:space="preserve"> </w:t>
      </w:r>
      <w:r w:rsidRPr="007D435D">
        <w:t xml:space="preserve">This supports the idea that as wards increase in </w:t>
      </w:r>
      <w:r w:rsidR="00367ABA">
        <w:t>demand</w:t>
      </w:r>
      <w:r w:rsidRPr="007D435D">
        <w:t xml:space="preserve">, event reporting becomes increasingly rare, with staff members likely more focussed on the delivery of care than filling out near misses.  However, the </w:t>
      </w:r>
      <w:r w:rsidRPr="007D435D">
        <w:lastRenderedPageBreak/>
        <w:t xml:space="preserve">marked increase in signal for the night shift suggests that this may be in addition to the signal suggested for the MRM.  A decrease in events being reported with </w:t>
      </w:r>
      <w:r w:rsidR="007C7FA2" w:rsidRPr="007D435D">
        <w:t>more perceived demand</w:t>
      </w:r>
      <w:r w:rsidRPr="007D435D">
        <w:t xml:space="preserve"> means far more events reported </w:t>
      </w:r>
      <w:r w:rsidR="007C7FA2" w:rsidRPr="007D435D">
        <w:t>when demand is low</w:t>
      </w:r>
      <w:r w:rsidRPr="007D435D">
        <w:t xml:space="preserve">.  Where the level of </w:t>
      </w:r>
      <w:r w:rsidR="00A8552A">
        <w:t>unregistered</w:t>
      </w:r>
      <w:r w:rsidR="00C13C74">
        <w:t xml:space="preserve"> nurses on the n</w:t>
      </w:r>
      <w:r w:rsidRPr="007D435D">
        <w:t xml:space="preserve">ight shift is low, the risk of </w:t>
      </w:r>
      <w:r w:rsidR="00A8552A">
        <w:t>low staffing levels</w:t>
      </w:r>
      <w:r w:rsidRPr="007D435D">
        <w:t xml:space="preserve"> would be enhanced</w:t>
      </w:r>
      <w:r w:rsidR="007C7FA2" w:rsidRPr="007D435D">
        <w:t>,</w:t>
      </w:r>
      <w:r w:rsidR="00966724" w:rsidRPr="007D435D">
        <w:t xml:space="preserve"> </w:t>
      </w:r>
      <w:r w:rsidRPr="007D435D">
        <w:t>and</w:t>
      </w:r>
      <w:r w:rsidR="00966724" w:rsidRPr="007D435D">
        <w:t xml:space="preserve"> more obvious accidents occur (e.g</w:t>
      </w:r>
      <w:r w:rsidR="00EE19E0" w:rsidRPr="007D435D">
        <w:t>.</w:t>
      </w:r>
      <w:r w:rsidR="00966724" w:rsidRPr="007D435D">
        <w:t xml:space="preserve"> of a higher severity than near miss). </w:t>
      </w:r>
    </w:p>
    <w:p w14:paraId="09F0D298" w14:textId="52018B3D" w:rsidR="00E37B8C" w:rsidRDefault="001B79AA" w:rsidP="00E46B21">
      <w:pPr>
        <w:jc w:val="both"/>
      </w:pPr>
      <w:r>
        <w:t>The reporting of adverse events in the LRM scenario shows a similar link to variation in staffing as the MRM. The only two significant terms show a reduction in</w:t>
      </w:r>
      <w:r w:rsidR="007C7FA2">
        <w:t xml:space="preserve"> staff</w:t>
      </w:r>
      <w:r>
        <w:t xml:space="preserve"> adverse events being reported as levels of RNs on the </w:t>
      </w:r>
      <w:r w:rsidR="001B2F72">
        <w:t>e</w:t>
      </w:r>
      <w:r>
        <w:t xml:space="preserve">arly and </w:t>
      </w:r>
      <w:r w:rsidR="001B2F72">
        <w:t>l</w:t>
      </w:r>
      <w:r>
        <w:t>ate shi</w:t>
      </w:r>
      <w:r w:rsidR="00212AE5">
        <w:t xml:space="preserve">fts exceed the </w:t>
      </w:r>
      <w:r w:rsidR="00904980">
        <w:t>clinically-</w:t>
      </w:r>
      <w:r w:rsidR="00212AE5">
        <w:t xml:space="preserve">required levels. </w:t>
      </w:r>
      <w:r>
        <w:t>Whether this is a result of improved safety culture or indicative of something else is hard to say.</w:t>
      </w:r>
    </w:p>
    <w:p w14:paraId="6E6B30EB" w14:textId="0B7154EC" w:rsidR="004930A6" w:rsidRDefault="00AB2091" w:rsidP="00EB0DE9">
      <w:pPr>
        <w:pStyle w:val="Heading2"/>
        <w:jc w:val="both"/>
      </w:pPr>
      <w:r>
        <w:t>Discussion</w:t>
      </w:r>
    </w:p>
    <w:p w14:paraId="2AB5BF6F" w14:textId="7405DE7A" w:rsidR="001B79AA" w:rsidRDefault="001B79AA" w:rsidP="001B79AA">
      <w:pPr>
        <w:jc w:val="both"/>
      </w:pPr>
      <w:r w:rsidRPr="007011EE">
        <w:t>The marked improvement in</w:t>
      </w:r>
      <w:r w:rsidR="00A8552A">
        <w:t xml:space="preserve"> </w:t>
      </w:r>
      <w:r w:rsidR="001B2F72">
        <w:t>BIC</w:t>
      </w:r>
      <w:r w:rsidR="00A8552A">
        <w:t xml:space="preserve"> </w:t>
      </w:r>
      <w:r w:rsidRPr="007011EE">
        <w:t>as the model moves from the standard count behaviours to the mixed Poisson behaviour suggests that the reporting of staff adverse events is relatively complex. The</w:t>
      </w:r>
      <w:r w:rsidR="001017B9">
        <w:t>re is strong evidence that the t</w:t>
      </w:r>
      <w:r w:rsidRPr="007011EE">
        <w:t xml:space="preserve">rust’s rate of staff being victims of adverse events is not continuous across the locations operated, with some locations reporting far fewer </w:t>
      </w:r>
      <w:r w:rsidR="001017B9">
        <w:t>incidents</w:t>
      </w:r>
      <w:r w:rsidRPr="007011EE">
        <w:t xml:space="preserve"> than others. </w:t>
      </w:r>
      <w:r>
        <w:t>This variation in reporting appears to go hand in hand with an imp</w:t>
      </w:r>
      <w:r w:rsidR="00EE19E0">
        <w:t>roved culture of reporting “n</w:t>
      </w:r>
      <w:r>
        <w:t xml:space="preserve">o </w:t>
      </w:r>
      <w:r w:rsidR="00EE19E0">
        <w:t>h</w:t>
      </w:r>
      <w:r>
        <w:t>arm” events</w:t>
      </w:r>
      <w:r w:rsidR="001017B9">
        <w:t xml:space="preserve"> where a greater number of incidents are reported</w:t>
      </w:r>
      <w:r>
        <w:t>, and suggests that of the two models extracted, the “Moderate Reporting Model” represents a desirable culture.</w:t>
      </w:r>
    </w:p>
    <w:p w14:paraId="3DB72F00" w14:textId="25534EBD" w:rsidR="00696D93" w:rsidRPr="007011EE" w:rsidRDefault="001B79AA" w:rsidP="00696D93">
      <w:pPr>
        <w:jc w:val="both"/>
      </w:pPr>
      <w:r w:rsidRPr="007011EE">
        <w:t xml:space="preserve">Across all locations, there is strong evidence that the </w:t>
      </w:r>
      <w:r w:rsidR="00EE19E0">
        <w:t>clinically-</w:t>
      </w:r>
      <w:r w:rsidRPr="007011EE">
        <w:t>required level of unregist</w:t>
      </w:r>
      <w:r w:rsidR="00556CB9">
        <w:t>er</w:t>
      </w:r>
      <w:r w:rsidRPr="007011EE">
        <w:t>ed nurses on the night shift is inversely proportional to the rate at which staff members are reported as t</w:t>
      </w:r>
      <w:r w:rsidR="001017B9">
        <w:t>he victims of adverse events.</w:t>
      </w:r>
      <w:r w:rsidRPr="007011EE">
        <w:t xml:space="preserve"> </w:t>
      </w:r>
      <w:r w:rsidRPr="001B2F72">
        <w:t xml:space="preserve">Both LRM and MRM scenarios suggest that as the </w:t>
      </w:r>
      <w:r w:rsidR="00EE19E0" w:rsidRPr="001B2F72">
        <w:t>clinically-</w:t>
      </w:r>
      <w:r w:rsidRPr="001B2F72">
        <w:t xml:space="preserve">required staffing levels </w:t>
      </w:r>
      <w:r w:rsidR="006D682D" w:rsidRPr="001B2F72">
        <w:t xml:space="preserve">of unregistered nurses </w:t>
      </w:r>
      <w:r w:rsidRPr="001B2F72">
        <w:t xml:space="preserve">decreases, the rate at which staff members are </w:t>
      </w:r>
      <w:r w:rsidR="007166CD">
        <w:t>recipients of</w:t>
      </w:r>
      <w:r w:rsidR="001017B9" w:rsidRPr="001B2F72">
        <w:t xml:space="preserve"> adverse events increases.</w:t>
      </w:r>
      <w:r w:rsidR="001017B9">
        <w:t xml:space="preserve"> </w:t>
      </w:r>
      <w:r w:rsidR="00696D93" w:rsidRPr="007011EE">
        <w:t xml:space="preserve">The extent to which ward staffing varies from these required levels is relatively small, in general falling between 1 over or under the required level, and hence a low required level is indicative of a greater risk of </w:t>
      </w:r>
      <w:r w:rsidR="00A8552A">
        <w:t>very low staffing levels</w:t>
      </w:r>
      <w:r w:rsidR="00696D93" w:rsidRPr="007011EE">
        <w:t xml:space="preserve">, which could explain why the number of adverse events on staff increases where the locations have a lower </w:t>
      </w:r>
      <w:r w:rsidR="00904980">
        <w:t>clinically-</w:t>
      </w:r>
      <w:r w:rsidR="00696D93" w:rsidRPr="007011EE">
        <w:t xml:space="preserve">required level of staffing.   </w:t>
      </w:r>
    </w:p>
    <w:p w14:paraId="0AED36B2" w14:textId="1E7107C8" w:rsidR="001B79AA" w:rsidRDefault="001B79AA" w:rsidP="00367ABA">
      <w:pPr>
        <w:jc w:val="both"/>
      </w:pPr>
      <w:r w:rsidRPr="007011EE">
        <w:t>Considering the majority of adverse events suffered by staff members arise from aggressive/ inappropriate behaviour, and sexual incidents, the combination of</w:t>
      </w:r>
      <w:r w:rsidR="00A8552A">
        <w:t xml:space="preserve"> low clinical </w:t>
      </w:r>
      <w:r w:rsidR="00367ABA">
        <w:t>demand</w:t>
      </w:r>
      <w:r w:rsidRPr="007011EE">
        <w:t xml:space="preserve"> and a greater risk of </w:t>
      </w:r>
      <w:r w:rsidR="00A8552A">
        <w:t>very low staffing levels</w:t>
      </w:r>
      <w:r w:rsidRPr="007011EE">
        <w:t xml:space="preserve"> establishes a clear image of a high risk environment for staff members. Such a risk is becoming increasingly well-understood as the growing demands on community nursing leads to higher lone working</w:t>
      </w:r>
      <w:r w:rsidR="00EE19E0">
        <w:t xml:space="preserve"> </w:t>
      </w:r>
      <w:r w:rsidRPr="007011EE">
        <w:fldChar w:fldCharType="begin"/>
      </w:r>
      <w:r w:rsidR="00587919">
        <w:instrText xml:space="preserve"> ADDIN ZOTERO_ITEM CSL_CITATION {"citationID":"a1l09it5gqd","properties":{"formattedCitation":"(39)","plainCitation":"(39)","noteIndex":0},"citationItems":[{"id":156,"uris":["http://zotero.org/users/local/buuMpNoH/items/PFHEF2G2"],"uri":["http://zotero.org/users/local/buuMpNoH/items/PFHEF2G2"],"itemData":{"id":156,"type":"article-journal","title":"Safer lone working: assessing the risk to health professionals","container-title":"British Journal of Nursing","page":"1428-1430","volume":"19","issue":"22","source":"Crossref","DOI":"10.12968/bjon.2010.19.22.1428","ISSN":"0966-0461, 2052-2819","title-short":"Safer lone working","language":"en","author":[{"family":"Brennan","given":"Walter"}],"issued":{"date-parts":[["2010",12,9]]}}}],"schema":"https://github.com/citation-style-language/schema/raw/master/csl-citation.json"} </w:instrText>
      </w:r>
      <w:r w:rsidRPr="007011EE">
        <w:fldChar w:fldCharType="separate"/>
      </w:r>
      <w:r w:rsidR="00587919" w:rsidRPr="00236AA9">
        <w:rPr>
          <w:rFonts w:ascii="Calibri" w:hAnsi="Calibri"/>
        </w:rPr>
        <w:t>(39)</w:t>
      </w:r>
      <w:r w:rsidRPr="007011EE">
        <w:fldChar w:fldCharType="end"/>
      </w:r>
      <w:r w:rsidR="00EE19E0">
        <w:t>, however, the safe</w:t>
      </w:r>
      <w:r w:rsidRPr="007011EE">
        <w:t xml:space="preserve">guarding needs may be unlikely to transport easily across disciplines.  </w:t>
      </w:r>
    </w:p>
    <w:p w14:paraId="4957FA18" w14:textId="6B341C1A" w:rsidR="001B79AA" w:rsidRPr="00556CB9" w:rsidRDefault="001B79AA" w:rsidP="001B79AA">
      <w:pPr>
        <w:jc w:val="both"/>
      </w:pPr>
      <w:r w:rsidRPr="007011EE">
        <w:t xml:space="preserve">The greater risk of harm that may be associated with </w:t>
      </w:r>
      <w:r w:rsidR="00A8552A">
        <w:t>very low staffing levels</w:t>
      </w:r>
      <w:r w:rsidRPr="007011EE">
        <w:t xml:space="preserve"> may also be countermanded by an increase in registered nurse staffing. The analysis shows that </w:t>
      </w:r>
      <w:r>
        <w:t>RN levels</w:t>
      </w:r>
      <w:r w:rsidRPr="007011EE">
        <w:t xml:space="preserve"> exceed</w:t>
      </w:r>
      <w:r>
        <w:t>ing</w:t>
      </w:r>
      <w:r w:rsidRPr="007011EE">
        <w:t xml:space="preserve"> those </w:t>
      </w:r>
      <w:r w:rsidR="00904980">
        <w:t>recommended by clinical judgement</w:t>
      </w:r>
      <w:r w:rsidR="001B2F72">
        <w:t xml:space="preserve"> on the e</w:t>
      </w:r>
      <w:r>
        <w:t xml:space="preserve">arly and </w:t>
      </w:r>
      <w:r w:rsidR="001B2F72">
        <w:t>l</w:t>
      </w:r>
      <w:r>
        <w:t xml:space="preserve">ate shift were linked to a decrease in </w:t>
      </w:r>
      <w:r w:rsidRPr="007011EE">
        <w:t>adverse events</w:t>
      </w:r>
      <w:r>
        <w:t xml:space="preserve"> on staff</w:t>
      </w:r>
      <w:r w:rsidRPr="007011EE">
        <w:t>.</w:t>
      </w:r>
      <w:r w:rsidR="00A8552A">
        <w:t xml:space="preserve">  Interestingly, </w:t>
      </w:r>
      <w:r>
        <w:t xml:space="preserve">equivalent behaviour on the </w:t>
      </w:r>
      <w:r w:rsidR="001B2F72">
        <w:t>n</w:t>
      </w:r>
      <w:r>
        <w:t xml:space="preserve">ight shift was not observed, </w:t>
      </w:r>
      <w:r w:rsidR="001017B9">
        <w:t>al</w:t>
      </w:r>
      <w:r>
        <w:t>though this may be due to the relative</w:t>
      </w:r>
      <w:r w:rsidR="001017B9">
        <w:t>ly</w:t>
      </w:r>
      <w:r>
        <w:t xml:space="preserve"> low variation in RN staffing on the night shift in the dataset (83% of shifts running at the correct level with 12% running one un</w:t>
      </w:r>
      <w:r w:rsidR="001017B9">
        <w:t xml:space="preserve">der and 4% running one over). </w:t>
      </w:r>
      <w:r>
        <w:t>Alternatively, the increase in RN levels on the previous shifts may result in fewer tasks going undone an</w:t>
      </w:r>
      <w:r w:rsidR="001B2F72">
        <w:t>d reducing the pressure on the n</w:t>
      </w:r>
      <w:r>
        <w:t xml:space="preserve">ight shift, </w:t>
      </w:r>
      <w:r w:rsidRPr="00556CB9">
        <w:t>resulting in a safer environment</w:t>
      </w:r>
      <w:r w:rsidR="00EE19E0">
        <w:t xml:space="preserve"> </w:t>
      </w:r>
      <w:r w:rsidR="00BC3F1D">
        <w:fldChar w:fldCharType="begin"/>
      </w:r>
      <w:r w:rsidR="00587919">
        <w:instrText xml:space="preserve"> ADDIN ZOTERO_ITEM CSL_CITATION {"citationID":"Y6hH45Py","properties":{"formattedCitation":"(40)","plainCitation":"(40)","noteIndex":0},"citationItems":[{"id":201,"uris":["http://zotero.org/users/local/buuMpNoH/items/3BNC7XIU"],"uri":["http://zotero.org/users/local/buuMpNoH/items/3BNC7XIU"],"itemData":{"id":201,"type":"article-journal","title":"A cross‐sectional study of ‘care left undone’ on nursing shifts in hospitals","container-title":"Journal of Advanced Nursing","page":"2086-2097","volume":"72","issue":"9","source":"onlinelibrary.wiley.com","ISSN":"1365-2648","language":"en","author":[{"family":"Ball","given":"Jane E."},{"family":"Griffiths","given":"Peter"},{"family":"Rafferty","given":"Anne Marie"},{"family":"Lindqvist","given":"Rikard"},{"family":"Murrells","given":"Trevor"},{"family":"Tishelman","given":"Carol"}],"issued":{"date-parts":[["2016",9,1]]}}}],"schema":"https://github.com/citation-style-language/schema/raw/master/csl-citation.json"} </w:instrText>
      </w:r>
      <w:r w:rsidR="00BC3F1D">
        <w:fldChar w:fldCharType="separate"/>
      </w:r>
      <w:r w:rsidR="00587919" w:rsidRPr="00236AA9">
        <w:rPr>
          <w:rFonts w:ascii="Calibri" w:hAnsi="Calibri"/>
        </w:rPr>
        <w:t>(40)</w:t>
      </w:r>
      <w:r w:rsidR="00BC3F1D">
        <w:fldChar w:fldCharType="end"/>
      </w:r>
      <w:r w:rsidRPr="00556CB9">
        <w:t>.</w:t>
      </w:r>
    </w:p>
    <w:p w14:paraId="0910FA2A" w14:textId="2BC12C46" w:rsidR="00A554FE" w:rsidRDefault="001B79AA" w:rsidP="00D8750F">
      <w:pPr>
        <w:jc w:val="both"/>
      </w:pPr>
      <w:r w:rsidRPr="00556CB9">
        <w:t xml:space="preserve">An increase in </w:t>
      </w:r>
      <w:r w:rsidR="00EE19E0">
        <w:t>RN</w:t>
      </w:r>
      <w:r w:rsidRPr="00556CB9">
        <w:t xml:space="preserve"> numbers has already been linked to improved patient outcomes</w:t>
      </w:r>
      <w:r w:rsidR="00EE19E0">
        <w:t xml:space="preserve"> </w:t>
      </w:r>
      <w:r w:rsidR="00BC3F1D" w:rsidRPr="0022322E">
        <w:fldChar w:fldCharType="begin"/>
      </w:r>
      <w:r w:rsidR="00587919">
        <w:instrText xml:space="preserve"> ADDIN ZOTERO_ITEM CSL_CITATION {"citationID":"NAFaEGHu","properties":{"formattedCitation":"(26,41)","plainCitation":"(26,41)","noteIndex":0},"citationItems":[{"id":178,"uris":["http://zotero.org/users/local/buuMpNoH/items/BXRP2SA9"],"uri":["http://zotero.org/users/local/buuMpNoH/items/BXRP2SA9"],"itemData":{"id":178,"type":"article-journal","title":"Registered nurse, healthcare support worker, medical staffing levels and mortality in English hospital trusts: a cross-sectional study","container-title":"BMJ Open","page":"e008751","volume":"6","issue":"2","source":"bmjopen.bmj.com","abstract":"Objectives To examine associations between mortality and registered nurse (RN) staffing in English hospital trusts taking account of medical and healthcare support worker (HCSW) staffing.\nSetting Secondary care provided in acute hospital National Health Service (NHS) trusts in England.\nParticipants Two data sets are examined: Administrative data from 137 NHS acute hospital trusts (staffing measured as beds per staff member). A cross-sectional survey of 2917 registered nurses in a subsample of 31 trusts (measured patients per ward nurse).\nOutcome measure Risk-adjusted mortality rates for adult patients (administrative data).\nResults For medical admissions, higher mortality was associated with more occupied beds per RN (RR 1.22, 95% CI 1.04 to 1.43, p=0.02) and per doctor (RR 1.10, 95% CI 1.05 to 1.15, p &lt;0.01) employed by the trust whereas, lower HCSW staffing was associated with lower mortality (RR 0.95, 95% CI 0.91 to 1.00, p=0.04). In multivariable models the relationship was statistically significant for doctors (RR 1.08, 95% CI 1.02 to 1.15, p=0.02) and HCSWs (RR 0.93, 95% CI 0.89 to 0.98, p&lt;01) but not RNs (RR 1.14, 95% CI 0.95 to 1.38, p=0.17). Trusts with an average of ≤6 patients per RN in medical wards had a 20% lower mortality rate compared to trusts with &gt;10 patients per nurse (RR 0.80, 95% CI 0.76 to 0.85, p&lt;0.01). The relationship remained significant in the multivariable model (RR 0.89, 95% CI 0.83 to 0.95, p&lt;0.01). Results for surgical wards/admissions followed a similar pattern but with fewer significant results.\nConclusions Ward-based RN staffing is significantly associated with reduced mortality for medical patients. There is little evidence for beneficial associations with HCSW staffing. Higher doctor staffing levels is associated with reduced mortality. The estimated association between RN staffing and mortality changes when medical and HCSW staffing is considered and depending on whether ward or trust wide staffing levels are considered.","DOI":"10.1136/bmjopen-2015-008751","ISSN":"2044-6055, 2044-6055","note":"PMID: 26861934","title-short":"Registered nurse, healthcare support worker, medical staffing levels and mortality in English hospital trusts","language":"en","author":[{"family":"Griffiths","given":"Peter"},{"family":"Ball","given":"Jane"},{"family":"Murrells","given":"Trevor"},{"family":"Jones","given":"Simon"},{"family":"Rafferty","given":"Anne Marie"}],"issued":{"date-parts":[["2016",1,1]]}}},{"id":204,"uris":["http://zotero.org/users/local/buuMpNoH/items/ZJDMNTM7"],"uri":["http://zotero.org/users/local/buuMpNoH/items/ZJDMNTM7"],"itemData":{"id":204,"type":"article-journal","title":"Determining acute nurse staffing, a hermeneutic review of an evolving science.","container-title":"BMJ Open","source":"researchopen.lsbu.ac.uk","abstract":"Abstract\nBackground\nCalculating nurse staffing in the acute hospital has become a key issue but solutions appear distant. Community, mental health and areas such as learning disability nursing have attracted less attention and remain intractable. This review aims to examine current approaches to the issue across many disciplines.\nDesign\nThe approach taken is iterative and in the form of a hermeneutic review. 769 pieces of evidence were reviewed from across disciplines such as nursing, medicine, engineering, statistics, population science, computer science and mathematics where hospital nurse staffing was the subject of the study.  \nResults \nA number of themes emerged. The first iteration showed the predominance of unit base approaches (e.g. nurse numbers, ratios, activity and workload) the second was the development of methodologies. Subsequent iterations examined issues such as demand, safety, nurse education, turnover, patient outcomes, patient or staff satisfaction, workload and activity. The majority of studies examined (n=767) demonstrated some association between staffing (units or type/skill) and various factors such as staff or patient satisfaction, working conditions, safety parameters, outcomes complexity of work achieved, work left undone or other factors. Many potential areas such as operational safety research were not utilised. \nConclusion\nAlthough the relationship between staffing in acute care and factors such as units, safety or workload is complex, the evidence suggests an interdependent relationship which should only be dismissed with caution. The nature of these relationships should be further examined in order to determine nurse staffing. The body of knowledge appears substantial and complex yet appears to have little impact on policy.","URL":"http://researchopen.lsbu.ac.uk/3059/","ISSN":"2044-6055","language":"en","author":[{"family":"Leary","given":"A."},{"family":"Punshon","given":"G."}],"issued":{"date-parts":[["2019",4,1]]},"accessed":{"date-parts":[["2019",3,29]]}}}],"schema":"https://github.com/citation-style-language/schema/raw/master/csl-citation.json"} </w:instrText>
      </w:r>
      <w:r w:rsidR="00BC3F1D" w:rsidRPr="0022322E">
        <w:fldChar w:fldCharType="separate"/>
      </w:r>
      <w:r w:rsidR="00587919" w:rsidRPr="00236AA9">
        <w:rPr>
          <w:rFonts w:ascii="Calibri" w:hAnsi="Calibri"/>
        </w:rPr>
        <w:t>(26,41)</w:t>
      </w:r>
      <w:r w:rsidR="00BC3F1D" w:rsidRPr="0022322E">
        <w:fldChar w:fldCharType="end"/>
      </w:r>
      <w:r w:rsidRPr="0022322E">
        <w:t>, however, the effect of increased nursing levels may also lead to greater nurse retention.</w:t>
      </w:r>
      <w:r w:rsidRPr="00556CB9">
        <w:t xml:space="preserve"> Considering the reported links between increased nurse stress with poor retention</w:t>
      </w:r>
      <w:r w:rsidR="007D6108">
        <w:t xml:space="preserve"> </w:t>
      </w:r>
      <w:r w:rsidRPr="00556CB9">
        <w:fldChar w:fldCharType="begin"/>
      </w:r>
      <w:r w:rsidR="00587919">
        <w:instrText xml:space="preserve"> ADDIN ZOTERO_ITEM CSL_CITATION {"citationID":"a9f4r5aacg","properties":{"formattedCitation":"(42)","plainCitation":"(42)","noteIndex":0},"citationItems":[{"id":157,"uris":["http://zotero.org/users/local/buuMpNoH/items/KW3H7CA7"],"uri":["http://zotero.org/users/local/buuMpNoH/items/KW3H7CA7"],"itemData":{"id":157,"type":"article-journal","title":"Factors affecting the job stress and job satisfaction of Australian nurses: Implications for recruitment and retention","container-title":"Contemporary Nurse","page":"293-304","volume":"17","issue":"3","source":"Taylor and Francis+NEJM","abstract":"Against a background of nurse shortages in Australian hospitals, a significant challenge facing the healthcare sector is the recruitment and retention of nurses. The job stress and job satisfaction of nurses have been associated with recruitment and retention. The aim of this study is to consider two factors that may contribute to the job satisfaction and job stress of nurses: social support and empowerment. Using a sample of 157 registered nurses in a private hospital in Melbourne, Australia, we found that social support derived from the nurse’s supervisor and work colleagues lowered job stress and at the same time increased job satisfaction. The presence of nurse empowerment, meaning, impact, competence and self-determination, also lowered job stress and increased job satisfaction. Finally, we discuss contributions of this study and implications for recruitment and retention of nurses in the health sector.","DOI":"10.5172/conu.17.3.293","ISSN":"1037-6178","title-short":"Factors affecting the job stress and job satisfaction of Australian nurses","author":[{"family":"Bartram","given":"Timothy"},{"family":"Joiner","given":"Therese A."},{"family":"Stanton","given":"Pauline"}],"issued":{"date-parts":[["2004",10,1]]}}}],"schema":"https://github.com/citation-style-language/schema/raw/master/csl-citation.json"} </w:instrText>
      </w:r>
      <w:r w:rsidRPr="00556CB9">
        <w:fldChar w:fldCharType="separate"/>
      </w:r>
      <w:r w:rsidR="00587919" w:rsidRPr="00236AA9">
        <w:rPr>
          <w:rFonts w:ascii="Calibri" w:hAnsi="Calibri"/>
        </w:rPr>
        <w:t>(42)</w:t>
      </w:r>
      <w:r w:rsidRPr="00556CB9">
        <w:fldChar w:fldCharType="end"/>
      </w:r>
      <w:r w:rsidRPr="00556CB9">
        <w:t>, and a poor perceived safety culture with burnout</w:t>
      </w:r>
      <w:r w:rsidR="007D6108">
        <w:t xml:space="preserve"> </w:t>
      </w:r>
      <w:r w:rsidRPr="00556CB9">
        <w:fldChar w:fldCharType="begin"/>
      </w:r>
      <w:r w:rsidR="00587919">
        <w:instrText xml:space="preserve"> ADDIN ZOTERO_ITEM CSL_CITATION {"citationID":"a2kqk4vpuap","properties":{"formattedCitation":"(17)","plainCitation":"(17)","noteIndex":0},"citationItems":[{"id":126,"uris":["http://zotero.org/users/local/buuMpNoH/items/VQIXTZTI"],"uri":["http://zotero.org/users/local/buuMpNoH/items/VQIXTZTI"],"itemData":{"id":126,"type":"article-journal","title":"Nurse burnout and patient safety outcomes: nurse safety perception versus reporting behavior","container-title":"Western Journal of Nursing Research","page":"560-577","volume":"30","issue":"5","source":"PubMed","abstract":"This article examines the relationship between nurse burnout and patient safety indicators, including both safety perceptions and reporting behavior. Based on the Conservation of Resources model of stress and burnout, it is predicted that burnout will negatively affect both patient safety perceptions and perceived likelihood of reporting events. Nurses from a Veteran's Administration hospital completed the Maslach Burnout Inventory and safety outcomes subset of measures from the Agency for Healthcare Research and Quality Patient Safety Culture measure. After controlling for work-related demographics, multiple regression analysis supported the prediction that burnout was associated with the perception of lower patient safety. Burnout was not associated with event-reporting behavior but was negatively associated with reporting of mistakes that did not lead to adverse events. The findings extend previous research on the relationship between burnout and patient outcomes and offer avenues for future research on how nurse motivation resources are invested in light of their stressful work environment.","DOI":"10.1177/0193945907311322","ISSN":"0193-9459","note":"PMID: 18187408","title-short":"Nurse burnout and patient safety outcomes","journalAbbreviation":"West J Nurs Res","language":"eng","author":[{"family":"Halbesleben","given":"Jonathon R. B."},{"family":"Wakefield","given":"Bonnie J."},{"family":"Wakefield","given":"Douglas S."},{"family":"Cooper","given":"Lynn B."}],"issued":{"date-parts":[["2008",8]]}}}],"schema":"https://github.com/citation-style-language/schema/raw/master/csl-citation.json"} </w:instrText>
      </w:r>
      <w:r w:rsidRPr="00556CB9">
        <w:fldChar w:fldCharType="separate"/>
      </w:r>
      <w:r w:rsidR="00587919" w:rsidRPr="00236AA9">
        <w:rPr>
          <w:rFonts w:ascii="Calibri" w:hAnsi="Calibri"/>
        </w:rPr>
        <w:t>(17)</w:t>
      </w:r>
      <w:r w:rsidRPr="00556CB9">
        <w:fldChar w:fldCharType="end"/>
      </w:r>
      <w:r w:rsidR="001017B9">
        <w:t>,</w:t>
      </w:r>
      <w:r w:rsidRPr="00556CB9">
        <w:t xml:space="preserve"> it is foreseeable that </w:t>
      </w:r>
      <w:r w:rsidR="00FF1D3D">
        <w:t>staffing above the</w:t>
      </w:r>
      <w:r w:rsidR="008C76CE">
        <w:t xml:space="preserve"> level set from clinical demand </w:t>
      </w:r>
      <w:r w:rsidRPr="00556CB9">
        <w:t>may have compounded benefits</w:t>
      </w:r>
      <w:r w:rsidRPr="007D435D">
        <w:t>. If the wards considered to</w:t>
      </w:r>
      <w:r w:rsidR="00D8750F">
        <w:t xml:space="preserve"> have the lowest clinical-requirements </w:t>
      </w:r>
      <w:r w:rsidRPr="007D6108">
        <w:t xml:space="preserve">received </w:t>
      </w:r>
      <w:r w:rsidRPr="007D6108">
        <w:lastRenderedPageBreak/>
        <w:t xml:space="preserve">just a small increase in </w:t>
      </w:r>
      <w:r w:rsidR="001B2F72">
        <w:t>RN</w:t>
      </w:r>
      <w:r w:rsidRPr="007D6108">
        <w:t xml:space="preserve"> levels, it may lead to not only fewer staff members experiencing harm, but potentially reduce staff turnover and improve the safety culture.</w:t>
      </w:r>
      <w:r w:rsidR="00A8552A">
        <w:t xml:space="preserve"> </w:t>
      </w:r>
      <w:r w:rsidR="008C76CE" w:rsidRPr="007D6108">
        <w:t xml:space="preserve">Clinical judgement is clearly of use in determining staffing levels, however </w:t>
      </w:r>
      <w:r w:rsidR="00DA211A" w:rsidRPr="007D6108">
        <w:t>it needs to be complimented with operational considerations.</w:t>
      </w:r>
      <w:r w:rsidR="00DA211A" w:rsidDel="00DA211A">
        <w:t xml:space="preserve"> </w:t>
      </w:r>
      <w:r w:rsidR="00DA211A">
        <w:t>In</w:t>
      </w:r>
      <w:r w:rsidR="00DA211A" w:rsidRPr="00556CB9">
        <w:t>creasing</w:t>
      </w:r>
      <w:r w:rsidRPr="00556CB9">
        <w:t xml:space="preserve"> the use of </w:t>
      </w:r>
      <w:r w:rsidR="001B2F72">
        <w:t>RNs</w:t>
      </w:r>
      <w:r w:rsidRPr="00556CB9">
        <w:t xml:space="preserve"> is a growing ‘silver bullet’ by which we can fix the pressures faced by the NHS, but increasing demand does not fix the issue of supply</w:t>
      </w:r>
      <w:r w:rsidR="00A8552A">
        <w:t xml:space="preserve"> </w:t>
      </w:r>
      <w:r w:rsidR="00DD42BC">
        <w:fldChar w:fldCharType="begin"/>
      </w:r>
      <w:r w:rsidR="00587919">
        <w:instrText xml:space="preserve"> ADDIN ZOTERO_ITEM CSL_CITATION {"citationID":"KqWHdOwj","properties":{"formattedCitation":"(43,44)","plainCitation":"(43,44)","noteIndex":0},"citationItems":[{"id":210,"uris":["http://zotero.org/users/local/buuMpNoH/items/Y7Z3RMR4"],"uri":["http://zotero.org/users/local/buuMpNoH/items/Y7Z3RMR4"],"itemData":{"id":210,"type":"article-journal","title":"Nurse staffing, nursing assistants and hospital mortality: retrospective longitudinal cohort study","container-title":"BMJ Qual Saf","page":"bmjqs-2018-008043","source":"qualitysafety.bmj.com","abstract":"Objective To determine the association between daily levels of registered nurse (RN) and nursing assistant staffing and hospital mortality.\nDesign This is a retrospective longitudinal observational study using routinely collected data. We used multilevel/hierarchical mixed-effects regression models to explore the association between patient outcomes and daily variation in RN and nursing assistant staffing, measured as hours per patient per day relative to ward mean. Analyses were controlled for ward and patient risk.\nParticipants 138 133 adult patients spending &gt;1 days on general wards between 1 April 2012 and 31 March 2015.\nOutcomes In-hospital deaths.\nResults Hospital mortality was 4.1%. The hazard of death was increased by 3% for every day a patient experienced RN staffing below ward mean (adjusted HR (aHR) 1.03, 95% CI 1.01 to 1.05). Relative to ward mean, each additional hour of RN care available over the first 5 days of a patient’s stay was associated with 3% reduction in the hazard of death (aHR 0.97, 95% CI 0.94 to 1.0). Days where admissions per RN exceeded 125% of the ward mean were associated with an increased hazard of death (aHR 1.05, 95% CI 1.01 1.09). Although low nursing assistant staffing was associated with increases in mortality, high nursing assistant staffing was also associated with increased mortality.\nConclusion Lower RN staffing and higher levels of admissions per RN are associated with increased risk of death during an admission to hospital. These findings highlight the possible consequences of reduced nurse staffing and do not give support to policies that encourage the use of nursing assistants to compensate for shortages of RNs.","DOI":"10.1136/bmjqs-2018-008043","ISSN":"2044-5415, 2044-5423","note":"PMID: 30514780","title-short":"Nurse staffing, nursing assistants and hospital mortality","journalAbbreviation":"BMJ Qual Saf","language":"en","author":[{"family":"Griffiths","given":"Peter"},{"family":"Maruotti","given":"Antonello"},{"family":"Saucedo","given":"Alejandra Recio"},{"family":"Redfern","given":"Oliver C."},{"family":"Ball","given":"Jane E."},{"family":"Briggs","given":"Jim"},{"family":"Dall'Ora","given":"Chiara"},{"family":"Schmidt","given":"Paul E."},{"family":"Smith","given":"Gary B."}],"issued":{"date-parts":[["2018",11,26]]}}},{"id":214,"uris":["http://zotero.org/users/local/buuMpNoH/items/TGAS4TTT"],"uri":["http://zotero.org/users/local/buuMpNoH/items/TGAS4TTT"],"itemData":{"id":214,"type":"article-journal","title":"Towards safe nurse staffing in England’s National Health Service: progress and pitfalls of policy evolution","container-title":"Health Policy","source":"ScienceDirect","abstract":"In 2013, a national inquiry into care failings at a large public hospital in England resulted in major healthcare reforms that included targeting policy aimed at ensuring the adequacy of nurse staffing levels on hospital wards within NHS England. This paper uses a review of publicly available documents to provide a contextual account of the evolution of nurse staffing policy development prior to and following the inquiry. We found that securing safe staffing policy has been impacted by caveats and competing policy, evidence gaps, lack of coordination, and the absence of readily implementable solutions. Consequently, five years on, safe staffing policy for NHS England is described in aspirational terms that ascribes accountability to providers, but fails to adequately address barriers to delivery. Kingdon’s ‘policy windows’ model is used to explain why policy, even when driven by strong public concern and with high inter-sector support, may struggle to gain traction when the conditions necessary for success are not present, and in the face of practical or political constraints. The progress and pitfalls encountered are not unique and the experience of safe staffing policy in England may have lessons for other countries grappling with policy development or implementation in this area.","DOI":"10.1016/j.healthpol.2019.03.011","ISSN":"0168-8510","title-short":"Towards safe nurse staffing in England’s National Health Service","journalAbbreviation":"Health Policy","author":[{"family":"Lawless","given":"J."},{"family":"Couch","given":"R"},{"family":"Griffiths","given":"P"},{"family":"Burton","given":"C."},{"family":"Ball","given":"J."}],"issued":{"date-parts":[["2019",3,19]]}}}],"schema":"https://github.com/citation-style-language/schema/raw/master/csl-citation.json"} </w:instrText>
      </w:r>
      <w:r w:rsidR="00DD42BC">
        <w:fldChar w:fldCharType="separate"/>
      </w:r>
      <w:r w:rsidR="00587919" w:rsidRPr="00236AA9">
        <w:rPr>
          <w:rFonts w:ascii="Calibri" w:hAnsi="Calibri"/>
        </w:rPr>
        <w:t>(43,44)</w:t>
      </w:r>
      <w:r w:rsidR="00DD42BC">
        <w:fldChar w:fldCharType="end"/>
      </w:r>
      <w:r w:rsidR="00B21D04">
        <w:t xml:space="preserve">. </w:t>
      </w:r>
    </w:p>
    <w:p w14:paraId="4F2243BC" w14:textId="1E6E0495" w:rsidR="001B79AA" w:rsidRPr="00EA10E0" w:rsidRDefault="00A554FE" w:rsidP="00D8750F">
      <w:pPr>
        <w:jc w:val="both"/>
      </w:pPr>
      <w:r w:rsidRPr="00EA10E0">
        <w:t xml:space="preserve">Although one aspect of this study reveals that to increase staffing could improve staff safety, in reality, the system is far more complex than this and will unlikely be resolved by a single change. </w:t>
      </w:r>
      <w:r w:rsidR="001B79AA" w:rsidRPr="00EA10E0">
        <w:t xml:space="preserve">It is intriguing that shifts in unregistered nurse levels showed a far weaker link to the rate of events reported, suggesting that this isn’t a ‘bodies on the ground’ problem but rather something to do with the </w:t>
      </w:r>
      <w:r w:rsidR="00B44FD6" w:rsidRPr="00EA10E0">
        <w:t>attributes of the registered nurse</w:t>
      </w:r>
      <w:r w:rsidR="001B79AA" w:rsidRPr="00EA10E0">
        <w:t>.</w:t>
      </w:r>
      <w:r w:rsidRPr="00EA10E0">
        <w:t xml:space="preserve"> The dynamics involved in the skill mix of a workforce are not linear, and safety cannot be improved by simply increasing the proportion of the unregistered workforce.</w:t>
      </w:r>
      <w:r w:rsidR="001B79AA" w:rsidRPr="00EA10E0">
        <w:t xml:space="preserve"> </w:t>
      </w:r>
      <w:r w:rsidRPr="00EA10E0">
        <w:t xml:space="preserve">Furthermore, increasing staffing indefinitely does not yield respective increases in safety </w:t>
      </w:r>
      <w:r w:rsidR="00D902D2" w:rsidRPr="00EA10E0">
        <w:t>indicating</w:t>
      </w:r>
      <w:r w:rsidRPr="00EA10E0">
        <w:t xml:space="preserve"> other</w:t>
      </w:r>
      <w:r w:rsidR="00D902D2" w:rsidRPr="00EA10E0">
        <w:t xml:space="preserve"> factors</w:t>
      </w:r>
      <w:r w:rsidR="00236AA9" w:rsidRPr="00EA10E0">
        <w:t xml:space="preserve"> are at play</w:t>
      </w:r>
      <w:r w:rsidR="00D902D2" w:rsidRPr="00EA10E0">
        <w:t>.</w:t>
      </w:r>
      <w:r w:rsidRPr="00EA10E0">
        <w:t xml:space="preserve"> Griffiths</w:t>
      </w:r>
      <w:r w:rsidR="001B79AA" w:rsidRPr="00EA10E0">
        <w:t xml:space="preserve"> </w:t>
      </w:r>
      <w:r w:rsidR="00D902D2" w:rsidRPr="00EA10E0">
        <w:t>et al</w:t>
      </w:r>
      <w:r w:rsidR="00236AA9" w:rsidRPr="00EA10E0">
        <w:t xml:space="preserve">. </w:t>
      </w:r>
      <w:r w:rsidR="001C3423" w:rsidRPr="00EA10E0">
        <w:fldChar w:fldCharType="begin"/>
      </w:r>
      <w:r w:rsidR="001C3423" w:rsidRPr="00EA10E0">
        <w:instrText xml:space="preserve"> ADDIN ZOTERO_ITEM CSL_CITATION {"citationID":"h31CtXvr","properties":{"formattedCitation":"(44)","plainCitation":"(44)","noteIndex":0},"citationItems":[{"id":214,"uris":["http://zotero.org/users/local/buuMpNoH/items/TGAS4TTT"],"uri":["http://zotero.org/users/local/buuMpNoH/items/TGAS4TTT"],"itemData":{"id":214,"type":"article-journal","title":"Towards safe nurse staffing in England’s National Health Service: progress and pitfalls of policy evolution","container-title":"Health Policy","source":"ScienceDirect","abstract":"In 2013, a national inquiry into care failings at a large public hospital in England resulted in major healthcare reforms that included targeting policy aimed at ensuring the adequacy of nurse staffing levels on hospital wards within NHS England. This paper uses a review of publicly available documents to provide a contextual account of the evolution of nurse staffing policy development prior to and following the inquiry. We found that securing safe staffing policy has been impacted by caveats and competing policy, evidence gaps, lack of coordination, and the absence of readily implementable solutions. Consequently, five years on, safe staffing policy for NHS England is described in aspirational terms that ascribes accountability to providers, but fails to adequately address barriers to delivery. Kingdon’s ‘policy windows’ model is used to explain why policy, even when driven by strong public concern and with high inter-sector support, may struggle to gain traction when the conditions necessary for success are not present, and in the face of practical or political constraints. The progress and pitfalls encountered are not unique and the experience of safe staffing policy in England may have lessons for other countries grappling with policy development or implementation in this area.","DOI":"10.1016/j.healthpol.2019.03.011","ISSN":"0168-8510","title-short":"Towards safe nurse staffing in England’s National Health Service","journalAbbreviation":"Health Policy","author":[{"family":"Lawless","given":"J."},{"family":"Couch","given":"R"},{"family":"Griffiths","given":"P"},{"family":"Burton","given":"C."},{"family":"Ball","given":"J."}],"issued":{"date-parts":[["2019",3,19]]}}}],"schema":"https://github.com/citation-style-language/schema/raw/master/csl-citation.json"} </w:instrText>
      </w:r>
      <w:r w:rsidR="001C3423" w:rsidRPr="00EA10E0">
        <w:fldChar w:fldCharType="separate"/>
      </w:r>
      <w:r w:rsidR="001C3423" w:rsidRPr="00EA10E0">
        <w:rPr>
          <w:rFonts w:ascii="Calibri" w:hAnsi="Calibri"/>
        </w:rPr>
        <w:t>(44)</w:t>
      </w:r>
      <w:r w:rsidR="001C3423" w:rsidRPr="00EA10E0">
        <w:fldChar w:fldCharType="end"/>
      </w:r>
      <w:r w:rsidR="00236AA9" w:rsidRPr="00EA10E0">
        <w:t xml:space="preserve"> </w:t>
      </w:r>
      <w:r w:rsidR="00D902D2" w:rsidRPr="00EA10E0">
        <w:t>highlighted that wider leadership and environment factors played a significant role, alongside having the right numbers of staff. The absence of real-terms increases in healthcare budgets</w:t>
      </w:r>
      <w:r w:rsidR="007166CD" w:rsidRPr="00EA10E0">
        <w:t xml:space="preserve"> in the context of growing demand,</w:t>
      </w:r>
      <w:r w:rsidR="00D902D2" w:rsidRPr="00EA10E0">
        <w:t xml:space="preserve"> during a time of austerity and government instability compounds the issue of growing demand, both in volume and complexity, and a solution to this isn’t imminent. </w:t>
      </w:r>
    </w:p>
    <w:p w14:paraId="0E496DE5" w14:textId="33809EE7" w:rsidR="00171F0F" w:rsidRPr="00EA10E0" w:rsidRDefault="00171F0F" w:rsidP="00D8750F">
      <w:pPr>
        <w:jc w:val="both"/>
      </w:pPr>
      <w:r w:rsidRPr="00EA10E0">
        <w:t xml:space="preserve">The exploration of this incident reporting system for staff harms is novel; traditionally, research in this area focuses on harm to patients. However, to not consider the implication of </w:t>
      </w:r>
      <w:r w:rsidR="001766FA" w:rsidRPr="00EA10E0">
        <w:t xml:space="preserve">more than 10,000 reported incidents, resulting in nearly 20,000 staff victims over 32 months in the context of nurse retention would be a missed opportunity. Data warehoused in incident reporting systems </w:t>
      </w:r>
      <w:r w:rsidR="0050594D" w:rsidRPr="00EA10E0">
        <w:t>are</w:t>
      </w:r>
      <w:r w:rsidR="001766FA" w:rsidRPr="00EA10E0">
        <w:t xml:space="preserve"> rarely considered in aggregate form, where the scale of incidents can be truly understood, and therefore actioned. Instead, organisations tend to deploy root cause analysis techniques to individual events that meet a particular threshold</w:t>
      </w:r>
      <w:r w:rsidR="00AF5BBC" w:rsidRPr="00EA10E0">
        <w:t xml:space="preserve"> (typically severity)</w:t>
      </w:r>
      <w:r w:rsidR="001766FA" w:rsidRPr="00EA10E0">
        <w:t>, and this threshold may or may not include harm to staff.</w:t>
      </w:r>
      <w:r w:rsidR="00AF5BBC" w:rsidRPr="00EA10E0">
        <w:t xml:space="preserve"> Given that it is known that poor staff safety is linked to burnout</w:t>
      </w:r>
      <w:r w:rsidR="001C3423" w:rsidRPr="00EA10E0">
        <w:fldChar w:fldCharType="begin"/>
      </w:r>
      <w:r w:rsidR="001C3423" w:rsidRPr="00EA10E0">
        <w:instrText xml:space="preserve"> ADDIN ZOTERO_ITEM CSL_CITATION {"citationID":"iUMUm6Tq","properties":{"formattedCitation":"(16)","plainCitation":"(16)","noteIndex":0},"citationItems":[{"id":124,"uris":["http://zotero.org/users/local/buuMpNoH/items/U5CDCEM3"],"uri":["http://zotero.org/users/local/buuMpNoH/items/U5CDCEM3"],"itemData":{"id":124,"type":"article-journal","title":"Community mental health nurses in Wales: self-reported stressors and coping strategies","container-title":"Journal of Psychiatric and Mental Health Nursing","page":"523-528","volume":"7","issue":"6","source":"PubMed","abstract":"There is evidence to suggest that community mental health nurses experience stress and burnout related to their work. Previous research has been limited by a number of methodological problems. One of the problems is that studies have tended to have small or unrepresentative samples, and many researchers have only examined mental health nurses as a subset within their research, which limits the generalizability of the findings. The All-Wales Community Mental Health Nurse (CMHN) Stress Study was set up in order to address this issue. The total population of CMHNs in Wales was surveyed (N = 614) and 301 (49%) responded. The questionnaire booklet contained a number of validated instruments to measure stress, burnout, and coping, together with a demographic questionnaire. The demographic questionnaire included three open ended-questions. These questions were asked in order in determine the CMHNs' own views of the sources of stress in the workplace, and to investigate which methods they use to cope. This paper reports the findings from the content analysis of the three questions. The results from the other measures are reported in the companion paper (Edwards et al. 2000). The most frequently cited stressors included perceived workload, excessive paperwork and administration, and a broad spectrum of client-related issues. Coping strategies that CMHNs reported using included peer support, a range of personal strategies such as relaxation, and belief in self and supervision. It appears from the findings that a range of factors such as organizational pressures and factors related to working with patients are important in determining stress levels, and that informal rather than formal support networks are the preferred methods of coping.","ISSN":"1351-0126","note":"PMID: 11933510","title-short":"Community mental health nurses in Wales","journalAbbreviation":"J Psychiatr Ment Health Nurs","language":"eng","author":[{"family":"Burnard","given":"P."},{"family":"Edwards","given":"D."},{"family":"Fothergill","given":"A."},{"family":"Hannigan","given":"B."},{"family":"Coyle","given":"D."}],"issued":{"date-parts":[["2000",12]]}}}],"schema":"https://github.com/citation-style-language/schema/raw/master/csl-citation.json"} </w:instrText>
      </w:r>
      <w:r w:rsidR="001C3423" w:rsidRPr="00EA10E0">
        <w:fldChar w:fldCharType="separate"/>
      </w:r>
      <w:r w:rsidR="001C3423" w:rsidRPr="00EA10E0">
        <w:rPr>
          <w:rFonts w:ascii="Calibri" w:hAnsi="Calibri"/>
        </w:rPr>
        <w:t>(16)</w:t>
      </w:r>
      <w:r w:rsidR="001C3423" w:rsidRPr="00EA10E0">
        <w:fldChar w:fldCharType="end"/>
      </w:r>
      <w:r w:rsidR="00AF5BBC" w:rsidRPr="00EA10E0">
        <w:t xml:space="preserve"> and that there is a cyclical effect of burnout on perceived poor safety</w:t>
      </w:r>
      <w:r w:rsidR="00236AA9" w:rsidRPr="00EA10E0">
        <w:t xml:space="preserve"> </w:t>
      </w:r>
      <w:r w:rsidR="001C3423" w:rsidRPr="00EA10E0">
        <w:fldChar w:fldCharType="begin"/>
      </w:r>
      <w:r w:rsidR="001C3423" w:rsidRPr="00EA10E0">
        <w:instrText xml:space="preserve"> ADDIN ZOTERO_ITEM CSL_CITATION {"citationID":"ogiWXfcu","properties":{"formattedCitation":"(17)","plainCitation":"(17)","noteIndex":0},"citationItems":[{"id":126,"uris":["http://zotero.org/users/local/buuMpNoH/items/VQIXTZTI"],"uri":["http://zotero.org/users/local/buuMpNoH/items/VQIXTZTI"],"itemData":{"id":126,"type":"article-journal","title":"Nurse burnout and patient safety outcomes: nurse safety perception versus reporting behavior","container-title":"Western Journal of Nursing Research","page":"560-577","volume":"30","issue":"5","source":"PubMed","abstract":"This article examines the relationship between nurse burnout and patient safety indicators, including both safety perceptions and reporting behavior. Based on the Conservation of Resources model of stress and burnout, it is predicted that burnout will negatively affect both patient safety perceptions and perceived likelihood of reporting events. Nurses from a Veteran's Administration hospital completed the Maslach Burnout Inventory and safety outcomes subset of measures from the Agency for Healthcare Research and Quality Patient Safety Culture measure. After controlling for work-related demographics, multiple regression analysis supported the prediction that burnout was associated with the perception of lower patient safety. Burnout was not associated with event-reporting behavior but was negatively associated with reporting of mistakes that did not lead to adverse events. The findings extend previous research on the relationship between burnout and patient outcomes and offer avenues for future research on how nurse motivation resources are invested in light of their stressful work environment.","DOI":"10.1177/0193945907311322","ISSN":"0193-9459","note":"PMID: 18187408","title-short":"Nurse burnout and patient safety outcomes","journalAbbreviation":"West J Nurs Res","language":"eng","author":[{"family":"Halbesleben","given":"Jonathon R. B."},{"family":"Wakefield","given":"Bonnie J."},{"family":"Wakefield","given":"Douglas S."},{"family":"Cooper","given":"Lynn B."}],"issued":{"date-parts":[["2008",8]]}}}],"schema":"https://github.com/citation-style-language/schema/raw/master/csl-citation.json"} </w:instrText>
      </w:r>
      <w:r w:rsidR="001C3423" w:rsidRPr="00EA10E0">
        <w:fldChar w:fldCharType="separate"/>
      </w:r>
      <w:r w:rsidR="001C3423" w:rsidRPr="00EA10E0">
        <w:rPr>
          <w:rFonts w:ascii="Calibri" w:hAnsi="Calibri"/>
        </w:rPr>
        <w:t>(17)</w:t>
      </w:r>
      <w:r w:rsidR="001C3423" w:rsidRPr="00EA10E0">
        <w:fldChar w:fldCharType="end"/>
      </w:r>
      <w:r w:rsidR="00AF5BBC" w:rsidRPr="00EA10E0">
        <w:t>, it is important for organisations to reflect on the available intelligence housed in their data warehouses to ensure safe working environments for their staff.</w:t>
      </w:r>
    </w:p>
    <w:p w14:paraId="708D550A" w14:textId="203879A2" w:rsidR="001B79AA" w:rsidRPr="00EA10E0" w:rsidRDefault="001B79AA" w:rsidP="001B79AA">
      <w:pPr>
        <w:jc w:val="both"/>
      </w:pPr>
      <w:r w:rsidRPr="00EA10E0">
        <w:t>Finally, when considering the usefulness of this analysis and the underlying role of routinel</w:t>
      </w:r>
      <w:r w:rsidR="009B5FAB" w:rsidRPr="00EA10E0">
        <w:t xml:space="preserve">y collected data within healthcare </w:t>
      </w:r>
      <w:r w:rsidRPr="00EA10E0">
        <w:t>as a whole, we should reflect on the human factor. It has been shown that transparency within an organisation, when it comes to decision making, is known to have a positive impact on reducing staff absenteeism, and increasing staff retention rates</w:t>
      </w:r>
      <w:r w:rsidR="00390D27" w:rsidRPr="00EA10E0">
        <w:t>.</w:t>
      </w:r>
      <w:r w:rsidRPr="00EA10E0">
        <w:t xml:space="preserve"> The databases that underpin this analysis have analogues in all NHS </w:t>
      </w:r>
      <w:r w:rsidR="001017B9" w:rsidRPr="00EA10E0">
        <w:t>t</w:t>
      </w:r>
      <w:r w:rsidRPr="00EA10E0">
        <w:t>rusts, of varying quantity and quality, which have often remained as isolated silos of knowledge and yet it is feasible to mine them for insight. The data may contain inherent biases and validity issues, which will only become clear as the data is explored</w:t>
      </w:r>
      <w:r w:rsidR="00A8552A" w:rsidRPr="00EA10E0">
        <w:t xml:space="preserve"> </w:t>
      </w:r>
      <w:r w:rsidRPr="00EA10E0">
        <w:fldChar w:fldCharType="begin"/>
      </w:r>
      <w:r w:rsidR="001C3423" w:rsidRPr="00EA10E0">
        <w:instrText xml:space="preserve"> ADDIN ZOTERO_ITEM CSL_CITATION {"citationID":"a2mmkldiou7","properties":{"formattedCitation":"(45)","plainCitation":"(45)","noteIndex":0},"citationItems":[{"id":160,"uris":["http://zotero.org/users/local/buuMpNoH/items/T72TMCUW"],"uri":["http://zotero.org/users/local/buuMpNoH/items/T72TMCUW"],"itemData":{"id":160,"type":"article-journal","title":"Possible Sources of Bias in Primary Care Electronic Health Record Data Use and Reuse","container-title":"Journal of Medical Internet Research","volume":"20","issue":"5","source":"PubMed Central","abstract":"Background\nEnormous amounts of data are recorded routinely in health care as part of the care process, primarily for managing individual patient care. There are significant opportunities to use these data for other purposes, many of which would contribute to establishing a learning health system. This is particularly true for data recorded in primary care settings, as in many countries, these are the first place patients turn to for most health problems.\n\nObjective\nIn this paper, we discuss whether data that are recorded routinely as part of the health care process in primary care are actually fit to use for other purposes such as research and quality of health care indicators, how the original purpose may affect the extent to which the data are fit for another purpose, and the mechanisms behind these effects. In doing so, we want to identify possible sources of bias that are relevant for the use and reuse of these type of data.\n\nMethods\nThis paper is based on the authors’ experience as users of electronic health records data, as general practitioners, health informatics experts, and health services researchers. It is a product of the discussions they had during the Translational Research and Patient Safety in Europe (TRANSFoRm) project, which was funded by the European Commission and sought to develop, pilot, and evaluate a core information architecture for the learning health system in Europe, based on primary care electronic health records.\n\nResults\nWe first describe the different stages in the processing of electronic health record data, as well as the different purposes for which these data are used. Given the different data processing steps and purposes, we then discuss the possible mechanisms for each individual data processing step that can generate biased outcomes. We identified 13 possible sources of bias. Four of them are related to the organization of a health care system, whereas some are of a more technical nature.\n\nConclusions\nThere are a substantial number of possible sources of bias; very little is known about the size and direction of their impact. However, anyone that uses or reuses data that were recorded as part of the health care process (such as researchers and clinicians) should be aware of the associated data collection process and environmental influences that can affect the quality of the data. Our stepwise, actor- and purpose-oriented approach may help to identify these possible sources of bias. Unless data quality issues are better understood and unless adequate controls are embedded throughout the data lifecycle, data-driven health care will not live up to its expectations. We need a data quality research agenda to devise the appropriate instruments needed to assess the magnitude of each of the possible sources of bias, and then start measuring their impact. The possible sources of bias described in this paper serve as a starting point for this research agenda.","DOI":"10.2196/jmir.9134","ISSN":"1439-4456","note":"PMID: 29844010\nPMCID: PMC5997930","journalAbbreviation":"J Med Internet Res","author":[{"family":"Verheij","given":"Robert A"},{"family":"Curcin","given":"Vasa"},{"family":"Delaney","given":"Brendan C"},{"family":"McGilchrist","given":"Mark M"}],"issued":{"date-parts":[["2018",5,29]]}}}],"schema":"https://github.com/citation-style-language/schema/raw/master/csl-citation.json"} </w:instrText>
      </w:r>
      <w:r w:rsidRPr="00EA10E0">
        <w:fldChar w:fldCharType="separate"/>
      </w:r>
      <w:r w:rsidR="001C3423" w:rsidRPr="00EA10E0">
        <w:rPr>
          <w:rFonts w:ascii="Calibri" w:hAnsi="Calibri"/>
        </w:rPr>
        <w:t>(45)</w:t>
      </w:r>
      <w:r w:rsidRPr="00EA10E0">
        <w:fldChar w:fldCharType="end"/>
      </w:r>
      <w:r w:rsidRPr="00EA10E0">
        <w:t xml:space="preserve"> but it is only as the value of the data to patient care is demonstrated to frontline staff  that we can expect compliance to improve. </w:t>
      </w:r>
    </w:p>
    <w:p w14:paraId="14CA996A" w14:textId="7DB27CF3" w:rsidR="003B7E50" w:rsidRPr="00EA10E0" w:rsidRDefault="003B7E50" w:rsidP="001B79AA">
      <w:pPr>
        <w:jc w:val="both"/>
      </w:pPr>
      <w:r w:rsidRPr="00EA10E0">
        <w:t>There are opportunities in other methodologies to explore the reasons behind the behaviours exhibited in the</w:t>
      </w:r>
      <w:r w:rsidR="00390D27" w:rsidRPr="00EA10E0">
        <w:t>se</w:t>
      </w:r>
      <w:r w:rsidRPr="00EA10E0">
        <w:t xml:space="preserve"> datasets, such as qualitative research</w:t>
      </w:r>
      <w:r w:rsidR="007166CD" w:rsidRPr="00EA10E0">
        <w:t xml:space="preserve"> methods</w:t>
      </w:r>
      <w:r w:rsidRPr="00EA10E0">
        <w:t>. This sort of research could help generate hypotheses for areas of improvement, which could then be subjected to experimental design interventions to improve staff harm.</w:t>
      </w:r>
    </w:p>
    <w:p w14:paraId="615980F1" w14:textId="22AE19C1" w:rsidR="00376F3B" w:rsidRPr="00EA10E0" w:rsidRDefault="00622653" w:rsidP="00E46B21">
      <w:pPr>
        <w:pStyle w:val="Heading2"/>
        <w:jc w:val="both"/>
      </w:pPr>
      <w:r w:rsidRPr="00EA10E0">
        <w:t>Conclusion</w:t>
      </w:r>
    </w:p>
    <w:p w14:paraId="3EABA72B" w14:textId="07F17E36" w:rsidR="00E7512A" w:rsidRPr="00EA10E0" w:rsidRDefault="008D031D">
      <w:pPr>
        <w:jc w:val="both"/>
      </w:pPr>
      <w:r w:rsidRPr="00EA10E0">
        <w:t xml:space="preserve">This study demonstrates </w:t>
      </w:r>
      <w:r w:rsidR="00E7512A" w:rsidRPr="00EA10E0">
        <w:t>a method for modelling routinely collected data from a</w:t>
      </w:r>
      <w:r w:rsidR="00622653" w:rsidRPr="00EA10E0">
        <w:t xml:space="preserve"> single mental health</w:t>
      </w:r>
      <w:r w:rsidR="00A8552A" w:rsidRPr="00EA10E0">
        <w:t xml:space="preserve"> care</w:t>
      </w:r>
      <w:r w:rsidR="00622653" w:rsidRPr="00EA10E0">
        <w:t xml:space="preserve"> provider in the</w:t>
      </w:r>
      <w:r w:rsidR="006D682D" w:rsidRPr="00EA10E0">
        <w:t xml:space="preserve"> NHS</w:t>
      </w:r>
      <w:r w:rsidR="00C6076A" w:rsidRPr="00EA10E0">
        <w:t xml:space="preserve"> to explore the extent to which clinical judgement of demand and more notably variations from these clinically-required levels, align with adverse event reporting. </w:t>
      </w:r>
      <w:r w:rsidR="006D682D" w:rsidRPr="00EA10E0">
        <w:t>T</w:t>
      </w:r>
      <w:r w:rsidR="00E7512A" w:rsidRPr="00EA10E0">
        <w:t xml:space="preserve">here </w:t>
      </w:r>
      <w:r w:rsidR="00E7512A" w:rsidRPr="00EA10E0">
        <w:lastRenderedPageBreak/>
        <w:t>appears to be a consistent theme of repor</w:t>
      </w:r>
      <w:r w:rsidR="002A4FBF" w:rsidRPr="00EA10E0">
        <w:t>ting adverse events across the t</w:t>
      </w:r>
      <w:r w:rsidR="00E7512A" w:rsidRPr="00EA10E0">
        <w:t>rust</w:t>
      </w:r>
      <w:r w:rsidR="00622653" w:rsidRPr="00EA10E0">
        <w:t>’</w:t>
      </w:r>
      <w:r w:rsidR="00E7512A" w:rsidRPr="00EA10E0">
        <w:t xml:space="preserve">s separate geographic locations, with different lessons to be learnt depending on location, ward acuity and shift.    </w:t>
      </w:r>
    </w:p>
    <w:p w14:paraId="05D2F7C5" w14:textId="4D5AE0BA" w:rsidR="00B27E64" w:rsidRPr="00EA10E0" w:rsidRDefault="00E7512A">
      <w:pPr>
        <w:jc w:val="both"/>
      </w:pPr>
      <w:r w:rsidRPr="00EA10E0">
        <w:t xml:space="preserve">The models suggest that the greatest risk to staff is present when night shift </w:t>
      </w:r>
      <w:r w:rsidR="006D682D" w:rsidRPr="00EA10E0">
        <w:t>staffing levels are at their lowest, pos</w:t>
      </w:r>
      <w:r w:rsidRPr="00EA10E0">
        <w:t xml:space="preserve">sibly as a result of </w:t>
      </w:r>
      <w:r w:rsidR="00A8552A" w:rsidRPr="00EA10E0">
        <w:t>very low staffing levels</w:t>
      </w:r>
      <w:r w:rsidR="006D682D" w:rsidRPr="00EA10E0">
        <w:t>.</w:t>
      </w:r>
      <w:r w:rsidRPr="00EA10E0">
        <w:t xml:space="preserve"> </w:t>
      </w:r>
      <w:r w:rsidR="002A4FBF" w:rsidRPr="00EA10E0">
        <w:t>This risk might be balanced by the addition of an RN</w:t>
      </w:r>
      <w:r w:rsidR="00765125" w:rsidRPr="00EA10E0">
        <w:t xml:space="preserve">, but does point to a limitation of clinical judgement. The required level to deliver care may be less than that required to protect staff. </w:t>
      </w:r>
      <w:r w:rsidR="00B27E64" w:rsidRPr="00EA10E0">
        <w:t>Establishing a good safety culture is inherently difficult, however, the reporting of no harm events does appear to be a key marker of culture.  Once staff members have the resources to deal with the recogni</w:t>
      </w:r>
      <w:r w:rsidR="00B21D04" w:rsidRPr="00EA10E0">
        <w:t>s</w:t>
      </w:r>
      <w:r w:rsidR="00B27E64" w:rsidRPr="00EA10E0">
        <w:t>ed clinical demand they appear to have better confidence in taking the time to</w:t>
      </w:r>
      <w:r w:rsidR="00A8552A" w:rsidRPr="00EA10E0">
        <w:t xml:space="preserve"> report events, allowing for a t</w:t>
      </w:r>
      <w:r w:rsidR="00B27E64" w:rsidRPr="00EA10E0">
        <w:t xml:space="preserve">rust to learn from near misses before they grow to actual harm.  </w:t>
      </w:r>
    </w:p>
    <w:p w14:paraId="39E6A82F" w14:textId="13441056" w:rsidR="00765125" w:rsidRPr="00EA10E0" w:rsidRDefault="00A8552A">
      <w:pPr>
        <w:jc w:val="both"/>
      </w:pPr>
      <w:r w:rsidRPr="00EA10E0">
        <w:t>The variation in unregistered nurse</w:t>
      </w:r>
      <w:r w:rsidR="00765125" w:rsidRPr="00EA10E0">
        <w:t xml:space="preserve"> levels from the clinically-</w:t>
      </w:r>
      <w:r w:rsidRPr="00EA10E0">
        <w:t>required levels</w:t>
      </w:r>
      <w:r w:rsidR="00765125" w:rsidRPr="00EA10E0">
        <w:t xml:space="preserve"> showed the least effect on </w:t>
      </w:r>
      <w:r w:rsidR="00C726BC" w:rsidRPr="00EA10E0">
        <w:t>the adverse event rate, yet the inherent rate at which these staff members are required is linked.  It appe</w:t>
      </w:r>
      <w:r w:rsidR="00B21D04" w:rsidRPr="00EA10E0">
        <w:t>ars that clinical staff recognis</w:t>
      </w:r>
      <w:r w:rsidR="00C726BC" w:rsidRPr="00EA10E0">
        <w:t xml:space="preserve">e the task required of </w:t>
      </w:r>
      <w:r w:rsidRPr="00EA10E0">
        <w:t>unregistered nurses</w:t>
      </w:r>
      <w:r w:rsidR="00C726BC" w:rsidRPr="00EA10E0">
        <w:t xml:space="preserve"> but the wards show high resilience to under-staffing, while over-staffing gives little benefit. It is not only a question of </w:t>
      </w:r>
      <w:r w:rsidR="00B21D04" w:rsidRPr="00EA10E0">
        <w:t>increase</w:t>
      </w:r>
      <w:r w:rsidRPr="00EA10E0">
        <w:t>d</w:t>
      </w:r>
      <w:r w:rsidR="00B21D04" w:rsidRPr="00EA10E0">
        <w:t xml:space="preserve"> headcount</w:t>
      </w:r>
      <w:r w:rsidR="00C726BC" w:rsidRPr="00EA10E0">
        <w:t xml:space="preserve">, but of the skill-set and expertise they </w:t>
      </w:r>
      <w:r w:rsidR="00B21D04" w:rsidRPr="00EA10E0">
        <w:t>bring</w:t>
      </w:r>
      <w:r w:rsidR="00C726BC" w:rsidRPr="00EA10E0">
        <w:t xml:space="preserve"> to the </w:t>
      </w:r>
      <w:r w:rsidRPr="00EA10E0">
        <w:t>environment</w:t>
      </w:r>
      <w:r w:rsidR="00C726BC" w:rsidRPr="00EA10E0">
        <w:t xml:space="preserve">. </w:t>
      </w:r>
    </w:p>
    <w:p w14:paraId="19B6FF0E" w14:textId="444A38B7" w:rsidR="00171F0F" w:rsidRPr="00EA10E0" w:rsidRDefault="00171F0F">
      <w:pPr>
        <w:jc w:val="both"/>
      </w:pPr>
      <w:r w:rsidRPr="00EA10E0">
        <w:t>Finally, the way in which we value healthcare staff has been brought to light here. Traditionally, the concept of safety is prepositioned by ‘patient’ and so saf</w:t>
      </w:r>
      <w:bookmarkStart w:id="1" w:name="_GoBack"/>
      <w:bookmarkEnd w:id="1"/>
      <w:r w:rsidRPr="00EA10E0">
        <w:t>ety in healthcare is conceptualised as patient safety</w:t>
      </w:r>
      <w:r w:rsidR="00390D27" w:rsidRPr="00EA10E0">
        <w:t>;</w:t>
      </w:r>
      <w:r w:rsidRPr="00EA10E0">
        <w:t xml:space="preserve"> little consideration </w:t>
      </w:r>
      <w:r w:rsidR="00390D27" w:rsidRPr="00EA10E0">
        <w:t xml:space="preserve">is </w:t>
      </w:r>
      <w:r w:rsidRPr="00EA10E0">
        <w:t>given to the safety of the staff delivering care. In a time where workforce retention is proving difficult and the quality and safety of care to patients is compromised, greater efforts should be made to improve staff safety, which might improve retention and simultaneously patient safety.</w:t>
      </w:r>
    </w:p>
    <w:p w14:paraId="4B6DCE42" w14:textId="77DAB80F" w:rsidR="00702CDF" w:rsidRDefault="00E7512A">
      <w:pPr>
        <w:jc w:val="both"/>
      </w:pPr>
      <w:r w:rsidRPr="00EA10E0">
        <w:t>The methods presented represen</w:t>
      </w:r>
      <w:r w:rsidR="00C6076A" w:rsidRPr="00EA10E0">
        <w:t>t a flexible approach to mobilis</w:t>
      </w:r>
      <w:r w:rsidRPr="00EA10E0">
        <w:t>e knowledge from the growing silos</w:t>
      </w:r>
      <w:r w:rsidRPr="00B21D04">
        <w:t xml:space="preserve"> of routinely collected data in order to shape local safe staffing practices</w:t>
      </w:r>
      <w:r w:rsidR="00F165C3">
        <w:t>.</w:t>
      </w:r>
      <w:r w:rsidR="002A4FBF" w:rsidRPr="00B21D04">
        <w:t xml:space="preserve"> </w:t>
      </w:r>
      <w:r w:rsidR="00F165C3">
        <w:t xml:space="preserve">They </w:t>
      </w:r>
      <w:r w:rsidR="002A4FBF" w:rsidRPr="00B21D04">
        <w:t>demonstrate that the analysis of such data via the application of data mining techniques represent a currently untapped opportunity to imp</w:t>
      </w:r>
      <w:r w:rsidR="006D682D" w:rsidRPr="00B21D04">
        <w:t>rove staff safety in healthcare.</w:t>
      </w:r>
    </w:p>
    <w:p w14:paraId="230A847C" w14:textId="5DD30DE8" w:rsidR="0086531D" w:rsidRDefault="0086531D">
      <w:pPr>
        <w:jc w:val="both"/>
      </w:pPr>
      <w:r w:rsidRPr="0086531D">
        <w:t>Data is not currently available in a suitable format for open access. If you would like to request access to the data, please contact the named authors directly.</w:t>
      </w:r>
    </w:p>
    <w:p w14:paraId="02129834" w14:textId="65975399" w:rsidR="00D5278C" w:rsidRDefault="007E5F19" w:rsidP="00E46B21">
      <w:pPr>
        <w:pStyle w:val="Heading2"/>
        <w:jc w:val="both"/>
      </w:pPr>
      <w:r>
        <w:t>References</w:t>
      </w:r>
    </w:p>
    <w:p w14:paraId="54BBDA24" w14:textId="77777777" w:rsidR="001C3423" w:rsidRDefault="001A5DFE" w:rsidP="00F165C3">
      <w:pPr>
        <w:pStyle w:val="Bibliography"/>
      </w:pPr>
      <w:r>
        <w:fldChar w:fldCharType="begin"/>
      </w:r>
      <w:r w:rsidR="009F6998">
        <w:instrText xml:space="preserve"> ADDIN ZOTERO_BIBL {"uncited":[],"omitted":[],"custom":[]} CSL_BIBLIOGRAPHY </w:instrText>
      </w:r>
      <w:r>
        <w:fldChar w:fldCharType="separate"/>
      </w:r>
      <w:r w:rsidR="001C3423">
        <w:t xml:space="preserve">1. </w:t>
      </w:r>
      <w:r w:rsidR="001C3423">
        <w:tab/>
        <w:t xml:space="preserve">Institute of Medicine (US) Committee on Quality of Health Care in America. To Err is Human: Building a Safer Health System. Kohn LT, Corrigan JM, Donaldson MS, editors. Washington (DC): National Academies Press (US); 2000. </w:t>
      </w:r>
    </w:p>
    <w:p w14:paraId="45AC68C1" w14:textId="77777777" w:rsidR="001C3423" w:rsidRDefault="001C3423" w:rsidP="00F165C3">
      <w:pPr>
        <w:pStyle w:val="Bibliography"/>
      </w:pPr>
      <w:r>
        <w:t xml:space="preserve">2. </w:t>
      </w:r>
      <w:r>
        <w:tab/>
        <w:t xml:space="preserve">WHO. World Alliance for Patient Safety : forward programme 2005. Geneva : World Health Organization; 2004. </w:t>
      </w:r>
    </w:p>
    <w:p w14:paraId="023B7E26" w14:textId="77777777" w:rsidR="001C3423" w:rsidRDefault="001C3423" w:rsidP="00F165C3">
      <w:pPr>
        <w:pStyle w:val="Bibliography"/>
      </w:pPr>
      <w:r>
        <w:t xml:space="preserve">3. </w:t>
      </w:r>
      <w:r>
        <w:tab/>
        <w:t xml:space="preserve">NHS England. Better Births: Improving outcomes of maternity services in England – A Five Year Forward View for maternity care. 2016. </w:t>
      </w:r>
    </w:p>
    <w:p w14:paraId="3F63169A" w14:textId="77777777" w:rsidR="001C3423" w:rsidRDefault="001C3423" w:rsidP="00F165C3">
      <w:pPr>
        <w:pStyle w:val="Bibliography"/>
      </w:pPr>
      <w:r>
        <w:t xml:space="preserve">4. </w:t>
      </w:r>
      <w:r>
        <w:tab/>
        <w:t xml:space="preserve">Francis R. Report of the Mid Staffordshire NHS Foundation Trust Public Inquiry - Executive Summary. London: H.M.S.O.; </w:t>
      </w:r>
    </w:p>
    <w:p w14:paraId="5766DE86" w14:textId="77777777" w:rsidR="001C3423" w:rsidRDefault="001C3423" w:rsidP="00F165C3">
      <w:pPr>
        <w:pStyle w:val="Bibliography"/>
      </w:pPr>
      <w:r>
        <w:t xml:space="preserve">5. </w:t>
      </w:r>
      <w:r>
        <w:tab/>
        <w:t xml:space="preserve">National Advisory Group on the Safety of Patients in England. A promise to learn – a commitment to act – Improving the Safety of Patients in England. 2013 p. 46. </w:t>
      </w:r>
    </w:p>
    <w:p w14:paraId="20739D96" w14:textId="77777777" w:rsidR="001C3423" w:rsidRDefault="001C3423" w:rsidP="00F165C3">
      <w:pPr>
        <w:pStyle w:val="Bibliography"/>
      </w:pPr>
      <w:r>
        <w:lastRenderedPageBreak/>
        <w:t xml:space="preserve">6. </w:t>
      </w:r>
      <w:r>
        <w:tab/>
        <w:t xml:space="preserve">Vries EN de, Ramrattan MA, Smorenburg SM, Gouma DJ, Boermeester MA. The incidence and nature of in-hospital adverse events: a systematic review. BMJ Qual Saf. 2008 Jun 1;17(3):216–23. </w:t>
      </w:r>
    </w:p>
    <w:p w14:paraId="0E715458" w14:textId="77777777" w:rsidR="001C3423" w:rsidRDefault="001C3423" w:rsidP="00F165C3">
      <w:pPr>
        <w:pStyle w:val="Bibliography"/>
      </w:pPr>
      <w:r>
        <w:t xml:space="preserve">7. </w:t>
      </w:r>
      <w:r>
        <w:tab/>
        <w:t xml:space="preserve">Wagner A, Rieger MA, Manser T, Sturm H, Hardt J, Martus P, et al. Healthcare professionals’ perspectives on working conditions, leadership, and safety climate: a cross-sectional study. BMC Health Serv Res. 2019 Jan 21;19(1):53. </w:t>
      </w:r>
    </w:p>
    <w:p w14:paraId="2CBD6712" w14:textId="77777777" w:rsidR="001C3423" w:rsidRDefault="001C3423" w:rsidP="00F165C3">
      <w:pPr>
        <w:pStyle w:val="Bibliography"/>
      </w:pPr>
      <w:r>
        <w:t xml:space="preserve">8. </w:t>
      </w:r>
      <w:r>
        <w:tab/>
        <w:t xml:space="preserve">Oliver D. David Oliver: Falling immigration could destroy the NHS. BMJ. 2019 Jan 2;364:k5308. </w:t>
      </w:r>
    </w:p>
    <w:p w14:paraId="7927F2BB" w14:textId="77777777" w:rsidR="001C3423" w:rsidRDefault="001C3423" w:rsidP="00F165C3">
      <w:pPr>
        <w:pStyle w:val="Bibliography"/>
      </w:pPr>
      <w:r>
        <w:t xml:space="preserve">9. </w:t>
      </w:r>
      <w:r>
        <w:tab/>
        <w:t xml:space="preserve">Wray J, Aspland J, Gibson H, Stimpson A, Watson R. ‘A wealth of knowledge’: A survey of the employment experiences of older nurses and midwives in the NHS. Int J Nurs Stud. 2009 Jul;46(7):977–85. </w:t>
      </w:r>
    </w:p>
    <w:p w14:paraId="0C97DDEF" w14:textId="77777777" w:rsidR="001C3423" w:rsidRDefault="001C3423" w:rsidP="00F165C3">
      <w:pPr>
        <w:pStyle w:val="Bibliography"/>
      </w:pPr>
      <w:r>
        <w:t xml:space="preserve">10. </w:t>
      </w:r>
      <w:r>
        <w:tab/>
        <w:t xml:space="preserve">Finlayson B, Dixon J, Meadows S, Blair G. Mind the gap: the extent of the NHS nursing shortage. BMJ. 2002 Sep 7;325(7363):538–41. </w:t>
      </w:r>
    </w:p>
    <w:p w14:paraId="3929BFD0" w14:textId="77777777" w:rsidR="001C3423" w:rsidRDefault="001C3423" w:rsidP="00F165C3">
      <w:pPr>
        <w:pStyle w:val="Bibliography"/>
      </w:pPr>
      <w:r>
        <w:t xml:space="preserve">11. </w:t>
      </w:r>
      <w:r>
        <w:tab/>
        <w:t xml:space="preserve">Nardi DA, Gyurko CC. The global nursing faculty shortage: status and solutions for change. J Nurs Scholarsh Off Publ Sigma Theta Tau Int Honor Soc Nurs. 2013 Sep;45(3):317–26. </w:t>
      </w:r>
    </w:p>
    <w:p w14:paraId="11B06BED" w14:textId="77777777" w:rsidR="001C3423" w:rsidRDefault="001C3423" w:rsidP="00F165C3">
      <w:pPr>
        <w:pStyle w:val="Bibliography"/>
      </w:pPr>
      <w:r>
        <w:t xml:space="preserve">12. </w:t>
      </w:r>
      <w:r>
        <w:tab/>
        <w:t xml:space="preserve">Janiszewski Goodin H. The nursing shortage in the United States of America: an integrative review of the literature. J Adv Nurs. 2003 Aug;43(4):335–43. </w:t>
      </w:r>
    </w:p>
    <w:p w14:paraId="38292303" w14:textId="77777777" w:rsidR="001C3423" w:rsidRDefault="001C3423" w:rsidP="00F165C3">
      <w:pPr>
        <w:pStyle w:val="Bibliography"/>
      </w:pPr>
      <w:r>
        <w:t xml:space="preserve">13. </w:t>
      </w:r>
      <w:r>
        <w:tab/>
        <w:t xml:space="preserve">Toh SG, Ang E, Devi MK. Systematic review on the relationship between the nursing shortage and job satisfaction, stress and burnout levels among nurses in oncology/haematology settings. Int J Evid Based Healthc. 2012 Jun;10(2):126–41. </w:t>
      </w:r>
    </w:p>
    <w:p w14:paraId="1D31019C" w14:textId="77777777" w:rsidR="001C3423" w:rsidRDefault="001C3423" w:rsidP="00F165C3">
      <w:pPr>
        <w:pStyle w:val="Bibliography"/>
      </w:pPr>
      <w:r>
        <w:t xml:space="preserve">14. </w:t>
      </w:r>
      <w:r>
        <w:tab/>
        <w:t xml:space="preserve">Power M, Stewart K, Brotherton A. What is the NHS safety thermometer? Clin Risk. 2012;18(5):163–169. </w:t>
      </w:r>
    </w:p>
    <w:p w14:paraId="7C177723" w14:textId="77777777" w:rsidR="001C3423" w:rsidRDefault="001C3423" w:rsidP="00F165C3">
      <w:pPr>
        <w:pStyle w:val="Bibliography"/>
      </w:pPr>
      <w:r>
        <w:t xml:space="preserve">15. </w:t>
      </w:r>
      <w:r>
        <w:tab/>
        <w:t xml:space="preserve">Kanerva A, Lammintakanen J, Kivinen T. Nursing Staff’s Perceptions of Patient Safety in Psychiatric Inpatient Care. Perspect Psychiatr Care. 2016 Jan;52(1):25–31. </w:t>
      </w:r>
    </w:p>
    <w:p w14:paraId="2B428622" w14:textId="77777777" w:rsidR="001C3423" w:rsidRDefault="001C3423" w:rsidP="00F165C3">
      <w:pPr>
        <w:pStyle w:val="Bibliography"/>
      </w:pPr>
      <w:r>
        <w:t xml:space="preserve">16. </w:t>
      </w:r>
      <w:r>
        <w:tab/>
        <w:t xml:space="preserve">Burnard P, Edwards D, Fothergill A, Hannigan B, Coyle D. Community mental health nurses in Wales: self-reported stressors and coping strategies. J Psychiatr Ment Health Nurs. 2000 Dec;7(6):523–8. </w:t>
      </w:r>
    </w:p>
    <w:p w14:paraId="3220891D" w14:textId="77777777" w:rsidR="001C3423" w:rsidRDefault="001C3423" w:rsidP="00F165C3">
      <w:pPr>
        <w:pStyle w:val="Bibliography"/>
      </w:pPr>
      <w:r>
        <w:t xml:space="preserve">17. </w:t>
      </w:r>
      <w:r>
        <w:tab/>
        <w:t xml:space="preserve">Halbesleben JRB, Wakefield BJ, Wakefield DS, Cooper LB. Nurse burnout and patient safety outcomes: nurse safety perception versus reporting behavior. West J Nurs Res. 2008 Aug;30(5):560–77. </w:t>
      </w:r>
    </w:p>
    <w:p w14:paraId="2538F14F" w14:textId="77777777" w:rsidR="001C3423" w:rsidRDefault="001C3423" w:rsidP="00F165C3">
      <w:pPr>
        <w:pStyle w:val="Bibliography"/>
      </w:pPr>
      <w:r>
        <w:t xml:space="preserve">18. </w:t>
      </w:r>
      <w:r>
        <w:tab/>
        <w:t xml:space="preserve">Lugg-Widger FV, Angel L, Cannings-John R, Hood K, Hughes K, Moody G, et al. Challenges in accessing routinely collected data from multiple providers in the UK for primary studies: Managing the morass. Int J Popul Data Sci. 2018 Sep 12;3(3). </w:t>
      </w:r>
    </w:p>
    <w:p w14:paraId="148E1A06" w14:textId="77777777" w:rsidR="001C3423" w:rsidRDefault="001C3423" w:rsidP="00F165C3">
      <w:pPr>
        <w:pStyle w:val="Bibliography"/>
      </w:pPr>
      <w:r>
        <w:t xml:space="preserve">19. </w:t>
      </w:r>
      <w:r>
        <w:tab/>
        <w:t xml:space="preserve">Harris RJ, Harris H, Mandal S, Ramsay M, Vickerman P, Hickman M, et al. Monitoring the hepatitis C epidemic in England and evaluating intervention scale-up using routinely collected data. J Viral Hepat. 2019 Jan 21; </w:t>
      </w:r>
    </w:p>
    <w:p w14:paraId="2A89261B" w14:textId="77777777" w:rsidR="001C3423" w:rsidRDefault="001C3423" w:rsidP="00F165C3">
      <w:pPr>
        <w:pStyle w:val="Bibliography"/>
      </w:pPr>
      <w:r>
        <w:t xml:space="preserve">20. </w:t>
      </w:r>
      <w:r>
        <w:tab/>
        <w:t xml:space="preserve">Hatton CM, Paton LW, McMillan D, Cussens J, Gilbody S, Tiffin PA. Predicting persistent depressive symptoms in older adults: A machine learning approach to personalised mental healthcare. J Affect Disord. 2019 Mar 1;246:857–60. </w:t>
      </w:r>
    </w:p>
    <w:p w14:paraId="6A87B00C" w14:textId="77777777" w:rsidR="001C3423" w:rsidRDefault="001C3423" w:rsidP="00F165C3">
      <w:pPr>
        <w:pStyle w:val="Bibliography"/>
      </w:pPr>
      <w:r>
        <w:lastRenderedPageBreak/>
        <w:t xml:space="preserve">21. </w:t>
      </w:r>
      <w:r>
        <w:tab/>
        <w:t xml:space="preserve">Krumholz HM. Big data and new knowledge in medicine: the thinking, training, and tools needed for a learning health system. Health Aff Proj Hope. 2014 Jul;33(7):1163–70. </w:t>
      </w:r>
    </w:p>
    <w:p w14:paraId="7279BF2E" w14:textId="77777777" w:rsidR="001C3423" w:rsidRDefault="001C3423" w:rsidP="00F165C3">
      <w:pPr>
        <w:pStyle w:val="Bibliography"/>
      </w:pPr>
      <w:r>
        <w:t xml:space="preserve">22. </w:t>
      </w:r>
      <w:r>
        <w:tab/>
        <w:t xml:space="preserve">Bates DW, Heitmueller A, Kakad M, Saria S. Why policymakers should care about “big data” in healthcare. Health Policy Technol. 2018 Jun 1;7(2):211–6. </w:t>
      </w:r>
    </w:p>
    <w:p w14:paraId="43A84D75" w14:textId="77777777" w:rsidR="001C3423" w:rsidRDefault="001C3423" w:rsidP="00F165C3">
      <w:pPr>
        <w:pStyle w:val="Bibliography"/>
      </w:pPr>
      <w:r>
        <w:t xml:space="preserve">23. </w:t>
      </w:r>
      <w:r>
        <w:tab/>
        <w:t xml:space="preserve">Needleman J, Buerhaus PI, Stewart M, Zelevinsky K, Mattke S. Nurse Staffing In Hospitals: Is There A Business Case For Quality? Health Aff (Millwood). 2006 Jan 1;25(1):204–11. </w:t>
      </w:r>
    </w:p>
    <w:p w14:paraId="2AB06430" w14:textId="77777777" w:rsidR="001C3423" w:rsidRDefault="001C3423" w:rsidP="00F165C3">
      <w:pPr>
        <w:pStyle w:val="Bibliography"/>
      </w:pPr>
      <w:r>
        <w:t xml:space="preserve">24. </w:t>
      </w:r>
      <w:r>
        <w:tab/>
        <w:t xml:space="preserve">Clarke SP, Donaldson NE. Nurse Staffing and Patient Care Quality and Safety. Agency for Healthcare Research and Quality (US); 2008. </w:t>
      </w:r>
    </w:p>
    <w:p w14:paraId="4C004161" w14:textId="77777777" w:rsidR="001C3423" w:rsidRDefault="001C3423" w:rsidP="00F165C3">
      <w:pPr>
        <w:pStyle w:val="Bibliography"/>
      </w:pPr>
      <w:r>
        <w:t xml:space="preserve">25. </w:t>
      </w:r>
      <w:r>
        <w:tab/>
        <w:t xml:space="preserve">Leary A, Cook R, Jones S, Smith J, Gough M, Maxwell E, et al. Mining routinely collected acute data to reveal non-linear relationships between nurse staffing levels and outcomes. BMJ Open. 2016 Dec;6(12):e011177. </w:t>
      </w:r>
    </w:p>
    <w:p w14:paraId="40D90C11" w14:textId="77777777" w:rsidR="001C3423" w:rsidRDefault="001C3423" w:rsidP="00F165C3">
      <w:pPr>
        <w:pStyle w:val="Bibliography"/>
      </w:pPr>
      <w:r>
        <w:t xml:space="preserve">26. </w:t>
      </w:r>
      <w:r>
        <w:tab/>
        <w:t xml:space="preserve">Griffiths P, Ball J, Murrells T, Jones S, Rafferty AM. Registered nurse, healthcare support worker, medical staffing levels and mortality in English hospital trusts: a cross-sectional study. BMJ Open. 2016 Jan 1;6(2):e008751. </w:t>
      </w:r>
    </w:p>
    <w:p w14:paraId="61B0BC3E" w14:textId="77777777" w:rsidR="001C3423" w:rsidRDefault="001C3423" w:rsidP="00F165C3">
      <w:pPr>
        <w:pStyle w:val="Bibliography"/>
      </w:pPr>
      <w:r>
        <w:t xml:space="preserve">27. </w:t>
      </w:r>
      <w:r>
        <w:tab/>
        <w:t xml:space="preserve">Leary A, Tomai B, Swift A, Woodward A, Hurst K. Nurse staffing levels and outcomes – mining the UK national data sets for insight. Int J Health Care Qual Assur. 2017 Apr 18;30(3):235–47. </w:t>
      </w:r>
    </w:p>
    <w:p w14:paraId="54328F15" w14:textId="77777777" w:rsidR="001C3423" w:rsidRDefault="001C3423" w:rsidP="00F165C3">
      <w:pPr>
        <w:pStyle w:val="Bibliography"/>
      </w:pPr>
      <w:r>
        <w:t xml:space="preserve">28. </w:t>
      </w:r>
      <w:r>
        <w:tab/>
        <w:t xml:space="preserve">Mullahy J. Specification and testing of some modified count data models. J Econom. 1986 Dec 1;33(3):341–65. </w:t>
      </w:r>
    </w:p>
    <w:p w14:paraId="32A7FC6F" w14:textId="77777777" w:rsidR="001C3423" w:rsidRDefault="001C3423" w:rsidP="00F165C3">
      <w:pPr>
        <w:pStyle w:val="Bibliography"/>
      </w:pPr>
      <w:r>
        <w:t xml:space="preserve">29. </w:t>
      </w:r>
      <w:r>
        <w:tab/>
        <w:t xml:space="preserve">Zeileis A, Kleiber C, Jackman S. Regression Models for Count Data in R. J Stat Softw. 2008 Jul 29;27(1):1–25. </w:t>
      </w:r>
    </w:p>
    <w:p w14:paraId="718C0610" w14:textId="77777777" w:rsidR="001C3423" w:rsidRDefault="001C3423" w:rsidP="00F165C3">
      <w:pPr>
        <w:pStyle w:val="Bibliography"/>
      </w:pPr>
      <w:r>
        <w:t xml:space="preserve">30. </w:t>
      </w:r>
      <w:r>
        <w:tab/>
        <w:t xml:space="preserve">Venables WN, Ripley BD. Modern Applied Statistics with S. Fourth. New York: Springer; 2002. </w:t>
      </w:r>
    </w:p>
    <w:p w14:paraId="23D1888E" w14:textId="77777777" w:rsidR="001C3423" w:rsidRDefault="001C3423" w:rsidP="00F165C3">
      <w:pPr>
        <w:pStyle w:val="Bibliography"/>
      </w:pPr>
      <w:r>
        <w:t xml:space="preserve">31. </w:t>
      </w:r>
      <w:r>
        <w:tab/>
        <w:t xml:space="preserve">Kuha J. AIC and BIC: Comparisons of Assumptions and Performance. Sociol Methods Res. 2004 Nov 1;33(2):188–229. </w:t>
      </w:r>
    </w:p>
    <w:p w14:paraId="38706310" w14:textId="77777777" w:rsidR="001C3423" w:rsidRDefault="001C3423" w:rsidP="00F165C3">
      <w:pPr>
        <w:pStyle w:val="Bibliography"/>
      </w:pPr>
      <w:r>
        <w:t xml:space="preserve">32. </w:t>
      </w:r>
      <w:r>
        <w:tab/>
        <w:t xml:space="preserve">Tibshirani R. Regression Shrinkage and Selection via the Lasso. J R Stat Soc Ser B Methodol. 1996;58(1):267–88. </w:t>
      </w:r>
    </w:p>
    <w:p w14:paraId="4A952E7C" w14:textId="77777777" w:rsidR="001C3423" w:rsidRDefault="001C3423" w:rsidP="00F165C3">
      <w:pPr>
        <w:pStyle w:val="Bibliography"/>
      </w:pPr>
      <w:r>
        <w:t xml:space="preserve">33. </w:t>
      </w:r>
      <w:r>
        <w:tab/>
        <w:t xml:space="preserve">Friedman J, Hastie T, Tibshirani R. Regularization Paths for Generalized Linear Models via Coordinate Descent. J Stat Softw. 2010;33(1):1–22. </w:t>
      </w:r>
    </w:p>
    <w:p w14:paraId="5825246F" w14:textId="77777777" w:rsidR="001C3423" w:rsidRDefault="001C3423" w:rsidP="00F165C3">
      <w:pPr>
        <w:pStyle w:val="Bibliography"/>
      </w:pPr>
      <w:r>
        <w:t xml:space="preserve">34. </w:t>
      </w:r>
      <w:r>
        <w:tab/>
        <w:t xml:space="preserve">Thompson B. Stepwise Regression and Stepwise Discriminant Analysis Need Not Apply here: A Guidelines Editorial. Educ Psychol Meas. 1995 Aug 1;55(4):525–34. </w:t>
      </w:r>
    </w:p>
    <w:p w14:paraId="23F3AAEA" w14:textId="77777777" w:rsidR="001C3423" w:rsidRDefault="001C3423" w:rsidP="00F165C3">
      <w:pPr>
        <w:pStyle w:val="Bibliography"/>
      </w:pPr>
      <w:r>
        <w:t xml:space="preserve">35. </w:t>
      </w:r>
      <w:r>
        <w:tab/>
        <w:t xml:space="preserve">Krstajic D, Buturovic LJ, Leahy DE, Thomas S. Cross-validation pitfalls when selecting and assessing regression and classification models. J Cheminformatics. 2014 Mar 29;6(1):10. </w:t>
      </w:r>
    </w:p>
    <w:p w14:paraId="55F09EC2" w14:textId="77777777" w:rsidR="001C3423" w:rsidRDefault="001C3423" w:rsidP="00F165C3">
      <w:pPr>
        <w:pStyle w:val="Bibliography"/>
      </w:pPr>
      <w:r>
        <w:t xml:space="preserve">36. </w:t>
      </w:r>
      <w:r>
        <w:tab/>
        <w:t xml:space="preserve">Marshall G, Henderson WG, Moritz TE, Shroyer AL, Grover FL, Hammermeister KE. Statistical methods and strategies for working with large data bases. Med Care. 1995 Oct;33(10 Suppl):OS35-42. </w:t>
      </w:r>
    </w:p>
    <w:p w14:paraId="0B076AD2" w14:textId="77777777" w:rsidR="001C3423" w:rsidRDefault="001C3423" w:rsidP="00F165C3">
      <w:pPr>
        <w:pStyle w:val="Bibliography"/>
      </w:pPr>
      <w:r>
        <w:t xml:space="preserve">37. </w:t>
      </w:r>
      <w:r>
        <w:tab/>
        <w:t xml:space="preserve">Stoica P, Selen Y. Cyclic minimizers, majorization techniques, and the expectation-maximization algorithm: a refresher. IEEE Signal Process Mag. 2004 Jan;21(1):112–4. </w:t>
      </w:r>
    </w:p>
    <w:p w14:paraId="3699B4CF" w14:textId="77777777" w:rsidR="001C3423" w:rsidRDefault="001C3423" w:rsidP="00F165C3">
      <w:pPr>
        <w:pStyle w:val="Bibliography"/>
      </w:pPr>
      <w:r>
        <w:lastRenderedPageBreak/>
        <w:t xml:space="preserve">38. </w:t>
      </w:r>
      <w:r>
        <w:tab/>
        <w:t xml:space="preserve">Graham JW, Hofer SM, Piccinin AM. Analysis with missing data in drug prevention research. NIDA Res Monogr. 1994;142:13–63. </w:t>
      </w:r>
    </w:p>
    <w:p w14:paraId="41BA3DB8" w14:textId="77777777" w:rsidR="001C3423" w:rsidRDefault="001C3423" w:rsidP="00F165C3">
      <w:pPr>
        <w:pStyle w:val="Bibliography"/>
      </w:pPr>
      <w:r>
        <w:t xml:space="preserve">39. </w:t>
      </w:r>
      <w:r>
        <w:tab/>
        <w:t xml:space="preserve">Brennan W. Safer lone working: assessing the risk to health professionals. Br J Nurs. 2010 Dec 9;19(22):1428–30. </w:t>
      </w:r>
    </w:p>
    <w:p w14:paraId="20DE917D" w14:textId="77777777" w:rsidR="001C3423" w:rsidRDefault="001C3423" w:rsidP="00F165C3">
      <w:pPr>
        <w:pStyle w:val="Bibliography"/>
      </w:pPr>
      <w:r>
        <w:t xml:space="preserve">40. </w:t>
      </w:r>
      <w:r>
        <w:tab/>
        <w:t xml:space="preserve">Ball JE, Griffiths P, Rafferty AM, Lindqvist R, Murrells T, Tishelman C. A cross‐sectional study of ‘care left undone’ on nursing shifts in hospitals. J Adv Nurs. 2016 Sep 1;72(9):2086–97. </w:t>
      </w:r>
    </w:p>
    <w:p w14:paraId="1580337E" w14:textId="77777777" w:rsidR="001C3423" w:rsidRDefault="001C3423" w:rsidP="00F165C3">
      <w:pPr>
        <w:pStyle w:val="Bibliography"/>
      </w:pPr>
      <w:r>
        <w:t xml:space="preserve">41. </w:t>
      </w:r>
      <w:r>
        <w:tab/>
        <w:t>Leary A, Punshon G. Determining acute nurse staffing, a hermeneutic review of an evolving science. BMJ Open [Internet]. 2019 Apr 1 [cited 2019 Mar 29]; Available from: http://researchopen.lsbu.ac.uk/3059/</w:t>
      </w:r>
    </w:p>
    <w:p w14:paraId="72441C65" w14:textId="77777777" w:rsidR="001C3423" w:rsidRDefault="001C3423" w:rsidP="00F165C3">
      <w:pPr>
        <w:pStyle w:val="Bibliography"/>
      </w:pPr>
      <w:r>
        <w:t xml:space="preserve">42. </w:t>
      </w:r>
      <w:r>
        <w:tab/>
        <w:t xml:space="preserve">Bartram T, Joiner TA, Stanton P. Factors affecting the job stress and job satisfaction of Australian nurses: Implications for recruitment and retention. Contemp Nurse. 2004 Oct 1;17(3):293–304. </w:t>
      </w:r>
    </w:p>
    <w:p w14:paraId="3A0254AA" w14:textId="77777777" w:rsidR="001C3423" w:rsidRDefault="001C3423" w:rsidP="00F165C3">
      <w:pPr>
        <w:pStyle w:val="Bibliography"/>
      </w:pPr>
      <w:r>
        <w:t xml:space="preserve">43. </w:t>
      </w:r>
      <w:r>
        <w:tab/>
        <w:t xml:space="preserve">Griffiths P, Maruotti A, Saucedo AR, Redfern OC, Ball JE, Briggs J, et al. Nurse staffing, nursing assistants and hospital mortality: retrospective longitudinal cohort study. BMJ Qual Saf. 2018 Nov 26;bmjqs-2018-008043. </w:t>
      </w:r>
    </w:p>
    <w:p w14:paraId="0676CEE9" w14:textId="77777777" w:rsidR="001C3423" w:rsidRDefault="001C3423" w:rsidP="00F165C3">
      <w:pPr>
        <w:pStyle w:val="Bibliography"/>
      </w:pPr>
      <w:r>
        <w:t xml:space="preserve">44. </w:t>
      </w:r>
      <w:r>
        <w:tab/>
        <w:t xml:space="preserve">Lawless J, Couch R, Griffiths P, Burton C, Ball J. Towards safe nurse staffing in England’s National Health Service: progress and pitfalls of policy evolution. Health Policy. 2019 Mar 19; </w:t>
      </w:r>
    </w:p>
    <w:p w14:paraId="16EC6942" w14:textId="77777777" w:rsidR="001C3423" w:rsidRDefault="001C3423" w:rsidP="00F165C3">
      <w:pPr>
        <w:pStyle w:val="Bibliography"/>
      </w:pPr>
      <w:r>
        <w:t xml:space="preserve">45. </w:t>
      </w:r>
      <w:r>
        <w:tab/>
        <w:t xml:space="preserve">Verheij RA, Curcin V, Delaney BC, McGilchrist MM. Possible Sources of Bias in Primary Care Electronic Health Record Data Use and Reuse. J Med Internet Res. 2018 May 29;20(5). </w:t>
      </w:r>
    </w:p>
    <w:p w14:paraId="796F05DF" w14:textId="253A8FB6" w:rsidR="001A5DFE" w:rsidRPr="001A5DFE" w:rsidRDefault="001A5DFE" w:rsidP="0051213A">
      <w:pPr>
        <w:jc w:val="both"/>
      </w:pPr>
      <w:r>
        <w:fldChar w:fldCharType="end"/>
      </w:r>
    </w:p>
    <w:sectPr w:rsidR="001A5DFE" w:rsidRPr="001A5DFE" w:rsidSect="00E37B8C">
      <w:footerReference w:type="default" r:id="rId10"/>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4175D" w16cid:durableId="203A2425"/>
  <w16cid:commentId w16cid:paraId="285206F1" w16cid:durableId="2038A3A3"/>
  <w16cid:commentId w16cid:paraId="0C9EC99D" w16cid:durableId="203A239C"/>
  <w16cid:commentId w16cid:paraId="3F4FBFFC" w16cid:durableId="2038A3A4"/>
  <w16cid:commentId w16cid:paraId="2F9979B2" w16cid:durableId="203A25F1"/>
  <w16cid:commentId w16cid:paraId="14E3FDE7" w16cid:durableId="203A263F"/>
  <w16cid:commentId w16cid:paraId="29A722A8" w16cid:durableId="2038A3A5"/>
  <w16cid:commentId w16cid:paraId="36458C71" w16cid:durableId="203A2673"/>
  <w16cid:commentId w16cid:paraId="42EEAA5F" w16cid:durableId="203A2694"/>
  <w16cid:commentId w16cid:paraId="646ACA01" w16cid:durableId="203A26D8"/>
  <w16cid:commentId w16cid:paraId="2198DECB" w16cid:durableId="2038A3A6"/>
  <w16cid:commentId w16cid:paraId="1D6925F0" w16cid:durableId="2038A3A7"/>
  <w16cid:commentId w16cid:paraId="1B18F942" w16cid:durableId="2038A3A8"/>
  <w16cid:commentId w16cid:paraId="06F6FBA3" w16cid:durableId="2038A3A9"/>
  <w16cid:commentId w16cid:paraId="2EECF0D7" w16cid:durableId="2038A3AA"/>
  <w16cid:commentId w16cid:paraId="38E3E27C" w16cid:durableId="2038A3AB"/>
  <w16cid:commentId w16cid:paraId="620C4FBB" w16cid:durableId="2038A3AC"/>
  <w16cid:commentId w16cid:paraId="6093CC0D" w16cid:durableId="203A2723"/>
  <w16cid:commentId w16cid:paraId="5918D623" w16cid:durableId="203A277C"/>
  <w16cid:commentId w16cid:paraId="3EF940B6" w16cid:durableId="203A2797"/>
  <w16cid:commentId w16cid:paraId="70DC7051" w16cid:durableId="203A27D3"/>
  <w16cid:commentId w16cid:paraId="04412F93" w16cid:durableId="203A2880"/>
  <w16cid:commentId w16cid:paraId="24FF0DFF" w16cid:durableId="2038A3AD"/>
  <w16cid:commentId w16cid:paraId="38FDD850" w16cid:durableId="2038A3AE"/>
  <w16cid:commentId w16cid:paraId="7D604F33" w16cid:durableId="2038A3AF"/>
  <w16cid:commentId w16cid:paraId="19390EB5" w16cid:durableId="203A2C37"/>
  <w16cid:commentId w16cid:paraId="743E3C7A" w16cid:durableId="203A2C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6065D" w14:textId="77777777" w:rsidR="00D902D2" w:rsidRDefault="00D902D2" w:rsidP="005D4E58">
      <w:pPr>
        <w:spacing w:after="0" w:line="240" w:lineRule="auto"/>
      </w:pPr>
      <w:r>
        <w:separator/>
      </w:r>
    </w:p>
  </w:endnote>
  <w:endnote w:type="continuationSeparator" w:id="0">
    <w:p w14:paraId="5C6E9D27" w14:textId="77777777" w:rsidR="00D902D2" w:rsidRDefault="00D902D2" w:rsidP="005D4E58">
      <w:pPr>
        <w:spacing w:after="0" w:line="240" w:lineRule="auto"/>
      </w:pPr>
      <w:r>
        <w:continuationSeparator/>
      </w:r>
    </w:p>
  </w:endnote>
  <w:endnote w:type="continuationNotice" w:id="1">
    <w:p w14:paraId="4E0254FB" w14:textId="77777777" w:rsidR="00D902D2" w:rsidRDefault="00D90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145343"/>
      <w:docPartObj>
        <w:docPartGallery w:val="Page Numbers (Bottom of Page)"/>
        <w:docPartUnique/>
      </w:docPartObj>
    </w:sdtPr>
    <w:sdtEndPr/>
    <w:sdtContent>
      <w:sdt>
        <w:sdtPr>
          <w:id w:val="-1769616900"/>
          <w:docPartObj>
            <w:docPartGallery w:val="Page Numbers (Top of Page)"/>
            <w:docPartUnique/>
          </w:docPartObj>
        </w:sdtPr>
        <w:sdtEndPr/>
        <w:sdtContent>
          <w:p w14:paraId="3DE92C80" w14:textId="27FAE692" w:rsidR="00D902D2" w:rsidRDefault="00D902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A10E0">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10E0">
              <w:rPr>
                <w:b/>
                <w:bCs/>
                <w:noProof/>
              </w:rPr>
              <w:t>15</w:t>
            </w:r>
            <w:r>
              <w:rPr>
                <w:b/>
                <w:bCs/>
                <w:sz w:val="24"/>
                <w:szCs w:val="24"/>
              </w:rPr>
              <w:fldChar w:fldCharType="end"/>
            </w:r>
          </w:p>
        </w:sdtContent>
      </w:sdt>
    </w:sdtContent>
  </w:sdt>
  <w:p w14:paraId="289FDA0A" w14:textId="77777777" w:rsidR="00D902D2" w:rsidRDefault="00D90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69364" w14:textId="77777777" w:rsidR="00D902D2" w:rsidRDefault="00D902D2" w:rsidP="005D4E58">
      <w:pPr>
        <w:spacing w:after="0" w:line="240" w:lineRule="auto"/>
      </w:pPr>
      <w:r>
        <w:separator/>
      </w:r>
    </w:p>
  </w:footnote>
  <w:footnote w:type="continuationSeparator" w:id="0">
    <w:p w14:paraId="17571019" w14:textId="77777777" w:rsidR="00D902D2" w:rsidRDefault="00D902D2" w:rsidP="005D4E58">
      <w:pPr>
        <w:spacing w:after="0" w:line="240" w:lineRule="auto"/>
      </w:pPr>
      <w:r>
        <w:continuationSeparator/>
      </w:r>
    </w:p>
  </w:footnote>
  <w:footnote w:type="continuationNotice" w:id="1">
    <w:p w14:paraId="052D3D42" w14:textId="77777777" w:rsidR="00D902D2" w:rsidRDefault="00D902D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0E3"/>
    <w:multiLevelType w:val="hybridMultilevel"/>
    <w:tmpl w:val="E81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740B13"/>
    <w:multiLevelType w:val="hybridMultilevel"/>
    <w:tmpl w:val="2766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C3CDB"/>
    <w:multiLevelType w:val="hybridMultilevel"/>
    <w:tmpl w:val="DC54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9E0A77"/>
    <w:multiLevelType w:val="hybridMultilevel"/>
    <w:tmpl w:val="6A4A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8A"/>
    <w:rsid w:val="00004DEF"/>
    <w:rsid w:val="00005153"/>
    <w:rsid w:val="0001108F"/>
    <w:rsid w:val="00011962"/>
    <w:rsid w:val="000130E4"/>
    <w:rsid w:val="000139DD"/>
    <w:rsid w:val="000178B0"/>
    <w:rsid w:val="00035996"/>
    <w:rsid w:val="00036F29"/>
    <w:rsid w:val="00040F33"/>
    <w:rsid w:val="000414A2"/>
    <w:rsid w:val="00041806"/>
    <w:rsid w:val="00062378"/>
    <w:rsid w:val="0006392A"/>
    <w:rsid w:val="00070501"/>
    <w:rsid w:val="000721B7"/>
    <w:rsid w:val="00076971"/>
    <w:rsid w:val="00080FA8"/>
    <w:rsid w:val="000844CB"/>
    <w:rsid w:val="00084EBF"/>
    <w:rsid w:val="00086201"/>
    <w:rsid w:val="00093782"/>
    <w:rsid w:val="00094CAA"/>
    <w:rsid w:val="000A3BBC"/>
    <w:rsid w:val="000A69DF"/>
    <w:rsid w:val="000A6B83"/>
    <w:rsid w:val="000B2761"/>
    <w:rsid w:val="000B34C5"/>
    <w:rsid w:val="000B37A7"/>
    <w:rsid w:val="000B39EC"/>
    <w:rsid w:val="000C2399"/>
    <w:rsid w:val="000C3245"/>
    <w:rsid w:val="000D026F"/>
    <w:rsid w:val="000D0C77"/>
    <w:rsid w:val="000D3A94"/>
    <w:rsid w:val="000D4A65"/>
    <w:rsid w:val="000D52B3"/>
    <w:rsid w:val="000D7B27"/>
    <w:rsid w:val="000E638E"/>
    <w:rsid w:val="000F0172"/>
    <w:rsid w:val="000F3797"/>
    <w:rsid w:val="000F7124"/>
    <w:rsid w:val="001017B9"/>
    <w:rsid w:val="001044AA"/>
    <w:rsid w:val="00114A4C"/>
    <w:rsid w:val="00114BB6"/>
    <w:rsid w:val="001218A1"/>
    <w:rsid w:val="00123DD8"/>
    <w:rsid w:val="001246C7"/>
    <w:rsid w:val="00124EA8"/>
    <w:rsid w:val="0013091C"/>
    <w:rsid w:val="001311C1"/>
    <w:rsid w:val="00140DA3"/>
    <w:rsid w:val="00141DEA"/>
    <w:rsid w:val="00143BD5"/>
    <w:rsid w:val="00144067"/>
    <w:rsid w:val="00144BBD"/>
    <w:rsid w:val="001466DD"/>
    <w:rsid w:val="00150947"/>
    <w:rsid w:val="0015220E"/>
    <w:rsid w:val="00155D5D"/>
    <w:rsid w:val="001572F4"/>
    <w:rsid w:val="001604FC"/>
    <w:rsid w:val="001624CC"/>
    <w:rsid w:val="00163E48"/>
    <w:rsid w:val="00166A5B"/>
    <w:rsid w:val="00166A67"/>
    <w:rsid w:val="001700D5"/>
    <w:rsid w:val="00171125"/>
    <w:rsid w:val="00171F0F"/>
    <w:rsid w:val="001729B0"/>
    <w:rsid w:val="001766FA"/>
    <w:rsid w:val="00182165"/>
    <w:rsid w:val="00193CC1"/>
    <w:rsid w:val="001963D8"/>
    <w:rsid w:val="001A2078"/>
    <w:rsid w:val="001A5DFE"/>
    <w:rsid w:val="001B2B36"/>
    <w:rsid w:val="001B2F72"/>
    <w:rsid w:val="001B79AA"/>
    <w:rsid w:val="001C2002"/>
    <w:rsid w:val="001C328C"/>
    <w:rsid w:val="001C3423"/>
    <w:rsid w:val="001C5271"/>
    <w:rsid w:val="001C6493"/>
    <w:rsid w:val="001C7175"/>
    <w:rsid w:val="001D39A8"/>
    <w:rsid w:val="001E03B8"/>
    <w:rsid w:val="001E2BF4"/>
    <w:rsid w:val="001E2FEE"/>
    <w:rsid w:val="001E329A"/>
    <w:rsid w:val="001E6549"/>
    <w:rsid w:val="001E7E9E"/>
    <w:rsid w:val="001F6F61"/>
    <w:rsid w:val="00202361"/>
    <w:rsid w:val="002027FE"/>
    <w:rsid w:val="00212AE5"/>
    <w:rsid w:val="0022065C"/>
    <w:rsid w:val="002220B3"/>
    <w:rsid w:val="0022322E"/>
    <w:rsid w:val="00225ECC"/>
    <w:rsid w:val="00226592"/>
    <w:rsid w:val="002342AB"/>
    <w:rsid w:val="00236AA9"/>
    <w:rsid w:val="00247199"/>
    <w:rsid w:val="002503D8"/>
    <w:rsid w:val="00256FC7"/>
    <w:rsid w:val="0026333A"/>
    <w:rsid w:val="002701B4"/>
    <w:rsid w:val="00270C47"/>
    <w:rsid w:val="0027770B"/>
    <w:rsid w:val="00277A29"/>
    <w:rsid w:val="00281AF7"/>
    <w:rsid w:val="002824B5"/>
    <w:rsid w:val="00282B24"/>
    <w:rsid w:val="002916A4"/>
    <w:rsid w:val="0029343F"/>
    <w:rsid w:val="002973AA"/>
    <w:rsid w:val="002A1C4E"/>
    <w:rsid w:val="002A4FBF"/>
    <w:rsid w:val="002A5CDF"/>
    <w:rsid w:val="002A7ABE"/>
    <w:rsid w:val="002B2351"/>
    <w:rsid w:val="002B7CD6"/>
    <w:rsid w:val="002C5605"/>
    <w:rsid w:val="002D3E73"/>
    <w:rsid w:val="002D49CE"/>
    <w:rsid w:val="002D68F3"/>
    <w:rsid w:val="002D77C8"/>
    <w:rsid w:val="002E0308"/>
    <w:rsid w:val="002F35AC"/>
    <w:rsid w:val="002F6D4D"/>
    <w:rsid w:val="003032B0"/>
    <w:rsid w:val="003065E0"/>
    <w:rsid w:val="00323F97"/>
    <w:rsid w:val="003355F7"/>
    <w:rsid w:val="00337149"/>
    <w:rsid w:val="0033752D"/>
    <w:rsid w:val="003450E5"/>
    <w:rsid w:val="00347C65"/>
    <w:rsid w:val="00351AED"/>
    <w:rsid w:val="00364E14"/>
    <w:rsid w:val="00367ABA"/>
    <w:rsid w:val="00370D1B"/>
    <w:rsid w:val="00376F3B"/>
    <w:rsid w:val="00380473"/>
    <w:rsid w:val="00382740"/>
    <w:rsid w:val="00387762"/>
    <w:rsid w:val="00390D27"/>
    <w:rsid w:val="00392473"/>
    <w:rsid w:val="00394CAD"/>
    <w:rsid w:val="003A1237"/>
    <w:rsid w:val="003A5C7F"/>
    <w:rsid w:val="003A7EAA"/>
    <w:rsid w:val="003B4B95"/>
    <w:rsid w:val="003B7E50"/>
    <w:rsid w:val="003C097B"/>
    <w:rsid w:val="003C3FAC"/>
    <w:rsid w:val="003C6871"/>
    <w:rsid w:val="003C6AC8"/>
    <w:rsid w:val="003D0773"/>
    <w:rsid w:val="003D27E6"/>
    <w:rsid w:val="003E4260"/>
    <w:rsid w:val="003F7A96"/>
    <w:rsid w:val="00401CDF"/>
    <w:rsid w:val="00402331"/>
    <w:rsid w:val="00405452"/>
    <w:rsid w:val="004068A6"/>
    <w:rsid w:val="004108B8"/>
    <w:rsid w:val="004133A8"/>
    <w:rsid w:val="00414C8E"/>
    <w:rsid w:val="0042294B"/>
    <w:rsid w:val="00423429"/>
    <w:rsid w:val="004406C5"/>
    <w:rsid w:val="00440C3F"/>
    <w:rsid w:val="00445CD1"/>
    <w:rsid w:val="00446248"/>
    <w:rsid w:val="0045172E"/>
    <w:rsid w:val="00460207"/>
    <w:rsid w:val="0046120D"/>
    <w:rsid w:val="00462087"/>
    <w:rsid w:val="00463790"/>
    <w:rsid w:val="00473454"/>
    <w:rsid w:val="00474562"/>
    <w:rsid w:val="004804D0"/>
    <w:rsid w:val="00485DF6"/>
    <w:rsid w:val="00486E85"/>
    <w:rsid w:val="00486FF3"/>
    <w:rsid w:val="004924F3"/>
    <w:rsid w:val="004930A6"/>
    <w:rsid w:val="00493D99"/>
    <w:rsid w:val="00497C5C"/>
    <w:rsid w:val="004A1B14"/>
    <w:rsid w:val="004A21C2"/>
    <w:rsid w:val="004A246E"/>
    <w:rsid w:val="004A52DD"/>
    <w:rsid w:val="004A7F33"/>
    <w:rsid w:val="004B3529"/>
    <w:rsid w:val="004B359D"/>
    <w:rsid w:val="004B3F6C"/>
    <w:rsid w:val="004C025F"/>
    <w:rsid w:val="004C3D9C"/>
    <w:rsid w:val="004C73B3"/>
    <w:rsid w:val="004D1D17"/>
    <w:rsid w:val="004D6D0E"/>
    <w:rsid w:val="004D74C9"/>
    <w:rsid w:val="004D776D"/>
    <w:rsid w:val="004E43FD"/>
    <w:rsid w:val="004E781E"/>
    <w:rsid w:val="004F05C3"/>
    <w:rsid w:val="004F2A78"/>
    <w:rsid w:val="004F2CEE"/>
    <w:rsid w:val="004F565C"/>
    <w:rsid w:val="004F6025"/>
    <w:rsid w:val="0050594D"/>
    <w:rsid w:val="0051213A"/>
    <w:rsid w:val="005124F3"/>
    <w:rsid w:val="00521E86"/>
    <w:rsid w:val="00522862"/>
    <w:rsid w:val="00524A88"/>
    <w:rsid w:val="00526CCA"/>
    <w:rsid w:val="005328CE"/>
    <w:rsid w:val="005359FF"/>
    <w:rsid w:val="00541828"/>
    <w:rsid w:val="005434E5"/>
    <w:rsid w:val="00547515"/>
    <w:rsid w:val="00556CB9"/>
    <w:rsid w:val="00566789"/>
    <w:rsid w:val="0057104E"/>
    <w:rsid w:val="00571BD2"/>
    <w:rsid w:val="00585EFA"/>
    <w:rsid w:val="00587919"/>
    <w:rsid w:val="00587E1B"/>
    <w:rsid w:val="00594E1C"/>
    <w:rsid w:val="005A2297"/>
    <w:rsid w:val="005A3B8C"/>
    <w:rsid w:val="005A47C0"/>
    <w:rsid w:val="005A4B40"/>
    <w:rsid w:val="005A7F28"/>
    <w:rsid w:val="005B6DA2"/>
    <w:rsid w:val="005C1073"/>
    <w:rsid w:val="005C150F"/>
    <w:rsid w:val="005C4A50"/>
    <w:rsid w:val="005C71F5"/>
    <w:rsid w:val="005D1254"/>
    <w:rsid w:val="005D4E58"/>
    <w:rsid w:val="005E7CD3"/>
    <w:rsid w:val="005F3F69"/>
    <w:rsid w:val="005F44FF"/>
    <w:rsid w:val="005F50F0"/>
    <w:rsid w:val="005F6B6E"/>
    <w:rsid w:val="005F75DC"/>
    <w:rsid w:val="00606455"/>
    <w:rsid w:val="00606A2A"/>
    <w:rsid w:val="00622653"/>
    <w:rsid w:val="00626E79"/>
    <w:rsid w:val="00630915"/>
    <w:rsid w:val="00635CAE"/>
    <w:rsid w:val="00635E22"/>
    <w:rsid w:val="00646997"/>
    <w:rsid w:val="00651FAB"/>
    <w:rsid w:val="00665A17"/>
    <w:rsid w:val="0067509D"/>
    <w:rsid w:val="00683509"/>
    <w:rsid w:val="0068640F"/>
    <w:rsid w:val="00692476"/>
    <w:rsid w:val="00693880"/>
    <w:rsid w:val="006958A7"/>
    <w:rsid w:val="00695BC8"/>
    <w:rsid w:val="00696D93"/>
    <w:rsid w:val="006A3839"/>
    <w:rsid w:val="006A47DE"/>
    <w:rsid w:val="006A7875"/>
    <w:rsid w:val="006A7D67"/>
    <w:rsid w:val="006B3D92"/>
    <w:rsid w:val="006B7C5F"/>
    <w:rsid w:val="006C0201"/>
    <w:rsid w:val="006D414D"/>
    <w:rsid w:val="006D460E"/>
    <w:rsid w:val="006D4DA7"/>
    <w:rsid w:val="006D651E"/>
    <w:rsid w:val="006D682D"/>
    <w:rsid w:val="006E15AC"/>
    <w:rsid w:val="006E43E4"/>
    <w:rsid w:val="006E703B"/>
    <w:rsid w:val="006F0D4C"/>
    <w:rsid w:val="006F270C"/>
    <w:rsid w:val="006F46EE"/>
    <w:rsid w:val="006F69E9"/>
    <w:rsid w:val="0070237E"/>
    <w:rsid w:val="00702CDF"/>
    <w:rsid w:val="00702E60"/>
    <w:rsid w:val="00703351"/>
    <w:rsid w:val="007038CA"/>
    <w:rsid w:val="00703B3D"/>
    <w:rsid w:val="007105A4"/>
    <w:rsid w:val="007166CD"/>
    <w:rsid w:val="00722E1F"/>
    <w:rsid w:val="00725A6B"/>
    <w:rsid w:val="00727E08"/>
    <w:rsid w:val="0073661B"/>
    <w:rsid w:val="0074456A"/>
    <w:rsid w:val="00747D63"/>
    <w:rsid w:val="007508E3"/>
    <w:rsid w:val="00755832"/>
    <w:rsid w:val="00765125"/>
    <w:rsid w:val="0077211E"/>
    <w:rsid w:val="0078520D"/>
    <w:rsid w:val="00790FC2"/>
    <w:rsid w:val="00792ED6"/>
    <w:rsid w:val="00793574"/>
    <w:rsid w:val="00795FC4"/>
    <w:rsid w:val="007975B3"/>
    <w:rsid w:val="007A2739"/>
    <w:rsid w:val="007A3317"/>
    <w:rsid w:val="007C22FE"/>
    <w:rsid w:val="007C7FA2"/>
    <w:rsid w:val="007D435D"/>
    <w:rsid w:val="007D4A56"/>
    <w:rsid w:val="007D6108"/>
    <w:rsid w:val="007E1C2D"/>
    <w:rsid w:val="007E5F19"/>
    <w:rsid w:val="007E6281"/>
    <w:rsid w:val="0080470D"/>
    <w:rsid w:val="00807111"/>
    <w:rsid w:val="00814AA8"/>
    <w:rsid w:val="0081760B"/>
    <w:rsid w:val="00821FAE"/>
    <w:rsid w:val="00823360"/>
    <w:rsid w:val="0082412E"/>
    <w:rsid w:val="00824EA8"/>
    <w:rsid w:val="00827995"/>
    <w:rsid w:val="00831EAE"/>
    <w:rsid w:val="00840E05"/>
    <w:rsid w:val="00845CCE"/>
    <w:rsid w:val="008521CA"/>
    <w:rsid w:val="008552E7"/>
    <w:rsid w:val="0085579D"/>
    <w:rsid w:val="0085602C"/>
    <w:rsid w:val="0086531D"/>
    <w:rsid w:val="008653A1"/>
    <w:rsid w:val="00865F59"/>
    <w:rsid w:val="00866075"/>
    <w:rsid w:val="008772E2"/>
    <w:rsid w:val="008818B5"/>
    <w:rsid w:val="00882759"/>
    <w:rsid w:val="00886E2B"/>
    <w:rsid w:val="00890D8D"/>
    <w:rsid w:val="00895718"/>
    <w:rsid w:val="00895C36"/>
    <w:rsid w:val="008A43E9"/>
    <w:rsid w:val="008A7C85"/>
    <w:rsid w:val="008B37DA"/>
    <w:rsid w:val="008B3BF9"/>
    <w:rsid w:val="008B6C0C"/>
    <w:rsid w:val="008C1712"/>
    <w:rsid w:val="008C2960"/>
    <w:rsid w:val="008C4FBE"/>
    <w:rsid w:val="008C5BD0"/>
    <w:rsid w:val="008C6448"/>
    <w:rsid w:val="008C76CE"/>
    <w:rsid w:val="008D031D"/>
    <w:rsid w:val="008D489E"/>
    <w:rsid w:val="008E05AE"/>
    <w:rsid w:val="008F0D0F"/>
    <w:rsid w:val="008F51F5"/>
    <w:rsid w:val="008F7213"/>
    <w:rsid w:val="008F749A"/>
    <w:rsid w:val="00904980"/>
    <w:rsid w:val="00904DAB"/>
    <w:rsid w:val="00912F11"/>
    <w:rsid w:val="009158DD"/>
    <w:rsid w:val="00920A32"/>
    <w:rsid w:val="00921516"/>
    <w:rsid w:val="00931101"/>
    <w:rsid w:val="00932F47"/>
    <w:rsid w:val="009331F8"/>
    <w:rsid w:val="00940042"/>
    <w:rsid w:val="0094340A"/>
    <w:rsid w:val="00943930"/>
    <w:rsid w:val="00943D0E"/>
    <w:rsid w:val="00944D50"/>
    <w:rsid w:val="00965429"/>
    <w:rsid w:val="00966724"/>
    <w:rsid w:val="00972EC2"/>
    <w:rsid w:val="00973149"/>
    <w:rsid w:val="00976562"/>
    <w:rsid w:val="00976FCA"/>
    <w:rsid w:val="00986FD5"/>
    <w:rsid w:val="009902DE"/>
    <w:rsid w:val="009A2713"/>
    <w:rsid w:val="009A2F0C"/>
    <w:rsid w:val="009B125E"/>
    <w:rsid w:val="009B5FAB"/>
    <w:rsid w:val="009B6DFD"/>
    <w:rsid w:val="009C2145"/>
    <w:rsid w:val="009C389B"/>
    <w:rsid w:val="009C6A21"/>
    <w:rsid w:val="009D37B9"/>
    <w:rsid w:val="009D3D6D"/>
    <w:rsid w:val="009E271F"/>
    <w:rsid w:val="009F1D24"/>
    <w:rsid w:val="009F4815"/>
    <w:rsid w:val="009F50A2"/>
    <w:rsid w:val="009F6998"/>
    <w:rsid w:val="009F6B7B"/>
    <w:rsid w:val="00A00B5A"/>
    <w:rsid w:val="00A0196F"/>
    <w:rsid w:val="00A111C9"/>
    <w:rsid w:val="00A1441D"/>
    <w:rsid w:val="00A20CBD"/>
    <w:rsid w:val="00A23547"/>
    <w:rsid w:val="00A37565"/>
    <w:rsid w:val="00A433BA"/>
    <w:rsid w:val="00A44CA4"/>
    <w:rsid w:val="00A51EAA"/>
    <w:rsid w:val="00A554FE"/>
    <w:rsid w:val="00A56908"/>
    <w:rsid w:val="00A61AAF"/>
    <w:rsid w:val="00A621A2"/>
    <w:rsid w:val="00A6797E"/>
    <w:rsid w:val="00A67B40"/>
    <w:rsid w:val="00A700B4"/>
    <w:rsid w:val="00A75D77"/>
    <w:rsid w:val="00A8552A"/>
    <w:rsid w:val="00A9001A"/>
    <w:rsid w:val="00A918CB"/>
    <w:rsid w:val="00A92B98"/>
    <w:rsid w:val="00A97E45"/>
    <w:rsid w:val="00AA4A9C"/>
    <w:rsid w:val="00AB2091"/>
    <w:rsid w:val="00AB234C"/>
    <w:rsid w:val="00AB7654"/>
    <w:rsid w:val="00AC1401"/>
    <w:rsid w:val="00AC4326"/>
    <w:rsid w:val="00AC4439"/>
    <w:rsid w:val="00AC513F"/>
    <w:rsid w:val="00AF1939"/>
    <w:rsid w:val="00AF5BBC"/>
    <w:rsid w:val="00AF7C6B"/>
    <w:rsid w:val="00B00104"/>
    <w:rsid w:val="00B009F2"/>
    <w:rsid w:val="00B014FB"/>
    <w:rsid w:val="00B03F88"/>
    <w:rsid w:val="00B07B5E"/>
    <w:rsid w:val="00B07C54"/>
    <w:rsid w:val="00B16B0E"/>
    <w:rsid w:val="00B21D04"/>
    <w:rsid w:val="00B238F3"/>
    <w:rsid w:val="00B24FAF"/>
    <w:rsid w:val="00B27CBC"/>
    <w:rsid w:val="00B27E64"/>
    <w:rsid w:val="00B30116"/>
    <w:rsid w:val="00B37C77"/>
    <w:rsid w:val="00B41E61"/>
    <w:rsid w:val="00B44FD6"/>
    <w:rsid w:val="00B46866"/>
    <w:rsid w:val="00B46CB6"/>
    <w:rsid w:val="00B473E8"/>
    <w:rsid w:val="00B50E44"/>
    <w:rsid w:val="00B74003"/>
    <w:rsid w:val="00B756B9"/>
    <w:rsid w:val="00B75EC0"/>
    <w:rsid w:val="00B81DD6"/>
    <w:rsid w:val="00B95A11"/>
    <w:rsid w:val="00B97650"/>
    <w:rsid w:val="00BA7B35"/>
    <w:rsid w:val="00BA7E5B"/>
    <w:rsid w:val="00BB4DE9"/>
    <w:rsid w:val="00BB613A"/>
    <w:rsid w:val="00BC3F1D"/>
    <w:rsid w:val="00BC4DA3"/>
    <w:rsid w:val="00BC6D4F"/>
    <w:rsid w:val="00BD0B44"/>
    <w:rsid w:val="00BD4F23"/>
    <w:rsid w:val="00BD716B"/>
    <w:rsid w:val="00BD77E6"/>
    <w:rsid w:val="00BE026A"/>
    <w:rsid w:val="00BE069D"/>
    <w:rsid w:val="00BE1876"/>
    <w:rsid w:val="00BE222D"/>
    <w:rsid w:val="00BE231B"/>
    <w:rsid w:val="00BE47B5"/>
    <w:rsid w:val="00BE4A33"/>
    <w:rsid w:val="00BE4B61"/>
    <w:rsid w:val="00BE5222"/>
    <w:rsid w:val="00BF29D9"/>
    <w:rsid w:val="00BF434D"/>
    <w:rsid w:val="00C01D27"/>
    <w:rsid w:val="00C024D0"/>
    <w:rsid w:val="00C03DF4"/>
    <w:rsid w:val="00C11AF1"/>
    <w:rsid w:val="00C12CC7"/>
    <w:rsid w:val="00C13C74"/>
    <w:rsid w:val="00C17C8A"/>
    <w:rsid w:val="00C20359"/>
    <w:rsid w:val="00C207A8"/>
    <w:rsid w:val="00C273EF"/>
    <w:rsid w:val="00C5107F"/>
    <w:rsid w:val="00C51C03"/>
    <w:rsid w:val="00C6015B"/>
    <w:rsid w:val="00C6076A"/>
    <w:rsid w:val="00C610A5"/>
    <w:rsid w:val="00C6138A"/>
    <w:rsid w:val="00C61D53"/>
    <w:rsid w:val="00C64460"/>
    <w:rsid w:val="00C713BD"/>
    <w:rsid w:val="00C726BC"/>
    <w:rsid w:val="00C73557"/>
    <w:rsid w:val="00C7748D"/>
    <w:rsid w:val="00C83046"/>
    <w:rsid w:val="00C87271"/>
    <w:rsid w:val="00C91BFC"/>
    <w:rsid w:val="00C93721"/>
    <w:rsid w:val="00C943A4"/>
    <w:rsid w:val="00C96CE5"/>
    <w:rsid w:val="00CA19C3"/>
    <w:rsid w:val="00CA306C"/>
    <w:rsid w:val="00CA604B"/>
    <w:rsid w:val="00CC0B79"/>
    <w:rsid w:val="00CC2621"/>
    <w:rsid w:val="00CC745B"/>
    <w:rsid w:val="00CC7B67"/>
    <w:rsid w:val="00CD009F"/>
    <w:rsid w:val="00CD2C6E"/>
    <w:rsid w:val="00CD7DA1"/>
    <w:rsid w:val="00CF1183"/>
    <w:rsid w:val="00CF4EE0"/>
    <w:rsid w:val="00D01DF9"/>
    <w:rsid w:val="00D05908"/>
    <w:rsid w:val="00D0787C"/>
    <w:rsid w:val="00D12B55"/>
    <w:rsid w:val="00D1370C"/>
    <w:rsid w:val="00D21986"/>
    <w:rsid w:val="00D23BF2"/>
    <w:rsid w:val="00D2782B"/>
    <w:rsid w:val="00D36139"/>
    <w:rsid w:val="00D42A09"/>
    <w:rsid w:val="00D42EA0"/>
    <w:rsid w:val="00D4718C"/>
    <w:rsid w:val="00D50843"/>
    <w:rsid w:val="00D51174"/>
    <w:rsid w:val="00D5278C"/>
    <w:rsid w:val="00D55F07"/>
    <w:rsid w:val="00D57023"/>
    <w:rsid w:val="00D60FDF"/>
    <w:rsid w:val="00D61E85"/>
    <w:rsid w:val="00D62A58"/>
    <w:rsid w:val="00D6536D"/>
    <w:rsid w:val="00D71931"/>
    <w:rsid w:val="00D7485B"/>
    <w:rsid w:val="00D76A9E"/>
    <w:rsid w:val="00D85A57"/>
    <w:rsid w:val="00D8750F"/>
    <w:rsid w:val="00D902D2"/>
    <w:rsid w:val="00DA211A"/>
    <w:rsid w:val="00DB1001"/>
    <w:rsid w:val="00DB7236"/>
    <w:rsid w:val="00DC3240"/>
    <w:rsid w:val="00DC64EC"/>
    <w:rsid w:val="00DD3516"/>
    <w:rsid w:val="00DD42BC"/>
    <w:rsid w:val="00DF3E49"/>
    <w:rsid w:val="00DF70E0"/>
    <w:rsid w:val="00DF78F6"/>
    <w:rsid w:val="00E0216D"/>
    <w:rsid w:val="00E10392"/>
    <w:rsid w:val="00E1594E"/>
    <w:rsid w:val="00E166FA"/>
    <w:rsid w:val="00E17C99"/>
    <w:rsid w:val="00E23FB8"/>
    <w:rsid w:val="00E2561B"/>
    <w:rsid w:val="00E25B74"/>
    <w:rsid w:val="00E26884"/>
    <w:rsid w:val="00E37B8C"/>
    <w:rsid w:val="00E43ADA"/>
    <w:rsid w:val="00E4409C"/>
    <w:rsid w:val="00E46B21"/>
    <w:rsid w:val="00E47158"/>
    <w:rsid w:val="00E55322"/>
    <w:rsid w:val="00E576CF"/>
    <w:rsid w:val="00E645A8"/>
    <w:rsid w:val="00E663D0"/>
    <w:rsid w:val="00E67449"/>
    <w:rsid w:val="00E7512A"/>
    <w:rsid w:val="00E9172D"/>
    <w:rsid w:val="00EA10E0"/>
    <w:rsid w:val="00EA43A7"/>
    <w:rsid w:val="00EB0DE9"/>
    <w:rsid w:val="00EB4DDB"/>
    <w:rsid w:val="00EB755B"/>
    <w:rsid w:val="00EC21A8"/>
    <w:rsid w:val="00EC2632"/>
    <w:rsid w:val="00EC6486"/>
    <w:rsid w:val="00ED2C26"/>
    <w:rsid w:val="00ED5E90"/>
    <w:rsid w:val="00ED62E1"/>
    <w:rsid w:val="00EE19E0"/>
    <w:rsid w:val="00EE1A80"/>
    <w:rsid w:val="00EE23DE"/>
    <w:rsid w:val="00EE7762"/>
    <w:rsid w:val="00EF5D22"/>
    <w:rsid w:val="00F12468"/>
    <w:rsid w:val="00F12D17"/>
    <w:rsid w:val="00F165C3"/>
    <w:rsid w:val="00F165F4"/>
    <w:rsid w:val="00F26E45"/>
    <w:rsid w:val="00F356F9"/>
    <w:rsid w:val="00F40468"/>
    <w:rsid w:val="00F446B1"/>
    <w:rsid w:val="00F459CF"/>
    <w:rsid w:val="00F459DE"/>
    <w:rsid w:val="00F45BDB"/>
    <w:rsid w:val="00F4715C"/>
    <w:rsid w:val="00F66FE9"/>
    <w:rsid w:val="00F671DE"/>
    <w:rsid w:val="00F71CFA"/>
    <w:rsid w:val="00F72230"/>
    <w:rsid w:val="00F72487"/>
    <w:rsid w:val="00F74057"/>
    <w:rsid w:val="00F81A9C"/>
    <w:rsid w:val="00F83678"/>
    <w:rsid w:val="00F84D21"/>
    <w:rsid w:val="00F9240F"/>
    <w:rsid w:val="00FA3FD5"/>
    <w:rsid w:val="00FA54B0"/>
    <w:rsid w:val="00FA5896"/>
    <w:rsid w:val="00FA5D8C"/>
    <w:rsid w:val="00FA6971"/>
    <w:rsid w:val="00FB0482"/>
    <w:rsid w:val="00FC0B13"/>
    <w:rsid w:val="00FC13A7"/>
    <w:rsid w:val="00FD0405"/>
    <w:rsid w:val="00FD18D7"/>
    <w:rsid w:val="00FD5D5A"/>
    <w:rsid w:val="00FD683F"/>
    <w:rsid w:val="00FD73DD"/>
    <w:rsid w:val="00FE20BD"/>
    <w:rsid w:val="00FF1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43C2"/>
  <w15:chartTrackingRefBased/>
  <w15:docId w15:val="{C3C33C48-1BCD-417D-B2FF-252CA156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76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E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3E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D4F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73E8"/>
    <w:rPr>
      <w:color w:val="808080"/>
    </w:rPr>
  </w:style>
  <w:style w:type="paragraph" w:styleId="NoSpacing">
    <w:name w:val="No Spacing"/>
    <w:uiPriority w:val="1"/>
    <w:qFormat/>
    <w:rsid w:val="00E576CF"/>
    <w:pPr>
      <w:spacing w:after="0" w:line="240" w:lineRule="auto"/>
    </w:pPr>
  </w:style>
  <w:style w:type="character" w:customStyle="1" w:styleId="Heading1Char">
    <w:name w:val="Heading 1 Char"/>
    <w:basedOn w:val="DefaultParagraphFont"/>
    <w:link w:val="Heading1"/>
    <w:uiPriority w:val="9"/>
    <w:rsid w:val="00E576CF"/>
    <w:rPr>
      <w:rFonts w:asciiTheme="majorHAnsi" w:eastAsiaTheme="majorEastAsia" w:hAnsiTheme="majorHAnsi" w:cstheme="majorBidi"/>
      <w:color w:val="2E74B5" w:themeColor="accent1" w:themeShade="BF"/>
      <w:sz w:val="32"/>
      <w:szCs w:val="32"/>
    </w:rPr>
  </w:style>
  <w:style w:type="table" w:styleId="GridTable1Light-Accent5">
    <w:name w:val="Grid Table 1 Light Accent 5"/>
    <w:basedOn w:val="TableNormal"/>
    <w:uiPriority w:val="46"/>
    <w:rsid w:val="00B9765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107F"/>
    <w:pPr>
      <w:ind w:left="720"/>
      <w:contextualSpacing/>
    </w:pPr>
  </w:style>
  <w:style w:type="table" w:styleId="GridTable2-Accent5">
    <w:name w:val="Grid Table 2 Accent 5"/>
    <w:basedOn w:val="TableNormal"/>
    <w:uiPriority w:val="47"/>
    <w:rsid w:val="004406C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1">
    <w:name w:val="Grid Table 2 Accent 1"/>
    <w:basedOn w:val="TableNormal"/>
    <w:uiPriority w:val="47"/>
    <w:rsid w:val="004406C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8B3BF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E47B5"/>
    <w:rPr>
      <w:color w:val="0563C1" w:themeColor="hyperlink"/>
      <w:u w:val="single"/>
    </w:rPr>
  </w:style>
  <w:style w:type="character" w:customStyle="1" w:styleId="Heading2Char">
    <w:name w:val="Heading 2 Char"/>
    <w:basedOn w:val="DefaultParagraphFont"/>
    <w:link w:val="Heading2"/>
    <w:uiPriority w:val="9"/>
    <w:rsid w:val="00DF3E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3E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D4F23"/>
    <w:rPr>
      <w:rFonts w:asciiTheme="majorHAnsi" w:eastAsiaTheme="majorEastAsia" w:hAnsiTheme="majorHAnsi" w:cstheme="majorBidi"/>
      <w:i/>
      <w:iCs/>
      <w:color w:val="2E74B5" w:themeColor="accent1" w:themeShade="BF"/>
    </w:rPr>
  </w:style>
  <w:style w:type="table" w:styleId="GridTable4-Accent1">
    <w:name w:val="Grid Table 4 Accent 1"/>
    <w:basedOn w:val="TableNormal"/>
    <w:uiPriority w:val="49"/>
    <w:rsid w:val="00A111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E67449"/>
    <w:rPr>
      <w:i/>
      <w:iCs/>
    </w:rPr>
  </w:style>
  <w:style w:type="paragraph" w:customStyle="1" w:styleId="EndNoteBibliography">
    <w:name w:val="EndNote Bibliography"/>
    <w:basedOn w:val="Normal"/>
    <w:link w:val="EndNoteBibliographyChar"/>
    <w:rsid w:val="006A7D6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A7D67"/>
    <w:rPr>
      <w:rFonts w:ascii="Calibri" w:hAnsi="Calibri"/>
      <w:noProof/>
      <w:lang w:val="en-US"/>
    </w:rPr>
  </w:style>
  <w:style w:type="character" w:styleId="CommentReference">
    <w:name w:val="annotation reference"/>
    <w:basedOn w:val="DefaultParagraphFont"/>
    <w:uiPriority w:val="99"/>
    <w:semiHidden/>
    <w:unhideWhenUsed/>
    <w:rsid w:val="002C5605"/>
    <w:rPr>
      <w:sz w:val="16"/>
      <w:szCs w:val="16"/>
    </w:rPr>
  </w:style>
  <w:style w:type="paragraph" w:styleId="CommentText">
    <w:name w:val="annotation text"/>
    <w:basedOn w:val="Normal"/>
    <w:link w:val="CommentTextChar"/>
    <w:uiPriority w:val="99"/>
    <w:unhideWhenUsed/>
    <w:rsid w:val="002C5605"/>
    <w:pPr>
      <w:spacing w:line="240" w:lineRule="auto"/>
    </w:pPr>
    <w:rPr>
      <w:sz w:val="20"/>
      <w:szCs w:val="20"/>
    </w:rPr>
  </w:style>
  <w:style w:type="character" w:customStyle="1" w:styleId="CommentTextChar">
    <w:name w:val="Comment Text Char"/>
    <w:basedOn w:val="DefaultParagraphFont"/>
    <w:link w:val="CommentText"/>
    <w:uiPriority w:val="99"/>
    <w:rsid w:val="002C5605"/>
    <w:rPr>
      <w:sz w:val="20"/>
      <w:szCs w:val="20"/>
    </w:rPr>
  </w:style>
  <w:style w:type="paragraph" w:styleId="CommentSubject">
    <w:name w:val="annotation subject"/>
    <w:basedOn w:val="CommentText"/>
    <w:next w:val="CommentText"/>
    <w:link w:val="CommentSubjectChar"/>
    <w:uiPriority w:val="99"/>
    <w:semiHidden/>
    <w:unhideWhenUsed/>
    <w:rsid w:val="002C5605"/>
    <w:rPr>
      <w:b/>
      <w:bCs/>
    </w:rPr>
  </w:style>
  <w:style w:type="character" w:customStyle="1" w:styleId="CommentSubjectChar">
    <w:name w:val="Comment Subject Char"/>
    <w:basedOn w:val="CommentTextChar"/>
    <w:link w:val="CommentSubject"/>
    <w:uiPriority w:val="99"/>
    <w:semiHidden/>
    <w:rsid w:val="002C5605"/>
    <w:rPr>
      <w:b/>
      <w:bCs/>
      <w:sz w:val="20"/>
      <w:szCs w:val="20"/>
    </w:rPr>
  </w:style>
  <w:style w:type="paragraph" w:styleId="BalloonText">
    <w:name w:val="Balloon Text"/>
    <w:basedOn w:val="Normal"/>
    <w:link w:val="BalloonTextChar"/>
    <w:uiPriority w:val="99"/>
    <w:semiHidden/>
    <w:unhideWhenUsed/>
    <w:rsid w:val="002C5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605"/>
    <w:rPr>
      <w:rFonts w:ascii="Segoe UI" w:hAnsi="Segoe UI" w:cs="Segoe UI"/>
      <w:sz w:val="18"/>
      <w:szCs w:val="18"/>
    </w:rPr>
  </w:style>
  <w:style w:type="paragraph" w:styleId="Bibliography">
    <w:name w:val="Bibliography"/>
    <w:basedOn w:val="Normal"/>
    <w:next w:val="Normal"/>
    <w:uiPriority w:val="37"/>
    <w:unhideWhenUsed/>
    <w:rsid w:val="001A5DFE"/>
    <w:pPr>
      <w:tabs>
        <w:tab w:val="left" w:pos="504"/>
      </w:tabs>
      <w:spacing w:after="240" w:line="240" w:lineRule="auto"/>
      <w:ind w:left="504" w:hanging="504"/>
    </w:pPr>
  </w:style>
  <w:style w:type="table" w:styleId="GridTable2">
    <w:name w:val="Grid Table 2"/>
    <w:basedOn w:val="TableNormal"/>
    <w:uiPriority w:val="47"/>
    <w:rsid w:val="00FA5D8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A211A"/>
    <w:rPr>
      <w:color w:val="954F72" w:themeColor="followedHyperlink"/>
      <w:u w:val="single"/>
    </w:rPr>
  </w:style>
  <w:style w:type="paragraph" w:styleId="Header">
    <w:name w:val="header"/>
    <w:basedOn w:val="Normal"/>
    <w:link w:val="HeaderChar"/>
    <w:uiPriority w:val="99"/>
    <w:unhideWhenUsed/>
    <w:rsid w:val="005D4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E58"/>
  </w:style>
  <w:style w:type="paragraph" w:styleId="Footer">
    <w:name w:val="footer"/>
    <w:basedOn w:val="Normal"/>
    <w:link w:val="FooterChar"/>
    <w:uiPriority w:val="99"/>
    <w:unhideWhenUsed/>
    <w:rsid w:val="005D4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1">
      <w:bodyDiv w:val="1"/>
      <w:marLeft w:val="0"/>
      <w:marRight w:val="0"/>
      <w:marTop w:val="0"/>
      <w:marBottom w:val="0"/>
      <w:divBdr>
        <w:top w:val="none" w:sz="0" w:space="0" w:color="auto"/>
        <w:left w:val="none" w:sz="0" w:space="0" w:color="auto"/>
        <w:bottom w:val="none" w:sz="0" w:space="0" w:color="auto"/>
        <w:right w:val="none" w:sz="0" w:space="0" w:color="auto"/>
      </w:divBdr>
    </w:div>
    <w:div w:id="94711591">
      <w:bodyDiv w:val="1"/>
      <w:marLeft w:val="0"/>
      <w:marRight w:val="0"/>
      <w:marTop w:val="0"/>
      <w:marBottom w:val="0"/>
      <w:divBdr>
        <w:top w:val="none" w:sz="0" w:space="0" w:color="auto"/>
        <w:left w:val="none" w:sz="0" w:space="0" w:color="auto"/>
        <w:bottom w:val="none" w:sz="0" w:space="0" w:color="auto"/>
        <w:right w:val="none" w:sz="0" w:space="0" w:color="auto"/>
      </w:divBdr>
    </w:div>
    <w:div w:id="134375118">
      <w:bodyDiv w:val="1"/>
      <w:marLeft w:val="0"/>
      <w:marRight w:val="0"/>
      <w:marTop w:val="0"/>
      <w:marBottom w:val="0"/>
      <w:divBdr>
        <w:top w:val="none" w:sz="0" w:space="0" w:color="auto"/>
        <w:left w:val="none" w:sz="0" w:space="0" w:color="auto"/>
        <w:bottom w:val="none" w:sz="0" w:space="0" w:color="auto"/>
        <w:right w:val="none" w:sz="0" w:space="0" w:color="auto"/>
      </w:divBdr>
    </w:div>
    <w:div w:id="200478846">
      <w:bodyDiv w:val="1"/>
      <w:marLeft w:val="0"/>
      <w:marRight w:val="0"/>
      <w:marTop w:val="0"/>
      <w:marBottom w:val="0"/>
      <w:divBdr>
        <w:top w:val="none" w:sz="0" w:space="0" w:color="auto"/>
        <w:left w:val="none" w:sz="0" w:space="0" w:color="auto"/>
        <w:bottom w:val="none" w:sz="0" w:space="0" w:color="auto"/>
        <w:right w:val="none" w:sz="0" w:space="0" w:color="auto"/>
      </w:divBdr>
    </w:div>
    <w:div w:id="308435839">
      <w:bodyDiv w:val="1"/>
      <w:marLeft w:val="0"/>
      <w:marRight w:val="0"/>
      <w:marTop w:val="0"/>
      <w:marBottom w:val="0"/>
      <w:divBdr>
        <w:top w:val="none" w:sz="0" w:space="0" w:color="auto"/>
        <w:left w:val="none" w:sz="0" w:space="0" w:color="auto"/>
        <w:bottom w:val="none" w:sz="0" w:space="0" w:color="auto"/>
        <w:right w:val="none" w:sz="0" w:space="0" w:color="auto"/>
      </w:divBdr>
    </w:div>
    <w:div w:id="333844699">
      <w:bodyDiv w:val="1"/>
      <w:marLeft w:val="0"/>
      <w:marRight w:val="0"/>
      <w:marTop w:val="0"/>
      <w:marBottom w:val="0"/>
      <w:divBdr>
        <w:top w:val="none" w:sz="0" w:space="0" w:color="auto"/>
        <w:left w:val="none" w:sz="0" w:space="0" w:color="auto"/>
        <w:bottom w:val="none" w:sz="0" w:space="0" w:color="auto"/>
        <w:right w:val="none" w:sz="0" w:space="0" w:color="auto"/>
      </w:divBdr>
    </w:div>
    <w:div w:id="423647638">
      <w:bodyDiv w:val="1"/>
      <w:marLeft w:val="0"/>
      <w:marRight w:val="0"/>
      <w:marTop w:val="0"/>
      <w:marBottom w:val="0"/>
      <w:divBdr>
        <w:top w:val="none" w:sz="0" w:space="0" w:color="auto"/>
        <w:left w:val="none" w:sz="0" w:space="0" w:color="auto"/>
        <w:bottom w:val="none" w:sz="0" w:space="0" w:color="auto"/>
        <w:right w:val="none" w:sz="0" w:space="0" w:color="auto"/>
      </w:divBdr>
    </w:div>
    <w:div w:id="501553495">
      <w:bodyDiv w:val="1"/>
      <w:marLeft w:val="0"/>
      <w:marRight w:val="0"/>
      <w:marTop w:val="0"/>
      <w:marBottom w:val="0"/>
      <w:divBdr>
        <w:top w:val="none" w:sz="0" w:space="0" w:color="auto"/>
        <w:left w:val="none" w:sz="0" w:space="0" w:color="auto"/>
        <w:bottom w:val="none" w:sz="0" w:space="0" w:color="auto"/>
        <w:right w:val="none" w:sz="0" w:space="0" w:color="auto"/>
      </w:divBdr>
    </w:div>
    <w:div w:id="527375556">
      <w:bodyDiv w:val="1"/>
      <w:marLeft w:val="0"/>
      <w:marRight w:val="0"/>
      <w:marTop w:val="0"/>
      <w:marBottom w:val="0"/>
      <w:divBdr>
        <w:top w:val="none" w:sz="0" w:space="0" w:color="auto"/>
        <w:left w:val="none" w:sz="0" w:space="0" w:color="auto"/>
        <w:bottom w:val="none" w:sz="0" w:space="0" w:color="auto"/>
        <w:right w:val="none" w:sz="0" w:space="0" w:color="auto"/>
      </w:divBdr>
    </w:div>
    <w:div w:id="542638108">
      <w:bodyDiv w:val="1"/>
      <w:marLeft w:val="0"/>
      <w:marRight w:val="0"/>
      <w:marTop w:val="0"/>
      <w:marBottom w:val="0"/>
      <w:divBdr>
        <w:top w:val="none" w:sz="0" w:space="0" w:color="auto"/>
        <w:left w:val="none" w:sz="0" w:space="0" w:color="auto"/>
        <w:bottom w:val="none" w:sz="0" w:space="0" w:color="auto"/>
        <w:right w:val="none" w:sz="0" w:space="0" w:color="auto"/>
      </w:divBdr>
    </w:div>
    <w:div w:id="558906973">
      <w:bodyDiv w:val="1"/>
      <w:marLeft w:val="0"/>
      <w:marRight w:val="0"/>
      <w:marTop w:val="0"/>
      <w:marBottom w:val="0"/>
      <w:divBdr>
        <w:top w:val="none" w:sz="0" w:space="0" w:color="auto"/>
        <w:left w:val="none" w:sz="0" w:space="0" w:color="auto"/>
        <w:bottom w:val="none" w:sz="0" w:space="0" w:color="auto"/>
        <w:right w:val="none" w:sz="0" w:space="0" w:color="auto"/>
      </w:divBdr>
    </w:div>
    <w:div w:id="579799112">
      <w:bodyDiv w:val="1"/>
      <w:marLeft w:val="0"/>
      <w:marRight w:val="0"/>
      <w:marTop w:val="0"/>
      <w:marBottom w:val="0"/>
      <w:divBdr>
        <w:top w:val="none" w:sz="0" w:space="0" w:color="auto"/>
        <w:left w:val="none" w:sz="0" w:space="0" w:color="auto"/>
        <w:bottom w:val="none" w:sz="0" w:space="0" w:color="auto"/>
        <w:right w:val="none" w:sz="0" w:space="0" w:color="auto"/>
      </w:divBdr>
    </w:div>
    <w:div w:id="584844018">
      <w:bodyDiv w:val="1"/>
      <w:marLeft w:val="0"/>
      <w:marRight w:val="0"/>
      <w:marTop w:val="0"/>
      <w:marBottom w:val="0"/>
      <w:divBdr>
        <w:top w:val="none" w:sz="0" w:space="0" w:color="auto"/>
        <w:left w:val="none" w:sz="0" w:space="0" w:color="auto"/>
        <w:bottom w:val="none" w:sz="0" w:space="0" w:color="auto"/>
        <w:right w:val="none" w:sz="0" w:space="0" w:color="auto"/>
      </w:divBdr>
    </w:div>
    <w:div w:id="592014941">
      <w:bodyDiv w:val="1"/>
      <w:marLeft w:val="0"/>
      <w:marRight w:val="0"/>
      <w:marTop w:val="0"/>
      <w:marBottom w:val="0"/>
      <w:divBdr>
        <w:top w:val="none" w:sz="0" w:space="0" w:color="auto"/>
        <w:left w:val="none" w:sz="0" w:space="0" w:color="auto"/>
        <w:bottom w:val="none" w:sz="0" w:space="0" w:color="auto"/>
        <w:right w:val="none" w:sz="0" w:space="0" w:color="auto"/>
      </w:divBdr>
    </w:div>
    <w:div w:id="621350152">
      <w:bodyDiv w:val="1"/>
      <w:marLeft w:val="0"/>
      <w:marRight w:val="0"/>
      <w:marTop w:val="0"/>
      <w:marBottom w:val="0"/>
      <w:divBdr>
        <w:top w:val="none" w:sz="0" w:space="0" w:color="auto"/>
        <w:left w:val="none" w:sz="0" w:space="0" w:color="auto"/>
        <w:bottom w:val="none" w:sz="0" w:space="0" w:color="auto"/>
        <w:right w:val="none" w:sz="0" w:space="0" w:color="auto"/>
      </w:divBdr>
    </w:div>
    <w:div w:id="807431544">
      <w:bodyDiv w:val="1"/>
      <w:marLeft w:val="0"/>
      <w:marRight w:val="0"/>
      <w:marTop w:val="0"/>
      <w:marBottom w:val="0"/>
      <w:divBdr>
        <w:top w:val="none" w:sz="0" w:space="0" w:color="auto"/>
        <w:left w:val="none" w:sz="0" w:space="0" w:color="auto"/>
        <w:bottom w:val="none" w:sz="0" w:space="0" w:color="auto"/>
        <w:right w:val="none" w:sz="0" w:space="0" w:color="auto"/>
      </w:divBdr>
    </w:div>
    <w:div w:id="1018964768">
      <w:bodyDiv w:val="1"/>
      <w:marLeft w:val="0"/>
      <w:marRight w:val="0"/>
      <w:marTop w:val="0"/>
      <w:marBottom w:val="0"/>
      <w:divBdr>
        <w:top w:val="none" w:sz="0" w:space="0" w:color="auto"/>
        <w:left w:val="none" w:sz="0" w:space="0" w:color="auto"/>
        <w:bottom w:val="none" w:sz="0" w:space="0" w:color="auto"/>
        <w:right w:val="none" w:sz="0" w:space="0" w:color="auto"/>
      </w:divBdr>
    </w:div>
    <w:div w:id="1112751409">
      <w:bodyDiv w:val="1"/>
      <w:marLeft w:val="0"/>
      <w:marRight w:val="0"/>
      <w:marTop w:val="0"/>
      <w:marBottom w:val="0"/>
      <w:divBdr>
        <w:top w:val="none" w:sz="0" w:space="0" w:color="auto"/>
        <w:left w:val="none" w:sz="0" w:space="0" w:color="auto"/>
        <w:bottom w:val="none" w:sz="0" w:space="0" w:color="auto"/>
        <w:right w:val="none" w:sz="0" w:space="0" w:color="auto"/>
      </w:divBdr>
    </w:div>
    <w:div w:id="1177503178">
      <w:bodyDiv w:val="1"/>
      <w:marLeft w:val="0"/>
      <w:marRight w:val="0"/>
      <w:marTop w:val="0"/>
      <w:marBottom w:val="0"/>
      <w:divBdr>
        <w:top w:val="none" w:sz="0" w:space="0" w:color="auto"/>
        <w:left w:val="none" w:sz="0" w:space="0" w:color="auto"/>
        <w:bottom w:val="none" w:sz="0" w:space="0" w:color="auto"/>
        <w:right w:val="none" w:sz="0" w:space="0" w:color="auto"/>
      </w:divBdr>
    </w:div>
    <w:div w:id="1300376614">
      <w:bodyDiv w:val="1"/>
      <w:marLeft w:val="0"/>
      <w:marRight w:val="0"/>
      <w:marTop w:val="0"/>
      <w:marBottom w:val="0"/>
      <w:divBdr>
        <w:top w:val="none" w:sz="0" w:space="0" w:color="auto"/>
        <w:left w:val="none" w:sz="0" w:space="0" w:color="auto"/>
        <w:bottom w:val="none" w:sz="0" w:space="0" w:color="auto"/>
        <w:right w:val="none" w:sz="0" w:space="0" w:color="auto"/>
      </w:divBdr>
    </w:div>
    <w:div w:id="1424834708">
      <w:bodyDiv w:val="1"/>
      <w:marLeft w:val="0"/>
      <w:marRight w:val="0"/>
      <w:marTop w:val="0"/>
      <w:marBottom w:val="0"/>
      <w:divBdr>
        <w:top w:val="none" w:sz="0" w:space="0" w:color="auto"/>
        <w:left w:val="none" w:sz="0" w:space="0" w:color="auto"/>
        <w:bottom w:val="none" w:sz="0" w:space="0" w:color="auto"/>
        <w:right w:val="none" w:sz="0" w:space="0" w:color="auto"/>
      </w:divBdr>
    </w:div>
    <w:div w:id="1448742244">
      <w:bodyDiv w:val="1"/>
      <w:marLeft w:val="0"/>
      <w:marRight w:val="0"/>
      <w:marTop w:val="0"/>
      <w:marBottom w:val="0"/>
      <w:divBdr>
        <w:top w:val="none" w:sz="0" w:space="0" w:color="auto"/>
        <w:left w:val="none" w:sz="0" w:space="0" w:color="auto"/>
        <w:bottom w:val="none" w:sz="0" w:space="0" w:color="auto"/>
        <w:right w:val="none" w:sz="0" w:space="0" w:color="auto"/>
      </w:divBdr>
    </w:div>
    <w:div w:id="1539510609">
      <w:bodyDiv w:val="1"/>
      <w:marLeft w:val="0"/>
      <w:marRight w:val="0"/>
      <w:marTop w:val="0"/>
      <w:marBottom w:val="0"/>
      <w:divBdr>
        <w:top w:val="none" w:sz="0" w:space="0" w:color="auto"/>
        <w:left w:val="none" w:sz="0" w:space="0" w:color="auto"/>
        <w:bottom w:val="none" w:sz="0" w:space="0" w:color="auto"/>
        <w:right w:val="none" w:sz="0" w:space="0" w:color="auto"/>
      </w:divBdr>
    </w:div>
    <w:div w:id="1597782411">
      <w:bodyDiv w:val="1"/>
      <w:marLeft w:val="0"/>
      <w:marRight w:val="0"/>
      <w:marTop w:val="0"/>
      <w:marBottom w:val="0"/>
      <w:divBdr>
        <w:top w:val="none" w:sz="0" w:space="0" w:color="auto"/>
        <w:left w:val="none" w:sz="0" w:space="0" w:color="auto"/>
        <w:bottom w:val="none" w:sz="0" w:space="0" w:color="auto"/>
        <w:right w:val="none" w:sz="0" w:space="0" w:color="auto"/>
      </w:divBdr>
    </w:div>
    <w:div w:id="1702974347">
      <w:bodyDiv w:val="1"/>
      <w:marLeft w:val="0"/>
      <w:marRight w:val="0"/>
      <w:marTop w:val="0"/>
      <w:marBottom w:val="0"/>
      <w:divBdr>
        <w:top w:val="none" w:sz="0" w:space="0" w:color="auto"/>
        <w:left w:val="none" w:sz="0" w:space="0" w:color="auto"/>
        <w:bottom w:val="none" w:sz="0" w:space="0" w:color="auto"/>
        <w:right w:val="none" w:sz="0" w:space="0" w:color="auto"/>
      </w:divBdr>
    </w:div>
    <w:div w:id="1900823335">
      <w:bodyDiv w:val="1"/>
      <w:marLeft w:val="0"/>
      <w:marRight w:val="0"/>
      <w:marTop w:val="0"/>
      <w:marBottom w:val="0"/>
      <w:divBdr>
        <w:top w:val="none" w:sz="0" w:space="0" w:color="auto"/>
        <w:left w:val="none" w:sz="0" w:space="0" w:color="auto"/>
        <w:bottom w:val="none" w:sz="0" w:space="0" w:color="auto"/>
        <w:right w:val="none" w:sz="0" w:space="0" w:color="auto"/>
      </w:divBdr>
    </w:div>
    <w:div w:id="1919097784">
      <w:bodyDiv w:val="1"/>
      <w:marLeft w:val="0"/>
      <w:marRight w:val="0"/>
      <w:marTop w:val="0"/>
      <w:marBottom w:val="0"/>
      <w:divBdr>
        <w:top w:val="none" w:sz="0" w:space="0" w:color="auto"/>
        <w:left w:val="none" w:sz="0" w:space="0" w:color="auto"/>
        <w:bottom w:val="none" w:sz="0" w:space="0" w:color="auto"/>
        <w:right w:val="none" w:sz="0" w:space="0" w:color="auto"/>
      </w:divBdr>
    </w:div>
    <w:div w:id="1940329923">
      <w:bodyDiv w:val="1"/>
      <w:marLeft w:val="0"/>
      <w:marRight w:val="0"/>
      <w:marTop w:val="0"/>
      <w:marBottom w:val="0"/>
      <w:divBdr>
        <w:top w:val="none" w:sz="0" w:space="0" w:color="auto"/>
        <w:left w:val="none" w:sz="0" w:space="0" w:color="auto"/>
        <w:bottom w:val="none" w:sz="0" w:space="0" w:color="auto"/>
        <w:right w:val="none" w:sz="0" w:space="0" w:color="auto"/>
      </w:divBdr>
    </w:div>
    <w:div w:id="1975482074">
      <w:bodyDiv w:val="1"/>
      <w:marLeft w:val="0"/>
      <w:marRight w:val="0"/>
      <w:marTop w:val="0"/>
      <w:marBottom w:val="0"/>
      <w:divBdr>
        <w:top w:val="none" w:sz="0" w:space="0" w:color="auto"/>
        <w:left w:val="none" w:sz="0" w:space="0" w:color="auto"/>
        <w:bottom w:val="none" w:sz="0" w:space="0" w:color="auto"/>
        <w:right w:val="none" w:sz="0" w:space="0" w:color="auto"/>
      </w:divBdr>
    </w:div>
    <w:div w:id="20520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67F2-7AC6-4B94-9E6F-4E11BD00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21781</Words>
  <Characters>124153</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145643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Cook</dc:creator>
  <cp:keywords/>
  <dc:description/>
  <cp:lastModifiedBy>Sarahjane Jones</cp:lastModifiedBy>
  <cp:revision>3</cp:revision>
  <cp:lastPrinted>2019-04-01T11:16:00Z</cp:lastPrinted>
  <dcterms:created xsi:type="dcterms:W3CDTF">2019-08-17T16:09:00Z</dcterms:created>
  <dcterms:modified xsi:type="dcterms:W3CDTF">2019-08-17T16:16:00Z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zotero-version="5.0.68"&gt;&lt;session id="FaMkGmhK"/&gt;&lt;style id="http://www.zotero.org/styles/vancouver" locale="en-GB" hasBibliography="1" bibliographyStyleHasBeenSet="1"/&gt;&lt;prefs&gt;&lt;pref name="fieldType" value="Field"/&gt;&lt;pref name="storeRef</vt:lpwstr>
  </property>
  <property fmtid="{D5CDD505-2E9C-101B-9397-08002B2CF9AE}" pid="3" name="ZOTERO_PREF_2">
    <vt:lpwstr>erences" value="true"/&gt;&lt;pref name="automaticJournalAbbreviations" value="true"/&gt;&lt;pref name="dontAskDelayCitationUpdates" value="true"/&gt;&lt;/prefs&gt;&lt;/data&gt;</vt:lpwstr>
  </property>
</Properties>
</file>