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0F250" w14:textId="6E635A70" w:rsidR="00B429EC" w:rsidRPr="000727D6" w:rsidRDefault="00F55B5B" w:rsidP="000727D6">
      <w:pPr>
        <w:jc w:val="center"/>
        <w:rPr>
          <w:rFonts w:eastAsia="Times New Roman"/>
          <w:smallCaps/>
          <w:sz w:val="32"/>
          <w:lang w:val="en-GB" w:eastAsia="en-GB"/>
        </w:rPr>
      </w:pPr>
      <w:r w:rsidRPr="000727D6">
        <w:rPr>
          <w:rFonts w:eastAsia="Times New Roman"/>
          <w:smallCaps/>
          <w:sz w:val="32"/>
          <w:lang w:val="en-GB" w:eastAsia="en-GB"/>
        </w:rPr>
        <w:t>A</w:t>
      </w:r>
      <w:r w:rsidR="009E0761" w:rsidRPr="000727D6">
        <w:rPr>
          <w:rFonts w:eastAsia="Times New Roman"/>
          <w:smallCaps/>
          <w:sz w:val="32"/>
          <w:lang w:val="en-GB" w:eastAsia="en-GB"/>
        </w:rPr>
        <w:t>dministrative</w:t>
      </w:r>
      <w:r w:rsidR="006F673C" w:rsidRPr="000727D6">
        <w:rPr>
          <w:rFonts w:eastAsia="Times New Roman"/>
          <w:smallCaps/>
          <w:sz w:val="32"/>
          <w:lang w:val="en-GB" w:eastAsia="en-GB"/>
        </w:rPr>
        <w:t xml:space="preserve"> </w:t>
      </w:r>
      <w:r w:rsidR="00C468E8" w:rsidRPr="000727D6">
        <w:rPr>
          <w:rFonts w:eastAsia="Times New Roman"/>
          <w:smallCaps/>
          <w:sz w:val="32"/>
          <w:lang w:val="en-GB" w:eastAsia="en-GB"/>
        </w:rPr>
        <w:t xml:space="preserve">Deference </w:t>
      </w:r>
      <w:r w:rsidR="006F673C" w:rsidRPr="000727D6">
        <w:rPr>
          <w:rFonts w:eastAsia="Times New Roman"/>
          <w:smallCaps/>
          <w:sz w:val="32"/>
          <w:lang w:val="en-GB" w:eastAsia="en-GB"/>
        </w:rPr>
        <w:t>in the United States</w:t>
      </w:r>
      <w:r w:rsidR="00BE05BB" w:rsidRPr="000727D6">
        <w:rPr>
          <w:rFonts w:eastAsia="Times New Roman"/>
          <w:smallCaps/>
          <w:sz w:val="32"/>
          <w:lang w:val="en-GB" w:eastAsia="en-GB"/>
        </w:rPr>
        <w:t>:</w:t>
      </w:r>
    </w:p>
    <w:p w14:paraId="6CDC9272" w14:textId="7F82C8FE" w:rsidR="006F673C" w:rsidRPr="0027361F" w:rsidRDefault="00BE05BB" w:rsidP="000727D6">
      <w:pPr>
        <w:jc w:val="center"/>
        <w:rPr>
          <w:rFonts w:eastAsia="Times New Roman"/>
          <w:sz w:val="32"/>
          <w:lang w:val="en-GB" w:eastAsia="en-GB"/>
        </w:rPr>
      </w:pPr>
      <w:proofErr w:type="spellStart"/>
      <w:r w:rsidRPr="000727D6">
        <w:rPr>
          <w:rFonts w:eastAsia="Times New Roman"/>
          <w:i/>
          <w:sz w:val="32"/>
          <w:lang w:val="en-GB" w:eastAsia="en-GB"/>
        </w:rPr>
        <w:t>Kisor</w:t>
      </w:r>
      <w:proofErr w:type="spellEnd"/>
      <w:r w:rsidRPr="000727D6">
        <w:rPr>
          <w:rFonts w:eastAsia="Times New Roman"/>
          <w:sz w:val="32"/>
          <w:lang w:val="en-GB" w:eastAsia="en-GB"/>
        </w:rPr>
        <w:t xml:space="preserve"> and</w:t>
      </w:r>
      <w:r w:rsidR="00DE2E5F" w:rsidRPr="000727D6">
        <w:rPr>
          <w:rFonts w:eastAsia="Times New Roman"/>
          <w:sz w:val="32"/>
          <w:lang w:val="en-GB" w:eastAsia="en-GB"/>
        </w:rPr>
        <w:t xml:space="preserve"> the </w:t>
      </w:r>
      <w:r w:rsidR="00C468E8" w:rsidRPr="000727D6">
        <w:rPr>
          <w:rFonts w:eastAsia="Times New Roman"/>
          <w:sz w:val="32"/>
          <w:lang w:val="en-GB" w:eastAsia="en-GB"/>
        </w:rPr>
        <w:t>C</w:t>
      </w:r>
      <w:r w:rsidR="00DE2E5F" w:rsidRPr="000727D6">
        <w:rPr>
          <w:rFonts w:eastAsia="Times New Roman"/>
          <w:sz w:val="32"/>
          <w:lang w:val="en-GB" w:eastAsia="en-GB"/>
        </w:rPr>
        <w:t xml:space="preserve">onsolidation of </w:t>
      </w:r>
      <w:r w:rsidR="00DE2E5F" w:rsidRPr="000727D6">
        <w:rPr>
          <w:rFonts w:eastAsia="Times New Roman"/>
          <w:i/>
          <w:sz w:val="32"/>
          <w:lang w:val="en-GB" w:eastAsia="en-GB"/>
        </w:rPr>
        <w:t>Auer</w:t>
      </w:r>
      <w:r w:rsidR="00DE2E5F" w:rsidRPr="000727D6">
        <w:rPr>
          <w:rFonts w:eastAsia="Times New Roman"/>
          <w:sz w:val="32"/>
          <w:lang w:val="en-GB" w:eastAsia="en-GB"/>
        </w:rPr>
        <w:t xml:space="preserve"> </w:t>
      </w:r>
      <w:r w:rsidR="00C468E8" w:rsidRPr="000727D6">
        <w:rPr>
          <w:rFonts w:eastAsia="Times New Roman"/>
          <w:sz w:val="32"/>
          <w:lang w:val="en-GB" w:eastAsia="en-GB"/>
        </w:rPr>
        <w:t>J</w:t>
      </w:r>
      <w:r w:rsidR="00DE2E5F" w:rsidRPr="000727D6">
        <w:rPr>
          <w:rFonts w:eastAsia="Times New Roman"/>
          <w:sz w:val="32"/>
          <w:lang w:val="en-GB" w:eastAsia="en-GB"/>
        </w:rPr>
        <w:t>urisprudence</w:t>
      </w:r>
      <w:r w:rsidR="00ED00D2" w:rsidRPr="0027361F">
        <w:rPr>
          <w:rFonts w:eastAsia="Times New Roman"/>
          <w:sz w:val="32"/>
          <w:lang w:val="en-GB" w:eastAsia="en-GB"/>
        </w:rPr>
        <w:t>*</w:t>
      </w:r>
    </w:p>
    <w:p w14:paraId="3728237A" w14:textId="77777777" w:rsidR="00966ADD" w:rsidRPr="0027361F" w:rsidRDefault="00966ADD" w:rsidP="00012FF7">
      <w:pPr>
        <w:rPr>
          <w:lang w:val="en-GB"/>
        </w:rPr>
      </w:pPr>
    </w:p>
    <w:p w14:paraId="19E5C96D" w14:textId="77777777" w:rsidR="00966ADD" w:rsidRPr="0027361F" w:rsidRDefault="00966ADD" w:rsidP="00012FF7">
      <w:pPr>
        <w:rPr>
          <w:lang w:val="en-US"/>
        </w:rPr>
      </w:pPr>
    </w:p>
    <w:p w14:paraId="6E9628C5" w14:textId="27092F1E" w:rsidR="00966ADD" w:rsidRPr="00966ADD" w:rsidRDefault="000727D6" w:rsidP="00966ADD">
      <w:pPr>
        <w:spacing w:after="40"/>
        <w:jc w:val="center"/>
        <w:rPr>
          <w:sz w:val="28"/>
          <w:szCs w:val="28"/>
          <w:lang w:val="en-US"/>
        </w:rPr>
      </w:pPr>
      <w:r w:rsidRPr="0027361F">
        <w:rPr>
          <w:sz w:val="28"/>
          <w:szCs w:val="28"/>
          <w:lang w:val="en-US"/>
        </w:rPr>
        <w:t xml:space="preserve">Ilaria </w:t>
      </w:r>
      <w:proofErr w:type="spellStart"/>
      <w:r w:rsidRPr="0027361F">
        <w:rPr>
          <w:sz w:val="28"/>
          <w:szCs w:val="28"/>
          <w:lang w:val="en-US"/>
        </w:rPr>
        <w:t>Di-Gioia</w:t>
      </w:r>
      <w:proofErr w:type="spellEnd"/>
      <w:r w:rsidR="00D47AAD" w:rsidRPr="0027361F">
        <w:rPr>
          <w:sz w:val="28"/>
          <w:szCs w:val="28"/>
          <w:lang w:val="en-US"/>
        </w:rPr>
        <w:t>**</w:t>
      </w:r>
    </w:p>
    <w:p w14:paraId="1DAE1C96" w14:textId="13674C1B" w:rsidR="000727D6" w:rsidRPr="00966ADD" w:rsidRDefault="000727D6" w:rsidP="000727D6">
      <w:pPr>
        <w:jc w:val="center"/>
        <w:rPr>
          <w:rFonts w:eastAsia="Times New Roman"/>
          <w:i/>
          <w:sz w:val="32"/>
          <w:lang w:val="en-US" w:eastAsia="en-GB"/>
        </w:rPr>
      </w:pPr>
      <w:proofErr w:type="spellStart"/>
      <w:r w:rsidRPr="00966ADD">
        <w:rPr>
          <w:i/>
          <w:lang w:val="en-US"/>
        </w:rPr>
        <w:t>Birmigham</w:t>
      </w:r>
      <w:proofErr w:type="spellEnd"/>
      <w:r w:rsidRPr="00966ADD">
        <w:rPr>
          <w:i/>
          <w:lang w:val="en-US"/>
        </w:rPr>
        <w:t xml:space="preserve"> City University</w:t>
      </w:r>
      <w:r w:rsidR="00966ADD">
        <w:rPr>
          <w:i/>
          <w:lang w:val="en-US"/>
        </w:rPr>
        <w:t>, United Kingdom</w:t>
      </w:r>
    </w:p>
    <w:p w14:paraId="1D83B6D3" w14:textId="77777777" w:rsidR="00966ADD" w:rsidRPr="00966ADD" w:rsidRDefault="00966ADD" w:rsidP="00966ADD">
      <w:pPr>
        <w:jc w:val="both"/>
        <w:rPr>
          <w:lang w:val="en-US"/>
        </w:rPr>
      </w:pPr>
    </w:p>
    <w:p w14:paraId="61096CAE" w14:textId="77777777" w:rsidR="00966ADD" w:rsidRPr="00966ADD" w:rsidRDefault="00966ADD" w:rsidP="00966ADD">
      <w:pPr>
        <w:jc w:val="both"/>
        <w:rPr>
          <w:lang w:val="en-US"/>
        </w:rPr>
      </w:pPr>
    </w:p>
    <w:p w14:paraId="2663192F" w14:textId="430DAAC8" w:rsidR="00CA69D7" w:rsidRPr="000727D6" w:rsidRDefault="006437D3" w:rsidP="000727D6">
      <w:pPr>
        <w:jc w:val="both"/>
        <w:rPr>
          <w:rFonts w:eastAsia="Times New Roman"/>
          <w:lang w:val="en-GB" w:eastAsia="en-GB"/>
        </w:rPr>
      </w:pPr>
      <w:r w:rsidRPr="000727D6">
        <w:rPr>
          <w:rFonts w:eastAsia="Times New Roman"/>
          <w:i/>
          <w:lang w:val="en-GB" w:eastAsia="en-GB"/>
        </w:rPr>
        <w:t>A</w:t>
      </w:r>
      <w:r w:rsidR="00492312" w:rsidRPr="000727D6">
        <w:rPr>
          <w:rFonts w:eastAsia="Times New Roman"/>
          <w:i/>
          <w:lang w:val="en-GB" w:eastAsia="en-GB"/>
        </w:rPr>
        <w:t>uer</w:t>
      </w:r>
      <w:r w:rsidRPr="000727D6">
        <w:rPr>
          <w:rFonts w:eastAsia="Times New Roman"/>
          <w:i/>
          <w:lang w:val="en-GB" w:eastAsia="en-GB"/>
        </w:rPr>
        <w:t xml:space="preserve"> </w:t>
      </w:r>
      <w:r w:rsidRPr="000727D6">
        <w:rPr>
          <w:rFonts w:eastAsia="Times New Roman"/>
          <w:lang w:val="en-GB" w:eastAsia="en-GB"/>
        </w:rPr>
        <w:t>deference</w:t>
      </w:r>
      <w:r w:rsidR="00997918" w:rsidRPr="000727D6">
        <w:rPr>
          <w:rFonts w:eastAsia="Times New Roman"/>
          <w:lang w:val="en-GB" w:eastAsia="en-GB"/>
        </w:rPr>
        <w:t xml:space="preserve">, i.e. the extent to which courts defer to an agency’s interpretation of </w:t>
      </w:r>
      <w:r w:rsidR="00784F8F" w:rsidRPr="000727D6">
        <w:rPr>
          <w:rFonts w:eastAsia="Times New Roman"/>
          <w:lang w:val="en-GB" w:eastAsia="en-GB"/>
        </w:rPr>
        <w:t>its own</w:t>
      </w:r>
      <w:r w:rsidR="00997918" w:rsidRPr="000727D6">
        <w:rPr>
          <w:rFonts w:eastAsia="Times New Roman"/>
          <w:lang w:val="en-GB" w:eastAsia="en-GB"/>
        </w:rPr>
        <w:t xml:space="preserve"> ambiguous</w:t>
      </w:r>
      <w:r w:rsidR="00CA69D7" w:rsidRPr="000727D6">
        <w:rPr>
          <w:rFonts w:eastAsia="Times New Roman"/>
          <w:lang w:val="en-GB" w:eastAsia="en-GB"/>
        </w:rPr>
        <w:t xml:space="preserve"> </w:t>
      </w:r>
      <w:r w:rsidR="00997918" w:rsidRPr="000727D6">
        <w:rPr>
          <w:rFonts w:eastAsia="Times New Roman"/>
          <w:lang w:val="en-GB" w:eastAsia="en-GB"/>
        </w:rPr>
        <w:t>regulation, is</w:t>
      </w:r>
      <w:r w:rsidR="00F55B5B" w:rsidRPr="000727D6">
        <w:rPr>
          <w:rFonts w:eastAsia="Times New Roman"/>
          <w:lang w:val="en-GB" w:eastAsia="en-GB"/>
        </w:rPr>
        <w:t xml:space="preserve"> </w:t>
      </w:r>
      <w:r w:rsidR="00997918" w:rsidRPr="000727D6">
        <w:rPr>
          <w:rFonts w:eastAsia="Times New Roman"/>
          <w:lang w:val="en-GB" w:eastAsia="en-GB"/>
        </w:rPr>
        <w:t>under the spotlight</w:t>
      </w:r>
      <w:r w:rsidR="00966ADD">
        <w:rPr>
          <w:rFonts w:eastAsia="Times New Roman"/>
          <w:lang w:val="en-GB" w:eastAsia="en-GB"/>
        </w:rPr>
        <w:t xml:space="preserve"> in the United States.</w:t>
      </w:r>
    </w:p>
    <w:p w14:paraId="42C9FA23" w14:textId="15CA85F6" w:rsidR="00A8377C" w:rsidRPr="000727D6" w:rsidRDefault="00492312" w:rsidP="00966ADD">
      <w:pPr>
        <w:ind w:firstLine="720"/>
        <w:jc w:val="both"/>
        <w:rPr>
          <w:rFonts w:eastAsia="Times New Roman"/>
          <w:lang w:val="en-GB" w:eastAsia="en-GB"/>
        </w:rPr>
      </w:pPr>
      <w:r w:rsidRPr="000727D6">
        <w:rPr>
          <w:rFonts w:eastAsia="Times New Roman"/>
          <w:lang w:val="en-GB" w:eastAsia="en-GB"/>
        </w:rPr>
        <w:t xml:space="preserve">The doctrine </w:t>
      </w:r>
      <w:r w:rsidR="002D01F8" w:rsidRPr="000727D6">
        <w:rPr>
          <w:rFonts w:eastAsia="Times New Roman"/>
          <w:lang w:val="en-GB" w:eastAsia="en-GB"/>
        </w:rPr>
        <w:t xml:space="preserve">has been </w:t>
      </w:r>
      <w:r w:rsidR="00784F8F" w:rsidRPr="000727D6">
        <w:rPr>
          <w:rFonts w:eastAsia="Times New Roman"/>
          <w:lang w:val="en-GB" w:eastAsia="en-GB"/>
        </w:rPr>
        <w:t xml:space="preserve">greatly </w:t>
      </w:r>
      <w:r w:rsidR="002D01F8" w:rsidRPr="000727D6">
        <w:rPr>
          <w:rFonts w:eastAsia="Times New Roman"/>
          <w:lang w:val="en-GB" w:eastAsia="en-GB"/>
        </w:rPr>
        <w:t>criticised by both academics and judges</w:t>
      </w:r>
      <w:r w:rsidR="0058149E" w:rsidRPr="000727D6">
        <w:rPr>
          <w:rFonts w:eastAsia="Times New Roman"/>
          <w:lang w:val="en-GB" w:eastAsia="en-GB"/>
        </w:rPr>
        <w:t xml:space="preserve"> </w:t>
      </w:r>
      <w:r w:rsidR="00897113" w:rsidRPr="000727D6">
        <w:rPr>
          <w:rFonts w:eastAsia="Times New Roman"/>
          <w:lang w:val="en-GB" w:eastAsia="en-GB"/>
        </w:rPr>
        <w:t xml:space="preserve">concerned about the </w:t>
      </w:r>
      <w:r w:rsidR="00C468E8" w:rsidRPr="000727D6">
        <w:rPr>
          <w:rFonts w:eastAsia="Times New Roman"/>
          <w:lang w:val="en-GB" w:eastAsia="en-GB"/>
        </w:rPr>
        <w:t xml:space="preserve">increase </w:t>
      </w:r>
      <w:r w:rsidR="00897113" w:rsidRPr="000727D6">
        <w:rPr>
          <w:rFonts w:eastAsia="Times New Roman"/>
          <w:lang w:val="en-GB" w:eastAsia="en-GB"/>
        </w:rPr>
        <w:t>of the power of administrative agencies</w:t>
      </w:r>
      <w:r w:rsidR="007660DE" w:rsidRPr="000727D6">
        <w:rPr>
          <w:rStyle w:val="FootnoteReference"/>
          <w:rFonts w:eastAsia="Times New Roman"/>
          <w:lang w:val="en-GB" w:eastAsia="en-GB"/>
        </w:rPr>
        <w:footnoteReference w:id="1"/>
      </w:r>
      <w:r w:rsidR="0050570C" w:rsidRPr="000727D6">
        <w:rPr>
          <w:rFonts w:eastAsia="Times New Roman"/>
          <w:lang w:val="en-GB" w:eastAsia="en-GB"/>
        </w:rPr>
        <w:t xml:space="preserve"> </w:t>
      </w:r>
      <w:r w:rsidR="00784F8F" w:rsidRPr="000727D6">
        <w:rPr>
          <w:rFonts w:eastAsia="Times New Roman"/>
          <w:lang w:val="en-GB" w:eastAsia="en-GB"/>
        </w:rPr>
        <w:t>but</w:t>
      </w:r>
      <w:r w:rsidR="004448E5" w:rsidRPr="000727D6">
        <w:rPr>
          <w:rFonts w:eastAsia="Times New Roman"/>
          <w:lang w:val="en-GB" w:eastAsia="en-GB"/>
        </w:rPr>
        <w:t xml:space="preserve"> </w:t>
      </w:r>
      <w:r w:rsidR="002066DD" w:rsidRPr="000727D6">
        <w:rPr>
          <w:rFonts w:eastAsia="Times New Roman"/>
          <w:lang w:val="en-GB" w:eastAsia="en-GB"/>
        </w:rPr>
        <w:t>in June 2019</w:t>
      </w:r>
      <w:r w:rsidR="00FA19B8" w:rsidRPr="000727D6">
        <w:rPr>
          <w:rFonts w:eastAsia="Times New Roman"/>
          <w:lang w:val="en-GB" w:eastAsia="en-GB"/>
        </w:rPr>
        <w:t xml:space="preserve"> </w:t>
      </w:r>
      <w:r w:rsidR="004448E5" w:rsidRPr="000727D6">
        <w:rPr>
          <w:rFonts w:eastAsia="Times New Roman"/>
          <w:lang w:val="en-GB" w:eastAsia="en-GB"/>
        </w:rPr>
        <w:t>the</w:t>
      </w:r>
      <w:r w:rsidR="0058149E" w:rsidRPr="000727D6">
        <w:rPr>
          <w:rFonts w:eastAsia="Times New Roman"/>
          <w:lang w:val="en-GB" w:eastAsia="en-GB"/>
        </w:rPr>
        <w:t xml:space="preserve"> U</w:t>
      </w:r>
      <w:r w:rsidR="004448E5" w:rsidRPr="000727D6">
        <w:rPr>
          <w:rFonts w:eastAsia="Times New Roman"/>
          <w:lang w:val="en-GB" w:eastAsia="en-GB"/>
        </w:rPr>
        <w:t>.</w:t>
      </w:r>
      <w:r w:rsidR="0058149E" w:rsidRPr="000727D6">
        <w:rPr>
          <w:rFonts w:eastAsia="Times New Roman"/>
          <w:lang w:val="en-GB" w:eastAsia="en-GB"/>
        </w:rPr>
        <w:t>S</w:t>
      </w:r>
      <w:r w:rsidR="004448E5" w:rsidRPr="000727D6">
        <w:rPr>
          <w:rFonts w:eastAsia="Times New Roman"/>
          <w:lang w:val="en-GB" w:eastAsia="en-GB"/>
        </w:rPr>
        <w:t>.</w:t>
      </w:r>
      <w:r w:rsidR="0058149E" w:rsidRPr="000727D6">
        <w:rPr>
          <w:rFonts w:eastAsia="Times New Roman"/>
          <w:lang w:val="en-GB" w:eastAsia="en-GB"/>
        </w:rPr>
        <w:t xml:space="preserve"> Supreme Court</w:t>
      </w:r>
      <w:r w:rsidR="004448E5" w:rsidRPr="000727D6">
        <w:rPr>
          <w:rFonts w:eastAsia="Times New Roman"/>
          <w:lang w:val="en-GB" w:eastAsia="en-GB"/>
        </w:rPr>
        <w:t xml:space="preserve"> </w:t>
      </w:r>
      <w:r w:rsidR="002066DD" w:rsidRPr="000727D6">
        <w:rPr>
          <w:rFonts w:eastAsia="Times New Roman"/>
          <w:lang w:val="en-GB" w:eastAsia="en-GB"/>
        </w:rPr>
        <w:t>confirmed</w:t>
      </w:r>
      <w:r w:rsidR="00FD4DB2" w:rsidRPr="000727D6">
        <w:rPr>
          <w:rFonts w:eastAsia="Times New Roman"/>
          <w:lang w:val="en-GB" w:eastAsia="en-GB"/>
        </w:rPr>
        <w:t xml:space="preserve"> </w:t>
      </w:r>
      <w:r w:rsidR="004448E5" w:rsidRPr="000727D6">
        <w:rPr>
          <w:rFonts w:eastAsia="Times New Roman"/>
          <w:lang w:val="en-GB" w:eastAsia="en-GB"/>
        </w:rPr>
        <w:t xml:space="preserve">its constitutionality </w:t>
      </w:r>
      <w:r w:rsidR="00784F8F" w:rsidRPr="000727D6">
        <w:rPr>
          <w:rFonts w:eastAsia="Times New Roman"/>
          <w:lang w:val="en-GB" w:eastAsia="en-GB"/>
        </w:rPr>
        <w:t xml:space="preserve">by a 5-4 majority in </w:t>
      </w:r>
      <w:proofErr w:type="spellStart"/>
      <w:r w:rsidR="000366A0" w:rsidRPr="000727D6">
        <w:rPr>
          <w:rFonts w:eastAsia="Times New Roman"/>
          <w:i/>
          <w:lang w:val="en-GB" w:eastAsia="en-GB"/>
        </w:rPr>
        <w:t>Kisor</w:t>
      </w:r>
      <w:proofErr w:type="spellEnd"/>
      <w:r w:rsidR="000366A0" w:rsidRPr="000727D6">
        <w:rPr>
          <w:rFonts w:eastAsia="Times New Roman"/>
          <w:i/>
          <w:lang w:val="en-GB" w:eastAsia="en-GB"/>
        </w:rPr>
        <w:t xml:space="preserve"> v. </w:t>
      </w:r>
      <w:proofErr w:type="spellStart"/>
      <w:r w:rsidR="000366A0" w:rsidRPr="000727D6">
        <w:rPr>
          <w:rFonts w:eastAsia="Times New Roman"/>
          <w:i/>
          <w:lang w:val="en-GB" w:eastAsia="en-GB"/>
        </w:rPr>
        <w:t>Wilkie</w:t>
      </w:r>
      <w:proofErr w:type="spellEnd"/>
      <w:r w:rsidR="004448E5" w:rsidRPr="000727D6">
        <w:rPr>
          <w:rFonts w:eastAsia="Times New Roman"/>
          <w:lang w:val="en-GB" w:eastAsia="en-GB"/>
        </w:rPr>
        <w:t>.</w:t>
      </w:r>
      <w:r w:rsidR="00971BF6" w:rsidRPr="000727D6">
        <w:rPr>
          <w:rStyle w:val="FootnoteReference"/>
          <w:rFonts w:eastAsia="Times New Roman"/>
          <w:lang w:val="en-GB" w:eastAsia="en-GB"/>
        </w:rPr>
        <w:footnoteReference w:id="2"/>
      </w:r>
      <w:r w:rsidR="004448E5" w:rsidRPr="000727D6">
        <w:rPr>
          <w:rFonts w:eastAsia="Times New Roman"/>
          <w:lang w:val="en-GB" w:eastAsia="en-GB"/>
        </w:rPr>
        <w:t xml:space="preserve"> </w:t>
      </w:r>
      <w:r w:rsidR="00C771B0" w:rsidRPr="000727D6">
        <w:rPr>
          <w:rFonts w:eastAsia="Times New Roman"/>
          <w:lang w:val="en-GB" w:eastAsia="en-GB"/>
        </w:rPr>
        <w:t xml:space="preserve">Justice </w:t>
      </w:r>
      <w:proofErr w:type="spellStart"/>
      <w:r w:rsidR="00C771B0" w:rsidRPr="000727D6">
        <w:rPr>
          <w:rFonts w:eastAsia="Times New Roman"/>
          <w:lang w:val="en-GB" w:eastAsia="en-GB"/>
        </w:rPr>
        <w:t>Kagan</w:t>
      </w:r>
      <w:proofErr w:type="spellEnd"/>
      <w:r w:rsidR="00C771B0" w:rsidRPr="000727D6">
        <w:rPr>
          <w:rFonts w:eastAsia="Times New Roman"/>
          <w:lang w:val="en-GB" w:eastAsia="en-GB"/>
        </w:rPr>
        <w:t xml:space="preserve"> authored the majority opinion and insisted that </w:t>
      </w:r>
      <w:r w:rsidR="00FA19B8" w:rsidRPr="000727D6">
        <w:rPr>
          <w:rFonts w:eastAsia="Times New Roman"/>
          <w:lang w:val="en-GB" w:eastAsia="en-GB"/>
        </w:rPr>
        <w:t xml:space="preserve">the </w:t>
      </w:r>
      <w:r w:rsidR="00C771B0" w:rsidRPr="000727D6">
        <w:rPr>
          <w:rFonts w:eastAsia="Times New Roman"/>
          <w:i/>
          <w:lang w:val="en-GB" w:eastAsia="en-GB"/>
        </w:rPr>
        <w:t>Auer</w:t>
      </w:r>
      <w:r w:rsidR="00C771B0" w:rsidRPr="000727D6">
        <w:rPr>
          <w:rFonts w:eastAsia="Times New Roman"/>
          <w:lang w:val="en-GB" w:eastAsia="en-GB"/>
        </w:rPr>
        <w:t xml:space="preserve"> </w:t>
      </w:r>
      <w:r w:rsidR="00FA19B8" w:rsidRPr="000727D6">
        <w:rPr>
          <w:rFonts w:eastAsia="Times New Roman"/>
          <w:lang w:val="en-GB" w:eastAsia="en-GB"/>
        </w:rPr>
        <w:t xml:space="preserve">doctrine </w:t>
      </w:r>
      <w:r w:rsidR="00C771B0" w:rsidRPr="000727D6">
        <w:rPr>
          <w:rFonts w:eastAsia="Times New Roman"/>
          <w:lang w:val="en-GB" w:eastAsia="en-GB"/>
        </w:rPr>
        <w:t>is still alive.</w:t>
      </w:r>
      <w:r w:rsidR="00FD4DB2" w:rsidRPr="000727D6">
        <w:rPr>
          <w:rFonts w:eastAsia="Times New Roman"/>
          <w:lang w:val="en-GB" w:eastAsia="en-GB"/>
        </w:rPr>
        <w:t xml:space="preserve"> Justice Gorsuch, on the other hand, argued in his concurrence that because of the </w:t>
      </w:r>
      <w:r w:rsidR="00B77CCC" w:rsidRPr="000727D6">
        <w:rPr>
          <w:rFonts w:eastAsia="Times New Roman"/>
          <w:lang w:val="en-GB" w:eastAsia="en-GB"/>
        </w:rPr>
        <w:t xml:space="preserve">new </w:t>
      </w:r>
      <w:r w:rsidR="00FD4DB2" w:rsidRPr="000727D6">
        <w:rPr>
          <w:rFonts w:eastAsia="Times New Roman"/>
          <w:lang w:val="en-GB" w:eastAsia="en-GB"/>
        </w:rPr>
        <w:t xml:space="preserve">limitations that </w:t>
      </w:r>
      <w:proofErr w:type="spellStart"/>
      <w:r w:rsidR="00FD4DB2" w:rsidRPr="000727D6">
        <w:rPr>
          <w:rFonts w:eastAsia="Times New Roman"/>
          <w:i/>
          <w:lang w:val="en-GB" w:eastAsia="en-GB"/>
        </w:rPr>
        <w:t>Kisor</w:t>
      </w:r>
      <w:proofErr w:type="spellEnd"/>
      <w:r w:rsidR="00FD4DB2" w:rsidRPr="000727D6">
        <w:rPr>
          <w:rFonts w:eastAsia="Times New Roman"/>
          <w:lang w:val="en-GB" w:eastAsia="en-GB"/>
        </w:rPr>
        <w:t xml:space="preserve"> imposes on administrative deference, </w:t>
      </w:r>
      <w:r w:rsidR="00FD4DB2" w:rsidRPr="000727D6">
        <w:rPr>
          <w:rFonts w:eastAsia="Times New Roman"/>
          <w:i/>
          <w:lang w:val="en-GB" w:eastAsia="en-GB"/>
        </w:rPr>
        <w:t xml:space="preserve">Auer </w:t>
      </w:r>
      <w:r w:rsidR="00FD4DB2" w:rsidRPr="000727D6">
        <w:rPr>
          <w:rFonts w:eastAsia="Times New Roman"/>
          <w:lang w:val="en-GB" w:eastAsia="en-GB"/>
        </w:rPr>
        <w:t xml:space="preserve">has become </w:t>
      </w:r>
      <w:r w:rsidR="00B77CCC" w:rsidRPr="000727D6">
        <w:rPr>
          <w:rFonts w:eastAsia="Times New Roman"/>
          <w:lang w:val="en-GB" w:eastAsia="en-GB"/>
        </w:rPr>
        <w:t xml:space="preserve">a </w:t>
      </w:r>
      <w:r w:rsidR="00FD4DB2" w:rsidRPr="000727D6">
        <w:rPr>
          <w:rFonts w:eastAsia="Times New Roman"/>
          <w:lang w:val="en-GB" w:eastAsia="en-GB"/>
        </w:rPr>
        <w:t xml:space="preserve">paper tiger, </w:t>
      </w:r>
      <w:r w:rsidR="00A8377C" w:rsidRPr="000727D6">
        <w:rPr>
          <w:rFonts w:eastAsia="Times New Roman"/>
          <w:lang w:val="en-GB" w:eastAsia="en-GB"/>
        </w:rPr>
        <w:t xml:space="preserve">meaning that it </w:t>
      </w:r>
      <w:r w:rsidR="00966ADD">
        <w:rPr>
          <w:rFonts w:eastAsia="Times New Roman"/>
          <w:lang w:val="en-GB" w:eastAsia="en-GB"/>
        </w:rPr>
        <w:t>has lost its bite and efficacy.</w:t>
      </w:r>
    </w:p>
    <w:p w14:paraId="598DF74A" w14:textId="32EA2B55" w:rsidR="00F03969" w:rsidRPr="000727D6" w:rsidRDefault="00F03969" w:rsidP="00966ADD">
      <w:pPr>
        <w:ind w:firstLine="720"/>
        <w:jc w:val="both"/>
        <w:rPr>
          <w:rFonts w:eastAsia="Times New Roman"/>
          <w:lang w:val="en-GB" w:eastAsia="en-GB"/>
        </w:rPr>
      </w:pPr>
      <w:r w:rsidRPr="000727D6">
        <w:rPr>
          <w:rFonts w:eastAsia="Times New Roman"/>
          <w:lang w:val="en-GB" w:eastAsia="en-GB"/>
        </w:rPr>
        <w:t xml:space="preserve">This abstract briefly reviews the </w:t>
      </w:r>
      <w:proofErr w:type="spellStart"/>
      <w:r w:rsidRPr="000727D6">
        <w:rPr>
          <w:rFonts w:eastAsia="Times New Roman"/>
          <w:i/>
          <w:lang w:val="en-GB" w:eastAsia="en-GB"/>
        </w:rPr>
        <w:t>Kisor</w:t>
      </w:r>
      <w:proofErr w:type="spellEnd"/>
      <w:r w:rsidRPr="000727D6">
        <w:rPr>
          <w:rFonts w:eastAsia="Times New Roman"/>
          <w:lang w:val="en-GB" w:eastAsia="en-GB"/>
        </w:rPr>
        <w:t xml:space="preserve"> decision and </w:t>
      </w:r>
      <w:r w:rsidR="00547304" w:rsidRPr="000727D6">
        <w:rPr>
          <w:rFonts w:eastAsia="Times New Roman"/>
          <w:lang w:val="en-GB" w:eastAsia="en-GB"/>
        </w:rPr>
        <w:t xml:space="preserve">the points raised in the majority opinion. </w:t>
      </w:r>
      <w:r w:rsidR="009C2D50" w:rsidRPr="000727D6">
        <w:rPr>
          <w:rFonts w:eastAsia="Times New Roman"/>
          <w:lang w:val="en-GB" w:eastAsia="en-GB"/>
        </w:rPr>
        <w:t>It argues that the decision has not changed the</w:t>
      </w:r>
      <w:r w:rsidR="009C2D50" w:rsidRPr="000727D6">
        <w:rPr>
          <w:rFonts w:eastAsia="Times New Roman"/>
          <w:i/>
          <w:lang w:val="en-GB" w:eastAsia="en-GB"/>
        </w:rPr>
        <w:t xml:space="preserve"> Auer</w:t>
      </w:r>
      <w:r w:rsidR="009C2D50" w:rsidRPr="000727D6">
        <w:rPr>
          <w:rFonts w:eastAsia="Times New Roman"/>
          <w:lang w:val="en-GB" w:eastAsia="en-GB"/>
        </w:rPr>
        <w:t xml:space="preserve"> doctrine but instead cons</w:t>
      </w:r>
      <w:r w:rsidR="00966ADD">
        <w:rPr>
          <w:rFonts w:eastAsia="Times New Roman"/>
          <w:lang w:val="en-GB" w:eastAsia="en-GB"/>
        </w:rPr>
        <w:t>olidated its technical aspects.</w:t>
      </w:r>
    </w:p>
    <w:p w14:paraId="3654C546" w14:textId="1D58EC85" w:rsidR="00E75C74" w:rsidRDefault="0031357C" w:rsidP="0004367F">
      <w:pPr>
        <w:ind w:firstLine="851"/>
        <w:jc w:val="both"/>
        <w:rPr>
          <w:lang w:val="en-GB"/>
        </w:rPr>
      </w:pPr>
      <w:r w:rsidRPr="000727D6">
        <w:rPr>
          <w:rFonts w:eastAsia="Times New Roman"/>
          <w:lang w:val="en-GB" w:eastAsia="en-GB"/>
        </w:rPr>
        <w:t>First, a few words on the facts of the case</w:t>
      </w:r>
      <w:r w:rsidR="009C2D50" w:rsidRPr="000727D6">
        <w:rPr>
          <w:rFonts w:eastAsia="Times New Roman"/>
          <w:lang w:val="en-GB" w:eastAsia="en-GB"/>
        </w:rPr>
        <w:t xml:space="preserve">. </w:t>
      </w:r>
      <w:r w:rsidR="001E4F03" w:rsidRPr="000727D6">
        <w:rPr>
          <w:rFonts w:eastAsia="Times New Roman"/>
          <w:lang w:val="en-GB" w:eastAsia="en-GB"/>
        </w:rPr>
        <w:t xml:space="preserve">The </w:t>
      </w:r>
      <w:r w:rsidR="00F03969" w:rsidRPr="000727D6">
        <w:rPr>
          <w:rFonts w:eastAsia="Times New Roman"/>
          <w:lang w:val="en-GB" w:eastAsia="en-GB"/>
        </w:rPr>
        <w:t>lawsuit</w:t>
      </w:r>
      <w:r w:rsidR="001E4F03" w:rsidRPr="000727D6">
        <w:rPr>
          <w:rFonts w:eastAsia="Times New Roman"/>
          <w:lang w:val="en-GB" w:eastAsia="en-GB"/>
        </w:rPr>
        <w:t xml:space="preserve"> involve</w:t>
      </w:r>
      <w:r w:rsidR="00371C2B" w:rsidRPr="000727D6">
        <w:rPr>
          <w:rFonts w:eastAsia="Times New Roman"/>
          <w:lang w:val="en-GB" w:eastAsia="en-GB"/>
        </w:rPr>
        <w:t>d</w:t>
      </w:r>
      <w:r w:rsidR="001E4F03" w:rsidRPr="000727D6">
        <w:rPr>
          <w:rFonts w:eastAsia="Times New Roman"/>
          <w:lang w:val="en-GB" w:eastAsia="en-GB"/>
        </w:rPr>
        <w:t xml:space="preserve"> a</w:t>
      </w:r>
      <w:r w:rsidR="00BA01AA" w:rsidRPr="000727D6">
        <w:rPr>
          <w:rFonts w:eastAsia="Times New Roman"/>
          <w:lang w:val="en-GB" w:eastAsia="en-GB"/>
        </w:rPr>
        <w:t xml:space="preserve"> Marine veteran seeking </w:t>
      </w:r>
      <w:r w:rsidR="001E4F03" w:rsidRPr="000727D6">
        <w:rPr>
          <w:rFonts w:eastAsia="Times New Roman"/>
          <w:lang w:val="en-GB" w:eastAsia="en-GB"/>
        </w:rPr>
        <w:t>appeal against the</w:t>
      </w:r>
      <w:r w:rsidR="001E4F03" w:rsidRPr="000727D6">
        <w:rPr>
          <w:lang w:val="en-GB"/>
        </w:rPr>
        <w:t xml:space="preserve"> </w:t>
      </w:r>
      <w:r w:rsidR="00C468E8" w:rsidRPr="000727D6">
        <w:rPr>
          <w:rFonts w:eastAsia="Times New Roman"/>
          <w:lang w:val="en-GB" w:eastAsia="en-GB"/>
        </w:rPr>
        <w:t xml:space="preserve">decision of the </w:t>
      </w:r>
      <w:r w:rsidR="001E4F03" w:rsidRPr="000727D6">
        <w:rPr>
          <w:rFonts w:eastAsia="Times New Roman"/>
          <w:lang w:val="en-GB" w:eastAsia="en-GB"/>
        </w:rPr>
        <w:t xml:space="preserve">Department of Veterans Affairs (VA) to refuse him the award of retroactive </w:t>
      </w:r>
      <w:r w:rsidR="00BA01AA" w:rsidRPr="000727D6">
        <w:rPr>
          <w:rFonts w:eastAsia="Times New Roman"/>
          <w:lang w:val="en-GB" w:eastAsia="en-GB"/>
        </w:rPr>
        <w:t>disability benefits for his service-related post-traumatic stress disorder (PTSD)</w:t>
      </w:r>
      <w:r w:rsidR="002A6E11" w:rsidRPr="000727D6">
        <w:rPr>
          <w:rFonts w:eastAsia="Times New Roman"/>
          <w:lang w:val="en-GB" w:eastAsia="en-GB"/>
        </w:rPr>
        <w:t xml:space="preserve"> because the evidence provided by the claimant was</w:t>
      </w:r>
      <w:r w:rsidR="00710AB6" w:rsidRPr="000727D6">
        <w:rPr>
          <w:rFonts w:eastAsia="Times New Roman"/>
          <w:lang w:val="en-GB" w:eastAsia="en-GB"/>
        </w:rPr>
        <w:t xml:space="preserve">, according to the VA’s </w:t>
      </w:r>
      <w:r w:rsidR="00DB56A8" w:rsidRPr="000727D6">
        <w:rPr>
          <w:rFonts w:eastAsia="Times New Roman"/>
          <w:lang w:val="en-GB" w:eastAsia="en-GB"/>
        </w:rPr>
        <w:t>interpretation</w:t>
      </w:r>
      <w:r w:rsidR="00BA01AA" w:rsidRPr="000727D6">
        <w:rPr>
          <w:rFonts w:eastAsia="Times New Roman"/>
          <w:lang w:val="en-GB" w:eastAsia="en-GB"/>
        </w:rPr>
        <w:t xml:space="preserve"> of </w:t>
      </w:r>
      <w:r w:rsidR="00443C34" w:rsidRPr="000727D6">
        <w:rPr>
          <w:rFonts w:eastAsia="Times New Roman"/>
          <w:lang w:val="en-GB" w:eastAsia="en-GB"/>
        </w:rPr>
        <w:t>its regulations,</w:t>
      </w:r>
      <w:r w:rsidR="002A6E11" w:rsidRPr="000727D6">
        <w:rPr>
          <w:rFonts w:eastAsia="Times New Roman"/>
          <w:lang w:val="en-GB" w:eastAsia="en-GB"/>
        </w:rPr>
        <w:t xml:space="preserve"> </w:t>
      </w:r>
      <w:r w:rsidR="00443C34" w:rsidRPr="000727D6">
        <w:rPr>
          <w:rFonts w:eastAsia="Times New Roman"/>
          <w:lang w:val="en-GB" w:eastAsia="en-GB"/>
        </w:rPr>
        <w:t>not “relevant”.</w:t>
      </w:r>
      <w:r w:rsidR="00E83E56" w:rsidRPr="000727D6">
        <w:rPr>
          <w:rStyle w:val="FootnoteReference"/>
          <w:rFonts w:eastAsia="Times New Roman"/>
          <w:lang w:val="en-GB" w:eastAsia="en-GB"/>
        </w:rPr>
        <w:footnoteReference w:id="3"/>
      </w:r>
      <w:r w:rsidR="00997918" w:rsidRPr="000727D6">
        <w:rPr>
          <w:rFonts w:eastAsia="Times New Roman"/>
          <w:lang w:val="en-GB" w:eastAsia="en-GB"/>
        </w:rPr>
        <w:t xml:space="preserve"> </w:t>
      </w:r>
      <w:r w:rsidR="00966ADD">
        <w:rPr>
          <w:rFonts w:eastAsia="Times New Roman"/>
          <w:lang w:val="en-GB" w:eastAsia="en-GB"/>
        </w:rPr>
        <w:t xml:space="preserve">On appeal, the </w:t>
      </w:r>
      <w:r w:rsidR="006F3F78" w:rsidRPr="000727D6">
        <w:rPr>
          <w:rFonts w:eastAsia="Times New Roman"/>
          <w:lang w:val="en-GB" w:eastAsia="en-GB"/>
        </w:rPr>
        <w:t xml:space="preserve">Federal Circuit </w:t>
      </w:r>
      <w:r w:rsidR="006F3F78" w:rsidRPr="000727D6">
        <w:rPr>
          <w:rFonts w:eastAsia="Times New Roman"/>
          <w:lang w:val="en-GB" w:eastAsia="en-GB"/>
        </w:rPr>
        <w:lastRenderedPageBreak/>
        <w:t xml:space="preserve">Court found that “uncertainty in application suggests that the regulation is ambiguous” and therefore applied </w:t>
      </w:r>
      <w:r w:rsidR="006F3F78" w:rsidRPr="000727D6">
        <w:rPr>
          <w:rFonts w:eastAsia="Times New Roman"/>
          <w:i/>
          <w:lang w:val="en-GB" w:eastAsia="en-GB"/>
        </w:rPr>
        <w:t>Auer</w:t>
      </w:r>
      <w:r w:rsidR="006F3F78" w:rsidRPr="000727D6">
        <w:rPr>
          <w:rFonts w:eastAsia="Times New Roman"/>
          <w:lang w:val="en-GB" w:eastAsia="en-GB"/>
        </w:rPr>
        <w:t xml:space="preserve"> deference affirming the VA’s construction of the regulation and, as a consequence, the VA’s denial of retroactive benefits. </w:t>
      </w:r>
      <w:r w:rsidR="00823C3D" w:rsidRPr="000727D6">
        <w:rPr>
          <w:rFonts w:eastAsia="Times New Roman"/>
          <w:lang w:val="en-GB" w:eastAsia="en-GB"/>
        </w:rPr>
        <w:t xml:space="preserve">The question before the Supreme Court </w:t>
      </w:r>
      <w:r w:rsidR="00371C2B" w:rsidRPr="000727D6">
        <w:rPr>
          <w:rFonts w:eastAsia="Times New Roman"/>
          <w:lang w:val="en-GB" w:eastAsia="en-GB"/>
        </w:rPr>
        <w:t>was</w:t>
      </w:r>
      <w:r w:rsidR="00823C3D" w:rsidRPr="000727D6">
        <w:rPr>
          <w:rFonts w:eastAsia="Times New Roman"/>
          <w:lang w:val="en-GB" w:eastAsia="en-GB"/>
        </w:rPr>
        <w:t xml:space="preserve"> whether </w:t>
      </w:r>
      <w:r w:rsidR="00823C3D" w:rsidRPr="000727D6">
        <w:rPr>
          <w:rFonts w:eastAsia="Times New Roman"/>
          <w:i/>
          <w:lang w:val="en-GB" w:eastAsia="en-GB"/>
        </w:rPr>
        <w:t>Auer v. Robbins</w:t>
      </w:r>
      <w:r w:rsidR="00C563EB" w:rsidRPr="000727D6">
        <w:rPr>
          <w:rStyle w:val="FootnoteReference"/>
          <w:rFonts w:eastAsia="Times New Roman"/>
          <w:i/>
          <w:lang w:val="en-GB" w:eastAsia="en-GB"/>
        </w:rPr>
        <w:footnoteReference w:id="4"/>
      </w:r>
      <w:r w:rsidR="00823C3D" w:rsidRPr="000727D6">
        <w:rPr>
          <w:rFonts w:eastAsia="Times New Roman"/>
          <w:lang w:val="en-GB" w:eastAsia="en-GB"/>
        </w:rPr>
        <w:t xml:space="preserve"> and </w:t>
      </w:r>
      <w:r w:rsidR="00823C3D" w:rsidRPr="000727D6">
        <w:rPr>
          <w:rFonts w:eastAsia="Times New Roman"/>
          <w:i/>
          <w:lang w:val="en-GB" w:eastAsia="en-GB"/>
        </w:rPr>
        <w:t>Bowles v. Seminole Rock &amp; Sand Co</w:t>
      </w:r>
      <w:r w:rsidR="00823C3D" w:rsidRPr="000727D6">
        <w:rPr>
          <w:rFonts w:eastAsia="Times New Roman"/>
          <w:lang w:val="en-GB" w:eastAsia="en-GB"/>
        </w:rPr>
        <w:t>.,</w:t>
      </w:r>
      <w:r w:rsidR="00C563EB" w:rsidRPr="000727D6">
        <w:rPr>
          <w:rStyle w:val="FootnoteReference"/>
          <w:rFonts w:eastAsia="Times New Roman"/>
          <w:lang w:val="en-GB" w:eastAsia="en-GB"/>
        </w:rPr>
        <w:footnoteReference w:id="5"/>
      </w:r>
      <w:r w:rsidR="00823C3D" w:rsidRPr="000727D6">
        <w:rPr>
          <w:rFonts w:eastAsia="Times New Roman"/>
          <w:lang w:val="en-GB" w:eastAsia="en-GB"/>
        </w:rPr>
        <w:t xml:space="preserve"> which direct courts to defer to an agency’s reasonable interpretation of its own ambiguous regulation, should be overruled. </w:t>
      </w:r>
      <w:r w:rsidR="00371C2B" w:rsidRPr="000727D6">
        <w:rPr>
          <w:rFonts w:eastAsia="Times New Roman"/>
          <w:lang w:val="en-GB" w:eastAsia="en-GB"/>
        </w:rPr>
        <w:t xml:space="preserve">Despite fears and rumours that </w:t>
      </w:r>
      <w:proofErr w:type="gramStart"/>
      <w:r w:rsidR="00881C73" w:rsidRPr="000727D6">
        <w:rPr>
          <w:rFonts w:eastAsia="Times New Roman"/>
          <w:lang w:val="en-GB" w:eastAsia="en-GB"/>
        </w:rPr>
        <w:t>a majority of</w:t>
      </w:r>
      <w:proofErr w:type="gramEnd"/>
      <w:r w:rsidR="00881C73" w:rsidRPr="000727D6">
        <w:rPr>
          <w:rFonts w:eastAsia="Times New Roman"/>
          <w:lang w:val="en-GB" w:eastAsia="en-GB"/>
        </w:rPr>
        <w:t xml:space="preserve"> </w:t>
      </w:r>
      <w:r w:rsidR="003F293F" w:rsidRPr="000727D6">
        <w:rPr>
          <w:rFonts w:eastAsia="Times New Roman"/>
          <w:lang w:val="en-GB" w:eastAsia="en-GB"/>
        </w:rPr>
        <w:t xml:space="preserve">conservative </w:t>
      </w:r>
      <w:r w:rsidR="00881C73" w:rsidRPr="000727D6">
        <w:rPr>
          <w:rFonts w:eastAsia="Times New Roman"/>
          <w:lang w:val="en-GB" w:eastAsia="en-GB"/>
        </w:rPr>
        <w:t xml:space="preserve">justices </w:t>
      </w:r>
      <w:r w:rsidR="00371C2B" w:rsidRPr="000727D6">
        <w:rPr>
          <w:rFonts w:eastAsia="Times New Roman"/>
          <w:lang w:val="en-GB" w:eastAsia="en-GB"/>
        </w:rPr>
        <w:t xml:space="preserve">would have axed </w:t>
      </w:r>
      <w:r w:rsidR="00371C2B" w:rsidRPr="000727D6">
        <w:rPr>
          <w:rFonts w:eastAsia="Times New Roman"/>
          <w:i/>
          <w:lang w:val="en-GB" w:eastAsia="en-GB"/>
        </w:rPr>
        <w:t>Auer</w:t>
      </w:r>
      <w:r w:rsidR="00371C2B" w:rsidRPr="000727D6">
        <w:rPr>
          <w:rFonts w:eastAsia="Times New Roman"/>
          <w:lang w:val="en-GB" w:eastAsia="en-GB"/>
        </w:rPr>
        <w:t>,</w:t>
      </w:r>
      <w:r w:rsidR="00881C73" w:rsidRPr="000727D6">
        <w:rPr>
          <w:rFonts w:eastAsia="Times New Roman"/>
          <w:lang w:val="en-GB" w:eastAsia="en-GB"/>
        </w:rPr>
        <w:t xml:space="preserve"> the Roberts Court</w:t>
      </w:r>
      <w:r w:rsidR="003F293F" w:rsidRPr="000727D6">
        <w:rPr>
          <w:rFonts w:eastAsia="Times New Roman"/>
          <w:lang w:val="en-GB" w:eastAsia="en-GB"/>
        </w:rPr>
        <w:t xml:space="preserve"> </w:t>
      </w:r>
      <w:r w:rsidR="00371C2B" w:rsidRPr="000727D6">
        <w:rPr>
          <w:rFonts w:eastAsia="Times New Roman"/>
          <w:lang w:val="en-GB" w:eastAsia="en-GB"/>
        </w:rPr>
        <w:t xml:space="preserve">used this </w:t>
      </w:r>
      <w:r w:rsidR="00BB727D" w:rsidRPr="000727D6">
        <w:rPr>
          <w:rFonts w:eastAsia="Times New Roman"/>
          <w:lang w:val="en-GB" w:eastAsia="en-GB"/>
        </w:rPr>
        <w:t xml:space="preserve">opportunity to </w:t>
      </w:r>
      <w:r w:rsidR="007660DE" w:rsidRPr="000727D6">
        <w:rPr>
          <w:rFonts w:eastAsia="Times New Roman"/>
          <w:lang w:val="en-GB" w:eastAsia="en-GB"/>
        </w:rPr>
        <w:t xml:space="preserve">reiterate the standing of the doctrine and </w:t>
      </w:r>
      <w:r w:rsidR="00BB727D" w:rsidRPr="000727D6">
        <w:rPr>
          <w:rFonts w:eastAsia="Times New Roman"/>
          <w:lang w:val="en-GB" w:eastAsia="en-GB"/>
        </w:rPr>
        <w:t xml:space="preserve">clarify </w:t>
      </w:r>
      <w:r w:rsidR="007660DE" w:rsidRPr="000727D6">
        <w:rPr>
          <w:rFonts w:eastAsia="Times New Roman"/>
          <w:lang w:val="en-GB" w:eastAsia="en-GB"/>
        </w:rPr>
        <w:t>technical issues related to the process of</w:t>
      </w:r>
      <w:r w:rsidR="00BB727D" w:rsidRPr="000727D6">
        <w:rPr>
          <w:rFonts w:eastAsia="Times New Roman"/>
          <w:lang w:val="en-GB" w:eastAsia="en-GB"/>
        </w:rPr>
        <w:t xml:space="preserve"> administrative deference</w:t>
      </w:r>
      <w:r w:rsidR="007660DE" w:rsidRPr="000727D6">
        <w:rPr>
          <w:rFonts w:eastAsia="Times New Roman"/>
          <w:lang w:val="en-GB" w:eastAsia="en-GB"/>
        </w:rPr>
        <w:t>.</w:t>
      </w:r>
      <w:r w:rsidR="00522DC7" w:rsidRPr="000727D6">
        <w:rPr>
          <w:rFonts w:eastAsia="Times New Roman"/>
          <w:lang w:val="en-GB" w:eastAsia="en-GB"/>
        </w:rPr>
        <w:t xml:space="preserve"> The majority did not miss </w:t>
      </w:r>
      <w:r w:rsidR="006B39BE" w:rsidRPr="000727D6">
        <w:rPr>
          <w:rFonts w:eastAsia="Times New Roman"/>
          <w:lang w:val="en-GB" w:eastAsia="en-GB"/>
        </w:rPr>
        <w:t xml:space="preserve">the </w:t>
      </w:r>
      <w:r w:rsidR="00522DC7" w:rsidRPr="000727D6">
        <w:rPr>
          <w:rFonts w:eastAsia="Times New Roman"/>
          <w:lang w:val="en-GB" w:eastAsia="en-GB"/>
        </w:rPr>
        <w:t xml:space="preserve">chance to defend </w:t>
      </w:r>
      <w:r w:rsidR="00522DC7" w:rsidRPr="000727D6">
        <w:rPr>
          <w:rFonts w:eastAsia="Times New Roman"/>
          <w:i/>
          <w:lang w:val="en-GB" w:eastAsia="en-GB"/>
        </w:rPr>
        <w:t>Auer</w:t>
      </w:r>
      <w:r w:rsidR="00522DC7" w:rsidRPr="000727D6">
        <w:rPr>
          <w:rFonts w:eastAsia="Times New Roman"/>
          <w:lang w:val="en-GB" w:eastAsia="en-GB"/>
        </w:rPr>
        <w:t xml:space="preserve"> on the basis of </w:t>
      </w:r>
      <w:r w:rsidR="00522DC7" w:rsidRPr="000727D6">
        <w:rPr>
          <w:rFonts w:eastAsia="Times New Roman"/>
          <w:i/>
          <w:lang w:val="en-GB" w:eastAsia="en-GB"/>
        </w:rPr>
        <w:t xml:space="preserve">stare </w:t>
      </w:r>
      <w:proofErr w:type="gramStart"/>
      <w:r w:rsidR="00522DC7" w:rsidRPr="000727D6">
        <w:rPr>
          <w:rFonts w:eastAsia="Times New Roman"/>
          <w:i/>
          <w:lang w:val="en-GB" w:eastAsia="en-GB"/>
        </w:rPr>
        <w:t>decisis</w:t>
      </w:r>
      <w:proofErr w:type="gramEnd"/>
      <w:r w:rsidR="00522DC7" w:rsidRPr="000727D6">
        <w:rPr>
          <w:rFonts w:eastAsia="Times New Roman"/>
          <w:lang w:val="en-GB" w:eastAsia="en-GB"/>
        </w:rPr>
        <w:t xml:space="preserve"> but t</w:t>
      </w:r>
      <w:r w:rsidR="00E56E68" w:rsidRPr="000727D6">
        <w:rPr>
          <w:lang w:val="en-GB"/>
        </w:rPr>
        <w:t>his is not the main poi</w:t>
      </w:r>
      <w:r w:rsidR="00834963" w:rsidRPr="000727D6">
        <w:rPr>
          <w:lang w:val="en-GB"/>
        </w:rPr>
        <w:t>nt of the decision. The</w:t>
      </w:r>
      <w:r w:rsidR="00142465" w:rsidRPr="000727D6">
        <w:rPr>
          <w:lang w:val="en-GB"/>
        </w:rPr>
        <w:t xml:space="preserve"> significance of </w:t>
      </w:r>
      <w:proofErr w:type="spellStart"/>
      <w:r w:rsidR="00142465" w:rsidRPr="000727D6">
        <w:rPr>
          <w:i/>
          <w:lang w:val="en-GB"/>
        </w:rPr>
        <w:t>Kisor</w:t>
      </w:r>
      <w:proofErr w:type="spellEnd"/>
      <w:r w:rsidRPr="000727D6">
        <w:rPr>
          <w:lang w:val="en-GB"/>
        </w:rPr>
        <w:t xml:space="preserve">, in </w:t>
      </w:r>
      <w:r w:rsidR="00C468E8" w:rsidRPr="000727D6">
        <w:rPr>
          <w:lang w:val="en-GB"/>
        </w:rPr>
        <w:t xml:space="preserve">this </w:t>
      </w:r>
      <w:r w:rsidRPr="000727D6">
        <w:rPr>
          <w:lang w:val="en-GB"/>
        </w:rPr>
        <w:t>author’s opinion,</w:t>
      </w:r>
      <w:r w:rsidR="00142465" w:rsidRPr="000727D6">
        <w:rPr>
          <w:lang w:val="en-GB"/>
        </w:rPr>
        <w:t xml:space="preserve"> </w:t>
      </w:r>
      <w:r w:rsidR="00C468E8" w:rsidRPr="000727D6">
        <w:rPr>
          <w:lang w:val="en-GB"/>
        </w:rPr>
        <w:t xml:space="preserve">lies </w:t>
      </w:r>
      <w:r w:rsidR="00142465" w:rsidRPr="000727D6">
        <w:rPr>
          <w:lang w:val="en-GB"/>
        </w:rPr>
        <w:t>in its consolidation</w:t>
      </w:r>
      <w:r w:rsidR="00517D76" w:rsidRPr="000727D6">
        <w:rPr>
          <w:lang w:val="en-GB"/>
        </w:rPr>
        <w:t xml:space="preserve"> of previous jurisprudence and </w:t>
      </w:r>
      <w:r w:rsidR="00142465" w:rsidRPr="000727D6">
        <w:rPr>
          <w:lang w:val="en-GB"/>
        </w:rPr>
        <w:t xml:space="preserve">explanation of the circumstances in which the courts should be deferring interpretation to the agencies. </w:t>
      </w:r>
      <w:r w:rsidR="0043607C" w:rsidRPr="000727D6">
        <w:rPr>
          <w:lang w:val="en-GB"/>
        </w:rPr>
        <w:t xml:space="preserve">According to Justice </w:t>
      </w:r>
      <w:proofErr w:type="spellStart"/>
      <w:r w:rsidR="0043607C" w:rsidRPr="000727D6">
        <w:rPr>
          <w:lang w:val="en-GB"/>
        </w:rPr>
        <w:t>Kagan</w:t>
      </w:r>
      <w:proofErr w:type="spellEnd"/>
      <w:r w:rsidR="0043607C" w:rsidRPr="000727D6">
        <w:rPr>
          <w:lang w:val="en-GB"/>
        </w:rPr>
        <w:t>, the doctrine remains “p</w:t>
      </w:r>
      <w:r w:rsidR="00E75C74" w:rsidRPr="000727D6">
        <w:rPr>
          <w:lang w:val="en-GB"/>
        </w:rPr>
        <w:t>otent in its place but cabined in its scope</w:t>
      </w:r>
      <w:r w:rsidR="0043607C" w:rsidRPr="000727D6">
        <w:rPr>
          <w:lang w:val="en-GB"/>
        </w:rPr>
        <w:t>”</w:t>
      </w:r>
      <w:r w:rsidR="00D37D54" w:rsidRPr="000727D6">
        <w:rPr>
          <w:lang w:val="en-GB"/>
        </w:rPr>
        <w:t>.</w:t>
      </w:r>
      <w:r w:rsidR="0043607C" w:rsidRPr="000727D6">
        <w:rPr>
          <w:rStyle w:val="FootnoteReference"/>
          <w:lang w:val="en-GB"/>
        </w:rPr>
        <w:footnoteReference w:id="6"/>
      </w:r>
      <w:r w:rsidR="00FD70A8" w:rsidRPr="000727D6">
        <w:rPr>
          <w:lang w:val="en-GB"/>
        </w:rPr>
        <w:t xml:space="preserve"> </w:t>
      </w:r>
      <w:r w:rsidR="00D37D54" w:rsidRPr="000727D6">
        <w:rPr>
          <w:lang w:val="en-GB"/>
        </w:rPr>
        <w:t>C</w:t>
      </w:r>
      <w:r w:rsidR="00FD70A8" w:rsidRPr="000727D6">
        <w:rPr>
          <w:lang w:val="en-GB"/>
        </w:rPr>
        <w:t>abined because</w:t>
      </w:r>
      <w:r w:rsidR="004D7A13" w:rsidRPr="000727D6">
        <w:rPr>
          <w:lang w:val="en-GB"/>
        </w:rPr>
        <w:t>, she explains,</w:t>
      </w:r>
      <w:r w:rsidR="00FD70A8" w:rsidRPr="000727D6">
        <w:rPr>
          <w:lang w:val="en-GB"/>
        </w:rPr>
        <w:t xml:space="preserve"> the courts can defer interpretation only if the following requirements are satisfied:</w:t>
      </w:r>
    </w:p>
    <w:p w14:paraId="1086E190" w14:textId="77777777" w:rsidR="00966ADD" w:rsidRPr="000727D6" w:rsidRDefault="00966ADD" w:rsidP="00966ADD">
      <w:pPr>
        <w:ind w:firstLine="709"/>
        <w:jc w:val="both"/>
        <w:rPr>
          <w:lang w:val="en-GB"/>
        </w:rPr>
      </w:pPr>
    </w:p>
    <w:p w14:paraId="6D20DDC7" w14:textId="77777777" w:rsidR="00E75C74" w:rsidRPr="000727D6" w:rsidRDefault="00E75C74" w:rsidP="00966ADD">
      <w:pPr>
        <w:pStyle w:val="ListParagraph"/>
        <w:numPr>
          <w:ilvl w:val="0"/>
          <w:numId w:val="10"/>
        </w:numPr>
        <w:tabs>
          <w:tab w:val="left" w:pos="1134"/>
        </w:tabs>
        <w:ind w:left="851" w:right="849" w:hanging="11"/>
        <w:rPr>
          <w:lang w:val="en-GB"/>
        </w:rPr>
      </w:pPr>
      <w:r w:rsidRPr="000727D6">
        <w:rPr>
          <w:lang w:val="en-GB"/>
        </w:rPr>
        <w:t>the regulation is genuinely ambiguous</w:t>
      </w:r>
      <w:r w:rsidRPr="000727D6">
        <w:rPr>
          <w:rStyle w:val="FootnoteReference"/>
          <w:lang w:val="en-GB"/>
        </w:rPr>
        <w:footnoteReference w:id="7"/>
      </w:r>
    </w:p>
    <w:p w14:paraId="20E902D9" w14:textId="77777777" w:rsidR="00E75C74" w:rsidRPr="000727D6" w:rsidRDefault="00E75C74" w:rsidP="00966ADD">
      <w:pPr>
        <w:pStyle w:val="ListParagraph"/>
        <w:numPr>
          <w:ilvl w:val="0"/>
          <w:numId w:val="10"/>
        </w:numPr>
        <w:tabs>
          <w:tab w:val="left" w:pos="1134"/>
        </w:tabs>
        <w:ind w:left="851" w:right="849" w:hanging="11"/>
        <w:rPr>
          <w:lang w:val="en-GB"/>
        </w:rPr>
      </w:pPr>
      <w:r w:rsidRPr="000727D6">
        <w:rPr>
          <w:lang w:val="en-GB"/>
        </w:rPr>
        <w:t xml:space="preserve">the agency’s reading </w:t>
      </w:r>
      <w:r w:rsidR="004D7A13" w:rsidRPr="000727D6">
        <w:rPr>
          <w:lang w:val="en-GB"/>
        </w:rPr>
        <w:t>is</w:t>
      </w:r>
      <w:r w:rsidRPr="000727D6">
        <w:rPr>
          <w:lang w:val="en-GB"/>
        </w:rPr>
        <w:t xml:space="preserve"> reasonable</w:t>
      </w:r>
      <w:r w:rsidRPr="000727D6">
        <w:rPr>
          <w:rStyle w:val="FootnoteReference"/>
          <w:lang w:val="en-GB"/>
        </w:rPr>
        <w:footnoteReference w:id="8"/>
      </w:r>
    </w:p>
    <w:p w14:paraId="261EF382" w14:textId="310A989E" w:rsidR="00E75C74" w:rsidRPr="000727D6" w:rsidRDefault="00E75C74" w:rsidP="00966ADD">
      <w:pPr>
        <w:pStyle w:val="ListParagraph"/>
        <w:numPr>
          <w:ilvl w:val="0"/>
          <w:numId w:val="10"/>
        </w:numPr>
        <w:tabs>
          <w:tab w:val="left" w:pos="1134"/>
        </w:tabs>
        <w:ind w:left="851" w:right="849" w:hanging="11"/>
        <w:rPr>
          <w:lang w:val="en-GB"/>
        </w:rPr>
      </w:pPr>
      <w:r w:rsidRPr="000727D6">
        <w:rPr>
          <w:lang w:val="en-GB"/>
        </w:rPr>
        <w:t xml:space="preserve">the regulatory interpretation </w:t>
      </w:r>
      <w:r w:rsidR="004D7A13" w:rsidRPr="000727D6">
        <w:rPr>
          <w:lang w:val="en-GB"/>
        </w:rPr>
        <w:t>is</w:t>
      </w:r>
      <w:r w:rsidRPr="000727D6">
        <w:rPr>
          <w:lang w:val="en-GB"/>
        </w:rPr>
        <w:t xml:space="preserve"> authoritative,</w:t>
      </w:r>
      <w:r w:rsidR="00C468E8" w:rsidRPr="000727D6">
        <w:rPr>
          <w:lang w:val="en-GB"/>
        </w:rPr>
        <w:t xml:space="preserve"> </w:t>
      </w:r>
      <w:r w:rsidR="006B39BE" w:rsidRPr="000727D6">
        <w:rPr>
          <w:lang w:val="en-GB"/>
        </w:rPr>
        <w:t>i.e.</w:t>
      </w:r>
      <w:r w:rsidRPr="000727D6">
        <w:rPr>
          <w:lang w:val="en-GB"/>
        </w:rPr>
        <w:t xml:space="preserve"> one </w:t>
      </w:r>
      <w:proofErr w:type="gramStart"/>
      <w:r w:rsidRPr="000727D6">
        <w:rPr>
          <w:lang w:val="en-GB"/>
        </w:rPr>
        <w:t>actually made</w:t>
      </w:r>
      <w:proofErr w:type="gramEnd"/>
      <w:r w:rsidRPr="000727D6">
        <w:rPr>
          <w:lang w:val="en-GB"/>
        </w:rPr>
        <w:t xml:space="preserve"> by the agency</w:t>
      </w:r>
      <w:r w:rsidRPr="000727D6">
        <w:rPr>
          <w:rStyle w:val="FootnoteReference"/>
          <w:lang w:val="en-GB"/>
        </w:rPr>
        <w:footnoteReference w:id="9"/>
      </w:r>
    </w:p>
    <w:p w14:paraId="0C70904E" w14:textId="7E8DBC3D" w:rsidR="00E75C74" w:rsidRPr="000727D6" w:rsidRDefault="00E75C74" w:rsidP="00966ADD">
      <w:pPr>
        <w:pStyle w:val="ListParagraph"/>
        <w:numPr>
          <w:ilvl w:val="0"/>
          <w:numId w:val="10"/>
        </w:numPr>
        <w:tabs>
          <w:tab w:val="left" w:pos="1134"/>
        </w:tabs>
        <w:ind w:left="851" w:right="849" w:hanging="11"/>
        <w:rPr>
          <w:rFonts w:eastAsia="Times New Roman"/>
          <w:lang w:val="en-GB" w:eastAsia="en-GB"/>
        </w:rPr>
      </w:pPr>
      <w:r w:rsidRPr="000727D6">
        <w:rPr>
          <w:lang w:val="en-GB"/>
        </w:rPr>
        <w:t xml:space="preserve">the agency’s interpretation </w:t>
      </w:r>
      <w:r w:rsidR="004D7A13" w:rsidRPr="000727D6">
        <w:rPr>
          <w:lang w:val="en-GB"/>
        </w:rPr>
        <w:t>is</w:t>
      </w:r>
      <w:r w:rsidRPr="000727D6">
        <w:rPr>
          <w:lang w:val="en-GB"/>
        </w:rPr>
        <w:t xml:space="preserve"> expertise based,</w:t>
      </w:r>
      <w:r w:rsidR="00C468E8" w:rsidRPr="000727D6">
        <w:rPr>
          <w:lang w:val="en-GB"/>
        </w:rPr>
        <w:t xml:space="preserve"> </w:t>
      </w:r>
      <w:r w:rsidR="006B39BE" w:rsidRPr="000727D6">
        <w:rPr>
          <w:lang w:val="en-GB"/>
        </w:rPr>
        <w:t xml:space="preserve">i.e. </w:t>
      </w:r>
      <w:r w:rsidRPr="000727D6">
        <w:rPr>
          <w:lang w:val="en-GB"/>
        </w:rPr>
        <w:t xml:space="preserve"> in some way </w:t>
      </w:r>
      <w:r w:rsidR="006B39BE" w:rsidRPr="000727D6">
        <w:rPr>
          <w:lang w:val="en-GB"/>
        </w:rPr>
        <w:t xml:space="preserve">it </w:t>
      </w:r>
      <w:r w:rsidRPr="000727D6">
        <w:rPr>
          <w:lang w:val="en-GB"/>
        </w:rPr>
        <w:t>implicate</w:t>
      </w:r>
      <w:r w:rsidR="006B39BE" w:rsidRPr="000727D6">
        <w:rPr>
          <w:lang w:val="en-GB"/>
        </w:rPr>
        <w:t>s</w:t>
      </w:r>
      <w:r w:rsidRPr="000727D6">
        <w:rPr>
          <w:lang w:val="en-GB"/>
        </w:rPr>
        <w:t xml:space="preserve"> </w:t>
      </w:r>
      <w:r w:rsidR="006B39BE" w:rsidRPr="000727D6">
        <w:rPr>
          <w:lang w:val="en-GB"/>
        </w:rPr>
        <w:t xml:space="preserve">agency </w:t>
      </w:r>
      <w:r w:rsidRPr="000727D6">
        <w:rPr>
          <w:lang w:val="en-GB"/>
        </w:rPr>
        <w:t>substantive expertise</w:t>
      </w:r>
      <w:r w:rsidRPr="000727D6">
        <w:rPr>
          <w:rStyle w:val="FootnoteReference"/>
          <w:lang w:val="en-GB"/>
        </w:rPr>
        <w:footnoteReference w:id="10"/>
      </w:r>
    </w:p>
    <w:p w14:paraId="555CBE27" w14:textId="2B637519" w:rsidR="00E75C74" w:rsidRDefault="00E75C74" w:rsidP="00966ADD">
      <w:pPr>
        <w:pStyle w:val="ListParagraph"/>
        <w:numPr>
          <w:ilvl w:val="0"/>
          <w:numId w:val="10"/>
        </w:numPr>
        <w:tabs>
          <w:tab w:val="left" w:pos="1134"/>
        </w:tabs>
        <w:ind w:left="851" w:right="849" w:hanging="11"/>
        <w:rPr>
          <w:rFonts w:eastAsia="Times New Roman"/>
          <w:lang w:val="en-GB" w:eastAsia="en-GB"/>
        </w:rPr>
      </w:pPr>
      <w:r w:rsidRPr="000727D6">
        <w:rPr>
          <w:rFonts w:eastAsia="Times New Roman"/>
          <w:lang w:val="en-GB" w:eastAsia="en-GB"/>
        </w:rPr>
        <w:t xml:space="preserve">an agency’s reading of a rule </w:t>
      </w:r>
      <w:r w:rsidR="004D7A13" w:rsidRPr="000727D6">
        <w:rPr>
          <w:rFonts w:eastAsia="Times New Roman"/>
          <w:lang w:val="en-GB" w:eastAsia="en-GB"/>
        </w:rPr>
        <w:t>i</w:t>
      </w:r>
      <w:r w:rsidR="00E879CC" w:rsidRPr="000727D6">
        <w:rPr>
          <w:rFonts w:eastAsia="Times New Roman"/>
          <w:lang w:val="en-GB" w:eastAsia="en-GB"/>
        </w:rPr>
        <w:t>n question r</w:t>
      </w:r>
      <w:r w:rsidRPr="000727D6">
        <w:rPr>
          <w:rFonts w:eastAsia="Times New Roman"/>
          <w:lang w:val="en-GB" w:eastAsia="en-GB"/>
        </w:rPr>
        <w:t>eflect</w:t>
      </w:r>
      <w:r w:rsidR="006B39BE" w:rsidRPr="000727D6">
        <w:rPr>
          <w:rFonts w:eastAsia="Times New Roman"/>
          <w:lang w:val="en-GB" w:eastAsia="en-GB"/>
        </w:rPr>
        <w:t>s a</w:t>
      </w:r>
      <w:r w:rsidRPr="000727D6">
        <w:rPr>
          <w:rFonts w:eastAsia="Times New Roman"/>
          <w:lang w:val="en-GB" w:eastAsia="en-GB"/>
        </w:rPr>
        <w:t xml:space="preserve"> “fair and considered judgment”</w:t>
      </w:r>
      <w:r w:rsidRPr="000727D6">
        <w:rPr>
          <w:rStyle w:val="FootnoteReference"/>
          <w:rFonts w:eastAsia="Times New Roman"/>
          <w:lang w:val="en-GB" w:eastAsia="en-GB"/>
        </w:rPr>
        <w:footnoteReference w:id="11"/>
      </w:r>
    </w:p>
    <w:p w14:paraId="21881B45" w14:textId="77777777" w:rsidR="00966ADD" w:rsidRPr="00966ADD" w:rsidRDefault="00966ADD" w:rsidP="00966ADD">
      <w:pPr>
        <w:ind w:left="840" w:right="849"/>
        <w:rPr>
          <w:rFonts w:eastAsia="Times New Roman"/>
          <w:lang w:val="en-GB" w:eastAsia="en-GB"/>
        </w:rPr>
      </w:pPr>
    </w:p>
    <w:p w14:paraId="61F7B263" w14:textId="654C93AE" w:rsidR="004C1F74" w:rsidRPr="000727D6" w:rsidRDefault="005B5CFF" w:rsidP="000727D6">
      <w:pPr>
        <w:jc w:val="both"/>
        <w:rPr>
          <w:rFonts w:eastAsia="Times New Roman"/>
          <w:lang w:val="en-GB" w:eastAsia="en-GB"/>
        </w:rPr>
      </w:pPr>
      <w:r w:rsidRPr="000727D6">
        <w:rPr>
          <w:rFonts w:eastAsia="Times New Roman"/>
          <w:lang w:val="en-GB" w:eastAsia="en-GB"/>
        </w:rPr>
        <w:t>As to point A</w:t>
      </w:r>
      <w:r w:rsidR="00297B6F" w:rsidRPr="000727D6">
        <w:rPr>
          <w:rFonts w:eastAsia="Times New Roman"/>
          <w:lang w:val="en-GB" w:eastAsia="en-GB"/>
        </w:rPr>
        <w:t xml:space="preserve"> and B</w:t>
      </w:r>
      <w:r w:rsidRPr="000727D6">
        <w:rPr>
          <w:rFonts w:eastAsia="Times New Roman"/>
          <w:lang w:val="en-GB" w:eastAsia="en-GB"/>
        </w:rPr>
        <w:t xml:space="preserve">, </w:t>
      </w:r>
      <w:r w:rsidR="00B62965" w:rsidRPr="000727D6">
        <w:rPr>
          <w:rFonts w:eastAsia="Times New Roman"/>
          <w:lang w:val="en-GB" w:eastAsia="en-GB"/>
        </w:rPr>
        <w:t>th</w:t>
      </w:r>
      <w:r w:rsidR="00297B6F" w:rsidRPr="000727D6">
        <w:rPr>
          <w:rFonts w:eastAsia="Times New Roman"/>
          <w:lang w:val="en-GB" w:eastAsia="en-GB"/>
        </w:rPr>
        <w:t>ese</w:t>
      </w:r>
      <w:r w:rsidR="00B62965" w:rsidRPr="000727D6">
        <w:rPr>
          <w:rFonts w:eastAsia="Times New Roman"/>
          <w:lang w:val="en-GB" w:eastAsia="en-GB"/>
        </w:rPr>
        <w:t xml:space="preserve"> a</w:t>
      </w:r>
      <w:r w:rsidR="00297B6F" w:rsidRPr="000727D6">
        <w:rPr>
          <w:rFonts w:eastAsia="Times New Roman"/>
          <w:lang w:val="en-GB" w:eastAsia="en-GB"/>
        </w:rPr>
        <w:t>re</w:t>
      </w:r>
      <w:r w:rsidR="00B62965" w:rsidRPr="000727D6">
        <w:rPr>
          <w:rFonts w:eastAsia="Times New Roman"/>
          <w:lang w:val="en-GB" w:eastAsia="en-GB"/>
        </w:rPr>
        <w:t xml:space="preserve"> </w:t>
      </w:r>
      <w:r w:rsidR="000919CB" w:rsidRPr="000727D6">
        <w:rPr>
          <w:rFonts w:eastAsia="Times New Roman"/>
          <w:lang w:val="en-GB" w:eastAsia="en-GB"/>
        </w:rPr>
        <w:t xml:space="preserve">well-established </w:t>
      </w:r>
      <w:r w:rsidR="00B62965" w:rsidRPr="000727D6">
        <w:rPr>
          <w:rFonts w:eastAsia="Times New Roman"/>
          <w:lang w:val="en-GB" w:eastAsia="en-GB"/>
        </w:rPr>
        <w:t>requirement</w:t>
      </w:r>
      <w:r w:rsidR="00C468E8" w:rsidRPr="000727D6">
        <w:rPr>
          <w:rFonts w:eastAsia="Times New Roman"/>
          <w:lang w:val="en-GB" w:eastAsia="en-GB"/>
        </w:rPr>
        <w:t>s</w:t>
      </w:r>
      <w:r w:rsidR="0031357C" w:rsidRPr="000727D6">
        <w:rPr>
          <w:rFonts w:eastAsia="Times New Roman"/>
          <w:lang w:val="en-GB" w:eastAsia="en-GB"/>
        </w:rPr>
        <w:t xml:space="preserve"> and they a</w:t>
      </w:r>
      <w:r w:rsidR="00297B6F" w:rsidRPr="000727D6">
        <w:rPr>
          <w:rFonts w:eastAsia="Times New Roman"/>
          <w:lang w:val="en-GB" w:eastAsia="en-GB"/>
        </w:rPr>
        <w:t xml:space="preserve">pply to </w:t>
      </w:r>
      <w:r w:rsidR="00297B6F" w:rsidRPr="000727D6">
        <w:rPr>
          <w:rFonts w:eastAsia="Times New Roman"/>
          <w:i/>
          <w:lang w:val="en-GB" w:eastAsia="en-GB"/>
        </w:rPr>
        <w:t>Chevron</w:t>
      </w:r>
      <w:r w:rsidR="00297B6F" w:rsidRPr="000727D6">
        <w:rPr>
          <w:rFonts w:eastAsia="Times New Roman"/>
          <w:lang w:val="en-GB" w:eastAsia="en-GB"/>
        </w:rPr>
        <w:t xml:space="preserve"> deference more generally.</w:t>
      </w:r>
      <w:r w:rsidR="00297B6F" w:rsidRPr="000727D6">
        <w:rPr>
          <w:rStyle w:val="FootnoteReference"/>
          <w:rFonts w:eastAsia="Times New Roman"/>
          <w:lang w:val="en-GB" w:eastAsia="en-GB"/>
        </w:rPr>
        <w:footnoteReference w:id="12"/>
      </w:r>
      <w:r w:rsidR="00297B6F" w:rsidRPr="000727D6">
        <w:rPr>
          <w:rFonts w:eastAsia="Times New Roman"/>
          <w:lang w:val="en-GB" w:eastAsia="en-GB"/>
        </w:rPr>
        <w:t xml:space="preserve"> </w:t>
      </w:r>
    </w:p>
    <w:p w14:paraId="76836018" w14:textId="1C662E0B" w:rsidR="0049455A" w:rsidRDefault="00715728" w:rsidP="00966ADD">
      <w:pPr>
        <w:ind w:firstLine="709"/>
        <w:jc w:val="both"/>
        <w:rPr>
          <w:rFonts w:eastAsia="Times New Roman"/>
          <w:lang w:val="en-GB" w:eastAsia="en-GB"/>
        </w:rPr>
      </w:pPr>
      <w:r w:rsidRPr="000727D6">
        <w:rPr>
          <w:rFonts w:eastAsia="Times New Roman"/>
          <w:lang w:val="en-GB" w:eastAsia="en-GB"/>
        </w:rPr>
        <w:t xml:space="preserve">Point C is </w:t>
      </w:r>
      <w:r w:rsidR="00F90E0D" w:rsidRPr="000727D6">
        <w:rPr>
          <w:rFonts w:eastAsia="Times New Roman"/>
          <w:lang w:val="en-GB" w:eastAsia="en-GB"/>
        </w:rPr>
        <w:t>an attempt to consolidate jurisprudence around the distinction between</w:t>
      </w:r>
      <w:r w:rsidRPr="000727D6">
        <w:rPr>
          <w:rFonts w:eastAsia="Times New Roman"/>
          <w:lang w:val="en-GB" w:eastAsia="en-GB"/>
        </w:rPr>
        <w:t xml:space="preserve"> au</w:t>
      </w:r>
      <w:r w:rsidR="00F90E0D" w:rsidRPr="000727D6">
        <w:rPr>
          <w:rFonts w:eastAsia="Times New Roman"/>
          <w:lang w:val="en-GB" w:eastAsia="en-GB"/>
        </w:rPr>
        <w:t>thoritative interpretations and</w:t>
      </w:r>
      <w:r w:rsidRPr="000727D6">
        <w:rPr>
          <w:rFonts w:eastAsia="Times New Roman"/>
          <w:lang w:val="en-GB" w:eastAsia="en-GB"/>
        </w:rPr>
        <w:t xml:space="preserve"> non-binding ones. The issue </w:t>
      </w:r>
      <w:r w:rsidR="0049455A" w:rsidRPr="000727D6">
        <w:rPr>
          <w:rFonts w:eastAsia="Times New Roman"/>
          <w:lang w:val="en-GB" w:eastAsia="en-GB"/>
        </w:rPr>
        <w:t>is particular</w:t>
      </w:r>
      <w:r w:rsidR="00700E48" w:rsidRPr="000727D6">
        <w:rPr>
          <w:rFonts w:eastAsia="Times New Roman"/>
          <w:lang w:val="en-GB" w:eastAsia="en-GB"/>
        </w:rPr>
        <w:t>ly</w:t>
      </w:r>
      <w:r w:rsidR="0049455A" w:rsidRPr="000727D6">
        <w:rPr>
          <w:rFonts w:eastAsia="Times New Roman"/>
          <w:lang w:val="en-GB" w:eastAsia="en-GB"/>
        </w:rPr>
        <w:t xml:space="preserve"> relevant with regards to interpretive rules and legislative rules. </w:t>
      </w:r>
      <w:r w:rsidR="00AC6D2E" w:rsidRPr="000727D6">
        <w:rPr>
          <w:rFonts w:eastAsia="Times New Roman"/>
          <w:lang w:val="en-GB" w:eastAsia="en-GB"/>
        </w:rPr>
        <w:t xml:space="preserve">In </w:t>
      </w:r>
      <w:r w:rsidR="00AC6D2E" w:rsidRPr="000727D6">
        <w:rPr>
          <w:rFonts w:eastAsia="Times New Roman"/>
          <w:i/>
          <w:lang w:val="en-GB" w:eastAsia="en-GB"/>
        </w:rPr>
        <w:t>Perez v. Mortgage Bankers Assn</w:t>
      </w:r>
      <w:r w:rsidR="00AC6D2E" w:rsidRPr="000727D6">
        <w:rPr>
          <w:rFonts w:eastAsia="Times New Roman"/>
          <w:lang w:val="en-GB" w:eastAsia="en-GB"/>
        </w:rPr>
        <w:t xml:space="preserve"> (2015),</w:t>
      </w:r>
      <w:r w:rsidR="00AC6D2E" w:rsidRPr="000727D6">
        <w:rPr>
          <w:rStyle w:val="FootnoteReference"/>
          <w:rFonts w:eastAsia="Times New Roman"/>
          <w:lang w:val="en-GB" w:eastAsia="en-GB"/>
        </w:rPr>
        <w:footnoteReference w:id="13"/>
      </w:r>
      <w:r w:rsidR="00AC6D2E" w:rsidRPr="000727D6">
        <w:rPr>
          <w:rFonts w:eastAsia="Times New Roman"/>
          <w:lang w:val="en-GB" w:eastAsia="en-GB"/>
        </w:rPr>
        <w:t xml:space="preserve"> </w:t>
      </w:r>
      <w:r w:rsidR="0049455A" w:rsidRPr="000727D6">
        <w:rPr>
          <w:rFonts w:eastAsia="Times New Roman"/>
          <w:lang w:val="en-GB" w:eastAsia="en-GB"/>
        </w:rPr>
        <w:t>a unanimous court established that when a federal administrative agency first issues a rule interpreting one of its regulations, it is generally not required to follow the notice-and-comment rulemaking procedures of the Administrative Procedure Act (APA or Act).</w:t>
      </w:r>
      <w:r w:rsidR="0049455A" w:rsidRPr="000727D6">
        <w:rPr>
          <w:rStyle w:val="FootnoteReference"/>
          <w:rFonts w:eastAsia="Times New Roman"/>
          <w:lang w:val="en-GB" w:eastAsia="en-GB"/>
        </w:rPr>
        <w:footnoteReference w:id="14"/>
      </w:r>
      <w:r w:rsidR="0049455A" w:rsidRPr="000727D6">
        <w:rPr>
          <w:rFonts w:eastAsia="Times New Roman"/>
          <w:lang w:val="en-GB" w:eastAsia="en-GB"/>
        </w:rPr>
        <w:t xml:space="preserve"> </w:t>
      </w:r>
      <w:r w:rsidR="009630CD" w:rsidRPr="000727D6">
        <w:rPr>
          <w:rFonts w:eastAsia="Times New Roman"/>
          <w:lang w:val="en-GB" w:eastAsia="en-GB"/>
        </w:rPr>
        <w:t xml:space="preserve">As a consequence, </w:t>
      </w:r>
      <w:r w:rsidR="00062CB4" w:rsidRPr="000727D6">
        <w:rPr>
          <w:rFonts w:eastAsia="Times New Roman"/>
          <w:i/>
          <w:lang w:val="en-GB" w:eastAsia="en-GB"/>
        </w:rPr>
        <w:t>Perez</w:t>
      </w:r>
      <w:r w:rsidR="009630CD" w:rsidRPr="000727D6">
        <w:rPr>
          <w:rFonts w:eastAsia="Times New Roman"/>
          <w:i/>
          <w:lang w:val="en-GB" w:eastAsia="en-GB"/>
        </w:rPr>
        <w:t xml:space="preserve"> </w:t>
      </w:r>
      <w:r w:rsidR="009630CD" w:rsidRPr="000727D6">
        <w:rPr>
          <w:rFonts w:eastAsia="Times New Roman"/>
          <w:lang w:val="en-GB" w:eastAsia="en-GB"/>
        </w:rPr>
        <w:t xml:space="preserve">confirmed that </w:t>
      </w:r>
      <w:r w:rsidR="0019137C" w:rsidRPr="000727D6">
        <w:rPr>
          <w:rFonts w:eastAsia="Times New Roman"/>
          <w:lang w:val="en-GB" w:eastAsia="en-GB"/>
        </w:rPr>
        <w:t xml:space="preserve">interpretive rules do not have the force </w:t>
      </w:r>
      <w:r w:rsidR="0019137C" w:rsidRPr="000727D6">
        <w:rPr>
          <w:rFonts w:eastAsia="Times New Roman"/>
          <w:lang w:val="en-GB" w:eastAsia="en-GB"/>
        </w:rPr>
        <w:lastRenderedPageBreak/>
        <w:t>or effect of law</w:t>
      </w:r>
      <w:r w:rsidR="00062CB4" w:rsidRPr="000727D6">
        <w:rPr>
          <w:rFonts w:eastAsia="Times New Roman"/>
          <w:lang w:val="en-GB" w:eastAsia="en-GB"/>
        </w:rPr>
        <w:t>.</w:t>
      </w:r>
      <w:r w:rsidR="0019137C" w:rsidRPr="000727D6">
        <w:rPr>
          <w:rStyle w:val="FootnoteReference"/>
          <w:rFonts w:eastAsia="Times New Roman"/>
          <w:lang w:val="en-GB" w:eastAsia="en-GB"/>
        </w:rPr>
        <w:footnoteReference w:id="15"/>
      </w:r>
      <w:r w:rsidR="0019137C" w:rsidRPr="000727D6">
        <w:rPr>
          <w:rFonts w:eastAsia="Times New Roman"/>
          <w:lang w:val="en-GB" w:eastAsia="en-GB"/>
        </w:rPr>
        <w:t xml:space="preserve">  </w:t>
      </w:r>
      <w:r w:rsidR="00062CB4" w:rsidRPr="000727D6">
        <w:rPr>
          <w:lang w:val="en-GB"/>
        </w:rPr>
        <w:t>On</w:t>
      </w:r>
      <w:r w:rsidR="00F811D5" w:rsidRPr="000727D6">
        <w:rPr>
          <w:lang w:val="en-GB"/>
        </w:rPr>
        <w:t xml:space="preserve"> the </w:t>
      </w:r>
      <w:r w:rsidR="00B61343" w:rsidRPr="000727D6">
        <w:rPr>
          <w:lang w:val="en-GB"/>
        </w:rPr>
        <w:t>other hand</w:t>
      </w:r>
      <w:r w:rsidR="00F811D5" w:rsidRPr="000727D6">
        <w:rPr>
          <w:lang w:val="en-GB"/>
        </w:rPr>
        <w:t>,</w:t>
      </w:r>
      <w:r w:rsidR="0049455A" w:rsidRPr="000727D6">
        <w:rPr>
          <w:lang w:val="en-GB"/>
        </w:rPr>
        <w:t xml:space="preserve"> legislative rule</w:t>
      </w:r>
      <w:r w:rsidR="00F811D5" w:rsidRPr="000727D6">
        <w:rPr>
          <w:lang w:val="en-GB"/>
        </w:rPr>
        <w:t>s</w:t>
      </w:r>
      <w:r w:rsidR="0004367F">
        <w:rPr>
          <w:lang w:val="en-GB"/>
        </w:rPr>
        <w:t xml:space="preserve"> </w:t>
      </w:r>
      <w:r w:rsidR="00B61343" w:rsidRPr="000727D6">
        <w:rPr>
          <w:lang w:val="en-GB"/>
        </w:rPr>
        <w:t xml:space="preserve">which </w:t>
      </w:r>
      <w:r w:rsidR="0049455A" w:rsidRPr="000727D6">
        <w:rPr>
          <w:lang w:val="en-GB"/>
        </w:rPr>
        <w:t>impose obligations, or produce other significant effects on private interests</w:t>
      </w:r>
      <w:r w:rsidR="0049455A" w:rsidRPr="000727D6">
        <w:rPr>
          <w:rFonts w:eastAsia="Times New Roman"/>
          <w:lang w:val="en-GB" w:eastAsia="en-GB"/>
        </w:rPr>
        <w:t xml:space="preserve"> </w:t>
      </w:r>
      <w:r w:rsidR="00B61343" w:rsidRPr="000727D6">
        <w:rPr>
          <w:rFonts w:eastAsia="Times New Roman"/>
          <w:lang w:val="en-GB" w:eastAsia="en-GB"/>
        </w:rPr>
        <w:t xml:space="preserve">do </w:t>
      </w:r>
      <w:r w:rsidR="00807ECF" w:rsidRPr="000727D6">
        <w:rPr>
          <w:rFonts w:eastAsia="Times New Roman"/>
          <w:lang w:val="en-GB" w:eastAsia="en-GB"/>
        </w:rPr>
        <w:t>require</w:t>
      </w:r>
      <w:r w:rsidR="0049455A" w:rsidRPr="000727D6">
        <w:rPr>
          <w:rFonts w:eastAsia="Times New Roman"/>
          <w:lang w:val="en-GB" w:eastAsia="en-GB"/>
        </w:rPr>
        <w:t xml:space="preserve"> the notice and comment procedure.</w:t>
      </w:r>
      <w:r w:rsidR="0049455A" w:rsidRPr="000727D6">
        <w:rPr>
          <w:rStyle w:val="FootnoteReference"/>
          <w:rFonts w:eastAsia="Times New Roman"/>
          <w:lang w:val="en-GB" w:eastAsia="en-GB"/>
        </w:rPr>
        <w:footnoteReference w:id="16"/>
      </w:r>
      <w:r w:rsidR="008E37B2" w:rsidRPr="000727D6">
        <w:rPr>
          <w:rFonts w:eastAsia="Times New Roman"/>
          <w:lang w:val="en-GB" w:eastAsia="en-GB"/>
        </w:rPr>
        <w:t xml:space="preserve"> </w:t>
      </w:r>
      <w:proofErr w:type="spellStart"/>
      <w:r w:rsidR="00517D76" w:rsidRPr="000727D6">
        <w:rPr>
          <w:rFonts w:eastAsia="Times New Roman"/>
          <w:i/>
          <w:lang w:val="en-GB" w:eastAsia="en-GB"/>
        </w:rPr>
        <w:t>Kisor</w:t>
      </w:r>
      <w:proofErr w:type="spellEnd"/>
      <w:r w:rsidR="00517D76" w:rsidRPr="000727D6">
        <w:rPr>
          <w:rFonts w:eastAsia="Times New Roman"/>
          <w:lang w:val="en-GB" w:eastAsia="en-GB"/>
        </w:rPr>
        <w:t xml:space="preserve"> confirmed the</w:t>
      </w:r>
      <w:r w:rsidR="008E37B2" w:rsidRPr="000727D6">
        <w:rPr>
          <w:rFonts w:eastAsia="Times New Roman"/>
          <w:lang w:val="en-GB" w:eastAsia="en-GB"/>
        </w:rPr>
        <w:t xml:space="preserve"> different</w:t>
      </w:r>
      <w:r w:rsidR="00517D76" w:rsidRPr="000727D6">
        <w:rPr>
          <w:rFonts w:eastAsia="Times New Roman"/>
          <w:lang w:val="en-GB" w:eastAsia="en-GB"/>
        </w:rPr>
        <w:t xml:space="preserve"> </w:t>
      </w:r>
      <w:r w:rsidR="008E37B2" w:rsidRPr="000727D6">
        <w:rPr>
          <w:rFonts w:eastAsia="Times New Roman"/>
          <w:lang w:val="en-GB" w:eastAsia="en-GB"/>
        </w:rPr>
        <w:t>procedural requirements for</w:t>
      </w:r>
      <w:r w:rsidR="00517D76" w:rsidRPr="000727D6">
        <w:rPr>
          <w:rFonts w:eastAsia="Times New Roman"/>
          <w:lang w:val="en-GB" w:eastAsia="en-GB"/>
        </w:rPr>
        <w:t xml:space="preserve"> interpretive rules and legislative rules</w:t>
      </w:r>
      <w:r w:rsidR="00E971AA" w:rsidRPr="000727D6">
        <w:rPr>
          <w:rFonts w:eastAsia="Times New Roman"/>
          <w:lang w:val="en-GB" w:eastAsia="en-GB"/>
        </w:rPr>
        <w:t>. Furthe</w:t>
      </w:r>
      <w:r w:rsidR="0050663C" w:rsidRPr="000727D6">
        <w:rPr>
          <w:rFonts w:eastAsia="Times New Roman"/>
          <w:lang w:val="en-GB" w:eastAsia="en-GB"/>
        </w:rPr>
        <w:t xml:space="preserve">rmore, in its attempt to consolidate the jurisprudence around authoritativeness of </w:t>
      </w:r>
      <w:r w:rsidR="00B61343" w:rsidRPr="000727D6">
        <w:rPr>
          <w:rFonts w:eastAsia="Times New Roman"/>
          <w:lang w:val="en-GB" w:eastAsia="en-GB"/>
        </w:rPr>
        <w:t xml:space="preserve">agency </w:t>
      </w:r>
      <w:r w:rsidR="0050663C" w:rsidRPr="000727D6">
        <w:rPr>
          <w:rFonts w:eastAsia="Times New Roman"/>
          <w:lang w:val="en-GB" w:eastAsia="en-GB"/>
        </w:rPr>
        <w:t xml:space="preserve">interpretations, it seemed to </w:t>
      </w:r>
      <w:r w:rsidR="00F90E0D" w:rsidRPr="000727D6">
        <w:rPr>
          <w:rFonts w:eastAsia="Times New Roman"/>
          <w:lang w:val="en-GB" w:eastAsia="en-GB"/>
        </w:rPr>
        <w:t>respond</w:t>
      </w:r>
      <w:r w:rsidR="008E37B2" w:rsidRPr="000727D6">
        <w:rPr>
          <w:rFonts w:eastAsia="Times New Roman"/>
          <w:lang w:val="en-GB" w:eastAsia="en-GB"/>
        </w:rPr>
        <w:t xml:space="preserve"> to Justice Scalia’s concurrence in </w:t>
      </w:r>
      <w:r w:rsidR="008E37B2" w:rsidRPr="000727D6">
        <w:rPr>
          <w:rFonts w:eastAsia="Times New Roman"/>
          <w:i/>
          <w:lang w:val="en-GB" w:eastAsia="en-GB"/>
        </w:rPr>
        <w:t>Perez</w:t>
      </w:r>
      <w:r w:rsidR="008E37B2" w:rsidRPr="000727D6">
        <w:rPr>
          <w:rFonts w:eastAsia="Times New Roman"/>
          <w:lang w:val="en-GB" w:eastAsia="en-GB"/>
        </w:rPr>
        <w:t xml:space="preserve"> regarding the role of the courts</w:t>
      </w:r>
      <w:r w:rsidR="00B61343" w:rsidRPr="000727D6">
        <w:rPr>
          <w:rFonts w:eastAsia="Times New Roman"/>
          <w:lang w:val="en-GB" w:eastAsia="en-GB"/>
        </w:rPr>
        <w:t>.</w:t>
      </w:r>
      <w:r w:rsidR="008362FE" w:rsidRPr="000727D6">
        <w:rPr>
          <w:rFonts w:eastAsia="Times New Roman"/>
          <w:lang w:val="en-GB" w:eastAsia="en-GB"/>
        </w:rPr>
        <w:t xml:space="preserve"> </w:t>
      </w:r>
      <w:r w:rsidR="0050663C" w:rsidRPr="000727D6">
        <w:rPr>
          <w:rFonts w:eastAsia="Times New Roman"/>
          <w:lang w:val="en-GB" w:eastAsia="en-GB"/>
        </w:rPr>
        <w:t xml:space="preserve">In </w:t>
      </w:r>
      <w:r w:rsidR="008362FE" w:rsidRPr="000727D6">
        <w:rPr>
          <w:rFonts w:eastAsia="Times New Roman"/>
          <w:i/>
          <w:lang w:val="en-GB" w:eastAsia="en-GB"/>
        </w:rPr>
        <w:t>Perez</w:t>
      </w:r>
      <w:r w:rsidR="008362FE" w:rsidRPr="000727D6">
        <w:rPr>
          <w:rFonts w:eastAsia="Times New Roman"/>
          <w:lang w:val="en-GB" w:eastAsia="en-GB"/>
        </w:rPr>
        <w:t xml:space="preserve">, </w:t>
      </w:r>
      <w:r w:rsidR="0049455A" w:rsidRPr="000727D6">
        <w:rPr>
          <w:rFonts w:eastAsia="Times New Roman"/>
          <w:lang w:val="en-GB" w:eastAsia="en-GB"/>
        </w:rPr>
        <w:t>Justice Scalia stated that an agency can interpret its regulations, but the courts have the final say in deciding whether that interpretation is correct:</w:t>
      </w:r>
    </w:p>
    <w:p w14:paraId="0694BE45" w14:textId="77777777" w:rsidR="00966ADD" w:rsidRPr="000727D6" w:rsidRDefault="00966ADD" w:rsidP="00966ADD">
      <w:pPr>
        <w:ind w:firstLine="709"/>
        <w:jc w:val="both"/>
        <w:rPr>
          <w:rFonts w:eastAsia="Times New Roman"/>
          <w:lang w:val="en-GB" w:eastAsia="en-GB"/>
        </w:rPr>
      </w:pPr>
    </w:p>
    <w:p w14:paraId="290A7AA5" w14:textId="7C6D8FA7" w:rsidR="0049455A" w:rsidRDefault="0049455A" w:rsidP="00966ADD">
      <w:pPr>
        <w:ind w:left="851" w:right="849"/>
        <w:jc w:val="both"/>
        <w:rPr>
          <w:rFonts w:eastAsia="Times New Roman"/>
          <w:lang w:val="en-GB" w:eastAsia="en-GB"/>
        </w:rPr>
      </w:pPr>
      <w:r w:rsidRPr="000727D6">
        <w:rPr>
          <w:rFonts w:eastAsia="Times New Roman"/>
          <w:lang w:val="en-GB" w:eastAsia="en-GB"/>
        </w:rPr>
        <w:t>I would therefore restore the balance originally struck by the APA with respect to an agency’s interpretation of its own regulations, not by rewriting the Act in order to make up for</w:t>
      </w:r>
      <w:r w:rsidR="006B11FB">
        <w:rPr>
          <w:rFonts w:eastAsia="Times New Roman"/>
          <w:lang w:val="en-GB" w:eastAsia="en-GB"/>
        </w:rPr>
        <w:t xml:space="preserve"> </w:t>
      </w:r>
      <w:r w:rsidRPr="000727D6">
        <w:rPr>
          <w:rFonts w:eastAsia="Times New Roman"/>
          <w:i/>
          <w:lang w:val="en-GB" w:eastAsia="en-GB"/>
        </w:rPr>
        <w:t>Auer</w:t>
      </w:r>
      <w:r w:rsidRPr="000727D6">
        <w:rPr>
          <w:rFonts w:eastAsia="Times New Roman"/>
          <w:lang w:val="en-GB" w:eastAsia="en-GB"/>
        </w:rPr>
        <w:t>,</w:t>
      </w:r>
      <w:r w:rsidR="00B61343" w:rsidRPr="000727D6">
        <w:rPr>
          <w:rFonts w:eastAsia="Times New Roman"/>
          <w:lang w:val="en-GB" w:eastAsia="en-GB"/>
        </w:rPr>
        <w:t xml:space="preserve"> </w:t>
      </w:r>
      <w:r w:rsidRPr="000727D6">
        <w:rPr>
          <w:rFonts w:eastAsia="Times New Roman"/>
          <w:lang w:val="en-GB" w:eastAsia="en-GB"/>
        </w:rPr>
        <w:t>but by abandoning</w:t>
      </w:r>
      <w:r w:rsidR="00B61343" w:rsidRPr="000727D6">
        <w:rPr>
          <w:rFonts w:eastAsia="Times New Roman"/>
          <w:lang w:val="en-GB" w:eastAsia="en-GB"/>
        </w:rPr>
        <w:t xml:space="preserve"> </w:t>
      </w:r>
      <w:r w:rsidRPr="000727D6">
        <w:rPr>
          <w:rFonts w:eastAsia="Times New Roman"/>
          <w:i/>
          <w:lang w:val="en-GB" w:eastAsia="en-GB"/>
        </w:rPr>
        <w:t>Auer</w:t>
      </w:r>
      <w:r w:rsidR="00B61343" w:rsidRPr="000727D6">
        <w:rPr>
          <w:rFonts w:eastAsia="Times New Roman"/>
          <w:lang w:val="en-GB" w:eastAsia="en-GB"/>
        </w:rPr>
        <w:t xml:space="preserve"> </w:t>
      </w:r>
      <w:r w:rsidRPr="000727D6">
        <w:rPr>
          <w:rFonts w:eastAsia="Times New Roman"/>
          <w:lang w:val="en-GB" w:eastAsia="en-GB"/>
        </w:rPr>
        <w:t>and applying the Act as written. The agency is free to interpret its own regulations with or without notice and comment; but courts will decide—with no deference to the agency—whether that interpretation is correct.</w:t>
      </w:r>
      <w:r w:rsidRPr="000727D6">
        <w:rPr>
          <w:rStyle w:val="FootnoteReference"/>
          <w:rFonts w:eastAsia="Times New Roman"/>
          <w:lang w:val="en-GB" w:eastAsia="en-GB"/>
        </w:rPr>
        <w:footnoteReference w:id="17"/>
      </w:r>
    </w:p>
    <w:p w14:paraId="4F46FD32" w14:textId="77777777" w:rsidR="00966ADD" w:rsidRPr="000727D6" w:rsidRDefault="00966ADD" w:rsidP="00966ADD">
      <w:pPr>
        <w:ind w:left="851" w:right="849"/>
        <w:jc w:val="both"/>
        <w:rPr>
          <w:rFonts w:eastAsia="Times New Roman"/>
          <w:lang w:val="en-GB" w:eastAsia="en-GB"/>
        </w:rPr>
      </w:pPr>
    </w:p>
    <w:p w14:paraId="120FE496" w14:textId="0F58540E" w:rsidR="00972E3C" w:rsidRDefault="0050663C" w:rsidP="000727D6">
      <w:pPr>
        <w:jc w:val="both"/>
        <w:rPr>
          <w:rFonts w:eastAsia="Times New Roman"/>
          <w:lang w:val="en-GB" w:eastAsia="en-GB"/>
        </w:rPr>
      </w:pPr>
      <w:r w:rsidRPr="000727D6">
        <w:rPr>
          <w:rFonts w:eastAsia="Times New Roman"/>
          <w:lang w:val="en-GB" w:eastAsia="en-GB"/>
        </w:rPr>
        <w:t xml:space="preserve">In response to Scalia’s comments, </w:t>
      </w:r>
      <w:r w:rsidR="004C1F74" w:rsidRPr="000727D6">
        <w:rPr>
          <w:rFonts w:eastAsia="Times New Roman"/>
          <w:lang w:val="en-GB" w:eastAsia="en-GB"/>
        </w:rPr>
        <w:t xml:space="preserve">Justice </w:t>
      </w:r>
      <w:proofErr w:type="spellStart"/>
      <w:r w:rsidR="004C1F74" w:rsidRPr="000727D6">
        <w:rPr>
          <w:rFonts w:eastAsia="Times New Roman"/>
          <w:lang w:val="en-GB" w:eastAsia="en-GB"/>
        </w:rPr>
        <w:t>Kagan</w:t>
      </w:r>
      <w:proofErr w:type="spellEnd"/>
      <w:r w:rsidR="004C1F74" w:rsidRPr="000727D6">
        <w:rPr>
          <w:rFonts w:eastAsia="Times New Roman"/>
          <w:lang w:val="en-GB" w:eastAsia="en-GB"/>
        </w:rPr>
        <w:t xml:space="preserve"> </w:t>
      </w:r>
      <w:r w:rsidRPr="000727D6">
        <w:rPr>
          <w:rFonts w:eastAsia="Times New Roman"/>
          <w:lang w:val="en-GB" w:eastAsia="en-GB"/>
        </w:rPr>
        <w:t>confirmed</w:t>
      </w:r>
      <w:r w:rsidR="004E65E3" w:rsidRPr="000727D6">
        <w:rPr>
          <w:rFonts w:eastAsia="Times New Roman"/>
          <w:lang w:val="en-GB" w:eastAsia="en-GB"/>
        </w:rPr>
        <w:t xml:space="preserve"> that </w:t>
      </w:r>
      <w:r w:rsidR="009B5A44" w:rsidRPr="000727D6">
        <w:rPr>
          <w:rFonts w:eastAsia="Times New Roman"/>
          <w:lang w:val="en-GB" w:eastAsia="en-GB"/>
        </w:rPr>
        <w:t>interpretive rules d</w:t>
      </w:r>
      <w:r w:rsidRPr="000727D6">
        <w:rPr>
          <w:rFonts w:eastAsia="Times New Roman"/>
          <w:lang w:val="en-GB" w:eastAsia="en-GB"/>
        </w:rPr>
        <w:t>o not have the force of law but also clarified that</w:t>
      </w:r>
      <w:r w:rsidR="009B5A44" w:rsidRPr="000727D6">
        <w:rPr>
          <w:rFonts w:eastAsia="Times New Roman"/>
          <w:lang w:val="en-GB" w:eastAsia="en-GB"/>
        </w:rPr>
        <w:t xml:space="preserve"> t</w:t>
      </w:r>
      <w:r w:rsidRPr="000727D6">
        <w:rPr>
          <w:rFonts w:eastAsia="Times New Roman"/>
          <w:lang w:val="en-GB" w:eastAsia="en-GB"/>
        </w:rPr>
        <w:t xml:space="preserve">he meaning of </w:t>
      </w:r>
      <w:r w:rsidR="009B5A44" w:rsidRPr="000727D6">
        <w:rPr>
          <w:rFonts w:eastAsia="Times New Roman"/>
          <w:lang w:val="en-GB" w:eastAsia="en-GB"/>
        </w:rPr>
        <w:t>legislative rules</w:t>
      </w:r>
      <w:r w:rsidR="00C468E8" w:rsidRPr="000727D6">
        <w:rPr>
          <w:rFonts w:eastAsia="Times New Roman"/>
          <w:lang w:val="en-GB" w:eastAsia="en-GB"/>
        </w:rPr>
        <w:t xml:space="preserve"> “</w:t>
      </w:r>
      <w:r w:rsidRPr="000727D6">
        <w:rPr>
          <w:rFonts w:eastAsia="Times New Roman"/>
          <w:lang w:val="en-GB" w:eastAsia="en-GB"/>
        </w:rPr>
        <w:t xml:space="preserve">remains in the hands of the </w:t>
      </w:r>
      <w:r w:rsidR="00C468E8" w:rsidRPr="000727D6">
        <w:rPr>
          <w:rFonts w:eastAsia="Times New Roman"/>
          <w:lang w:val="en-GB" w:eastAsia="en-GB"/>
        </w:rPr>
        <w:t>courts”</w:t>
      </w:r>
      <w:r w:rsidR="00966ADD">
        <w:rPr>
          <w:rFonts w:eastAsia="Times New Roman"/>
          <w:lang w:val="en-GB" w:eastAsia="en-GB"/>
        </w:rPr>
        <w:t>:</w:t>
      </w:r>
    </w:p>
    <w:p w14:paraId="722EFACC" w14:textId="77777777" w:rsidR="00966ADD" w:rsidRPr="000727D6" w:rsidRDefault="00966ADD" w:rsidP="000727D6">
      <w:pPr>
        <w:jc w:val="both"/>
        <w:rPr>
          <w:rFonts w:eastAsia="Times New Roman"/>
          <w:lang w:val="en-GB" w:eastAsia="en-GB"/>
        </w:rPr>
      </w:pPr>
    </w:p>
    <w:p w14:paraId="06C0FD67" w14:textId="716C560E" w:rsidR="00715728" w:rsidRDefault="00D32233" w:rsidP="00966ADD">
      <w:pPr>
        <w:ind w:left="851" w:right="849"/>
        <w:jc w:val="both"/>
        <w:rPr>
          <w:rFonts w:ascii="Arial" w:eastAsia="Times New Roman" w:hAnsi="Arial" w:cs="Arial"/>
          <w:color w:val="000000"/>
          <w:lang w:val="en-GB" w:eastAsia="en-GB"/>
        </w:rPr>
      </w:pPr>
      <w:r w:rsidRPr="000727D6">
        <w:rPr>
          <w:rFonts w:eastAsia="Times New Roman"/>
          <w:lang w:val="en-GB" w:eastAsia="en-GB"/>
        </w:rPr>
        <w:t xml:space="preserve">An interpretive rule itself never forms the basis for an enforcement action </w:t>
      </w:r>
      <w:r w:rsidR="00B61343" w:rsidRPr="000727D6">
        <w:rPr>
          <w:rFonts w:eastAsia="Times New Roman"/>
          <w:lang w:val="en-GB" w:eastAsia="en-GB"/>
        </w:rPr>
        <w:t>[</w:t>
      </w:r>
      <w:r w:rsidRPr="000727D6">
        <w:rPr>
          <w:rFonts w:eastAsia="Times New Roman"/>
          <w:lang w:val="en-GB" w:eastAsia="en-GB"/>
        </w:rPr>
        <w:t>…</w:t>
      </w:r>
      <w:r w:rsidR="00B61343" w:rsidRPr="000727D6">
        <w:rPr>
          <w:rFonts w:eastAsia="Times New Roman"/>
          <w:lang w:val="en-GB" w:eastAsia="en-GB"/>
        </w:rPr>
        <w:t>]</w:t>
      </w:r>
      <w:r w:rsidRPr="000727D6">
        <w:rPr>
          <w:lang w:val="en-GB"/>
        </w:rPr>
        <w:t xml:space="preserve"> </w:t>
      </w:r>
      <w:r w:rsidRPr="000727D6">
        <w:rPr>
          <w:rFonts w:eastAsia="Times New Roman"/>
          <w:lang w:val="en-GB" w:eastAsia="en-GB"/>
        </w:rPr>
        <w:t>the meaning of a legislative rule remains in the hands of courts, even if they sometimes divine that meaning by looking to the agency’s interpretation.</w:t>
      </w:r>
      <w:r w:rsidR="00972E3C" w:rsidRPr="000727D6">
        <w:rPr>
          <w:rFonts w:eastAsia="Times New Roman"/>
          <w:color w:val="000000"/>
          <w:shd w:val="clear" w:color="auto" w:fill="FFFFFF"/>
          <w:lang w:val="en-GB" w:eastAsia="en-GB"/>
        </w:rPr>
        <w:t xml:space="preserve"> Courts first decide whether the rule is clear; if it is not, whether the agency’s reading falls within its zone of ambiguity; and even if the reading does so, whether it should receive deference. In short, courts retain the final authority to approve—or not—the agency’s reading of a notice-and-comment rule.</w:t>
      </w:r>
      <w:r w:rsidR="00972E3C" w:rsidRPr="000727D6">
        <w:rPr>
          <w:rStyle w:val="FootnoteReference"/>
          <w:rFonts w:eastAsia="Times New Roman"/>
          <w:color w:val="000000"/>
          <w:shd w:val="clear" w:color="auto" w:fill="FFFFFF"/>
          <w:lang w:val="en-GB" w:eastAsia="en-GB"/>
        </w:rPr>
        <w:footnoteReference w:id="18"/>
      </w:r>
      <w:r w:rsidR="00972E3C" w:rsidRPr="000727D6">
        <w:rPr>
          <w:rFonts w:eastAsia="Times New Roman"/>
          <w:color w:val="000000"/>
          <w:shd w:val="clear" w:color="auto" w:fill="FFFFFF"/>
          <w:lang w:val="en-GB" w:eastAsia="en-GB"/>
        </w:rPr>
        <w:t xml:space="preserve"> </w:t>
      </w:r>
    </w:p>
    <w:p w14:paraId="642E50B1" w14:textId="77777777" w:rsidR="00966ADD" w:rsidRPr="000727D6" w:rsidRDefault="00966ADD" w:rsidP="00966ADD">
      <w:pPr>
        <w:ind w:right="545"/>
        <w:jc w:val="both"/>
        <w:rPr>
          <w:rFonts w:eastAsia="Times New Roman"/>
          <w:lang w:val="en-GB" w:eastAsia="en-GB"/>
        </w:rPr>
      </w:pPr>
    </w:p>
    <w:p w14:paraId="34C600A8" w14:textId="77777777" w:rsidR="001F5083" w:rsidRPr="000727D6" w:rsidRDefault="00DE2E5F" w:rsidP="000727D6">
      <w:pPr>
        <w:jc w:val="both"/>
        <w:rPr>
          <w:rFonts w:eastAsia="Times New Roman"/>
          <w:color w:val="000000"/>
          <w:shd w:val="clear" w:color="auto" w:fill="FFFFFF"/>
          <w:lang w:val="en-GB" w:eastAsia="en-GB"/>
        </w:rPr>
      </w:pPr>
      <w:r w:rsidRPr="000727D6">
        <w:rPr>
          <w:rFonts w:eastAsia="Times New Roman"/>
          <w:lang w:val="en-GB" w:eastAsia="en-GB"/>
        </w:rPr>
        <w:t>As to point D,</w:t>
      </w:r>
      <w:r w:rsidR="008D4563" w:rsidRPr="000727D6">
        <w:rPr>
          <w:rFonts w:eastAsia="Times New Roman"/>
          <w:lang w:val="en-GB" w:eastAsia="en-GB"/>
        </w:rPr>
        <w:t xml:space="preserve"> expertise of the agency is a foundational requirement for </w:t>
      </w:r>
      <w:r w:rsidR="008D4563" w:rsidRPr="000727D6">
        <w:rPr>
          <w:rFonts w:eastAsia="Times New Roman"/>
          <w:i/>
          <w:lang w:val="en-GB" w:eastAsia="en-GB"/>
        </w:rPr>
        <w:t>Auer</w:t>
      </w:r>
      <w:r w:rsidR="008D4563" w:rsidRPr="000727D6">
        <w:rPr>
          <w:rFonts w:eastAsia="Times New Roman"/>
          <w:lang w:val="en-GB" w:eastAsia="en-GB"/>
        </w:rPr>
        <w:t xml:space="preserve"> because, Justice </w:t>
      </w:r>
      <w:proofErr w:type="spellStart"/>
      <w:r w:rsidR="008D4563" w:rsidRPr="000727D6">
        <w:rPr>
          <w:rFonts w:eastAsia="Times New Roman"/>
          <w:lang w:val="en-GB" w:eastAsia="en-GB"/>
        </w:rPr>
        <w:t>Kagan</w:t>
      </w:r>
      <w:proofErr w:type="spellEnd"/>
      <w:r w:rsidR="008D4563" w:rsidRPr="000727D6">
        <w:rPr>
          <w:rFonts w:eastAsia="Times New Roman"/>
          <w:lang w:val="en-GB" w:eastAsia="en-GB"/>
        </w:rPr>
        <w:t xml:space="preserve"> explains, a</w:t>
      </w:r>
      <w:r w:rsidR="008D4563" w:rsidRPr="000727D6">
        <w:rPr>
          <w:rFonts w:eastAsia="Times New Roman"/>
          <w:color w:val="000000"/>
          <w:shd w:val="clear" w:color="auto" w:fill="FFFFFF"/>
          <w:lang w:val="en-GB" w:eastAsia="en-GB"/>
        </w:rPr>
        <w:t xml:space="preserve">dministrative knowledge and experience largely “account [for] the presumption that Congress delegates interpretive </w:t>
      </w:r>
      <w:proofErr w:type="spellStart"/>
      <w:r w:rsidR="008D4563" w:rsidRPr="000727D6">
        <w:rPr>
          <w:rFonts w:eastAsia="Times New Roman"/>
          <w:color w:val="000000"/>
          <w:shd w:val="clear" w:color="auto" w:fill="FFFFFF"/>
          <w:lang w:val="en-GB" w:eastAsia="en-GB"/>
        </w:rPr>
        <w:t>lawmaking</w:t>
      </w:r>
      <w:proofErr w:type="spellEnd"/>
      <w:r w:rsidR="008D4563" w:rsidRPr="000727D6">
        <w:rPr>
          <w:rFonts w:eastAsia="Times New Roman"/>
          <w:color w:val="000000"/>
          <w:shd w:val="clear" w:color="auto" w:fill="FFFFFF"/>
          <w:lang w:val="en-GB" w:eastAsia="en-GB"/>
        </w:rPr>
        <w:t xml:space="preserve"> power to the agency.”</w:t>
      </w:r>
      <w:r w:rsidR="001F5083" w:rsidRPr="000727D6">
        <w:rPr>
          <w:rStyle w:val="FootnoteReference"/>
          <w:rFonts w:eastAsia="Times New Roman"/>
          <w:color w:val="000000"/>
          <w:shd w:val="clear" w:color="auto" w:fill="FFFFFF"/>
          <w:lang w:val="en-GB" w:eastAsia="en-GB"/>
        </w:rPr>
        <w:footnoteReference w:id="19"/>
      </w:r>
      <w:r w:rsidR="001F5083" w:rsidRPr="000727D6">
        <w:rPr>
          <w:rFonts w:eastAsia="Times New Roman"/>
          <w:color w:val="000000"/>
          <w:shd w:val="clear" w:color="auto" w:fill="FFFFFF"/>
          <w:lang w:val="en-GB" w:eastAsia="en-GB"/>
        </w:rPr>
        <w:t xml:space="preserve"> In other words, expertise is the reason why we assume that Congress delegated interpretation; if the agency does not have expertise there is no presumption of delegation. </w:t>
      </w:r>
    </w:p>
    <w:p w14:paraId="37B4E913" w14:textId="1ED32E1B" w:rsidR="00C730FC" w:rsidRPr="000727D6" w:rsidRDefault="001F5083" w:rsidP="00966ADD">
      <w:pPr>
        <w:ind w:firstLine="720"/>
        <w:jc w:val="both"/>
        <w:rPr>
          <w:rFonts w:ascii="Arial" w:eastAsia="Times New Roman" w:hAnsi="Arial" w:cs="Arial"/>
          <w:color w:val="000000"/>
          <w:lang w:val="en-GB" w:eastAsia="en-GB"/>
        </w:rPr>
      </w:pPr>
      <w:r w:rsidRPr="000727D6">
        <w:rPr>
          <w:rFonts w:eastAsia="Times New Roman"/>
          <w:color w:val="000000"/>
          <w:shd w:val="clear" w:color="auto" w:fill="FFFFFF"/>
          <w:lang w:val="en-GB" w:eastAsia="en-GB"/>
        </w:rPr>
        <w:t>In regards to point E, deference to “fair and considered judgement”, court</w:t>
      </w:r>
      <w:r w:rsidR="00F90E0D" w:rsidRPr="000727D6">
        <w:rPr>
          <w:rFonts w:eastAsia="Times New Roman"/>
          <w:color w:val="000000"/>
          <w:shd w:val="clear" w:color="auto" w:fill="FFFFFF"/>
          <w:lang w:val="en-GB" w:eastAsia="en-GB"/>
        </w:rPr>
        <w:t xml:space="preserve">s are </w:t>
      </w:r>
      <w:r w:rsidRPr="000727D6">
        <w:rPr>
          <w:rFonts w:eastAsia="Times New Roman"/>
          <w:color w:val="000000"/>
          <w:shd w:val="clear" w:color="auto" w:fill="FFFFFF"/>
          <w:lang w:val="en-GB" w:eastAsia="en-GB"/>
        </w:rPr>
        <w:t>required to assess whether the agency interpretation is fair and does not creates “unfair surprise” to regulated parties.</w:t>
      </w:r>
      <w:r w:rsidRPr="000727D6">
        <w:rPr>
          <w:rStyle w:val="FootnoteReference"/>
          <w:rFonts w:eastAsia="Times New Roman"/>
          <w:color w:val="000000"/>
          <w:shd w:val="clear" w:color="auto" w:fill="FFFFFF"/>
          <w:lang w:val="en-GB" w:eastAsia="en-GB"/>
        </w:rPr>
        <w:footnoteReference w:id="20"/>
      </w:r>
      <w:r w:rsidR="00F90E0D" w:rsidRPr="000727D6">
        <w:rPr>
          <w:rFonts w:eastAsia="Times New Roman"/>
          <w:color w:val="000000"/>
          <w:shd w:val="clear" w:color="auto" w:fill="FFFFFF"/>
          <w:lang w:val="en-GB" w:eastAsia="en-GB"/>
        </w:rPr>
        <w:t xml:space="preserve"> </w:t>
      </w:r>
      <w:r w:rsidR="0022531B" w:rsidRPr="000727D6">
        <w:rPr>
          <w:rFonts w:eastAsia="Times New Roman"/>
          <w:color w:val="000000"/>
          <w:shd w:val="clear" w:color="auto" w:fill="FFFFFF"/>
          <w:lang w:val="en-GB" w:eastAsia="en-GB"/>
        </w:rPr>
        <w:t xml:space="preserve">Justice </w:t>
      </w:r>
      <w:proofErr w:type="spellStart"/>
      <w:r w:rsidR="0022531B" w:rsidRPr="000727D6">
        <w:rPr>
          <w:rFonts w:eastAsia="Times New Roman"/>
          <w:color w:val="000000"/>
          <w:shd w:val="clear" w:color="auto" w:fill="FFFFFF"/>
          <w:lang w:val="en-GB" w:eastAsia="en-GB"/>
        </w:rPr>
        <w:t>Kagan</w:t>
      </w:r>
      <w:proofErr w:type="spellEnd"/>
      <w:r w:rsidR="0022531B" w:rsidRPr="000727D6">
        <w:rPr>
          <w:rFonts w:eastAsia="Times New Roman"/>
          <w:color w:val="000000"/>
          <w:shd w:val="clear" w:color="auto" w:fill="FFFFFF"/>
          <w:lang w:val="en-GB" w:eastAsia="en-GB"/>
        </w:rPr>
        <w:t xml:space="preserve"> explains: “we have therefore only rarely given </w:t>
      </w:r>
      <w:r w:rsidR="0022531B" w:rsidRPr="000727D6">
        <w:rPr>
          <w:rFonts w:eastAsia="Times New Roman"/>
          <w:i/>
          <w:color w:val="000000"/>
          <w:shd w:val="clear" w:color="auto" w:fill="FFFFFF"/>
          <w:lang w:val="en-GB" w:eastAsia="en-GB"/>
        </w:rPr>
        <w:t>Auer</w:t>
      </w:r>
      <w:r w:rsidR="0022531B" w:rsidRPr="000727D6">
        <w:rPr>
          <w:rFonts w:eastAsia="Times New Roman"/>
          <w:color w:val="000000"/>
          <w:shd w:val="clear" w:color="auto" w:fill="FFFFFF"/>
          <w:lang w:val="en-GB" w:eastAsia="en-GB"/>
        </w:rPr>
        <w:t xml:space="preserve"> deference to an agency construction “conflict[</w:t>
      </w:r>
      <w:proofErr w:type="spellStart"/>
      <w:r w:rsidR="0022531B" w:rsidRPr="000727D6">
        <w:rPr>
          <w:rFonts w:eastAsia="Times New Roman"/>
          <w:color w:val="000000"/>
          <w:shd w:val="clear" w:color="auto" w:fill="FFFFFF"/>
          <w:lang w:val="en-GB" w:eastAsia="en-GB"/>
        </w:rPr>
        <w:t>ing</w:t>
      </w:r>
      <w:proofErr w:type="spellEnd"/>
      <w:r w:rsidR="0022531B" w:rsidRPr="000727D6">
        <w:rPr>
          <w:rFonts w:eastAsia="Times New Roman"/>
          <w:color w:val="000000"/>
          <w:shd w:val="clear" w:color="auto" w:fill="FFFFFF"/>
          <w:lang w:val="en-GB" w:eastAsia="en-GB"/>
        </w:rPr>
        <w:t>] with a prior” one.</w:t>
      </w:r>
      <w:r w:rsidR="0022531B" w:rsidRPr="000727D6">
        <w:rPr>
          <w:rStyle w:val="FootnoteReference"/>
          <w:rFonts w:eastAsia="Times New Roman"/>
          <w:color w:val="000000"/>
          <w:shd w:val="clear" w:color="auto" w:fill="FFFFFF"/>
          <w:lang w:val="en-GB" w:eastAsia="en-GB"/>
        </w:rPr>
        <w:footnoteReference w:id="21"/>
      </w:r>
      <w:r w:rsidR="00522DC7" w:rsidRPr="000727D6">
        <w:rPr>
          <w:rFonts w:eastAsia="Times New Roman"/>
          <w:color w:val="000000"/>
          <w:shd w:val="clear" w:color="auto" w:fill="FFFFFF"/>
          <w:lang w:val="en-GB" w:eastAsia="en-GB"/>
        </w:rPr>
        <w:t xml:space="preserve"> Again, the court </w:t>
      </w:r>
      <w:r w:rsidR="00B468FB" w:rsidRPr="000727D6">
        <w:rPr>
          <w:rFonts w:eastAsia="Times New Roman"/>
          <w:color w:val="000000"/>
          <w:shd w:val="clear" w:color="auto" w:fill="FFFFFF"/>
          <w:lang w:val="en-GB" w:eastAsia="en-GB"/>
        </w:rPr>
        <w:t xml:space="preserve">is inclined to </w:t>
      </w:r>
      <w:r w:rsidR="00574337" w:rsidRPr="000727D6">
        <w:rPr>
          <w:rFonts w:eastAsia="Times New Roman"/>
          <w:color w:val="000000"/>
          <w:shd w:val="clear" w:color="auto" w:fill="FFFFFF"/>
          <w:lang w:val="en-GB" w:eastAsia="en-GB"/>
        </w:rPr>
        <w:t>maintain certainty of the law</w:t>
      </w:r>
      <w:r w:rsidR="00B61343" w:rsidRPr="000727D6">
        <w:rPr>
          <w:rFonts w:eastAsia="Times New Roman"/>
          <w:color w:val="000000"/>
          <w:shd w:val="clear" w:color="auto" w:fill="FFFFFF"/>
          <w:lang w:val="en-GB" w:eastAsia="en-GB"/>
        </w:rPr>
        <w:t xml:space="preserve">; </w:t>
      </w:r>
      <w:r w:rsidR="00574337" w:rsidRPr="000727D6">
        <w:rPr>
          <w:rFonts w:eastAsia="Times New Roman"/>
          <w:color w:val="000000"/>
          <w:shd w:val="clear" w:color="auto" w:fill="FFFFFF"/>
          <w:lang w:val="en-GB" w:eastAsia="en-GB"/>
        </w:rPr>
        <w:t xml:space="preserve">it </w:t>
      </w:r>
      <w:r w:rsidR="00522DC7" w:rsidRPr="000727D6">
        <w:rPr>
          <w:rFonts w:eastAsia="Times New Roman"/>
          <w:color w:val="000000"/>
          <w:shd w:val="clear" w:color="auto" w:fill="FFFFFF"/>
          <w:lang w:val="en-GB" w:eastAsia="en-GB"/>
        </w:rPr>
        <w:t xml:space="preserve">does not innovate but cites to previous judgements in an attempt to strengthen </w:t>
      </w:r>
      <w:r w:rsidR="00B468FB" w:rsidRPr="000727D6">
        <w:rPr>
          <w:rFonts w:eastAsia="Times New Roman"/>
          <w:color w:val="000000"/>
          <w:shd w:val="clear" w:color="auto" w:fill="FFFFFF"/>
          <w:lang w:val="en-GB" w:eastAsia="en-GB"/>
        </w:rPr>
        <w:t>jurisprudence</w:t>
      </w:r>
      <w:r w:rsidR="00522DC7" w:rsidRPr="000727D6">
        <w:rPr>
          <w:rFonts w:eastAsia="Times New Roman"/>
          <w:color w:val="000000"/>
          <w:shd w:val="clear" w:color="auto" w:fill="FFFFFF"/>
          <w:lang w:val="en-GB" w:eastAsia="en-GB"/>
        </w:rPr>
        <w:t>.</w:t>
      </w:r>
    </w:p>
    <w:p w14:paraId="325E60A9" w14:textId="5CF5B00D" w:rsidR="00E84841" w:rsidRDefault="004E65E3" w:rsidP="00966ADD">
      <w:pPr>
        <w:ind w:firstLine="720"/>
        <w:jc w:val="both"/>
        <w:rPr>
          <w:rFonts w:eastAsia="Times New Roman"/>
          <w:lang w:val="en-GB" w:eastAsia="en-GB"/>
        </w:rPr>
      </w:pPr>
      <w:proofErr w:type="spellStart"/>
      <w:r w:rsidRPr="000727D6">
        <w:rPr>
          <w:rFonts w:eastAsia="Times New Roman"/>
          <w:i/>
          <w:lang w:val="en-GB" w:eastAsia="en-GB"/>
        </w:rPr>
        <w:t>Kisor</w:t>
      </w:r>
      <w:proofErr w:type="spellEnd"/>
      <w:r w:rsidRPr="000727D6">
        <w:rPr>
          <w:rFonts w:eastAsia="Times New Roman"/>
          <w:lang w:val="en-GB" w:eastAsia="en-GB"/>
        </w:rPr>
        <w:t xml:space="preserve"> is</w:t>
      </w:r>
      <w:r w:rsidR="00925344" w:rsidRPr="000727D6">
        <w:rPr>
          <w:rFonts w:eastAsia="Times New Roman"/>
          <w:lang w:val="en-GB" w:eastAsia="en-GB"/>
        </w:rPr>
        <w:t xml:space="preserve"> certainly not the</w:t>
      </w:r>
      <w:r w:rsidRPr="000727D6">
        <w:rPr>
          <w:rFonts w:eastAsia="Times New Roman"/>
          <w:lang w:val="en-GB" w:eastAsia="en-GB"/>
        </w:rPr>
        <w:t xml:space="preserve"> revolutionary decision</w:t>
      </w:r>
      <w:r w:rsidR="00574337" w:rsidRPr="000727D6">
        <w:rPr>
          <w:rFonts w:eastAsia="Times New Roman"/>
          <w:lang w:val="en-GB" w:eastAsia="en-GB"/>
        </w:rPr>
        <w:t xml:space="preserve"> that many were expecting. Instead,</w:t>
      </w:r>
      <w:r w:rsidR="00062CB4" w:rsidRPr="000727D6">
        <w:rPr>
          <w:rFonts w:eastAsia="Times New Roman"/>
          <w:lang w:val="en-GB" w:eastAsia="en-GB"/>
        </w:rPr>
        <w:t xml:space="preserve"> this abstract </w:t>
      </w:r>
      <w:r w:rsidR="00925344" w:rsidRPr="000727D6">
        <w:rPr>
          <w:rFonts w:eastAsia="Times New Roman"/>
          <w:lang w:val="en-GB" w:eastAsia="en-GB"/>
        </w:rPr>
        <w:t>argue</w:t>
      </w:r>
      <w:r w:rsidR="00062CB4" w:rsidRPr="000727D6">
        <w:rPr>
          <w:rFonts w:eastAsia="Times New Roman"/>
          <w:lang w:val="en-GB" w:eastAsia="en-GB"/>
        </w:rPr>
        <w:t>s</w:t>
      </w:r>
      <w:r w:rsidR="00925344" w:rsidRPr="000727D6">
        <w:rPr>
          <w:rFonts w:eastAsia="Times New Roman"/>
          <w:lang w:val="en-GB" w:eastAsia="en-GB"/>
        </w:rPr>
        <w:t>,</w:t>
      </w:r>
      <w:r w:rsidRPr="000727D6">
        <w:rPr>
          <w:rFonts w:eastAsia="Times New Roman"/>
          <w:lang w:val="en-GB" w:eastAsia="en-GB"/>
        </w:rPr>
        <w:t xml:space="preserve"> </w:t>
      </w:r>
      <w:r w:rsidR="00574337" w:rsidRPr="000727D6">
        <w:rPr>
          <w:rFonts w:eastAsia="Times New Roman"/>
          <w:lang w:val="en-GB" w:eastAsia="en-GB"/>
        </w:rPr>
        <w:t xml:space="preserve">it is </w:t>
      </w:r>
      <w:r w:rsidRPr="000727D6">
        <w:rPr>
          <w:rFonts w:eastAsia="Times New Roman"/>
          <w:lang w:val="en-GB" w:eastAsia="en-GB"/>
        </w:rPr>
        <w:t xml:space="preserve">an exercise in doctrine consolidation. </w:t>
      </w:r>
      <w:r w:rsidR="00574337" w:rsidRPr="000727D6">
        <w:rPr>
          <w:rFonts w:eastAsia="Times New Roman"/>
          <w:lang w:val="en-GB" w:eastAsia="en-GB"/>
        </w:rPr>
        <w:t xml:space="preserve">Time only will tell </w:t>
      </w:r>
      <w:r w:rsidR="00574337" w:rsidRPr="000727D6">
        <w:rPr>
          <w:rFonts w:eastAsia="Times New Roman"/>
          <w:lang w:val="en-GB" w:eastAsia="en-GB"/>
        </w:rPr>
        <w:lastRenderedPageBreak/>
        <w:t xml:space="preserve">whether the consolidation of the doctrine </w:t>
      </w:r>
      <w:r w:rsidR="00F46354" w:rsidRPr="000727D6">
        <w:rPr>
          <w:rFonts w:eastAsia="Times New Roman"/>
          <w:lang w:val="en-GB" w:eastAsia="en-GB"/>
        </w:rPr>
        <w:t xml:space="preserve">is real </w:t>
      </w:r>
      <w:r w:rsidR="00574337" w:rsidRPr="000727D6">
        <w:rPr>
          <w:rFonts w:eastAsia="Times New Roman"/>
          <w:lang w:val="en-GB" w:eastAsia="en-GB"/>
        </w:rPr>
        <w:t xml:space="preserve">or only another temporary block to the </w:t>
      </w:r>
      <w:r w:rsidR="00B61343" w:rsidRPr="000727D6">
        <w:rPr>
          <w:rFonts w:eastAsia="Times New Roman"/>
          <w:lang w:val="en-GB" w:eastAsia="en-GB"/>
        </w:rPr>
        <w:t xml:space="preserve">predicted </w:t>
      </w:r>
      <w:r w:rsidR="00574337" w:rsidRPr="000727D6">
        <w:rPr>
          <w:rFonts w:eastAsia="Times New Roman"/>
          <w:lang w:val="en-GB" w:eastAsia="en-GB"/>
        </w:rPr>
        <w:t>decline of administrative deference in the U</w:t>
      </w:r>
      <w:r w:rsidR="00B61343" w:rsidRPr="000727D6">
        <w:rPr>
          <w:rFonts w:eastAsia="Times New Roman"/>
          <w:lang w:val="en-GB" w:eastAsia="en-GB"/>
        </w:rPr>
        <w:t xml:space="preserve">nited </w:t>
      </w:r>
      <w:r w:rsidR="00574337" w:rsidRPr="000727D6">
        <w:rPr>
          <w:rFonts w:eastAsia="Times New Roman"/>
          <w:lang w:val="en-GB" w:eastAsia="en-GB"/>
        </w:rPr>
        <w:t>S</w:t>
      </w:r>
      <w:r w:rsidR="00B61343" w:rsidRPr="000727D6">
        <w:rPr>
          <w:rFonts w:eastAsia="Times New Roman"/>
          <w:lang w:val="en-GB" w:eastAsia="en-GB"/>
        </w:rPr>
        <w:t>tates.</w:t>
      </w:r>
    </w:p>
    <w:p w14:paraId="6A42EFFF" w14:textId="77777777" w:rsidR="00EB6F69" w:rsidRDefault="0004367F" w:rsidP="00012FF7">
      <w:pPr>
        <w:spacing w:after="120"/>
        <w:rPr>
          <w:rFonts w:eastAsia="Times New Roman"/>
          <w:lang w:val="en-GB" w:eastAsia="en-GB"/>
        </w:rPr>
      </w:pPr>
      <w:r>
        <w:rPr>
          <w:rFonts w:eastAsia="Times New Roman"/>
          <w:lang w:val="en-GB" w:eastAsia="en-GB"/>
        </w:rPr>
        <w:br w:type="page"/>
      </w:r>
    </w:p>
    <w:p w14:paraId="63EAF048" w14:textId="3B8D2EC9" w:rsidR="00EB6F69" w:rsidRPr="00EB6F69" w:rsidRDefault="00EB6F69" w:rsidP="00EB6F69">
      <w:pPr>
        <w:pStyle w:val="FootnoteText"/>
        <w:spacing w:after="120"/>
        <w:jc w:val="both"/>
        <w:rPr>
          <w:b/>
          <w:sz w:val="24"/>
          <w:szCs w:val="24"/>
          <w:lang w:val="en-GB"/>
        </w:rPr>
      </w:pPr>
      <w:r w:rsidRPr="00EB6F69">
        <w:rPr>
          <w:b/>
          <w:sz w:val="24"/>
          <w:szCs w:val="24"/>
          <w:lang w:val="en-GB"/>
        </w:rPr>
        <w:lastRenderedPageBreak/>
        <w:t>Reference List</w:t>
      </w:r>
    </w:p>
    <w:p w14:paraId="784901BD" w14:textId="77777777" w:rsidR="00EB6F69" w:rsidRDefault="00EB6F69" w:rsidP="00EB6F69">
      <w:pPr>
        <w:pStyle w:val="FootnoteText"/>
        <w:jc w:val="both"/>
        <w:rPr>
          <w:sz w:val="24"/>
          <w:szCs w:val="24"/>
          <w:lang w:val="en-GB"/>
        </w:rPr>
      </w:pPr>
    </w:p>
    <w:p w14:paraId="10C9CAF9" w14:textId="77777777" w:rsidR="00EB6F69" w:rsidRPr="00012FF7" w:rsidRDefault="00EB6F69" w:rsidP="00EB6F69">
      <w:pPr>
        <w:pStyle w:val="FootnoteText"/>
        <w:spacing w:after="120"/>
        <w:jc w:val="both"/>
        <w:rPr>
          <w:sz w:val="24"/>
          <w:szCs w:val="24"/>
          <w:lang w:val="en-GB"/>
        </w:rPr>
      </w:pPr>
      <w:r w:rsidRPr="00012FF7">
        <w:rPr>
          <w:sz w:val="24"/>
          <w:szCs w:val="24"/>
          <w:lang w:val="en-GB"/>
        </w:rPr>
        <w:t>126 A.L.R. Fed. (Originally published in 1995).</w:t>
      </w:r>
    </w:p>
    <w:p w14:paraId="287C766B" w14:textId="77777777" w:rsidR="00EB6F69" w:rsidRPr="00012FF7" w:rsidRDefault="00EB6F69" w:rsidP="00EB6F69">
      <w:pPr>
        <w:pStyle w:val="FootnoteText"/>
        <w:spacing w:after="120"/>
        <w:jc w:val="both"/>
        <w:rPr>
          <w:sz w:val="24"/>
          <w:szCs w:val="24"/>
          <w:lang w:val="en-GB"/>
        </w:rPr>
      </w:pPr>
      <w:r w:rsidRPr="00012FF7">
        <w:rPr>
          <w:sz w:val="24"/>
          <w:szCs w:val="24"/>
          <w:lang w:val="en-GB"/>
        </w:rPr>
        <w:t xml:space="preserve">5 </w:t>
      </w:r>
      <w:proofErr w:type="spellStart"/>
      <w:r w:rsidRPr="00012FF7">
        <w:rPr>
          <w:sz w:val="24"/>
          <w:szCs w:val="24"/>
          <w:lang w:val="en-GB"/>
        </w:rPr>
        <w:t>U.</w:t>
      </w:r>
      <w:proofErr w:type="gramStart"/>
      <w:r w:rsidRPr="00012FF7">
        <w:rPr>
          <w:sz w:val="24"/>
          <w:szCs w:val="24"/>
          <w:lang w:val="en-GB"/>
        </w:rPr>
        <w:t>S.C</w:t>
      </w:r>
      <w:r>
        <w:rPr>
          <w:sz w:val="24"/>
          <w:szCs w:val="24"/>
          <w:lang w:val="en-GB"/>
        </w:rPr>
        <w:t>ode</w:t>
      </w:r>
      <w:proofErr w:type="spellEnd"/>
      <w:proofErr w:type="gramEnd"/>
      <w:r w:rsidRPr="00012FF7">
        <w:rPr>
          <w:sz w:val="24"/>
          <w:szCs w:val="24"/>
          <w:lang w:val="en-GB"/>
        </w:rPr>
        <w:t xml:space="preserve"> § 553(b)(A). </w:t>
      </w:r>
    </w:p>
    <w:p w14:paraId="78A97458" w14:textId="77777777" w:rsidR="00EB6F69" w:rsidRDefault="00EB6F69" w:rsidP="00EB6F69">
      <w:pPr>
        <w:rPr>
          <w:rFonts w:eastAsia="Times New Roman"/>
          <w:lang w:val="en-GB" w:eastAsia="en-GB"/>
        </w:rPr>
      </w:pPr>
    </w:p>
    <w:p w14:paraId="17E15D3D" w14:textId="77777777" w:rsidR="00EB6F69" w:rsidRDefault="00EB6F69" w:rsidP="00EB6F69">
      <w:pPr>
        <w:rPr>
          <w:rFonts w:eastAsia="Times New Roman"/>
          <w:lang w:val="en-GB" w:eastAsia="en-GB"/>
        </w:rPr>
      </w:pPr>
    </w:p>
    <w:p w14:paraId="236CF093" w14:textId="24FDEC05" w:rsidR="0004367F" w:rsidRPr="00012FF7" w:rsidRDefault="00012FF7" w:rsidP="00012FF7">
      <w:pPr>
        <w:spacing w:after="120"/>
        <w:rPr>
          <w:rFonts w:eastAsia="Times New Roman"/>
          <w:b/>
          <w:lang w:val="en-GB" w:eastAsia="en-GB"/>
        </w:rPr>
      </w:pPr>
      <w:r w:rsidRPr="00012FF7">
        <w:rPr>
          <w:rFonts w:eastAsia="Times New Roman"/>
          <w:b/>
          <w:lang w:val="en-GB" w:eastAsia="en-GB"/>
        </w:rPr>
        <w:t>Cases</w:t>
      </w:r>
    </w:p>
    <w:p w14:paraId="3990FDC1" w14:textId="77777777" w:rsidR="00012FF7" w:rsidRDefault="00012FF7" w:rsidP="00EB6F69">
      <w:pPr>
        <w:rPr>
          <w:rFonts w:eastAsia="Times New Roman"/>
          <w:lang w:val="en-GB" w:eastAsia="en-GB"/>
        </w:rPr>
      </w:pPr>
    </w:p>
    <w:p w14:paraId="220234AC" w14:textId="77777777" w:rsidR="00EB6F69" w:rsidRPr="00EB6F69" w:rsidRDefault="00EB6F69" w:rsidP="00EB6F69">
      <w:pPr>
        <w:pStyle w:val="FootnoteText"/>
        <w:spacing w:after="120"/>
        <w:jc w:val="both"/>
        <w:rPr>
          <w:sz w:val="24"/>
          <w:szCs w:val="24"/>
          <w:lang w:val="en-GB"/>
        </w:rPr>
      </w:pPr>
      <w:r w:rsidRPr="00EB6F69">
        <w:rPr>
          <w:sz w:val="24"/>
          <w:szCs w:val="24"/>
          <w:lang w:val="en-GB"/>
        </w:rPr>
        <w:t>U.S. Supreme Court, Auer v. Robbins, 519 U.S. 452 (1997).</w:t>
      </w:r>
    </w:p>
    <w:p w14:paraId="49AB78C9" w14:textId="77777777" w:rsidR="00EB6F69" w:rsidRPr="00EB6F69" w:rsidRDefault="00EB6F69" w:rsidP="00EB6F69">
      <w:pPr>
        <w:pStyle w:val="FootnoteText"/>
        <w:spacing w:after="120"/>
        <w:jc w:val="both"/>
        <w:rPr>
          <w:sz w:val="24"/>
          <w:szCs w:val="24"/>
          <w:lang w:val="en-GB"/>
        </w:rPr>
      </w:pPr>
      <w:r w:rsidRPr="00EB6F69">
        <w:rPr>
          <w:sz w:val="24"/>
          <w:szCs w:val="24"/>
          <w:lang w:val="en-GB"/>
        </w:rPr>
        <w:t>U.S. Supreme Court, Bowles v. Seminole Rock &amp; Sand Co., 325 U.S. 410 (1945).</w:t>
      </w:r>
    </w:p>
    <w:p w14:paraId="524589BD" w14:textId="77777777" w:rsidR="00EB6F69" w:rsidRPr="00EB6F69" w:rsidRDefault="00EB6F69" w:rsidP="00EB6F69">
      <w:pPr>
        <w:pStyle w:val="FootnoteText"/>
        <w:spacing w:after="120"/>
        <w:jc w:val="both"/>
        <w:rPr>
          <w:sz w:val="24"/>
          <w:szCs w:val="24"/>
          <w:lang w:val="en-GB"/>
        </w:rPr>
      </w:pPr>
      <w:r w:rsidRPr="00EB6F69">
        <w:rPr>
          <w:sz w:val="24"/>
          <w:szCs w:val="24"/>
          <w:lang w:val="en-GB"/>
        </w:rPr>
        <w:t xml:space="preserve">U.S. Supreme Court, Chevron U.S.A. Inc. v. Natural Resources </w:t>
      </w:r>
      <w:proofErr w:type="spellStart"/>
      <w:r w:rsidRPr="00EB6F69">
        <w:rPr>
          <w:sz w:val="24"/>
          <w:szCs w:val="24"/>
          <w:lang w:val="en-GB"/>
        </w:rPr>
        <w:t>Defense</w:t>
      </w:r>
      <w:proofErr w:type="spellEnd"/>
      <w:r w:rsidRPr="00EB6F69">
        <w:rPr>
          <w:sz w:val="24"/>
          <w:szCs w:val="24"/>
          <w:lang w:val="en-GB"/>
        </w:rPr>
        <w:t xml:space="preserve"> Council, Inc., 467 U.S. 837, 843, n. 9, 104 </w:t>
      </w:r>
      <w:proofErr w:type="spellStart"/>
      <w:r w:rsidRPr="00EB6F69">
        <w:rPr>
          <w:sz w:val="24"/>
          <w:szCs w:val="24"/>
          <w:lang w:val="en-GB"/>
        </w:rPr>
        <w:t>S.Ct</w:t>
      </w:r>
      <w:proofErr w:type="spellEnd"/>
      <w:r w:rsidRPr="00EB6F69">
        <w:rPr>
          <w:sz w:val="24"/>
          <w:szCs w:val="24"/>
          <w:lang w:val="en-GB"/>
        </w:rPr>
        <w:t>. 2778, 81 L.Ed.2d 694 (1984).</w:t>
      </w:r>
    </w:p>
    <w:p w14:paraId="3E6869FF" w14:textId="77777777" w:rsidR="00EB6F69" w:rsidRPr="00B91AE2" w:rsidRDefault="00EB6F69" w:rsidP="00EB6F69">
      <w:pPr>
        <w:pStyle w:val="FootnoteText"/>
        <w:spacing w:after="120"/>
        <w:jc w:val="both"/>
        <w:rPr>
          <w:sz w:val="24"/>
          <w:szCs w:val="24"/>
          <w:lang w:val="en-GB"/>
        </w:rPr>
      </w:pPr>
      <w:r w:rsidRPr="00EB6F69">
        <w:rPr>
          <w:sz w:val="24"/>
          <w:szCs w:val="24"/>
          <w:lang w:val="en-GB"/>
        </w:rPr>
        <w:t>U.S. Supreme Court,</w:t>
      </w:r>
      <w:r>
        <w:rPr>
          <w:sz w:val="24"/>
          <w:szCs w:val="24"/>
          <w:lang w:val="en-GB"/>
        </w:rPr>
        <w:t xml:space="preserve"> </w:t>
      </w:r>
      <w:proofErr w:type="spellStart"/>
      <w:r w:rsidRPr="00EB6F69">
        <w:rPr>
          <w:sz w:val="24"/>
          <w:szCs w:val="24"/>
          <w:lang w:val="en-GB"/>
        </w:rPr>
        <w:t>Kisor</w:t>
      </w:r>
      <w:proofErr w:type="spellEnd"/>
      <w:r w:rsidRPr="00EB6F69">
        <w:rPr>
          <w:sz w:val="24"/>
          <w:szCs w:val="24"/>
          <w:lang w:val="en-GB"/>
        </w:rPr>
        <w:t xml:space="preserve"> v. </w:t>
      </w:r>
      <w:proofErr w:type="spellStart"/>
      <w:r w:rsidRPr="00EB6F69">
        <w:rPr>
          <w:sz w:val="24"/>
          <w:szCs w:val="24"/>
          <w:lang w:val="en-GB"/>
        </w:rPr>
        <w:t>Wilkie</w:t>
      </w:r>
      <w:proofErr w:type="spellEnd"/>
      <w:r w:rsidRPr="00EB6F69">
        <w:rPr>
          <w:sz w:val="24"/>
          <w:szCs w:val="24"/>
          <w:lang w:val="en-GB"/>
        </w:rPr>
        <w:t xml:space="preserve">, 139 S. </w:t>
      </w:r>
      <w:bookmarkStart w:id="0" w:name="_GoBack"/>
      <w:bookmarkEnd w:id="0"/>
      <w:r w:rsidRPr="00B91AE2">
        <w:rPr>
          <w:sz w:val="24"/>
          <w:szCs w:val="24"/>
          <w:lang w:val="en-GB"/>
        </w:rPr>
        <w:t xml:space="preserve">Ct. 2400, 2420 (2019). </w:t>
      </w:r>
    </w:p>
    <w:p w14:paraId="46B72CA2" w14:textId="77777777" w:rsidR="00EB6F69" w:rsidRPr="00B91AE2" w:rsidRDefault="00EB6F69" w:rsidP="00EB6F69">
      <w:pPr>
        <w:pStyle w:val="FootnoteText"/>
        <w:spacing w:after="120"/>
        <w:jc w:val="both"/>
        <w:rPr>
          <w:sz w:val="24"/>
          <w:szCs w:val="24"/>
          <w:lang w:val="en-GB"/>
        </w:rPr>
      </w:pPr>
      <w:r w:rsidRPr="00B91AE2">
        <w:rPr>
          <w:sz w:val="24"/>
          <w:szCs w:val="24"/>
          <w:lang w:val="en-GB"/>
        </w:rPr>
        <w:t xml:space="preserve">U.S. Supreme Court, </w:t>
      </w:r>
      <w:proofErr w:type="spellStart"/>
      <w:r w:rsidRPr="00B91AE2">
        <w:rPr>
          <w:sz w:val="24"/>
          <w:szCs w:val="24"/>
          <w:lang w:val="en-GB"/>
        </w:rPr>
        <w:t>Kisor</w:t>
      </w:r>
      <w:proofErr w:type="spellEnd"/>
      <w:r w:rsidRPr="00B91AE2">
        <w:rPr>
          <w:sz w:val="24"/>
          <w:szCs w:val="24"/>
          <w:lang w:val="en-GB"/>
        </w:rPr>
        <w:t xml:space="preserve"> v. </w:t>
      </w:r>
      <w:proofErr w:type="spellStart"/>
      <w:r w:rsidRPr="00B91AE2">
        <w:rPr>
          <w:sz w:val="24"/>
          <w:szCs w:val="24"/>
          <w:lang w:val="en-GB"/>
        </w:rPr>
        <w:t>Wilkie</w:t>
      </w:r>
      <w:proofErr w:type="spellEnd"/>
      <w:r w:rsidRPr="00B91AE2">
        <w:rPr>
          <w:sz w:val="24"/>
          <w:szCs w:val="24"/>
          <w:lang w:val="en-GB"/>
        </w:rPr>
        <w:t>, 139 S. Ct. 657 (2018).</w:t>
      </w:r>
    </w:p>
    <w:p w14:paraId="7C382A40" w14:textId="77777777" w:rsidR="00EB6F69" w:rsidRPr="00EB6F69" w:rsidRDefault="00EB6F69" w:rsidP="00EB6F69">
      <w:pPr>
        <w:pStyle w:val="FootnoteText"/>
        <w:spacing w:after="120"/>
        <w:jc w:val="both"/>
        <w:rPr>
          <w:sz w:val="24"/>
          <w:szCs w:val="24"/>
          <w:lang w:val="en-GB"/>
        </w:rPr>
      </w:pPr>
      <w:r w:rsidRPr="00B91AE2">
        <w:rPr>
          <w:sz w:val="24"/>
          <w:szCs w:val="24"/>
          <w:lang w:val="en-GB"/>
        </w:rPr>
        <w:t xml:space="preserve">U.S. Supreme Court, Long Island Care Long Island Care at Home, Ltd. v. Coke, 551 U.S. 158, 127 </w:t>
      </w:r>
      <w:proofErr w:type="spellStart"/>
      <w:r w:rsidRPr="00B91AE2">
        <w:rPr>
          <w:sz w:val="24"/>
          <w:szCs w:val="24"/>
          <w:lang w:val="en-GB"/>
        </w:rPr>
        <w:t>S.Ct</w:t>
      </w:r>
      <w:proofErr w:type="spellEnd"/>
      <w:r w:rsidRPr="00B91AE2">
        <w:rPr>
          <w:sz w:val="24"/>
          <w:szCs w:val="24"/>
          <w:lang w:val="en-GB"/>
        </w:rPr>
        <w:t>. 2339 (2017).</w:t>
      </w:r>
    </w:p>
    <w:p w14:paraId="11B9CC91" w14:textId="77777777" w:rsidR="00EB6F69" w:rsidRPr="00EB6F69" w:rsidRDefault="00EB6F69" w:rsidP="00EB6F69">
      <w:pPr>
        <w:pStyle w:val="FootnoteText"/>
        <w:spacing w:after="120"/>
        <w:jc w:val="both"/>
        <w:rPr>
          <w:sz w:val="24"/>
          <w:szCs w:val="24"/>
          <w:lang w:val="en-GB"/>
        </w:rPr>
      </w:pPr>
      <w:r w:rsidRPr="00EB6F69">
        <w:rPr>
          <w:sz w:val="24"/>
          <w:szCs w:val="24"/>
          <w:lang w:val="en-GB"/>
        </w:rPr>
        <w:t xml:space="preserve">U.S. Supreme Court, Martin v. Occupational Safety and Health Review </w:t>
      </w:r>
      <w:proofErr w:type="spellStart"/>
      <w:proofErr w:type="gramStart"/>
      <w:r w:rsidRPr="00EB6F69">
        <w:rPr>
          <w:sz w:val="24"/>
          <w:szCs w:val="24"/>
          <w:lang w:val="en-GB"/>
        </w:rPr>
        <w:t>Com'n</w:t>
      </w:r>
      <w:proofErr w:type="spellEnd"/>
      <w:r w:rsidRPr="00EB6F69">
        <w:rPr>
          <w:sz w:val="24"/>
          <w:szCs w:val="24"/>
          <w:lang w:val="en-GB"/>
        </w:rPr>
        <w:t xml:space="preserve"> ,</w:t>
      </w:r>
      <w:proofErr w:type="gramEnd"/>
      <w:r w:rsidRPr="00EB6F69">
        <w:rPr>
          <w:sz w:val="24"/>
          <w:szCs w:val="24"/>
          <w:lang w:val="en-GB"/>
        </w:rPr>
        <w:t xml:space="preserve"> 499 U.S. at 153, 111 </w:t>
      </w:r>
      <w:proofErr w:type="spellStart"/>
      <w:r w:rsidRPr="00EB6F69">
        <w:rPr>
          <w:sz w:val="24"/>
          <w:szCs w:val="24"/>
          <w:lang w:val="en-GB"/>
        </w:rPr>
        <w:t>S.Ct</w:t>
      </w:r>
      <w:proofErr w:type="spellEnd"/>
      <w:r w:rsidRPr="00EB6F69">
        <w:rPr>
          <w:sz w:val="24"/>
          <w:szCs w:val="24"/>
          <w:lang w:val="en-GB"/>
        </w:rPr>
        <w:t>. 1171.</w:t>
      </w:r>
    </w:p>
    <w:p w14:paraId="1FE99F22" w14:textId="77777777" w:rsidR="00EB6F69" w:rsidRPr="00EB6F69" w:rsidRDefault="00EB6F69" w:rsidP="00EB6F69">
      <w:pPr>
        <w:shd w:val="clear" w:color="auto" w:fill="FFFFFF"/>
        <w:spacing w:after="120"/>
        <w:jc w:val="both"/>
        <w:rPr>
          <w:lang w:val="en-GB"/>
        </w:rPr>
      </w:pPr>
      <w:r w:rsidRPr="00EB6F69">
        <w:rPr>
          <w:lang w:val="en-GB"/>
        </w:rPr>
        <w:t xml:space="preserve">U.S. Supreme Court, Perez v. </w:t>
      </w:r>
      <w:proofErr w:type="spellStart"/>
      <w:r w:rsidRPr="00EB6F69">
        <w:rPr>
          <w:lang w:val="en-GB"/>
        </w:rPr>
        <w:t>Mortg</w:t>
      </w:r>
      <w:proofErr w:type="spellEnd"/>
      <w:r w:rsidRPr="00EB6F69">
        <w:rPr>
          <w:lang w:val="en-GB"/>
        </w:rPr>
        <w:t xml:space="preserve">. Bankers </w:t>
      </w:r>
      <w:proofErr w:type="spellStart"/>
      <w:r w:rsidRPr="00EB6F69">
        <w:rPr>
          <w:lang w:val="en-GB"/>
        </w:rPr>
        <w:t>Ass'n</w:t>
      </w:r>
      <w:proofErr w:type="spellEnd"/>
      <w:r w:rsidRPr="00EB6F69">
        <w:rPr>
          <w:lang w:val="en-GB"/>
        </w:rPr>
        <w:t>, 135 S. Ct. 1199, 1213 (2015).</w:t>
      </w:r>
    </w:p>
    <w:p w14:paraId="2A085D2C" w14:textId="77777777" w:rsidR="00012FF7" w:rsidRPr="00012FF7" w:rsidRDefault="00012FF7" w:rsidP="00012FF7">
      <w:pPr>
        <w:spacing w:after="120"/>
        <w:jc w:val="both"/>
        <w:rPr>
          <w:rFonts w:eastAsia="Times New Roman"/>
          <w:lang w:val="en-GB" w:eastAsia="en-GB"/>
        </w:rPr>
      </w:pPr>
    </w:p>
    <w:sectPr w:rsidR="00012FF7" w:rsidRPr="00012FF7" w:rsidSect="000727D6">
      <w:footerReference w:type="default" r:id="rId8"/>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CF868" w14:textId="77777777" w:rsidR="00C7138D" w:rsidRDefault="00C7138D" w:rsidP="00D46DB2">
      <w:r>
        <w:separator/>
      </w:r>
    </w:p>
  </w:endnote>
  <w:endnote w:type="continuationSeparator" w:id="0">
    <w:p w14:paraId="1DBD999E" w14:textId="77777777" w:rsidR="00C7138D" w:rsidRDefault="00C7138D" w:rsidP="00D4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697528"/>
      <w:docPartObj>
        <w:docPartGallery w:val="Page Numbers (Bottom of Page)"/>
        <w:docPartUnique/>
      </w:docPartObj>
    </w:sdtPr>
    <w:sdtEndPr/>
    <w:sdtContent>
      <w:p w14:paraId="687EA0E8" w14:textId="1B1CBDA2" w:rsidR="00A05DF4" w:rsidRDefault="00A05DF4" w:rsidP="00A05DF4">
        <w:pPr>
          <w:pStyle w:val="Footer"/>
          <w:jc w:val="right"/>
        </w:pPr>
        <w:r>
          <w:fldChar w:fldCharType="begin"/>
        </w:r>
        <w:r>
          <w:instrText>PAGE   \* MERGEFORMAT</w:instrText>
        </w:r>
        <w:r>
          <w:fldChar w:fldCharType="separate"/>
        </w:r>
        <w:r w:rsidR="0027361F">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37DB9" w14:textId="77777777" w:rsidR="00C7138D" w:rsidRDefault="00C7138D" w:rsidP="00D46DB2">
      <w:r>
        <w:separator/>
      </w:r>
    </w:p>
  </w:footnote>
  <w:footnote w:type="continuationSeparator" w:id="0">
    <w:p w14:paraId="07969E15" w14:textId="77777777" w:rsidR="00C7138D" w:rsidRDefault="00C7138D" w:rsidP="00D46DB2">
      <w:r>
        <w:continuationSeparator/>
      </w:r>
    </w:p>
  </w:footnote>
  <w:footnote w:id="1">
    <w:p w14:paraId="00C5967A" w14:textId="77777777" w:rsidR="00D47AAD" w:rsidRPr="0027361F" w:rsidRDefault="00D47AAD" w:rsidP="00D47AAD">
      <w:pPr>
        <w:pStyle w:val="FootnoteText"/>
        <w:jc w:val="both"/>
        <w:rPr>
          <w:shd w:val="clear" w:color="auto" w:fill="FFFFFF"/>
          <w:lang w:val="en-US"/>
        </w:rPr>
      </w:pPr>
      <w:r w:rsidRPr="0027361F">
        <w:rPr>
          <w:lang w:val="en-US"/>
        </w:rPr>
        <w:t xml:space="preserve">* </w:t>
      </w:r>
      <w:r w:rsidRPr="0027361F">
        <w:rPr>
          <w:shd w:val="clear" w:color="auto" w:fill="FFFFFF"/>
          <w:lang w:val="en-US"/>
        </w:rPr>
        <w:t xml:space="preserve">Expanded abstract adapted from the lectures given in the following events: 1) seminar “Comparative Study of the Theoretical Foundations of Judicial Deference” held in Rio de Janeiro on September 3, 2018 as part of the Post-Graduate Law Program of the </w:t>
      </w:r>
      <w:proofErr w:type="spellStart"/>
      <w:r w:rsidRPr="0027361F">
        <w:rPr>
          <w:shd w:val="clear" w:color="auto" w:fill="FFFFFF"/>
          <w:lang w:val="en-US"/>
        </w:rPr>
        <w:t>Estácio</w:t>
      </w:r>
      <w:proofErr w:type="spellEnd"/>
      <w:r w:rsidRPr="0027361F">
        <w:rPr>
          <w:shd w:val="clear" w:color="auto" w:fill="FFFFFF"/>
          <w:lang w:val="en-US"/>
        </w:rPr>
        <w:t xml:space="preserve"> de Sá University / PPGD-</w:t>
      </w:r>
      <w:proofErr w:type="spellStart"/>
      <w:r w:rsidRPr="0027361F">
        <w:rPr>
          <w:shd w:val="clear" w:color="auto" w:fill="FFFFFF"/>
          <w:lang w:val="en-US"/>
        </w:rPr>
        <w:t>Unesa</w:t>
      </w:r>
      <w:proofErr w:type="spellEnd"/>
      <w:r w:rsidRPr="0027361F">
        <w:rPr>
          <w:shd w:val="clear" w:color="auto" w:fill="FFFFFF"/>
          <w:lang w:val="en-US"/>
        </w:rPr>
        <w:t>, 2) the roundtable “Comparative Study of the Theoretical Foundations of Judicial Deference”, organized by the Law and Society Association’s collaborative research network “Comparative Constitutional Law and Legal Culture: Asia and the Americas”, at the 2019 Annual Meeting of the Law and Society Association, on 30 June 2019, in Washington, D.C., and 3) the roundtable “The Judiciary and the Administrative State” as part of the seminar “Global Constitutional Dialogue: Judicial Challenges for the 21</w:t>
      </w:r>
      <w:r w:rsidRPr="0027361F">
        <w:rPr>
          <w:shd w:val="clear" w:color="auto" w:fill="FFFFFF"/>
          <w:vertAlign w:val="superscript"/>
          <w:lang w:val="en-US"/>
        </w:rPr>
        <w:t>st</w:t>
      </w:r>
      <w:r w:rsidRPr="0027361F">
        <w:rPr>
          <w:shd w:val="clear" w:color="auto" w:fill="FFFFFF"/>
          <w:lang w:val="en-US"/>
        </w:rPr>
        <w:t xml:space="preserve"> Century” held at Birmingham City University, in Birmingham, UK, on 4 September 2019. All the above-mentioned events were carried out in the framework of the research project “The “Comparative Study of the Theoretical Foundations of Judicial Deference”, carried out by the Centre for American Legal Studies (The School of Law, Birmingham City University - BCU) jointly with the Post-Graduate Law Program of the </w:t>
      </w:r>
      <w:proofErr w:type="spellStart"/>
      <w:r w:rsidRPr="0027361F">
        <w:rPr>
          <w:shd w:val="clear" w:color="auto" w:fill="FFFFFF"/>
          <w:lang w:val="en-US"/>
        </w:rPr>
        <w:t>Estácio</w:t>
      </w:r>
      <w:proofErr w:type="spellEnd"/>
      <w:r w:rsidRPr="0027361F">
        <w:rPr>
          <w:shd w:val="clear" w:color="auto" w:fill="FFFFFF"/>
          <w:lang w:val="en-US"/>
        </w:rPr>
        <w:t xml:space="preserve"> de Sá University / PPGD-</w:t>
      </w:r>
      <w:proofErr w:type="spellStart"/>
      <w:r w:rsidRPr="0027361F">
        <w:rPr>
          <w:shd w:val="clear" w:color="auto" w:fill="FFFFFF"/>
          <w:lang w:val="en-US"/>
        </w:rPr>
        <w:t>Unesa</w:t>
      </w:r>
      <w:proofErr w:type="spellEnd"/>
      <w:r w:rsidRPr="0027361F">
        <w:rPr>
          <w:shd w:val="clear" w:color="auto" w:fill="FFFFFF"/>
          <w:lang w:val="en-US"/>
        </w:rPr>
        <w:t>, under the coordination of the professors Ricardo Perlingeiro (</w:t>
      </w:r>
      <w:proofErr w:type="spellStart"/>
      <w:r w:rsidRPr="0027361F">
        <w:rPr>
          <w:shd w:val="clear" w:color="auto" w:fill="FFFFFF"/>
          <w:lang w:val="en-US"/>
        </w:rPr>
        <w:t>Unesa</w:t>
      </w:r>
      <w:proofErr w:type="spellEnd"/>
      <w:r w:rsidRPr="0027361F">
        <w:rPr>
          <w:shd w:val="clear" w:color="auto" w:fill="FFFFFF"/>
          <w:lang w:val="en-US"/>
        </w:rPr>
        <w:t>) and Anne Oakes (BCU).</w:t>
      </w:r>
    </w:p>
    <w:p w14:paraId="372A7573" w14:textId="77777777" w:rsidR="00D47AAD" w:rsidRPr="00D47AAD" w:rsidRDefault="00D47AAD" w:rsidP="00D47AAD">
      <w:pPr>
        <w:pStyle w:val="FootnoteText"/>
        <w:jc w:val="both"/>
        <w:rPr>
          <w:lang w:val="en-US"/>
        </w:rPr>
      </w:pPr>
      <w:r w:rsidRPr="0027361F">
        <w:rPr>
          <w:shd w:val="clear" w:color="auto" w:fill="FFFFFF"/>
          <w:lang w:val="en-US"/>
        </w:rPr>
        <w:t xml:space="preserve">** </w:t>
      </w:r>
      <w:r w:rsidRPr="0027361F">
        <w:rPr>
          <w:lang w:val="en-US"/>
        </w:rPr>
        <w:t>Dr Ilaria Di Gioia is a Lecturer in Law. She teaches Public Law, Legal Method, American Legal Practice, the Individual and the US Constitution and Federalism and the US Constitution. She devotes her free time to public service, is her capacity of Honorary Vice-Consul for Italy in Birmingham. Dr. Di Gioia is an active member of the American Politics Group (UK), a sub-group of the Political Studies Association and has presented her research at several conferences in the UK, Europe, the US and Latin-America.</w:t>
      </w:r>
    </w:p>
    <w:p w14:paraId="2DC0050A" w14:textId="2A4A41E4" w:rsidR="007660DE" w:rsidRPr="00E85BED" w:rsidRDefault="007660DE" w:rsidP="00A05DF4">
      <w:pPr>
        <w:pStyle w:val="FootnoteText"/>
        <w:jc w:val="both"/>
        <w:rPr>
          <w:lang w:val="en-GB"/>
        </w:rPr>
      </w:pPr>
      <w:r w:rsidRPr="00E85BED">
        <w:rPr>
          <w:rStyle w:val="FootnoteReference"/>
        </w:rPr>
        <w:footnoteRef/>
      </w:r>
      <w:r w:rsidRPr="00E85BED">
        <w:rPr>
          <w:lang w:val="en-GB"/>
        </w:rPr>
        <w:t xml:space="preserve"> For instance, Justice Thomas expressed discomfort with the existing deference </w:t>
      </w:r>
      <w:r w:rsidR="00E85BED" w:rsidRPr="00E85BED">
        <w:rPr>
          <w:lang w:val="en-GB"/>
        </w:rPr>
        <w:t xml:space="preserve">regime and in Michigan v. EPA, </w:t>
      </w:r>
      <w:r w:rsidRPr="00E85BED">
        <w:rPr>
          <w:lang w:val="en-GB"/>
        </w:rPr>
        <w:t>argued that Chevron delegation “is in tension with Article III's Vesting Clause, which vests the judicial power exclusively in Article III courts,</w:t>
      </w:r>
      <w:r w:rsidR="00E85BED" w:rsidRPr="00E85BED">
        <w:rPr>
          <w:lang w:val="en-GB"/>
        </w:rPr>
        <w:t xml:space="preserve"> not administrative agencies” </w:t>
      </w:r>
      <w:r w:rsidRPr="00E85BED">
        <w:rPr>
          <w:lang w:val="en-GB"/>
        </w:rPr>
        <w:t>and in tension with Art. I “which vests ‘[a]</w:t>
      </w:r>
      <w:proofErr w:type="spellStart"/>
      <w:r w:rsidRPr="00E85BED">
        <w:rPr>
          <w:lang w:val="en-GB"/>
        </w:rPr>
        <w:t>ll</w:t>
      </w:r>
      <w:proofErr w:type="spellEnd"/>
      <w:r w:rsidRPr="00E85BED">
        <w:rPr>
          <w:lang w:val="en-GB"/>
        </w:rPr>
        <w:t xml:space="preserve"> legislative Powers herein granted’ in Congress” thus advancing the case for revision of the doctrine.</w:t>
      </w:r>
    </w:p>
  </w:footnote>
  <w:footnote w:id="2">
    <w:p w14:paraId="3A8E284D" w14:textId="0F24DC39" w:rsidR="00971BF6" w:rsidRPr="00E85BED" w:rsidRDefault="00971BF6" w:rsidP="00A05DF4">
      <w:pPr>
        <w:pStyle w:val="FootnoteText"/>
        <w:jc w:val="both"/>
        <w:rPr>
          <w:lang w:val="en-GB"/>
        </w:rPr>
      </w:pPr>
      <w:r w:rsidRPr="00E85BED">
        <w:rPr>
          <w:rStyle w:val="FootnoteReference"/>
        </w:rPr>
        <w:footnoteRef/>
      </w:r>
      <w:r w:rsidRPr="00E85BED">
        <w:rPr>
          <w:lang w:val="en-GB"/>
        </w:rPr>
        <w:t xml:space="preserve"> </w:t>
      </w:r>
      <w:proofErr w:type="spellStart"/>
      <w:r w:rsidRPr="00E85BED">
        <w:rPr>
          <w:lang w:val="en-GB"/>
        </w:rPr>
        <w:t>Kisor</w:t>
      </w:r>
      <w:proofErr w:type="spellEnd"/>
      <w:r w:rsidRPr="00E85BED">
        <w:rPr>
          <w:lang w:val="en-GB"/>
        </w:rPr>
        <w:t xml:space="preserve"> v. </w:t>
      </w:r>
      <w:proofErr w:type="spellStart"/>
      <w:r w:rsidRPr="00E85BED">
        <w:rPr>
          <w:lang w:val="en-GB"/>
        </w:rPr>
        <w:t>Wilkie</w:t>
      </w:r>
      <w:proofErr w:type="spellEnd"/>
      <w:r w:rsidRPr="00E85BED">
        <w:rPr>
          <w:lang w:val="en-GB"/>
        </w:rPr>
        <w:t xml:space="preserve">, 139 S. Ct. </w:t>
      </w:r>
      <w:r w:rsidRPr="0027361F">
        <w:rPr>
          <w:lang w:val="en-GB"/>
        </w:rPr>
        <w:t xml:space="preserve">657 </w:t>
      </w:r>
      <w:r w:rsidR="0027361F" w:rsidRPr="0027361F">
        <w:rPr>
          <w:lang w:val="en-GB"/>
        </w:rPr>
        <w:t>(2019</w:t>
      </w:r>
      <w:r w:rsidRPr="0027361F">
        <w:rPr>
          <w:lang w:val="en-GB"/>
        </w:rPr>
        <w:t>).</w:t>
      </w:r>
    </w:p>
  </w:footnote>
  <w:footnote w:id="3">
    <w:p w14:paraId="7AACD960" w14:textId="79FA9BDA" w:rsidR="00E83E56" w:rsidRPr="00E85BED" w:rsidRDefault="00E83E56" w:rsidP="00A05DF4">
      <w:pPr>
        <w:pStyle w:val="FootnoteText"/>
        <w:jc w:val="both"/>
        <w:rPr>
          <w:lang w:val="en-GB"/>
        </w:rPr>
      </w:pPr>
      <w:r w:rsidRPr="00E85BED">
        <w:rPr>
          <w:rStyle w:val="FootnoteReference"/>
        </w:rPr>
        <w:footnoteRef/>
      </w:r>
      <w:r w:rsidRPr="00E85BED">
        <w:rPr>
          <w:lang w:val="en-GB"/>
        </w:rPr>
        <w:t xml:space="preserve"> Department of Veterans Affairs’ New and Material Evidence regulation.38 C.F.R. § 3.156, “A claimant may reopen a finally adjudicated claim by submitting</w:t>
      </w:r>
      <w:r w:rsidR="00E85BED" w:rsidRPr="00E85BED">
        <w:rPr>
          <w:lang w:val="en-GB"/>
        </w:rPr>
        <w:t xml:space="preserve"> new and material evidence”. 38</w:t>
      </w:r>
      <w:r w:rsidRPr="00E85BED">
        <w:rPr>
          <w:lang w:val="en-GB"/>
        </w:rPr>
        <w:t xml:space="preserve"> C.F.R “Notwithstanding any other section in this part, at any time after VA issues a decision on a claim, if VA receives or associates with the claims file relevant official service department records that existed and had not been associated with the claims file when VA first decided the claim, VA will reconsider the claim, notwithstanding paragraph (a) of this section.</w:t>
      </w:r>
    </w:p>
  </w:footnote>
  <w:footnote w:id="4">
    <w:p w14:paraId="541C3C0C" w14:textId="77777777" w:rsidR="00C563EB" w:rsidRPr="00E85BED" w:rsidRDefault="00C563EB" w:rsidP="00A05DF4">
      <w:pPr>
        <w:pStyle w:val="FootnoteText"/>
        <w:jc w:val="both"/>
        <w:rPr>
          <w:lang w:val="en-GB"/>
        </w:rPr>
      </w:pPr>
      <w:r w:rsidRPr="00E85BED">
        <w:rPr>
          <w:rStyle w:val="FootnoteReference"/>
        </w:rPr>
        <w:footnoteRef/>
      </w:r>
      <w:r w:rsidRPr="00E85BED">
        <w:rPr>
          <w:lang w:val="en-GB"/>
        </w:rPr>
        <w:t xml:space="preserve"> </w:t>
      </w:r>
      <w:r w:rsidR="00C4224E" w:rsidRPr="00E85BED">
        <w:rPr>
          <w:lang w:val="en-GB"/>
        </w:rPr>
        <w:t>Auer v. Robbins, 519 U.S. 452 (1997).</w:t>
      </w:r>
    </w:p>
  </w:footnote>
  <w:footnote w:id="5">
    <w:p w14:paraId="5A388215" w14:textId="77777777" w:rsidR="00C563EB" w:rsidRPr="00E85BED" w:rsidRDefault="00C563EB">
      <w:pPr>
        <w:pStyle w:val="FootnoteText"/>
        <w:rPr>
          <w:lang w:val="en-GB"/>
        </w:rPr>
      </w:pPr>
      <w:r w:rsidRPr="00E85BED">
        <w:rPr>
          <w:rStyle w:val="FootnoteReference"/>
        </w:rPr>
        <w:footnoteRef/>
      </w:r>
      <w:r w:rsidRPr="00E85BED">
        <w:rPr>
          <w:lang w:val="en-GB"/>
        </w:rPr>
        <w:t xml:space="preserve"> </w:t>
      </w:r>
      <w:r w:rsidR="00C4224E" w:rsidRPr="00E85BED">
        <w:rPr>
          <w:lang w:val="en-GB"/>
        </w:rPr>
        <w:t>Bowles v. Seminole Rock &amp; Sand Co., 325 U.S. 410 (1945).</w:t>
      </w:r>
    </w:p>
  </w:footnote>
  <w:footnote w:id="6">
    <w:p w14:paraId="44E344C8" w14:textId="77777777" w:rsidR="0043607C" w:rsidRPr="003B429F" w:rsidRDefault="0043607C" w:rsidP="00A05DF4">
      <w:pPr>
        <w:pStyle w:val="FootnoteText"/>
        <w:jc w:val="both"/>
        <w:rPr>
          <w:lang w:val="en-GB"/>
        </w:rPr>
      </w:pPr>
      <w:r>
        <w:rPr>
          <w:rStyle w:val="FootnoteReference"/>
        </w:rPr>
        <w:footnoteRef/>
      </w:r>
      <w:r w:rsidRPr="003B429F">
        <w:rPr>
          <w:lang w:val="en-GB"/>
        </w:rPr>
        <w:t xml:space="preserve"> </w:t>
      </w:r>
      <w:proofErr w:type="spellStart"/>
      <w:r w:rsidRPr="003B429F">
        <w:rPr>
          <w:lang w:val="en-GB"/>
        </w:rPr>
        <w:t>Kisor</w:t>
      </w:r>
      <w:proofErr w:type="spellEnd"/>
      <w:r w:rsidRPr="003B429F">
        <w:rPr>
          <w:lang w:val="en-GB"/>
        </w:rPr>
        <w:t xml:space="preserve"> v. </w:t>
      </w:r>
      <w:proofErr w:type="spellStart"/>
      <w:r w:rsidRPr="003B429F">
        <w:rPr>
          <w:lang w:val="en-GB"/>
        </w:rPr>
        <w:t>Wilkie</w:t>
      </w:r>
      <w:proofErr w:type="spellEnd"/>
      <w:r w:rsidRPr="003B429F">
        <w:rPr>
          <w:lang w:val="en-GB"/>
        </w:rPr>
        <w:t xml:space="preserve">, 139 S. Ct. </w:t>
      </w:r>
      <w:r w:rsidRPr="0027361F">
        <w:rPr>
          <w:lang w:val="en-GB"/>
        </w:rPr>
        <w:t>2400, 2408 (2019)</w:t>
      </w:r>
      <w:r w:rsidR="0045244B" w:rsidRPr="0027361F">
        <w:rPr>
          <w:lang w:val="en-GB"/>
        </w:rPr>
        <w:t>.</w:t>
      </w:r>
    </w:p>
  </w:footnote>
  <w:footnote w:id="7">
    <w:p w14:paraId="5DD28EBC" w14:textId="77777777" w:rsidR="00E75C74" w:rsidRPr="003B429F" w:rsidRDefault="00E75C74" w:rsidP="00A05DF4">
      <w:pPr>
        <w:pStyle w:val="FootnoteText"/>
        <w:jc w:val="both"/>
        <w:rPr>
          <w:lang w:val="en-GB"/>
        </w:rPr>
      </w:pPr>
      <w:r>
        <w:rPr>
          <w:rStyle w:val="FootnoteReference"/>
        </w:rPr>
        <w:footnoteRef/>
      </w:r>
      <w:r w:rsidRPr="003B429F">
        <w:rPr>
          <w:lang w:val="en-GB"/>
        </w:rPr>
        <w:t xml:space="preserve"> </w:t>
      </w:r>
      <w:r w:rsidR="0045244B" w:rsidRPr="003B429F">
        <w:rPr>
          <w:i/>
          <w:lang w:val="en-GB"/>
        </w:rPr>
        <w:t xml:space="preserve">Id. </w:t>
      </w:r>
      <w:r w:rsidR="0045244B" w:rsidRPr="003B429F">
        <w:rPr>
          <w:lang w:val="en-GB"/>
        </w:rPr>
        <w:t>at 2415.</w:t>
      </w:r>
    </w:p>
  </w:footnote>
  <w:footnote w:id="8">
    <w:p w14:paraId="71BAB994" w14:textId="77777777" w:rsidR="00E75C74" w:rsidRPr="003B429F" w:rsidRDefault="00E75C74" w:rsidP="00A05DF4">
      <w:pPr>
        <w:pStyle w:val="FootnoteText"/>
        <w:jc w:val="both"/>
        <w:rPr>
          <w:lang w:val="en-GB"/>
        </w:rPr>
      </w:pPr>
      <w:r>
        <w:rPr>
          <w:rStyle w:val="FootnoteReference"/>
        </w:rPr>
        <w:footnoteRef/>
      </w:r>
      <w:r w:rsidRPr="003B429F">
        <w:rPr>
          <w:lang w:val="en-GB"/>
        </w:rPr>
        <w:t xml:space="preserve"> </w:t>
      </w:r>
      <w:r w:rsidR="0045244B" w:rsidRPr="003B429F">
        <w:rPr>
          <w:i/>
          <w:lang w:val="en-GB"/>
        </w:rPr>
        <w:t>Id.</w:t>
      </w:r>
      <w:r w:rsidR="0045244B" w:rsidRPr="003B429F">
        <w:rPr>
          <w:lang w:val="en-GB"/>
        </w:rPr>
        <w:t xml:space="preserve"> at 2416. </w:t>
      </w:r>
    </w:p>
  </w:footnote>
  <w:footnote w:id="9">
    <w:p w14:paraId="236E6990" w14:textId="77777777" w:rsidR="00E75C74" w:rsidRPr="003B429F" w:rsidRDefault="00E75C74" w:rsidP="00A05DF4">
      <w:pPr>
        <w:pStyle w:val="FootnoteText"/>
        <w:jc w:val="both"/>
        <w:rPr>
          <w:lang w:val="en-GB"/>
        </w:rPr>
      </w:pPr>
      <w:r>
        <w:rPr>
          <w:rStyle w:val="FootnoteReference"/>
        </w:rPr>
        <w:footnoteRef/>
      </w:r>
      <w:r w:rsidR="0045244B" w:rsidRPr="003B429F">
        <w:rPr>
          <w:lang w:val="en-GB"/>
        </w:rPr>
        <w:t xml:space="preserve"> </w:t>
      </w:r>
      <w:r w:rsidR="0045244B" w:rsidRPr="003B429F">
        <w:rPr>
          <w:i/>
          <w:lang w:val="en-GB"/>
        </w:rPr>
        <w:t>Id.</w:t>
      </w:r>
      <w:r w:rsidRPr="003B429F">
        <w:rPr>
          <w:i/>
          <w:lang w:val="en-GB"/>
        </w:rPr>
        <w:t xml:space="preserve"> </w:t>
      </w:r>
      <w:r w:rsidRPr="003B429F">
        <w:rPr>
          <w:lang w:val="en-GB"/>
        </w:rPr>
        <w:t>The interpretation must at the least emanate from those actors, using those vehicles, understood to make authoritative policy in the relevant context</w:t>
      </w:r>
    </w:p>
  </w:footnote>
  <w:footnote w:id="10">
    <w:p w14:paraId="5DD48A75" w14:textId="77777777" w:rsidR="00E75C74" w:rsidRPr="003F179B" w:rsidRDefault="00E75C74" w:rsidP="00A05DF4">
      <w:pPr>
        <w:pStyle w:val="FootnoteText"/>
        <w:jc w:val="both"/>
        <w:rPr>
          <w:lang w:val="en-GB"/>
        </w:rPr>
      </w:pPr>
      <w:r>
        <w:rPr>
          <w:rStyle w:val="FootnoteReference"/>
        </w:rPr>
        <w:footnoteRef/>
      </w:r>
      <w:r w:rsidRPr="003B429F">
        <w:rPr>
          <w:lang w:val="en-GB"/>
        </w:rPr>
        <w:t xml:space="preserve"> </w:t>
      </w:r>
      <w:r w:rsidR="0045244B" w:rsidRPr="003B429F">
        <w:rPr>
          <w:i/>
          <w:lang w:val="en-GB"/>
        </w:rPr>
        <w:t>Id.</w:t>
      </w:r>
      <w:r w:rsidR="0045244B" w:rsidRPr="003B429F">
        <w:rPr>
          <w:lang w:val="en-GB"/>
        </w:rPr>
        <w:t xml:space="preserve"> at</w:t>
      </w:r>
      <w:r w:rsidRPr="003B429F">
        <w:rPr>
          <w:lang w:val="en-GB"/>
        </w:rPr>
        <w:t xml:space="preserve"> 2417 (2019).</w:t>
      </w:r>
    </w:p>
  </w:footnote>
  <w:footnote w:id="11">
    <w:p w14:paraId="3DD09FD8" w14:textId="77777777" w:rsidR="00E75C74" w:rsidRPr="00E84841" w:rsidRDefault="00E75C74" w:rsidP="00A05DF4">
      <w:pPr>
        <w:pStyle w:val="FootnoteText"/>
        <w:jc w:val="both"/>
        <w:rPr>
          <w:lang w:val="en-GB"/>
        </w:rPr>
      </w:pPr>
      <w:r>
        <w:rPr>
          <w:rStyle w:val="FootnoteReference"/>
        </w:rPr>
        <w:footnoteRef/>
      </w:r>
      <w:r w:rsidRPr="003B429F">
        <w:rPr>
          <w:lang w:val="en-GB"/>
        </w:rPr>
        <w:t xml:space="preserve"> </w:t>
      </w:r>
      <w:r w:rsidR="0045244B" w:rsidRPr="003B429F">
        <w:rPr>
          <w:i/>
          <w:lang w:val="en-GB"/>
        </w:rPr>
        <w:t>Id.</w:t>
      </w:r>
    </w:p>
  </w:footnote>
  <w:footnote w:id="12">
    <w:p w14:paraId="0790E62F" w14:textId="11654BD4" w:rsidR="00297B6F" w:rsidRPr="00297B6F" w:rsidRDefault="00297B6F" w:rsidP="00A05DF4">
      <w:pPr>
        <w:pStyle w:val="FootnoteText"/>
        <w:jc w:val="both"/>
        <w:rPr>
          <w:lang w:val="en-GB"/>
        </w:rPr>
      </w:pPr>
      <w:r>
        <w:rPr>
          <w:rStyle w:val="FootnoteReference"/>
        </w:rPr>
        <w:footnoteRef/>
      </w:r>
      <w:r w:rsidRPr="003B429F">
        <w:rPr>
          <w:lang w:val="en-GB"/>
        </w:rPr>
        <w:t xml:space="preserve"> Before concluding that a rule is genuinely ambiguous, a court must exhaust all the “traditional tools” of construction</w:t>
      </w:r>
      <w:r w:rsidR="00B61343">
        <w:rPr>
          <w:lang w:val="en-GB"/>
        </w:rPr>
        <w:t>:</w:t>
      </w:r>
      <w:r w:rsidR="00B61343" w:rsidRPr="003B429F">
        <w:rPr>
          <w:lang w:val="en-GB"/>
        </w:rPr>
        <w:t xml:space="preserve"> </w:t>
      </w:r>
      <w:r w:rsidRPr="003B429F">
        <w:rPr>
          <w:lang w:val="en-GB"/>
        </w:rPr>
        <w:t xml:space="preserve">Chevron U.S.A. Inc. v. Natural Resources </w:t>
      </w:r>
      <w:proofErr w:type="spellStart"/>
      <w:r w:rsidRPr="003B429F">
        <w:rPr>
          <w:lang w:val="en-GB"/>
        </w:rPr>
        <w:t>Defense</w:t>
      </w:r>
      <w:proofErr w:type="spellEnd"/>
      <w:r w:rsidRPr="003B429F">
        <w:rPr>
          <w:lang w:val="en-GB"/>
        </w:rPr>
        <w:t xml:space="preserve"> Council, Inc., 467 U.S. 837, 843, n. 9, 104 </w:t>
      </w:r>
      <w:proofErr w:type="spellStart"/>
      <w:r w:rsidRPr="003B429F">
        <w:rPr>
          <w:lang w:val="en-GB"/>
        </w:rPr>
        <w:t>S.Ct</w:t>
      </w:r>
      <w:proofErr w:type="spellEnd"/>
      <w:r w:rsidRPr="003B429F">
        <w:rPr>
          <w:lang w:val="en-GB"/>
        </w:rPr>
        <w:t>. 2778, 81 L.Ed.2d 694 (1984).</w:t>
      </w:r>
    </w:p>
  </w:footnote>
  <w:footnote w:id="13">
    <w:p w14:paraId="61938BBC" w14:textId="1CBBA0F6" w:rsidR="00AC6D2E" w:rsidRPr="003B429F" w:rsidRDefault="00AC6D2E" w:rsidP="00A05DF4">
      <w:pPr>
        <w:pStyle w:val="FootnoteText"/>
        <w:jc w:val="both"/>
        <w:rPr>
          <w:lang w:val="en-GB"/>
        </w:rPr>
      </w:pPr>
      <w:r>
        <w:rPr>
          <w:rStyle w:val="FootnoteReference"/>
        </w:rPr>
        <w:footnoteRef/>
      </w:r>
      <w:r w:rsidRPr="003B429F">
        <w:rPr>
          <w:lang w:val="en-GB"/>
        </w:rPr>
        <w:t xml:space="preserve"> Perez v. </w:t>
      </w:r>
      <w:proofErr w:type="spellStart"/>
      <w:r w:rsidRPr="003B429F">
        <w:rPr>
          <w:lang w:val="en-GB"/>
        </w:rPr>
        <w:t>Mortg</w:t>
      </w:r>
      <w:proofErr w:type="spellEnd"/>
      <w:r w:rsidRPr="003B429F">
        <w:rPr>
          <w:lang w:val="en-GB"/>
        </w:rPr>
        <w:t xml:space="preserve">. Bankers </w:t>
      </w:r>
      <w:proofErr w:type="spellStart"/>
      <w:r w:rsidRPr="003B429F">
        <w:rPr>
          <w:lang w:val="en-GB"/>
        </w:rPr>
        <w:t>Ass'n</w:t>
      </w:r>
      <w:proofErr w:type="spellEnd"/>
      <w:r w:rsidRPr="003B429F">
        <w:rPr>
          <w:lang w:val="en-GB"/>
        </w:rPr>
        <w:t xml:space="preserve">, 135 S. Ct. 1199, 1213 (2015). </w:t>
      </w:r>
    </w:p>
  </w:footnote>
  <w:footnote w:id="14">
    <w:p w14:paraId="746482F6" w14:textId="77777777" w:rsidR="0049455A" w:rsidRPr="00AF2274" w:rsidRDefault="0049455A" w:rsidP="00A05DF4">
      <w:pPr>
        <w:pStyle w:val="FootnoteText"/>
        <w:jc w:val="both"/>
        <w:rPr>
          <w:lang w:val="en-GB"/>
        </w:rPr>
      </w:pPr>
      <w:r>
        <w:rPr>
          <w:rStyle w:val="FootnoteReference"/>
        </w:rPr>
        <w:footnoteRef/>
      </w:r>
      <w:r w:rsidRPr="00AF2274">
        <w:rPr>
          <w:lang w:val="en-GB"/>
        </w:rPr>
        <w:t xml:space="preserve"> 5 U.S.C. § 553(b)(A). </w:t>
      </w:r>
    </w:p>
  </w:footnote>
  <w:footnote w:id="15">
    <w:p w14:paraId="4F010523" w14:textId="77777777" w:rsidR="0019137C" w:rsidRPr="0019137C" w:rsidRDefault="0019137C" w:rsidP="00A05DF4">
      <w:pPr>
        <w:pStyle w:val="FootnoteText"/>
        <w:jc w:val="both"/>
        <w:rPr>
          <w:lang w:val="en-GB"/>
        </w:rPr>
      </w:pPr>
      <w:r>
        <w:rPr>
          <w:rStyle w:val="FootnoteReference"/>
        </w:rPr>
        <w:footnoteRef/>
      </w:r>
      <w:r w:rsidRPr="00AF2274">
        <w:rPr>
          <w:lang w:val="en-GB"/>
        </w:rPr>
        <w:t xml:space="preserve"> Perez v. Mortgage Bankers Assn., 575 U. S. 92, ––––, 135 </w:t>
      </w:r>
      <w:proofErr w:type="spellStart"/>
      <w:r w:rsidRPr="00AF2274">
        <w:rPr>
          <w:lang w:val="en-GB"/>
        </w:rPr>
        <w:t>S.Ct</w:t>
      </w:r>
      <w:proofErr w:type="spellEnd"/>
      <w:r w:rsidRPr="00AF2274">
        <w:rPr>
          <w:lang w:val="en-GB"/>
        </w:rPr>
        <w:t xml:space="preserve">. 1199, 1204, 191 L.Ed.2d 186 (2015). </w:t>
      </w:r>
    </w:p>
  </w:footnote>
  <w:footnote w:id="16">
    <w:p w14:paraId="752EED99" w14:textId="77777777" w:rsidR="0049455A" w:rsidRPr="00AF2274" w:rsidRDefault="0049455A" w:rsidP="00A05DF4">
      <w:pPr>
        <w:pStyle w:val="FootnoteText"/>
        <w:jc w:val="both"/>
        <w:rPr>
          <w:lang w:val="en-GB"/>
        </w:rPr>
      </w:pPr>
      <w:r>
        <w:rPr>
          <w:rStyle w:val="FootnoteReference"/>
        </w:rPr>
        <w:footnoteRef/>
      </w:r>
      <w:r w:rsidRPr="00AF2274">
        <w:rPr>
          <w:lang w:val="en-GB"/>
        </w:rPr>
        <w:t xml:space="preserve"> 126 A.L.R. Fed. 347 (Originally published in 1995).</w:t>
      </w:r>
    </w:p>
  </w:footnote>
  <w:footnote w:id="17">
    <w:p w14:paraId="245DF747" w14:textId="4D71556D" w:rsidR="0049455A" w:rsidRPr="00AF2274" w:rsidRDefault="0049455A" w:rsidP="00A05DF4">
      <w:pPr>
        <w:shd w:val="clear" w:color="auto" w:fill="FFFFFF"/>
        <w:jc w:val="both"/>
        <w:rPr>
          <w:sz w:val="20"/>
          <w:szCs w:val="20"/>
          <w:lang w:val="en-GB"/>
        </w:rPr>
      </w:pPr>
      <w:r w:rsidRPr="00280620">
        <w:rPr>
          <w:rStyle w:val="FootnoteReference"/>
          <w:sz w:val="20"/>
          <w:szCs w:val="20"/>
        </w:rPr>
        <w:footnoteRef/>
      </w:r>
      <w:r w:rsidR="0013503B">
        <w:rPr>
          <w:sz w:val="20"/>
          <w:szCs w:val="20"/>
          <w:lang w:val="en-GB"/>
        </w:rPr>
        <w:t xml:space="preserve"> </w:t>
      </w:r>
      <w:r w:rsidRPr="00AF2274">
        <w:rPr>
          <w:sz w:val="20"/>
          <w:szCs w:val="20"/>
          <w:lang w:val="en-GB"/>
        </w:rPr>
        <w:t xml:space="preserve">Perez v. </w:t>
      </w:r>
      <w:proofErr w:type="spellStart"/>
      <w:r w:rsidRPr="00AF2274">
        <w:rPr>
          <w:sz w:val="20"/>
          <w:szCs w:val="20"/>
          <w:lang w:val="en-GB"/>
        </w:rPr>
        <w:t>Mortg</w:t>
      </w:r>
      <w:proofErr w:type="spellEnd"/>
      <w:r w:rsidRPr="00AF2274">
        <w:rPr>
          <w:sz w:val="20"/>
          <w:szCs w:val="20"/>
          <w:lang w:val="en-GB"/>
        </w:rPr>
        <w:t xml:space="preserve">. Bankers </w:t>
      </w:r>
      <w:proofErr w:type="spellStart"/>
      <w:r w:rsidRPr="00AF2274">
        <w:rPr>
          <w:sz w:val="20"/>
          <w:szCs w:val="20"/>
          <w:lang w:val="en-GB"/>
        </w:rPr>
        <w:t>Ass'n</w:t>
      </w:r>
      <w:proofErr w:type="spellEnd"/>
      <w:r w:rsidRPr="00AF2274">
        <w:rPr>
          <w:sz w:val="20"/>
          <w:szCs w:val="20"/>
          <w:lang w:val="en-GB"/>
        </w:rPr>
        <w:t>, 135 S. Ct. 1199, 1213 (2015).</w:t>
      </w:r>
    </w:p>
  </w:footnote>
  <w:footnote w:id="18">
    <w:p w14:paraId="43E41976" w14:textId="1C31BD71" w:rsidR="00972E3C" w:rsidRPr="00972E3C" w:rsidRDefault="00972E3C" w:rsidP="00A05DF4">
      <w:pPr>
        <w:pStyle w:val="FootnoteText"/>
        <w:jc w:val="both"/>
        <w:rPr>
          <w:lang w:val="en-GB"/>
        </w:rPr>
      </w:pPr>
      <w:r>
        <w:rPr>
          <w:rStyle w:val="FootnoteReference"/>
        </w:rPr>
        <w:footnoteRef/>
      </w:r>
      <w:r w:rsidRPr="00AF2274">
        <w:rPr>
          <w:lang w:val="en-GB"/>
        </w:rPr>
        <w:t xml:space="preserve"> </w:t>
      </w:r>
      <w:r w:rsidR="00A669FB">
        <w:rPr>
          <w:i/>
          <w:lang w:val="en-GB"/>
        </w:rPr>
        <w:t xml:space="preserve">Supra </w:t>
      </w:r>
      <w:r w:rsidR="00A669FB" w:rsidRPr="00A669FB">
        <w:rPr>
          <w:lang w:val="en-GB"/>
        </w:rPr>
        <w:t xml:space="preserve">note </w:t>
      </w:r>
      <w:r w:rsidR="00A669FB">
        <w:rPr>
          <w:lang w:val="en-GB"/>
        </w:rPr>
        <w:t xml:space="preserve">6 </w:t>
      </w:r>
      <w:r w:rsidR="00A669FB" w:rsidRPr="00A669FB">
        <w:rPr>
          <w:lang w:val="en-GB"/>
        </w:rPr>
        <w:t xml:space="preserve">at </w:t>
      </w:r>
      <w:r w:rsidRPr="00AF2274">
        <w:rPr>
          <w:lang w:val="en-GB"/>
        </w:rPr>
        <w:t xml:space="preserve">2400, 2420 (2019). </w:t>
      </w:r>
    </w:p>
  </w:footnote>
  <w:footnote w:id="19">
    <w:p w14:paraId="20B1A653" w14:textId="5CEFCAF4" w:rsidR="001F5083" w:rsidRPr="006B39BE" w:rsidRDefault="001F5083" w:rsidP="00A05DF4">
      <w:pPr>
        <w:pStyle w:val="FootnoteText"/>
        <w:jc w:val="both"/>
        <w:rPr>
          <w:lang w:val="en-GB"/>
        </w:rPr>
      </w:pPr>
      <w:r>
        <w:rPr>
          <w:rStyle w:val="FootnoteReference"/>
        </w:rPr>
        <w:footnoteRef/>
      </w:r>
      <w:r w:rsidRPr="006B39BE">
        <w:rPr>
          <w:lang w:val="en-GB"/>
        </w:rPr>
        <w:t xml:space="preserve"> </w:t>
      </w:r>
      <w:r w:rsidR="0045244B" w:rsidRPr="006B39BE">
        <w:rPr>
          <w:i/>
          <w:lang w:val="en-GB"/>
        </w:rPr>
        <w:t>Id.</w:t>
      </w:r>
      <w:r w:rsidR="0045244B" w:rsidRPr="006B39BE">
        <w:rPr>
          <w:lang w:val="en-GB"/>
        </w:rPr>
        <w:t xml:space="preserve"> at</w:t>
      </w:r>
      <w:r w:rsidRPr="006B39BE">
        <w:rPr>
          <w:lang w:val="en-GB"/>
        </w:rPr>
        <w:t xml:space="preserve"> 2417 (2019), citing to Martin v. Occupational Safety and Health Review </w:t>
      </w:r>
      <w:proofErr w:type="spellStart"/>
      <w:proofErr w:type="gramStart"/>
      <w:r w:rsidRPr="006B39BE">
        <w:rPr>
          <w:lang w:val="en-GB"/>
        </w:rPr>
        <w:t>Com'n</w:t>
      </w:r>
      <w:proofErr w:type="spellEnd"/>
      <w:r w:rsidRPr="006B39BE">
        <w:rPr>
          <w:lang w:val="en-GB"/>
        </w:rPr>
        <w:t xml:space="preserve"> ,</w:t>
      </w:r>
      <w:proofErr w:type="gramEnd"/>
      <w:r w:rsidRPr="006B39BE">
        <w:rPr>
          <w:lang w:val="en-GB"/>
        </w:rPr>
        <w:t xml:space="preserve"> 499</w:t>
      </w:r>
      <w:r w:rsidR="00A05DF4">
        <w:rPr>
          <w:lang w:val="en-GB"/>
        </w:rPr>
        <w:t xml:space="preserve"> U.S. at 153, 111 </w:t>
      </w:r>
      <w:proofErr w:type="spellStart"/>
      <w:r w:rsidR="00A05DF4">
        <w:rPr>
          <w:lang w:val="en-GB"/>
        </w:rPr>
        <w:t>S.Ct</w:t>
      </w:r>
      <w:proofErr w:type="spellEnd"/>
      <w:r w:rsidR="00A05DF4">
        <w:rPr>
          <w:lang w:val="en-GB"/>
        </w:rPr>
        <w:t>. 1171.</w:t>
      </w:r>
    </w:p>
  </w:footnote>
  <w:footnote w:id="20">
    <w:p w14:paraId="5A468B8D" w14:textId="088A775D" w:rsidR="001F5083" w:rsidRPr="00AF2274" w:rsidRDefault="001F5083" w:rsidP="00A05DF4">
      <w:pPr>
        <w:pStyle w:val="FootnoteText"/>
        <w:jc w:val="both"/>
        <w:rPr>
          <w:lang w:val="en-GB"/>
        </w:rPr>
      </w:pPr>
      <w:r>
        <w:rPr>
          <w:rStyle w:val="FootnoteReference"/>
        </w:rPr>
        <w:footnoteRef/>
      </w:r>
      <w:r w:rsidRPr="00AF2274">
        <w:rPr>
          <w:lang w:val="en-GB"/>
        </w:rPr>
        <w:t xml:space="preserve"> Long Island Care</w:t>
      </w:r>
      <w:r w:rsidR="006C597A" w:rsidRPr="00AF2274">
        <w:rPr>
          <w:lang w:val="en-GB"/>
        </w:rPr>
        <w:t xml:space="preserve"> Long Island Care at Home, Ltd. v. Coke</w:t>
      </w:r>
      <w:r w:rsidRPr="00AF2274">
        <w:rPr>
          <w:lang w:val="en-GB"/>
        </w:rPr>
        <w:t xml:space="preserve">, 551 U.S. </w:t>
      </w:r>
      <w:r w:rsidR="006C597A" w:rsidRPr="00AF2274">
        <w:rPr>
          <w:lang w:val="en-GB"/>
        </w:rPr>
        <w:t xml:space="preserve">158 at </w:t>
      </w:r>
      <w:r w:rsidRPr="00AF2274">
        <w:rPr>
          <w:lang w:val="en-GB"/>
        </w:rPr>
        <w:t xml:space="preserve">170, 127 </w:t>
      </w:r>
      <w:proofErr w:type="spellStart"/>
      <w:r w:rsidRPr="00AF2274">
        <w:rPr>
          <w:lang w:val="en-GB"/>
        </w:rPr>
        <w:t>S.Ct</w:t>
      </w:r>
      <w:proofErr w:type="spellEnd"/>
      <w:r w:rsidRPr="00AF2274">
        <w:rPr>
          <w:lang w:val="en-GB"/>
        </w:rPr>
        <w:t xml:space="preserve">. </w:t>
      </w:r>
      <w:r w:rsidRPr="0027361F">
        <w:rPr>
          <w:lang w:val="en-GB"/>
        </w:rPr>
        <w:t>2339</w:t>
      </w:r>
      <w:r w:rsidR="006C597A" w:rsidRPr="0027361F">
        <w:rPr>
          <w:lang w:val="en-GB"/>
        </w:rPr>
        <w:t xml:space="preserve"> (</w:t>
      </w:r>
      <w:r w:rsidR="0027361F" w:rsidRPr="0027361F">
        <w:rPr>
          <w:lang w:val="en-GB"/>
        </w:rPr>
        <w:t>200</w:t>
      </w:r>
      <w:r w:rsidR="006C597A" w:rsidRPr="0027361F">
        <w:rPr>
          <w:lang w:val="en-GB"/>
        </w:rPr>
        <w:t>7).</w:t>
      </w:r>
    </w:p>
  </w:footnote>
  <w:footnote w:id="21">
    <w:p w14:paraId="5F649269" w14:textId="1F37E0D1" w:rsidR="0022531B" w:rsidRPr="00AF2274" w:rsidRDefault="0022531B" w:rsidP="00A05DF4">
      <w:pPr>
        <w:pStyle w:val="FootnoteText"/>
        <w:jc w:val="both"/>
        <w:rPr>
          <w:lang w:val="en-GB"/>
        </w:rPr>
      </w:pPr>
      <w:r>
        <w:rPr>
          <w:rStyle w:val="FootnoteReference"/>
        </w:rPr>
        <w:footnoteRef/>
      </w:r>
      <w:r w:rsidRPr="00AF2274">
        <w:rPr>
          <w:lang w:val="en-GB"/>
        </w:rPr>
        <w:t xml:space="preserve"> </w:t>
      </w:r>
      <w:r w:rsidR="00A669FB">
        <w:rPr>
          <w:i/>
          <w:lang w:val="en-GB"/>
        </w:rPr>
        <w:t>Supra</w:t>
      </w:r>
      <w:r w:rsidR="00A669FB">
        <w:rPr>
          <w:lang w:val="en-GB"/>
        </w:rPr>
        <w:t xml:space="preserve"> note 6 at</w:t>
      </w:r>
      <w:r w:rsidRPr="00AF2274">
        <w:rPr>
          <w:lang w:val="en-GB"/>
        </w:rPr>
        <w:t xml:space="preserve"> 2400, 2418 (2019) citing Thomas Jefferson, 5</w:t>
      </w:r>
      <w:r w:rsidR="00A05DF4">
        <w:rPr>
          <w:lang w:val="en-GB"/>
        </w:rPr>
        <w:t xml:space="preserve">12 U.S. at 515, 114 </w:t>
      </w:r>
      <w:proofErr w:type="spellStart"/>
      <w:r w:rsidR="00A05DF4">
        <w:rPr>
          <w:lang w:val="en-GB"/>
        </w:rPr>
        <w:t>S.Ct</w:t>
      </w:r>
      <w:proofErr w:type="spellEnd"/>
      <w:r w:rsidR="00A05DF4">
        <w:rPr>
          <w:lang w:val="en-GB"/>
        </w:rPr>
        <w:t>. 2381.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21C22"/>
    <w:multiLevelType w:val="multilevel"/>
    <w:tmpl w:val="FBF8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62AFD"/>
    <w:multiLevelType w:val="hybridMultilevel"/>
    <w:tmpl w:val="C5225E42"/>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D6E93"/>
    <w:multiLevelType w:val="multilevel"/>
    <w:tmpl w:val="9FA0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A0D7D"/>
    <w:multiLevelType w:val="hybridMultilevel"/>
    <w:tmpl w:val="6BB813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D4776"/>
    <w:multiLevelType w:val="multilevel"/>
    <w:tmpl w:val="80DE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25360"/>
    <w:multiLevelType w:val="multilevel"/>
    <w:tmpl w:val="9C2A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567D72"/>
    <w:multiLevelType w:val="multilevel"/>
    <w:tmpl w:val="C708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E6A56"/>
    <w:multiLevelType w:val="multilevel"/>
    <w:tmpl w:val="44C8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2536EB"/>
    <w:multiLevelType w:val="hybridMultilevel"/>
    <w:tmpl w:val="09BE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3859C0"/>
    <w:multiLevelType w:val="multilevel"/>
    <w:tmpl w:val="BB18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0"/>
  </w:num>
  <w:num w:numId="5">
    <w:abstractNumId w:val="7"/>
  </w:num>
  <w:num w:numId="6">
    <w:abstractNumId w:val="9"/>
  </w:num>
  <w:num w:numId="7">
    <w:abstractNumId w:val="4"/>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B2"/>
    <w:rsid w:val="00003CA0"/>
    <w:rsid w:val="00004010"/>
    <w:rsid w:val="000102F0"/>
    <w:rsid w:val="0001079C"/>
    <w:rsid w:val="00011DC9"/>
    <w:rsid w:val="00012FF7"/>
    <w:rsid w:val="00013BD0"/>
    <w:rsid w:val="00013E7F"/>
    <w:rsid w:val="000158AA"/>
    <w:rsid w:val="0002033E"/>
    <w:rsid w:val="00021559"/>
    <w:rsid w:val="00025C17"/>
    <w:rsid w:val="00025F7E"/>
    <w:rsid w:val="00026802"/>
    <w:rsid w:val="00030D0D"/>
    <w:rsid w:val="000321A8"/>
    <w:rsid w:val="000366A0"/>
    <w:rsid w:val="000375F3"/>
    <w:rsid w:val="0004367F"/>
    <w:rsid w:val="00047102"/>
    <w:rsid w:val="0004718F"/>
    <w:rsid w:val="000477BA"/>
    <w:rsid w:val="00051F39"/>
    <w:rsid w:val="000543B0"/>
    <w:rsid w:val="0005602D"/>
    <w:rsid w:val="00060300"/>
    <w:rsid w:val="00061E44"/>
    <w:rsid w:val="00062CB4"/>
    <w:rsid w:val="0006360E"/>
    <w:rsid w:val="000727D6"/>
    <w:rsid w:val="00085947"/>
    <w:rsid w:val="00086CD1"/>
    <w:rsid w:val="000911B1"/>
    <w:rsid w:val="000919CB"/>
    <w:rsid w:val="00091B6A"/>
    <w:rsid w:val="00091BF2"/>
    <w:rsid w:val="00093F49"/>
    <w:rsid w:val="00094A52"/>
    <w:rsid w:val="00094CEE"/>
    <w:rsid w:val="000A16E9"/>
    <w:rsid w:val="000A28E6"/>
    <w:rsid w:val="000A3DC5"/>
    <w:rsid w:val="000A665B"/>
    <w:rsid w:val="000A68C4"/>
    <w:rsid w:val="000B6A6C"/>
    <w:rsid w:val="000B6B8D"/>
    <w:rsid w:val="000B729D"/>
    <w:rsid w:val="000C4ADD"/>
    <w:rsid w:val="000C7D93"/>
    <w:rsid w:val="000D2AF1"/>
    <w:rsid w:val="000F35AF"/>
    <w:rsid w:val="0010112B"/>
    <w:rsid w:val="001015D9"/>
    <w:rsid w:val="001079BF"/>
    <w:rsid w:val="001142FE"/>
    <w:rsid w:val="001155AA"/>
    <w:rsid w:val="00115CCC"/>
    <w:rsid w:val="00123C08"/>
    <w:rsid w:val="001240F7"/>
    <w:rsid w:val="00124448"/>
    <w:rsid w:val="001256C1"/>
    <w:rsid w:val="0013503B"/>
    <w:rsid w:val="00141201"/>
    <w:rsid w:val="00142465"/>
    <w:rsid w:val="00147D9C"/>
    <w:rsid w:val="0015520F"/>
    <w:rsid w:val="00173BCA"/>
    <w:rsid w:val="00175FFC"/>
    <w:rsid w:val="00180962"/>
    <w:rsid w:val="00182921"/>
    <w:rsid w:val="001845E2"/>
    <w:rsid w:val="0019137C"/>
    <w:rsid w:val="0019172D"/>
    <w:rsid w:val="00192146"/>
    <w:rsid w:val="00195935"/>
    <w:rsid w:val="00196F21"/>
    <w:rsid w:val="001A0001"/>
    <w:rsid w:val="001A1365"/>
    <w:rsid w:val="001A5087"/>
    <w:rsid w:val="001A59FE"/>
    <w:rsid w:val="001A7B27"/>
    <w:rsid w:val="001B1A26"/>
    <w:rsid w:val="001B4B68"/>
    <w:rsid w:val="001B4E38"/>
    <w:rsid w:val="001C4F52"/>
    <w:rsid w:val="001C66D1"/>
    <w:rsid w:val="001C7780"/>
    <w:rsid w:val="001C7832"/>
    <w:rsid w:val="001D48C2"/>
    <w:rsid w:val="001D59F6"/>
    <w:rsid w:val="001E2683"/>
    <w:rsid w:val="001E4F03"/>
    <w:rsid w:val="001F08A0"/>
    <w:rsid w:val="001F08F6"/>
    <w:rsid w:val="001F0FF9"/>
    <w:rsid w:val="001F0FFC"/>
    <w:rsid w:val="001F3177"/>
    <w:rsid w:val="001F4267"/>
    <w:rsid w:val="001F4D5D"/>
    <w:rsid w:val="001F5083"/>
    <w:rsid w:val="002066DD"/>
    <w:rsid w:val="002133DD"/>
    <w:rsid w:val="002140A2"/>
    <w:rsid w:val="00215A77"/>
    <w:rsid w:val="0022067F"/>
    <w:rsid w:val="00221E5A"/>
    <w:rsid w:val="00223103"/>
    <w:rsid w:val="0022469B"/>
    <w:rsid w:val="0022531B"/>
    <w:rsid w:val="00225F43"/>
    <w:rsid w:val="00226287"/>
    <w:rsid w:val="002351C6"/>
    <w:rsid w:val="00237FC3"/>
    <w:rsid w:val="002464A1"/>
    <w:rsid w:val="0024692B"/>
    <w:rsid w:val="00250195"/>
    <w:rsid w:val="002537B6"/>
    <w:rsid w:val="00253EB4"/>
    <w:rsid w:val="002556E7"/>
    <w:rsid w:val="00256591"/>
    <w:rsid w:val="00261CF0"/>
    <w:rsid w:val="00266138"/>
    <w:rsid w:val="0027361F"/>
    <w:rsid w:val="00273D99"/>
    <w:rsid w:val="00274A78"/>
    <w:rsid w:val="00280620"/>
    <w:rsid w:val="00281ED8"/>
    <w:rsid w:val="00283A40"/>
    <w:rsid w:val="00291EF3"/>
    <w:rsid w:val="00292284"/>
    <w:rsid w:val="002934D8"/>
    <w:rsid w:val="00295CE0"/>
    <w:rsid w:val="00297B6F"/>
    <w:rsid w:val="002A353B"/>
    <w:rsid w:val="002A58BC"/>
    <w:rsid w:val="002A6529"/>
    <w:rsid w:val="002A6E11"/>
    <w:rsid w:val="002B0BC1"/>
    <w:rsid w:val="002B1285"/>
    <w:rsid w:val="002B7488"/>
    <w:rsid w:val="002C3D7B"/>
    <w:rsid w:val="002D01F8"/>
    <w:rsid w:val="002D13B0"/>
    <w:rsid w:val="002D2F77"/>
    <w:rsid w:val="002D4DE1"/>
    <w:rsid w:val="002D5E4C"/>
    <w:rsid w:val="002D64D7"/>
    <w:rsid w:val="002E1232"/>
    <w:rsid w:val="002E5CBB"/>
    <w:rsid w:val="002F0BE6"/>
    <w:rsid w:val="002F275D"/>
    <w:rsid w:val="002F4076"/>
    <w:rsid w:val="002F6AE2"/>
    <w:rsid w:val="002F7D0B"/>
    <w:rsid w:val="003009D9"/>
    <w:rsid w:val="00300BA6"/>
    <w:rsid w:val="0030397A"/>
    <w:rsid w:val="00305066"/>
    <w:rsid w:val="0030531F"/>
    <w:rsid w:val="003055A6"/>
    <w:rsid w:val="003061D8"/>
    <w:rsid w:val="00310BC8"/>
    <w:rsid w:val="00311AAE"/>
    <w:rsid w:val="00312178"/>
    <w:rsid w:val="0031357C"/>
    <w:rsid w:val="00316169"/>
    <w:rsid w:val="00322BB3"/>
    <w:rsid w:val="00323E21"/>
    <w:rsid w:val="00333A35"/>
    <w:rsid w:val="00337ED3"/>
    <w:rsid w:val="0034101A"/>
    <w:rsid w:val="003421CD"/>
    <w:rsid w:val="00342C22"/>
    <w:rsid w:val="003478D6"/>
    <w:rsid w:val="00347E3C"/>
    <w:rsid w:val="00351B77"/>
    <w:rsid w:val="00355557"/>
    <w:rsid w:val="00357D51"/>
    <w:rsid w:val="00365383"/>
    <w:rsid w:val="00365EF7"/>
    <w:rsid w:val="003671B3"/>
    <w:rsid w:val="003711DB"/>
    <w:rsid w:val="00371C2B"/>
    <w:rsid w:val="00372CCE"/>
    <w:rsid w:val="00376A19"/>
    <w:rsid w:val="003830F7"/>
    <w:rsid w:val="00387567"/>
    <w:rsid w:val="003917FD"/>
    <w:rsid w:val="00393B64"/>
    <w:rsid w:val="003950DE"/>
    <w:rsid w:val="003A0EA1"/>
    <w:rsid w:val="003A4BBB"/>
    <w:rsid w:val="003A68E0"/>
    <w:rsid w:val="003A69FF"/>
    <w:rsid w:val="003B20DB"/>
    <w:rsid w:val="003B2754"/>
    <w:rsid w:val="003B429F"/>
    <w:rsid w:val="003B653C"/>
    <w:rsid w:val="003C0521"/>
    <w:rsid w:val="003C096F"/>
    <w:rsid w:val="003D0C59"/>
    <w:rsid w:val="003D1CF7"/>
    <w:rsid w:val="003D76B8"/>
    <w:rsid w:val="003E037B"/>
    <w:rsid w:val="003E6DB7"/>
    <w:rsid w:val="003E7314"/>
    <w:rsid w:val="003E7875"/>
    <w:rsid w:val="003F0266"/>
    <w:rsid w:val="003F096D"/>
    <w:rsid w:val="003F179B"/>
    <w:rsid w:val="003F293F"/>
    <w:rsid w:val="00404EA7"/>
    <w:rsid w:val="00406429"/>
    <w:rsid w:val="00410D77"/>
    <w:rsid w:val="00411646"/>
    <w:rsid w:val="0041405B"/>
    <w:rsid w:val="00416CF6"/>
    <w:rsid w:val="0042619D"/>
    <w:rsid w:val="00426524"/>
    <w:rsid w:val="0043191E"/>
    <w:rsid w:val="00433DC9"/>
    <w:rsid w:val="00433DF2"/>
    <w:rsid w:val="004351A4"/>
    <w:rsid w:val="0043607C"/>
    <w:rsid w:val="004379B8"/>
    <w:rsid w:val="00443C34"/>
    <w:rsid w:val="004448E5"/>
    <w:rsid w:val="00444E7C"/>
    <w:rsid w:val="00452105"/>
    <w:rsid w:val="004521FB"/>
    <w:rsid w:val="0045244B"/>
    <w:rsid w:val="004540DB"/>
    <w:rsid w:val="00454AFE"/>
    <w:rsid w:val="00456DAA"/>
    <w:rsid w:val="00456FD7"/>
    <w:rsid w:val="0046289C"/>
    <w:rsid w:val="00465076"/>
    <w:rsid w:val="00467010"/>
    <w:rsid w:val="0046720B"/>
    <w:rsid w:val="004717F5"/>
    <w:rsid w:val="00484179"/>
    <w:rsid w:val="00492312"/>
    <w:rsid w:val="00492CE9"/>
    <w:rsid w:val="0049455A"/>
    <w:rsid w:val="00494E00"/>
    <w:rsid w:val="0049588E"/>
    <w:rsid w:val="004977F0"/>
    <w:rsid w:val="00497E36"/>
    <w:rsid w:val="004A0AA1"/>
    <w:rsid w:val="004A2F0E"/>
    <w:rsid w:val="004B0C74"/>
    <w:rsid w:val="004B1507"/>
    <w:rsid w:val="004B3E64"/>
    <w:rsid w:val="004B5158"/>
    <w:rsid w:val="004B5525"/>
    <w:rsid w:val="004B6827"/>
    <w:rsid w:val="004B6AC5"/>
    <w:rsid w:val="004C1F74"/>
    <w:rsid w:val="004C7D51"/>
    <w:rsid w:val="004D1CDD"/>
    <w:rsid w:val="004D2FA4"/>
    <w:rsid w:val="004D51A3"/>
    <w:rsid w:val="004D65D8"/>
    <w:rsid w:val="004D7A13"/>
    <w:rsid w:val="004E65E3"/>
    <w:rsid w:val="004E7405"/>
    <w:rsid w:val="004F1E7D"/>
    <w:rsid w:val="00504FA7"/>
    <w:rsid w:val="0050570C"/>
    <w:rsid w:val="00505BDE"/>
    <w:rsid w:val="0050663C"/>
    <w:rsid w:val="0050791A"/>
    <w:rsid w:val="00512777"/>
    <w:rsid w:val="00514891"/>
    <w:rsid w:val="0051781C"/>
    <w:rsid w:val="00517D76"/>
    <w:rsid w:val="005211BB"/>
    <w:rsid w:val="00522DC7"/>
    <w:rsid w:val="005235CB"/>
    <w:rsid w:val="005243A8"/>
    <w:rsid w:val="005257AB"/>
    <w:rsid w:val="0053470C"/>
    <w:rsid w:val="00535967"/>
    <w:rsid w:val="0053647D"/>
    <w:rsid w:val="00543494"/>
    <w:rsid w:val="00546135"/>
    <w:rsid w:val="00547304"/>
    <w:rsid w:val="005504B3"/>
    <w:rsid w:val="00550E24"/>
    <w:rsid w:val="0055341D"/>
    <w:rsid w:val="00570030"/>
    <w:rsid w:val="00572065"/>
    <w:rsid w:val="0057346E"/>
    <w:rsid w:val="0057404E"/>
    <w:rsid w:val="00574337"/>
    <w:rsid w:val="00576C74"/>
    <w:rsid w:val="00577D32"/>
    <w:rsid w:val="0058149E"/>
    <w:rsid w:val="005820BC"/>
    <w:rsid w:val="005913F0"/>
    <w:rsid w:val="00592717"/>
    <w:rsid w:val="005972D8"/>
    <w:rsid w:val="005A26F2"/>
    <w:rsid w:val="005A572A"/>
    <w:rsid w:val="005A6792"/>
    <w:rsid w:val="005B1C38"/>
    <w:rsid w:val="005B5CFF"/>
    <w:rsid w:val="005B6E1D"/>
    <w:rsid w:val="005B7224"/>
    <w:rsid w:val="005C6FF0"/>
    <w:rsid w:val="005C7D5F"/>
    <w:rsid w:val="005D45DD"/>
    <w:rsid w:val="005D5A84"/>
    <w:rsid w:val="005D6DE1"/>
    <w:rsid w:val="005E259D"/>
    <w:rsid w:val="005E4AA3"/>
    <w:rsid w:val="005E51C4"/>
    <w:rsid w:val="005E569D"/>
    <w:rsid w:val="005F221D"/>
    <w:rsid w:val="005F6015"/>
    <w:rsid w:val="005F6A03"/>
    <w:rsid w:val="0060168F"/>
    <w:rsid w:val="00602054"/>
    <w:rsid w:val="006037B0"/>
    <w:rsid w:val="00611191"/>
    <w:rsid w:val="006128FB"/>
    <w:rsid w:val="006153D4"/>
    <w:rsid w:val="006164AA"/>
    <w:rsid w:val="006232EA"/>
    <w:rsid w:val="00634344"/>
    <w:rsid w:val="00635DB0"/>
    <w:rsid w:val="006411E2"/>
    <w:rsid w:val="006437D3"/>
    <w:rsid w:val="00643A54"/>
    <w:rsid w:val="0064560B"/>
    <w:rsid w:val="00645DBC"/>
    <w:rsid w:val="006511D9"/>
    <w:rsid w:val="00653241"/>
    <w:rsid w:val="00653CAD"/>
    <w:rsid w:val="006603B9"/>
    <w:rsid w:val="006700EB"/>
    <w:rsid w:val="00673B8C"/>
    <w:rsid w:val="00675547"/>
    <w:rsid w:val="00676C3C"/>
    <w:rsid w:val="00682710"/>
    <w:rsid w:val="00682A23"/>
    <w:rsid w:val="00683A9C"/>
    <w:rsid w:val="0068641C"/>
    <w:rsid w:val="006870FA"/>
    <w:rsid w:val="00690143"/>
    <w:rsid w:val="0069205F"/>
    <w:rsid w:val="0069356A"/>
    <w:rsid w:val="00694153"/>
    <w:rsid w:val="00696D88"/>
    <w:rsid w:val="006A5079"/>
    <w:rsid w:val="006A56BF"/>
    <w:rsid w:val="006B11FB"/>
    <w:rsid w:val="006B39BE"/>
    <w:rsid w:val="006B39C5"/>
    <w:rsid w:val="006B3B8C"/>
    <w:rsid w:val="006C189A"/>
    <w:rsid w:val="006C597A"/>
    <w:rsid w:val="006D03B2"/>
    <w:rsid w:val="006E1BA0"/>
    <w:rsid w:val="006E1E91"/>
    <w:rsid w:val="006E32E8"/>
    <w:rsid w:val="006E346D"/>
    <w:rsid w:val="006E65F8"/>
    <w:rsid w:val="006F0916"/>
    <w:rsid w:val="006F1448"/>
    <w:rsid w:val="006F3F78"/>
    <w:rsid w:val="006F673C"/>
    <w:rsid w:val="006F6D34"/>
    <w:rsid w:val="006F7107"/>
    <w:rsid w:val="006F7306"/>
    <w:rsid w:val="00700088"/>
    <w:rsid w:val="00700B8C"/>
    <w:rsid w:val="00700E48"/>
    <w:rsid w:val="007019B7"/>
    <w:rsid w:val="00704F73"/>
    <w:rsid w:val="00706E6A"/>
    <w:rsid w:val="00706F89"/>
    <w:rsid w:val="00707F37"/>
    <w:rsid w:val="00710AB6"/>
    <w:rsid w:val="007130DE"/>
    <w:rsid w:val="00715728"/>
    <w:rsid w:val="0072026C"/>
    <w:rsid w:val="007242F0"/>
    <w:rsid w:val="00724F9F"/>
    <w:rsid w:val="00725612"/>
    <w:rsid w:val="00732DD2"/>
    <w:rsid w:val="00734148"/>
    <w:rsid w:val="00735653"/>
    <w:rsid w:val="00736FE9"/>
    <w:rsid w:val="0074107C"/>
    <w:rsid w:val="00742006"/>
    <w:rsid w:val="007445B7"/>
    <w:rsid w:val="00751A59"/>
    <w:rsid w:val="00752D04"/>
    <w:rsid w:val="00754EF9"/>
    <w:rsid w:val="007552B3"/>
    <w:rsid w:val="00761BC6"/>
    <w:rsid w:val="00762F11"/>
    <w:rsid w:val="00763766"/>
    <w:rsid w:val="00765461"/>
    <w:rsid w:val="00765547"/>
    <w:rsid w:val="007660DE"/>
    <w:rsid w:val="00770E76"/>
    <w:rsid w:val="00771131"/>
    <w:rsid w:val="00776753"/>
    <w:rsid w:val="00784F8F"/>
    <w:rsid w:val="00786CF9"/>
    <w:rsid w:val="00787534"/>
    <w:rsid w:val="00787E13"/>
    <w:rsid w:val="0079375A"/>
    <w:rsid w:val="007975A2"/>
    <w:rsid w:val="007A2717"/>
    <w:rsid w:val="007A3F2D"/>
    <w:rsid w:val="007A5E6D"/>
    <w:rsid w:val="007B3BFC"/>
    <w:rsid w:val="007B509B"/>
    <w:rsid w:val="007B55D6"/>
    <w:rsid w:val="007B6A07"/>
    <w:rsid w:val="007B7E35"/>
    <w:rsid w:val="007C0A60"/>
    <w:rsid w:val="007D21A4"/>
    <w:rsid w:val="007D34A4"/>
    <w:rsid w:val="007D774D"/>
    <w:rsid w:val="007E04BE"/>
    <w:rsid w:val="007E0C8C"/>
    <w:rsid w:val="007E2B7B"/>
    <w:rsid w:val="007F3396"/>
    <w:rsid w:val="007F53F3"/>
    <w:rsid w:val="007F69CA"/>
    <w:rsid w:val="008003B4"/>
    <w:rsid w:val="00800D86"/>
    <w:rsid w:val="00806BAD"/>
    <w:rsid w:val="00807B32"/>
    <w:rsid w:val="00807ECF"/>
    <w:rsid w:val="00811691"/>
    <w:rsid w:val="0081530C"/>
    <w:rsid w:val="00823C3D"/>
    <w:rsid w:val="00825108"/>
    <w:rsid w:val="0082639E"/>
    <w:rsid w:val="00832578"/>
    <w:rsid w:val="00834963"/>
    <w:rsid w:val="008362FE"/>
    <w:rsid w:val="008364D4"/>
    <w:rsid w:val="008405AA"/>
    <w:rsid w:val="0084625D"/>
    <w:rsid w:val="00850C85"/>
    <w:rsid w:val="00851159"/>
    <w:rsid w:val="008517BF"/>
    <w:rsid w:val="00852215"/>
    <w:rsid w:val="0085732C"/>
    <w:rsid w:val="0087214F"/>
    <w:rsid w:val="00876962"/>
    <w:rsid w:val="00880FA6"/>
    <w:rsid w:val="00881C73"/>
    <w:rsid w:val="00882F9C"/>
    <w:rsid w:val="00884F18"/>
    <w:rsid w:val="00887519"/>
    <w:rsid w:val="00891655"/>
    <w:rsid w:val="008958CD"/>
    <w:rsid w:val="00896C90"/>
    <w:rsid w:val="00897113"/>
    <w:rsid w:val="008A5AC9"/>
    <w:rsid w:val="008B01D8"/>
    <w:rsid w:val="008B0555"/>
    <w:rsid w:val="008B1E45"/>
    <w:rsid w:val="008B351C"/>
    <w:rsid w:val="008B3AA3"/>
    <w:rsid w:val="008B5C4B"/>
    <w:rsid w:val="008B7388"/>
    <w:rsid w:val="008C33A7"/>
    <w:rsid w:val="008D354F"/>
    <w:rsid w:val="008D4563"/>
    <w:rsid w:val="008E3066"/>
    <w:rsid w:val="008E37B2"/>
    <w:rsid w:val="008E6884"/>
    <w:rsid w:val="008F072F"/>
    <w:rsid w:val="008F2ED1"/>
    <w:rsid w:val="008F4C38"/>
    <w:rsid w:val="00904E7F"/>
    <w:rsid w:val="00906751"/>
    <w:rsid w:val="009120AD"/>
    <w:rsid w:val="0091295B"/>
    <w:rsid w:val="00916A51"/>
    <w:rsid w:val="0092075F"/>
    <w:rsid w:val="00922617"/>
    <w:rsid w:val="00922B51"/>
    <w:rsid w:val="00923421"/>
    <w:rsid w:val="00925344"/>
    <w:rsid w:val="00930FD3"/>
    <w:rsid w:val="00933757"/>
    <w:rsid w:val="0093473A"/>
    <w:rsid w:val="00936ED6"/>
    <w:rsid w:val="00942802"/>
    <w:rsid w:val="009511B1"/>
    <w:rsid w:val="00952591"/>
    <w:rsid w:val="00955262"/>
    <w:rsid w:val="009565E5"/>
    <w:rsid w:val="009608D8"/>
    <w:rsid w:val="00962616"/>
    <w:rsid w:val="00962ED7"/>
    <w:rsid w:val="009630CD"/>
    <w:rsid w:val="00963395"/>
    <w:rsid w:val="00966ADD"/>
    <w:rsid w:val="00971BF6"/>
    <w:rsid w:val="00972E3C"/>
    <w:rsid w:val="00973789"/>
    <w:rsid w:val="009752C2"/>
    <w:rsid w:val="0097735C"/>
    <w:rsid w:val="00986648"/>
    <w:rsid w:val="00990129"/>
    <w:rsid w:val="0099223A"/>
    <w:rsid w:val="00992DE7"/>
    <w:rsid w:val="00992FF8"/>
    <w:rsid w:val="00997918"/>
    <w:rsid w:val="009A0625"/>
    <w:rsid w:val="009A1713"/>
    <w:rsid w:val="009A23BE"/>
    <w:rsid w:val="009A2788"/>
    <w:rsid w:val="009A618C"/>
    <w:rsid w:val="009B371E"/>
    <w:rsid w:val="009B4CAD"/>
    <w:rsid w:val="009B5502"/>
    <w:rsid w:val="009B57DC"/>
    <w:rsid w:val="009B5A44"/>
    <w:rsid w:val="009B6A7D"/>
    <w:rsid w:val="009B7786"/>
    <w:rsid w:val="009B78B9"/>
    <w:rsid w:val="009C1313"/>
    <w:rsid w:val="009C1A49"/>
    <w:rsid w:val="009C28A6"/>
    <w:rsid w:val="009C2D50"/>
    <w:rsid w:val="009C35A8"/>
    <w:rsid w:val="009C4C79"/>
    <w:rsid w:val="009C51AF"/>
    <w:rsid w:val="009C5953"/>
    <w:rsid w:val="009C62E3"/>
    <w:rsid w:val="009E0761"/>
    <w:rsid w:val="009E0B8C"/>
    <w:rsid w:val="009E1B28"/>
    <w:rsid w:val="009E3026"/>
    <w:rsid w:val="009E3D12"/>
    <w:rsid w:val="009F16FE"/>
    <w:rsid w:val="009F1C84"/>
    <w:rsid w:val="00A05DF4"/>
    <w:rsid w:val="00A1218B"/>
    <w:rsid w:val="00A23597"/>
    <w:rsid w:val="00A25F60"/>
    <w:rsid w:val="00A26772"/>
    <w:rsid w:val="00A27677"/>
    <w:rsid w:val="00A3602B"/>
    <w:rsid w:val="00A372B9"/>
    <w:rsid w:val="00A412EF"/>
    <w:rsid w:val="00A414C2"/>
    <w:rsid w:val="00A520FB"/>
    <w:rsid w:val="00A5568D"/>
    <w:rsid w:val="00A5649D"/>
    <w:rsid w:val="00A63FA3"/>
    <w:rsid w:val="00A669FB"/>
    <w:rsid w:val="00A70C6C"/>
    <w:rsid w:val="00A71F04"/>
    <w:rsid w:val="00A72EF0"/>
    <w:rsid w:val="00A747CA"/>
    <w:rsid w:val="00A74B7B"/>
    <w:rsid w:val="00A759A3"/>
    <w:rsid w:val="00A774AA"/>
    <w:rsid w:val="00A77FE7"/>
    <w:rsid w:val="00A8088C"/>
    <w:rsid w:val="00A80E63"/>
    <w:rsid w:val="00A81041"/>
    <w:rsid w:val="00A8331E"/>
    <w:rsid w:val="00A8377C"/>
    <w:rsid w:val="00A96E24"/>
    <w:rsid w:val="00AA1635"/>
    <w:rsid w:val="00AA19EA"/>
    <w:rsid w:val="00AA516A"/>
    <w:rsid w:val="00AB0D75"/>
    <w:rsid w:val="00AB1EB4"/>
    <w:rsid w:val="00AB7D23"/>
    <w:rsid w:val="00AC4519"/>
    <w:rsid w:val="00AC5497"/>
    <w:rsid w:val="00AC6D2E"/>
    <w:rsid w:val="00AC771C"/>
    <w:rsid w:val="00AD26D7"/>
    <w:rsid w:val="00AE1890"/>
    <w:rsid w:val="00AE4239"/>
    <w:rsid w:val="00AE5ABF"/>
    <w:rsid w:val="00AE66E3"/>
    <w:rsid w:val="00AF0D7B"/>
    <w:rsid w:val="00AF2274"/>
    <w:rsid w:val="00AF2F67"/>
    <w:rsid w:val="00AF7C66"/>
    <w:rsid w:val="00B02E8F"/>
    <w:rsid w:val="00B0596E"/>
    <w:rsid w:val="00B11367"/>
    <w:rsid w:val="00B20B4A"/>
    <w:rsid w:val="00B20BD4"/>
    <w:rsid w:val="00B216D4"/>
    <w:rsid w:val="00B24BB2"/>
    <w:rsid w:val="00B25A07"/>
    <w:rsid w:val="00B25D23"/>
    <w:rsid w:val="00B327AC"/>
    <w:rsid w:val="00B33469"/>
    <w:rsid w:val="00B335A2"/>
    <w:rsid w:val="00B35826"/>
    <w:rsid w:val="00B40BDA"/>
    <w:rsid w:val="00B429EC"/>
    <w:rsid w:val="00B468FB"/>
    <w:rsid w:val="00B4771B"/>
    <w:rsid w:val="00B528E7"/>
    <w:rsid w:val="00B5525B"/>
    <w:rsid w:val="00B61343"/>
    <w:rsid w:val="00B61831"/>
    <w:rsid w:val="00B6201D"/>
    <w:rsid w:val="00B625EC"/>
    <w:rsid w:val="00B62965"/>
    <w:rsid w:val="00B6684B"/>
    <w:rsid w:val="00B66A16"/>
    <w:rsid w:val="00B7693C"/>
    <w:rsid w:val="00B773FE"/>
    <w:rsid w:val="00B77CCC"/>
    <w:rsid w:val="00B823E9"/>
    <w:rsid w:val="00B83819"/>
    <w:rsid w:val="00B8399B"/>
    <w:rsid w:val="00B83CBF"/>
    <w:rsid w:val="00B84FBE"/>
    <w:rsid w:val="00B86163"/>
    <w:rsid w:val="00B91542"/>
    <w:rsid w:val="00B91AE2"/>
    <w:rsid w:val="00B93A86"/>
    <w:rsid w:val="00B95809"/>
    <w:rsid w:val="00B9664E"/>
    <w:rsid w:val="00B97068"/>
    <w:rsid w:val="00BA01AA"/>
    <w:rsid w:val="00BA2C05"/>
    <w:rsid w:val="00BA57E1"/>
    <w:rsid w:val="00BA7CE7"/>
    <w:rsid w:val="00BB287D"/>
    <w:rsid w:val="00BB727D"/>
    <w:rsid w:val="00BC3E5C"/>
    <w:rsid w:val="00BD0C4C"/>
    <w:rsid w:val="00BD1EC2"/>
    <w:rsid w:val="00BD3D7D"/>
    <w:rsid w:val="00BD5429"/>
    <w:rsid w:val="00BD5F1A"/>
    <w:rsid w:val="00BD66B0"/>
    <w:rsid w:val="00BE055D"/>
    <w:rsid w:val="00BE05BB"/>
    <w:rsid w:val="00BF27C2"/>
    <w:rsid w:val="00BF495C"/>
    <w:rsid w:val="00BF7AD3"/>
    <w:rsid w:val="00BF7DB4"/>
    <w:rsid w:val="00C05579"/>
    <w:rsid w:val="00C13B82"/>
    <w:rsid w:val="00C23D5A"/>
    <w:rsid w:val="00C40819"/>
    <w:rsid w:val="00C4224E"/>
    <w:rsid w:val="00C4434D"/>
    <w:rsid w:val="00C45893"/>
    <w:rsid w:val="00C468E8"/>
    <w:rsid w:val="00C46B12"/>
    <w:rsid w:val="00C50D2D"/>
    <w:rsid w:val="00C528D7"/>
    <w:rsid w:val="00C5317D"/>
    <w:rsid w:val="00C563EB"/>
    <w:rsid w:val="00C7138D"/>
    <w:rsid w:val="00C72AAF"/>
    <w:rsid w:val="00C730FC"/>
    <w:rsid w:val="00C771B0"/>
    <w:rsid w:val="00C77D94"/>
    <w:rsid w:val="00C8177C"/>
    <w:rsid w:val="00C842BA"/>
    <w:rsid w:val="00C84CE8"/>
    <w:rsid w:val="00C84DD6"/>
    <w:rsid w:val="00C87196"/>
    <w:rsid w:val="00C90B9C"/>
    <w:rsid w:val="00C928DA"/>
    <w:rsid w:val="00C93551"/>
    <w:rsid w:val="00C93B09"/>
    <w:rsid w:val="00C95F69"/>
    <w:rsid w:val="00CA2BB7"/>
    <w:rsid w:val="00CA3880"/>
    <w:rsid w:val="00CA3E83"/>
    <w:rsid w:val="00CA5DBC"/>
    <w:rsid w:val="00CA69D7"/>
    <w:rsid w:val="00CB0A0C"/>
    <w:rsid w:val="00CB1A0B"/>
    <w:rsid w:val="00CB1DDC"/>
    <w:rsid w:val="00CC1CFE"/>
    <w:rsid w:val="00CC463C"/>
    <w:rsid w:val="00CC4CB3"/>
    <w:rsid w:val="00CC57CA"/>
    <w:rsid w:val="00CD22CE"/>
    <w:rsid w:val="00CD28D9"/>
    <w:rsid w:val="00CD5CF0"/>
    <w:rsid w:val="00CD5D73"/>
    <w:rsid w:val="00CE40E0"/>
    <w:rsid w:val="00CE4E4D"/>
    <w:rsid w:val="00CE532C"/>
    <w:rsid w:val="00CE5808"/>
    <w:rsid w:val="00CE62E0"/>
    <w:rsid w:val="00CE65B2"/>
    <w:rsid w:val="00CE74FD"/>
    <w:rsid w:val="00D03CCC"/>
    <w:rsid w:val="00D0525B"/>
    <w:rsid w:val="00D057F8"/>
    <w:rsid w:val="00D076AE"/>
    <w:rsid w:val="00D1097C"/>
    <w:rsid w:val="00D1409D"/>
    <w:rsid w:val="00D24367"/>
    <w:rsid w:val="00D31606"/>
    <w:rsid w:val="00D32233"/>
    <w:rsid w:val="00D32BA0"/>
    <w:rsid w:val="00D356ED"/>
    <w:rsid w:val="00D359E1"/>
    <w:rsid w:val="00D36726"/>
    <w:rsid w:val="00D37D54"/>
    <w:rsid w:val="00D411F6"/>
    <w:rsid w:val="00D433FA"/>
    <w:rsid w:val="00D43913"/>
    <w:rsid w:val="00D44582"/>
    <w:rsid w:val="00D45805"/>
    <w:rsid w:val="00D46DB2"/>
    <w:rsid w:val="00D47AAD"/>
    <w:rsid w:val="00D55BBB"/>
    <w:rsid w:val="00D620CE"/>
    <w:rsid w:val="00D629EF"/>
    <w:rsid w:val="00D631CA"/>
    <w:rsid w:val="00D636BB"/>
    <w:rsid w:val="00D64249"/>
    <w:rsid w:val="00D6446B"/>
    <w:rsid w:val="00D65AA1"/>
    <w:rsid w:val="00D723D1"/>
    <w:rsid w:val="00D7537F"/>
    <w:rsid w:val="00D76596"/>
    <w:rsid w:val="00D774F1"/>
    <w:rsid w:val="00D8106A"/>
    <w:rsid w:val="00D84561"/>
    <w:rsid w:val="00D8694B"/>
    <w:rsid w:val="00D92642"/>
    <w:rsid w:val="00D94CB6"/>
    <w:rsid w:val="00D96A7A"/>
    <w:rsid w:val="00D96DB4"/>
    <w:rsid w:val="00DA47ED"/>
    <w:rsid w:val="00DA7E7D"/>
    <w:rsid w:val="00DB56A8"/>
    <w:rsid w:val="00DB7642"/>
    <w:rsid w:val="00DC0CD7"/>
    <w:rsid w:val="00DC15B2"/>
    <w:rsid w:val="00DC2A51"/>
    <w:rsid w:val="00DC6083"/>
    <w:rsid w:val="00DC60C4"/>
    <w:rsid w:val="00DC6F57"/>
    <w:rsid w:val="00DD5018"/>
    <w:rsid w:val="00DD5061"/>
    <w:rsid w:val="00DD673F"/>
    <w:rsid w:val="00DD6A68"/>
    <w:rsid w:val="00DE0787"/>
    <w:rsid w:val="00DE1581"/>
    <w:rsid w:val="00DE1B15"/>
    <w:rsid w:val="00DE2E5F"/>
    <w:rsid w:val="00DE40BA"/>
    <w:rsid w:val="00DF5E3A"/>
    <w:rsid w:val="00E0162B"/>
    <w:rsid w:val="00E05BE5"/>
    <w:rsid w:val="00E1169A"/>
    <w:rsid w:val="00E11C40"/>
    <w:rsid w:val="00E168DF"/>
    <w:rsid w:val="00E30398"/>
    <w:rsid w:val="00E3184B"/>
    <w:rsid w:val="00E32D00"/>
    <w:rsid w:val="00E340BE"/>
    <w:rsid w:val="00E4054E"/>
    <w:rsid w:val="00E408BA"/>
    <w:rsid w:val="00E43817"/>
    <w:rsid w:val="00E54D43"/>
    <w:rsid w:val="00E5606F"/>
    <w:rsid w:val="00E56E68"/>
    <w:rsid w:val="00E60569"/>
    <w:rsid w:val="00E62AF5"/>
    <w:rsid w:val="00E66D91"/>
    <w:rsid w:val="00E67F1D"/>
    <w:rsid w:val="00E70063"/>
    <w:rsid w:val="00E71494"/>
    <w:rsid w:val="00E736F2"/>
    <w:rsid w:val="00E74329"/>
    <w:rsid w:val="00E75C74"/>
    <w:rsid w:val="00E83529"/>
    <w:rsid w:val="00E83E56"/>
    <w:rsid w:val="00E84279"/>
    <w:rsid w:val="00E84841"/>
    <w:rsid w:val="00E85BED"/>
    <w:rsid w:val="00E872F4"/>
    <w:rsid w:val="00E879CC"/>
    <w:rsid w:val="00E971AA"/>
    <w:rsid w:val="00E9767F"/>
    <w:rsid w:val="00EA23B5"/>
    <w:rsid w:val="00EB2645"/>
    <w:rsid w:val="00EB293D"/>
    <w:rsid w:val="00EB4589"/>
    <w:rsid w:val="00EB5583"/>
    <w:rsid w:val="00EB6F69"/>
    <w:rsid w:val="00EC1A30"/>
    <w:rsid w:val="00EC348B"/>
    <w:rsid w:val="00EC671B"/>
    <w:rsid w:val="00ED00D2"/>
    <w:rsid w:val="00ED17FE"/>
    <w:rsid w:val="00ED2638"/>
    <w:rsid w:val="00ED63F8"/>
    <w:rsid w:val="00EE1D65"/>
    <w:rsid w:val="00EE249D"/>
    <w:rsid w:val="00EF0A72"/>
    <w:rsid w:val="00F01B8F"/>
    <w:rsid w:val="00F029DE"/>
    <w:rsid w:val="00F02CCF"/>
    <w:rsid w:val="00F033E4"/>
    <w:rsid w:val="00F03969"/>
    <w:rsid w:val="00F05AC1"/>
    <w:rsid w:val="00F114C1"/>
    <w:rsid w:val="00F1699E"/>
    <w:rsid w:val="00F22E46"/>
    <w:rsid w:val="00F46354"/>
    <w:rsid w:val="00F46EFD"/>
    <w:rsid w:val="00F55B5B"/>
    <w:rsid w:val="00F55C3D"/>
    <w:rsid w:val="00F606BE"/>
    <w:rsid w:val="00F630B7"/>
    <w:rsid w:val="00F7463A"/>
    <w:rsid w:val="00F762EC"/>
    <w:rsid w:val="00F77547"/>
    <w:rsid w:val="00F77DE7"/>
    <w:rsid w:val="00F811D5"/>
    <w:rsid w:val="00F84323"/>
    <w:rsid w:val="00F8799C"/>
    <w:rsid w:val="00F901F5"/>
    <w:rsid w:val="00F90E0D"/>
    <w:rsid w:val="00F913F3"/>
    <w:rsid w:val="00F92605"/>
    <w:rsid w:val="00FA19B8"/>
    <w:rsid w:val="00FA1B50"/>
    <w:rsid w:val="00FA4DA0"/>
    <w:rsid w:val="00FA4F87"/>
    <w:rsid w:val="00FB2552"/>
    <w:rsid w:val="00FB3904"/>
    <w:rsid w:val="00FB3E26"/>
    <w:rsid w:val="00FC1265"/>
    <w:rsid w:val="00FC237D"/>
    <w:rsid w:val="00FD324B"/>
    <w:rsid w:val="00FD3EB5"/>
    <w:rsid w:val="00FD4DB2"/>
    <w:rsid w:val="00FD54F0"/>
    <w:rsid w:val="00FD70A8"/>
    <w:rsid w:val="00FE17FA"/>
    <w:rsid w:val="00FE29BC"/>
    <w:rsid w:val="00FE36B7"/>
    <w:rsid w:val="00FE605D"/>
    <w:rsid w:val="00FE7B1E"/>
    <w:rsid w:val="00FF2CDA"/>
    <w:rsid w:val="00FF42F5"/>
    <w:rsid w:val="00FF6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EFD0"/>
  <w15:docId w15:val="{C6A68359-6E60-BD47-91B0-19CA894B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DB2"/>
    <w:pPr>
      <w:spacing w:after="0" w:line="240" w:lineRule="auto"/>
    </w:pPr>
    <w:rPr>
      <w:rFonts w:ascii="Times New Roman" w:hAnsi="Times New Roman" w:cs="Times New Roman"/>
      <w:sz w:val="24"/>
      <w:szCs w:val="24"/>
      <w:lang w:val="pt-BR" w:eastAsia="pt-BR"/>
    </w:rPr>
  </w:style>
  <w:style w:type="paragraph" w:styleId="Heading2">
    <w:name w:val="heading 2"/>
    <w:basedOn w:val="Normal"/>
    <w:link w:val="Heading2Char"/>
    <w:uiPriority w:val="9"/>
    <w:qFormat/>
    <w:rsid w:val="002556E7"/>
    <w:pPr>
      <w:spacing w:before="100" w:beforeAutospacing="1" w:after="100" w:afterAutospacing="1"/>
      <w:outlineLvl w:val="1"/>
    </w:pPr>
    <w:rPr>
      <w:rFonts w:eastAsia="Times New Roman"/>
      <w:b/>
      <w:bCs/>
      <w:sz w:val="32"/>
      <w:szCs w:val="36"/>
      <w:lang w:val="en-GB" w:eastAsia="en-GB"/>
    </w:rPr>
  </w:style>
  <w:style w:type="paragraph" w:styleId="Heading3">
    <w:name w:val="heading 3"/>
    <w:basedOn w:val="Normal"/>
    <w:next w:val="Normal"/>
    <w:link w:val="Heading3Char"/>
    <w:uiPriority w:val="9"/>
    <w:unhideWhenUsed/>
    <w:qFormat/>
    <w:rsid w:val="009F16F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72E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46DB2"/>
    <w:rPr>
      <w:sz w:val="20"/>
      <w:szCs w:val="20"/>
    </w:rPr>
  </w:style>
  <w:style w:type="character" w:customStyle="1" w:styleId="FootnoteTextChar">
    <w:name w:val="Footnote Text Char"/>
    <w:basedOn w:val="DefaultParagraphFont"/>
    <w:link w:val="FootnoteText"/>
    <w:uiPriority w:val="99"/>
    <w:rsid w:val="00D46DB2"/>
    <w:rPr>
      <w:rFonts w:ascii="Times New Roman" w:hAnsi="Times New Roman" w:cs="Times New Roman"/>
      <w:sz w:val="20"/>
      <w:szCs w:val="20"/>
      <w:lang w:val="pt-BR" w:eastAsia="pt-BR"/>
    </w:rPr>
  </w:style>
  <w:style w:type="character" w:styleId="FootnoteReference">
    <w:name w:val="footnote reference"/>
    <w:basedOn w:val="DefaultParagraphFont"/>
    <w:uiPriority w:val="99"/>
    <w:semiHidden/>
    <w:unhideWhenUsed/>
    <w:rsid w:val="00D46DB2"/>
    <w:rPr>
      <w:vertAlign w:val="superscript"/>
    </w:rPr>
  </w:style>
  <w:style w:type="paragraph" w:styleId="z-TopofForm">
    <w:name w:val="HTML Top of Form"/>
    <w:basedOn w:val="Normal"/>
    <w:next w:val="Normal"/>
    <w:link w:val="z-TopofFormChar"/>
    <w:hidden/>
    <w:uiPriority w:val="99"/>
    <w:semiHidden/>
    <w:unhideWhenUsed/>
    <w:rsid w:val="00572065"/>
    <w:pPr>
      <w:pBdr>
        <w:bottom w:val="single" w:sz="6" w:space="1" w:color="auto"/>
      </w:pBdr>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572065"/>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572065"/>
    <w:pPr>
      <w:pBdr>
        <w:top w:val="single" w:sz="6" w:space="1" w:color="auto"/>
      </w:pBdr>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572065"/>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572065"/>
    <w:rPr>
      <w:rFonts w:ascii="Tahoma" w:hAnsi="Tahoma" w:cs="Tahoma"/>
      <w:sz w:val="16"/>
      <w:szCs w:val="16"/>
    </w:rPr>
  </w:style>
  <w:style w:type="character" w:customStyle="1" w:styleId="BalloonTextChar">
    <w:name w:val="Balloon Text Char"/>
    <w:basedOn w:val="DefaultParagraphFont"/>
    <w:link w:val="BalloonText"/>
    <w:uiPriority w:val="99"/>
    <w:semiHidden/>
    <w:rsid w:val="00572065"/>
    <w:rPr>
      <w:rFonts w:ascii="Tahoma" w:hAnsi="Tahoma" w:cs="Tahoma"/>
      <w:sz w:val="16"/>
      <w:szCs w:val="16"/>
      <w:lang w:val="pt-BR" w:eastAsia="pt-BR"/>
    </w:rPr>
  </w:style>
  <w:style w:type="character" w:styleId="Emphasis">
    <w:name w:val="Emphasis"/>
    <w:basedOn w:val="DefaultParagraphFont"/>
    <w:uiPriority w:val="20"/>
    <w:qFormat/>
    <w:rsid w:val="00952591"/>
    <w:rPr>
      <w:i/>
      <w:iCs/>
    </w:rPr>
  </w:style>
  <w:style w:type="character" w:styleId="Hyperlink">
    <w:name w:val="Hyperlink"/>
    <w:basedOn w:val="DefaultParagraphFont"/>
    <w:uiPriority w:val="99"/>
    <w:unhideWhenUsed/>
    <w:rsid w:val="0072026C"/>
    <w:rPr>
      <w:color w:val="0000FF"/>
      <w:u w:val="single"/>
    </w:rPr>
  </w:style>
  <w:style w:type="character" w:customStyle="1" w:styleId="costarpage">
    <w:name w:val="co_starpage"/>
    <w:basedOn w:val="DefaultParagraphFont"/>
    <w:rsid w:val="00387567"/>
  </w:style>
  <w:style w:type="character" w:customStyle="1" w:styleId="article-aside-txt">
    <w:name w:val="article-aside-txt"/>
    <w:basedOn w:val="DefaultParagraphFont"/>
    <w:rsid w:val="00643A54"/>
  </w:style>
  <w:style w:type="character" w:customStyle="1" w:styleId="footnote-num">
    <w:name w:val="footnote-num"/>
    <w:basedOn w:val="DefaultParagraphFont"/>
    <w:rsid w:val="00643A54"/>
  </w:style>
  <w:style w:type="character" w:customStyle="1" w:styleId="Heading2Char">
    <w:name w:val="Heading 2 Char"/>
    <w:basedOn w:val="DefaultParagraphFont"/>
    <w:link w:val="Heading2"/>
    <w:uiPriority w:val="9"/>
    <w:rsid w:val="002556E7"/>
    <w:rPr>
      <w:rFonts w:ascii="Times New Roman" w:eastAsia="Times New Roman" w:hAnsi="Times New Roman" w:cs="Times New Roman"/>
      <w:b/>
      <w:bCs/>
      <w:sz w:val="32"/>
      <w:szCs w:val="36"/>
      <w:lang w:eastAsia="en-GB"/>
    </w:rPr>
  </w:style>
  <w:style w:type="paragraph" w:styleId="NormalWeb">
    <w:name w:val="Normal (Web)"/>
    <w:basedOn w:val="Normal"/>
    <w:uiPriority w:val="99"/>
    <w:unhideWhenUsed/>
    <w:rsid w:val="008A5AC9"/>
    <w:pPr>
      <w:spacing w:before="100" w:beforeAutospacing="1" w:after="100" w:afterAutospacing="1"/>
    </w:pPr>
    <w:rPr>
      <w:rFonts w:eastAsia="Times New Roman"/>
      <w:lang w:val="en-GB" w:eastAsia="en-GB"/>
    </w:rPr>
  </w:style>
  <w:style w:type="character" w:customStyle="1" w:styleId="cosmallcaps">
    <w:name w:val="co_smallcaps"/>
    <w:basedOn w:val="DefaultParagraphFont"/>
    <w:rsid w:val="005243A8"/>
  </w:style>
  <w:style w:type="character" w:customStyle="1" w:styleId="Heading3Char">
    <w:name w:val="Heading 3 Char"/>
    <w:basedOn w:val="DefaultParagraphFont"/>
    <w:link w:val="Heading3"/>
    <w:uiPriority w:val="9"/>
    <w:rsid w:val="009F16FE"/>
    <w:rPr>
      <w:rFonts w:asciiTheme="majorHAnsi" w:eastAsiaTheme="majorEastAsia" w:hAnsiTheme="majorHAnsi" w:cstheme="majorBidi"/>
      <w:b/>
      <w:bCs/>
      <w:color w:val="4F81BD" w:themeColor="accent1"/>
      <w:sz w:val="24"/>
      <w:szCs w:val="24"/>
      <w:lang w:val="pt-BR" w:eastAsia="pt-BR"/>
    </w:rPr>
  </w:style>
  <w:style w:type="character" w:styleId="HTMLCite">
    <w:name w:val="HTML Cite"/>
    <w:basedOn w:val="DefaultParagraphFont"/>
    <w:uiPriority w:val="99"/>
    <w:semiHidden/>
    <w:unhideWhenUsed/>
    <w:rsid w:val="00AF2F67"/>
    <w:rPr>
      <w:i/>
      <w:iCs/>
    </w:rPr>
  </w:style>
  <w:style w:type="paragraph" w:customStyle="1" w:styleId="Default">
    <w:name w:val="Default"/>
    <w:rsid w:val="002D5E4C"/>
    <w:pPr>
      <w:autoSpaceDE w:val="0"/>
      <w:autoSpaceDN w:val="0"/>
      <w:adjustRightInd w:val="0"/>
      <w:spacing w:after="0" w:line="240" w:lineRule="auto"/>
    </w:pPr>
    <w:rPr>
      <w:rFonts w:ascii="Arial" w:hAnsi="Arial" w:cs="Arial"/>
      <w:color w:val="000000"/>
      <w:sz w:val="24"/>
      <w:szCs w:val="24"/>
    </w:rPr>
  </w:style>
  <w:style w:type="character" w:customStyle="1" w:styleId="reference-text">
    <w:name w:val="reference-text"/>
    <w:basedOn w:val="DefaultParagraphFont"/>
    <w:rsid w:val="00504FA7"/>
  </w:style>
  <w:style w:type="character" w:customStyle="1" w:styleId="s5">
    <w:name w:val="s5"/>
    <w:basedOn w:val="DefaultParagraphFont"/>
    <w:rsid w:val="00504FA7"/>
  </w:style>
  <w:style w:type="character" w:customStyle="1" w:styleId="UnresolvedMention1">
    <w:name w:val="Unresolved Mention1"/>
    <w:basedOn w:val="DefaultParagraphFont"/>
    <w:uiPriority w:val="99"/>
    <w:semiHidden/>
    <w:unhideWhenUsed/>
    <w:rsid w:val="00D359E1"/>
    <w:rPr>
      <w:color w:val="605E5C"/>
      <w:shd w:val="clear" w:color="auto" w:fill="E1DFDD"/>
    </w:rPr>
  </w:style>
  <w:style w:type="character" w:customStyle="1" w:styleId="Heading4Char">
    <w:name w:val="Heading 4 Char"/>
    <w:basedOn w:val="DefaultParagraphFont"/>
    <w:link w:val="Heading4"/>
    <w:uiPriority w:val="9"/>
    <w:rsid w:val="00A72EF0"/>
    <w:rPr>
      <w:rFonts w:asciiTheme="majorHAnsi" w:eastAsiaTheme="majorEastAsia" w:hAnsiTheme="majorHAnsi" w:cstheme="majorBidi"/>
      <w:i/>
      <w:iCs/>
      <w:color w:val="365F91" w:themeColor="accent1" w:themeShade="BF"/>
      <w:sz w:val="24"/>
      <w:szCs w:val="24"/>
      <w:lang w:val="pt-BR" w:eastAsia="pt-BR"/>
    </w:rPr>
  </w:style>
  <w:style w:type="paragraph" w:styleId="ListParagraph">
    <w:name w:val="List Paragraph"/>
    <w:basedOn w:val="Normal"/>
    <w:uiPriority w:val="34"/>
    <w:qFormat/>
    <w:rsid w:val="00003CA0"/>
    <w:pPr>
      <w:ind w:left="720"/>
      <w:contextualSpacing/>
    </w:pPr>
  </w:style>
  <w:style w:type="character" w:styleId="CommentReference">
    <w:name w:val="annotation reference"/>
    <w:basedOn w:val="DefaultParagraphFont"/>
    <w:uiPriority w:val="99"/>
    <w:semiHidden/>
    <w:unhideWhenUsed/>
    <w:rsid w:val="00B61343"/>
    <w:rPr>
      <w:sz w:val="16"/>
      <w:szCs w:val="16"/>
    </w:rPr>
  </w:style>
  <w:style w:type="paragraph" w:styleId="CommentText">
    <w:name w:val="annotation text"/>
    <w:basedOn w:val="Normal"/>
    <w:link w:val="CommentTextChar"/>
    <w:uiPriority w:val="99"/>
    <w:semiHidden/>
    <w:unhideWhenUsed/>
    <w:rsid w:val="00B61343"/>
    <w:rPr>
      <w:sz w:val="20"/>
      <w:szCs w:val="20"/>
    </w:rPr>
  </w:style>
  <w:style w:type="character" w:customStyle="1" w:styleId="CommentTextChar">
    <w:name w:val="Comment Text Char"/>
    <w:basedOn w:val="DefaultParagraphFont"/>
    <w:link w:val="CommentText"/>
    <w:uiPriority w:val="99"/>
    <w:semiHidden/>
    <w:rsid w:val="00B61343"/>
    <w:rPr>
      <w:rFonts w:ascii="Times New Roman" w:hAnsi="Times New Roman" w:cs="Times New Roman"/>
      <w:sz w:val="20"/>
      <w:szCs w:val="20"/>
      <w:lang w:val="pt-BR" w:eastAsia="pt-BR"/>
    </w:rPr>
  </w:style>
  <w:style w:type="paragraph" w:styleId="CommentSubject">
    <w:name w:val="annotation subject"/>
    <w:basedOn w:val="CommentText"/>
    <w:next w:val="CommentText"/>
    <w:link w:val="CommentSubjectChar"/>
    <w:uiPriority w:val="99"/>
    <w:semiHidden/>
    <w:unhideWhenUsed/>
    <w:rsid w:val="00B61343"/>
    <w:rPr>
      <w:b/>
      <w:bCs/>
    </w:rPr>
  </w:style>
  <w:style w:type="character" w:customStyle="1" w:styleId="CommentSubjectChar">
    <w:name w:val="Comment Subject Char"/>
    <w:basedOn w:val="CommentTextChar"/>
    <w:link w:val="CommentSubject"/>
    <w:uiPriority w:val="99"/>
    <w:semiHidden/>
    <w:rsid w:val="00B61343"/>
    <w:rPr>
      <w:rFonts w:ascii="Times New Roman" w:hAnsi="Times New Roman" w:cs="Times New Roman"/>
      <w:b/>
      <w:bCs/>
      <w:sz w:val="20"/>
      <w:szCs w:val="20"/>
      <w:lang w:val="pt-BR" w:eastAsia="pt-BR"/>
    </w:rPr>
  </w:style>
  <w:style w:type="paragraph" w:styleId="Header">
    <w:name w:val="header"/>
    <w:basedOn w:val="Normal"/>
    <w:link w:val="HeaderChar"/>
    <w:uiPriority w:val="99"/>
    <w:unhideWhenUsed/>
    <w:rsid w:val="00A05DF4"/>
    <w:pPr>
      <w:tabs>
        <w:tab w:val="center" w:pos="4252"/>
        <w:tab w:val="right" w:pos="8504"/>
      </w:tabs>
    </w:pPr>
  </w:style>
  <w:style w:type="character" w:customStyle="1" w:styleId="HeaderChar">
    <w:name w:val="Header Char"/>
    <w:basedOn w:val="DefaultParagraphFont"/>
    <w:link w:val="Header"/>
    <w:uiPriority w:val="99"/>
    <w:rsid w:val="00A05DF4"/>
    <w:rPr>
      <w:rFonts w:ascii="Times New Roman" w:hAnsi="Times New Roman" w:cs="Times New Roman"/>
      <w:sz w:val="24"/>
      <w:szCs w:val="24"/>
      <w:lang w:val="pt-BR" w:eastAsia="pt-BR"/>
    </w:rPr>
  </w:style>
  <w:style w:type="paragraph" w:styleId="Footer">
    <w:name w:val="footer"/>
    <w:basedOn w:val="Normal"/>
    <w:link w:val="FooterChar"/>
    <w:uiPriority w:val="99"/>
    <w:unhideWhenUsed/>
    <w:rsid w:val="00A05DF4"/>
    <w:pPr>
      <w:tabs>
        <w:tab w:val="center" w:pos="4252"/>
        <w:tab w:val="right" w:pos="8504"/>
      </w:tabs>
    </w:pPr>
  </w:style>
  <w:style w:type="character" w:customStyle="1" w:styleId="FooterChar">
    <w:name w:val="Footer Char"/>
    <w:basedOn w:val="DefaultParagraphFont"/>
    <w:link w:val="Footer"/>
    <w:uiPriority w:val="99"/>
    <w:rsid w:val="00A05DF4"/>
    <w:rPr>
      <w:rFonts w:ascii="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30270">
      <w:bodyDiv w:val="1"/>
      <w:marLeft w:val="0"/>
      <w:marRight w:val="0"/>
      <w:marTop w:val="0"/>
      <w:marBottom w:val="0"/>
      <w:divBdr>
        <w:top w:val="none" w:sz="0" w:space="0" w:color="auto"/>
        <w:left w:val="none" w:sz="0" w:space="0" w:color="auto"/>
        <w:bottom w:val="none" w:sz="0" w:space="0" w:color="auto"/>
        <w:right w:val="none" w:sz="0" w:space="0" w:color="auto"/>
      </w:divBdr>
    </w:div>
    <w:div w:id="98256719">
      <w:bodyDiv w:val="1"/>
      <w:marLeft w:val="0"/>
      <w:marRight w:val="0"/>
      <w:marTop w:val="0"/>
      <w:marBottom w:val="0"/>
      <w:divBdr>
        <w:top w:val="none" w:sz="0" w:space="0" w:color="auto"/>
        <w:left w:val="none" w:sz="0" w:space="0" w:color="auto"/>
        <w:bottom w:val="none" w:sz="0" w:space="0" w:color="auto"/>
        <w:right w:val="none" w:sz="0" w:space="0" w:color="auto"/>
      </w:divBdr>
    </w:div>
    <w:div w:id="161970470">
      <w:bodyDiv w:val="1"/>
      <w:marLeft w:val="0"/>
      <w:marRight w:val="0"/>
      <w:marTop w:val="0"/>
      <w:marBottom w:val="0"/>
      <w:divBdr>
        <w:top w:val="none" w:sz="0" w:space="0" w:color="auto"/>
        <w:left w:val="none" w:sz="0" w:space="0" w:color="auto"/>
        <w:bottom w:val="none" w:sz="0" w:space="0" w:color="auto"/>
        <w:right w:val="none" w:sz="0" w:space="0" w:color="auto"/>
      </w:divBdr>
      <w:divsChild>
        <w:div w:id="1503854919">
          <w:marLeft w:val="0"/>
          <w:marRight w:val="0"/>
          <w:marTop w:val="0"/>
          <w:marBottom w:val="0"/>
          <w:divBdr>
            <w:top w:val="none" w:sz="0" w:space="0" w:color="auto"/>
            <w:left w:val="none" w:sz="0" w:space="0" w:color="auto"/>
            <w:bottom w:val="none" w:sz="0" w:space="0" w:color="auto"/>
            <w:right w:val="none" w:sz="0" w:space="0" w:color="auto"/>
          </w:divBdr>
          <w:divsChild>
            <w:div w:id="1910341006">
              <w:marLeft w:val="0"/>
              <w:marRight w:val="0"/>
              <w:marTop w:val="0"/>
              <w:marBottom w:val="0"/>
              <w:divBdr>
                <w:top w:val="none" w:sz="0" w:space="0" w:color="auto"/>
                <w:left w:val="none" w:sz="0" w:space="0" w:color="auto"/>
                <w:bottom w:val="none" w:sz="0" w:space="0" w:color="auto"/>
                <w:right w:val="none" w:sz="0" w:space="0" w:color="auto"/>
              </w:divBdr>
              <w:divsChild>
                <w:div w:id="18482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22615">
      <w:bodyDiv w:val="1"/>
      <w:marLeft w:val="0"/>
      <w:marRight w:val="0"/>
      <w:marTop w:val="0"/>
      <w:marBottom w:val="0"/>
      <w:divBdr>
        <w:top w:val="none" w:sz="0" w:space="0" w:color="auto"/>
        <w:left w:val="none" w:sz="0" w:space="0" w:color="auto"/>
        <w:bottom w:val="none" w:sz="0" w:space="0" w:color="auto"/>
        <w:right w:val="none" w:sz="0" w:space="0" w:color="auto"/>
      </w:divBdr>
      <w:divsChild>
        <w:div w:id="99961508">
          <w:marLeft w:val="0"/>
          <w:marRight w:val="0"/>
          <w:marTop w:val="0"/>
          <w:marBottom w:val="0"/>
          <w:divBdr>
            <w:top w:val="none" w:sz="0" w:space="0" w:color="auto"/>
            <w:left w:val="none" w:sz="0" w:space="0" w:color="auto"/>
            <w:bottom w:val="none" w:sz="0" w:space="0" w:color="auto"/>
            <w:right w:val="none" w:sz="0" w:space="0" w:color="auto"/>
          </w:divBdr>
          <w:divsChild>
            <w:div w:id="256259553">
              <w:marLeft w:val="0"/>
              <w:marRight w:val="0"/>
              <w:marTop w:val="0"/>
              <w:marBottom w:val="0"/>
              <w:divBdr>
                <w:top w:val="none" w:sz="0" w:space="0" w:color="auto"/>
                <w:left w:val="none" w:sz="0" w:space="0" w:color="auto"/>
                <w:bottom w:val="none" w:sz="0" w:space="0" w:color="auto"/>
                <w:right w:val="none" w:sz="0" w:space="0" w:color="auto"/>
              </w:divBdr>
              <w:divsChild>
                <w:div w:id="108548311">
                  <w:marLeft w:val="0"/>
                  <w:marRight w:val="0"/>
                  <w:marTop w:val="0"/>
                  <w:marBottom w:val="0"/>
                  <w:divBdr>
                    <w:top w:val="none" w:sz="0" w:space="0" w:color="auto"/>
                    <w:left w:val="none" w:sz="0" w:space="0" w:color="auto"/>
                    <w:bottom w:val="none" w:sz="0" w:space="0" w:color="auto"/>
                    <w:right w:val="none" w:sz="0" w:space="0" w:color="auto"/>
                  </w:divBdr>
                  <w:divsChild>
                    <w:div w:id="214240250">
                      <w:marLeft w:val="0"/>
                      <w:marRight w:val="0"/>
                      <w:marTop w:val="0"/>
                      <w:marBottom w:val="0"/>
                      <w:divBdr>
                        <w:top w:val="none" w:sz="0" w:space="0" w:color="auto"/>
                        <w:left w:val="none" w:sz="0" w:space="0" w:color="auto"/>
                        <w:bottom w:val="none" w:sz="0" w:space="0" w:color="auto"/>
                        <w:right w:val="none" w:sz="0" w:space="0" w:color="auto"/>
                      </w:divBdr>
                      <w:divsChild>
                        <w:div w:id="928735669">
                          <w:marLeft w:val="0"/>
                          <w:marRight w:val="0"/>
                          <w:marTop w:val="0"/>
                          <w:marBottom w:val="0"/>
                          <w:divBdr>
                            <w:top w:val="none" w:sz="0" w:space="0" w:color="auto"/>
                            <w:left w:val="none" w:sz="0" w:space="0" w:color="auto"/>
                            <w:bottom w:val="none" w:sz="0" w:space="0" w:color="auto"/>
                            <w:right w:val="none" w:sz="0" w:space="0" w:color="auto"/>
                          </w:divBdr>
                        </w:div>
                      </w:divsChild>
                    </w:div>
                    <w:div w:id="368652353">
                      <w:marLeft w:val="0"/>
                      <w:marRight w:val="0"/>
                      <w:marTop w:val="0"/>
                      <w:marBottom w:val="0"/>
                      <w:divBdr>
                        <w:top w:val="none" w:sz="0" w:space="0" w:color="auto"/>
                        <w:left w:val="none" w:sz="0" w:space="0" w:color="auto"/>
                        <w:bottom w:val="none" w:sz="0" w:space="0" w:color="auto"/>
                        <w:right w:val="none" w:sz="0" w:space="0" w:color="auto"/>
                      </w:divBdr>
                      <w:divsChild>
                        <w:div w:id="1618676967">
                          <w:marLeft w:val="0"/>
                          <w:marRight w:val="0"/>
                          <w:marTop w:val="0"/>
                          <w:marBottom w:val="0"/>
                          <w:divBdr>
                            <w:top w:val="none" w:sz="0" w:space="0" w:color="auto"/>
                            <w:left w:val="none" w:sz="0" w:space="0" w:color="auto"/>
                            <w:bottom w:val="none" w:sz="0" w:space="0" w:color="auto"/>
                            <w:right w:val="none" w:sz="0" w:space="0" w:color="auto"/>
                          </w:divBdr>
                        </w:div>
                      </w:divsChild>
                    </w:div>
                    <w:div w:id="1349483105">
                      <w:marLeft w:val="0"/>
                      <w:marRight w:val="0"/>
                      <w:marTop w:val="0"/>
                      <w:marBottom w:val="0"/>
                      <w:divBdr>
                        <w:top w:val="none" w:sz="0" w:space="0" w:color="auto"/>
                        <w:left w:val="none" w:sz="0" w:space="0" w:color="auto"/>
                        <w:bottom w:val="none" w:sz="0" w:space="0" w:color="auto"/>
                        <w:right w:val="none" w:sz="0" w:space="0" w:color="auto"/>
                      </w:divBdr>
                      <w:divsChild>
                        <w:div w:id="1870603819">
                          <w:marLeft w:val="0"/>
                          <w:marRight w:val="0"/>
                          <w:marTop w:val="0"/>
                          <w:marBottom w:val="0"/>
                          <w:divBdr>
                            <w:top w:val="none" w:sz="0" w:space="0" w:color="auto"/>
                            <w:left w:val="none" w:sz="0" w:space="0" w:color="auto"/>
                            <w:bottom w:val="none" w:sz="0" w:space="0" w:color="auto"/>
                            <w:right w:val="none" w:sz="0" w:space="0" w:color="auto"/>
                          </w:divBdr>
                        </w:div>
                      </w:divsChild>
                    </w:div>
                    <w:div w:id="1537816429">
                      <w:marLeft w:val="0"/>
                      <w:marRight w:val="0"/>
                      <w:marTop w:val="0"/>
                      <w:marBottom w:val="0"/>
                      <w:divBdr>
                        <w:top w:val="none" w:sz="0" w:space="0" w:color="auto"/>
                        <w:left w:val="none" w:sz="0" w:space="0" w:color="auto"/>
                        <w:bottom w:val="none" w:sz="0" w:space="0" w:color="auto"/>
                        <w:right w:val="none" w:sz="0" w:space="0" w:color="auto"/>
                      </w:divBdr>
                      <w:divsChild>
                        <w:div w:id="15766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1129">
                  <w:marLeft w:val="0"/>
                  <w:marRight w:val="0"/>
                  <w:marTop w:val="0"/>
                  <w:marBottom w:val="0"/>
                  <w:divBdr>
                    <w:top w:val="none" w:sz="0" w:space="0" w:color="auto"/>
                    <w:left w:val="none" w:sz="0" w:space="0" w:color="auto"/>
                    <w:bottom w:val="none" w:sz="0" w:space="0" w:color="auto"/>
                    <w:right w:val="none" w:sz="0" w:space="0" w:color="auto"/>
                  </w:divBdr>
                </w:div>
                <w:div w:id="1959406571">
                  <w:marLeft w:val="0"/>
                  <w:marRight w:val="0"/>
                  <w:marTop w:val="0"/>
                  <w:marBottom w:val="0"/>
                  <w:divBdr>
                    <w:top w:val="none" w:sz="0" w:space="0" w:color="auto"/>
                    <w:left w:val="none" w:sz="0" w:space="0" w:color="auto"/>
                    <w:bottom w:val="none" w:sz="0" w:space="0" w:color="auto"/>
                    <w:right w:val="none" w:sz="0" w:space="0" w:color="auto"/>
                  </w:divBdr>
                  <w:divsChild>
                    <w:div w:id="78645233">
                      <w:marLeft w:val="0"/>
                      <w:marRight w:val="0"/>
                      <w:marTop w:val="0"/>
                      <w:marBottom w:val="0"/>
                      <w:divBdr>
                        <w:top w:val="none" w:sz="0" w:space="0" w:color="auto"/>
                        <w:left w:val="none" w:sz="0" w:space="0" w:color="auto"/>
                        <w:bottom w:val="none" w:sz="0" w:space="0" w:color="auto"/>
                        <w:right w:val="none" w:sz="0" w:space="0" w:color="auto"/>
                      </w:divBdr>
                      <w:divsChild>
                        <w:div w:id="346521352">
                          <w:marLeft w:val="0"/>
                          <w:marRight w:val="0"/>
                          <w:marTop w:val="0"/>
                          <w:marBottom w:val="0"/>
                          <w:divBdr>
                            <w:top w:val="none" w:sz="0" w:space="0" w:color="auto"/>
                            <w:left w:val="none" w:sz="0" w:space="0" w:color="auto"/>
                            <w:bottom w:val="none" w:sz="0" w:space="0" w:color="auto"/>
                            <w:right w:val="none" w:sz="0" w:space="0" w:color="auto"/>
                          </w:divBdr>
                        </w:div>
                      </w:divsChild>
                    </w:div>
                    <w:div w:id="637534711">
                      <w:marLeft w:val="0"/>
                      <w:marRight w:val="0"/>
                      <w:marTop w:val="0"/>
                      <w:marBottom w:val="0"/>
                      <w:divBdr>
                        <w:top w:val="none" w:sz="0" w:space="0" w:color="auto"/>
                        <w:left w:val="none" w:sz="0" w:space="0" w:color="auto"/>
                        <w:bottom w:val="none" w:sz="0" w:space="0" w:color="auto"/>
                        <w:right w:val="none" w:sz="0" w:space="0" w:color="auto"/>
                      </w:divBdr>
                      <w:divsChild>
                        <w:div w:id="1126507240">
                          <w:marLeft w:val="0"/>
                          <w:marRight w:val="0"/>
                          <w:marTop w:val="0"/>
                          <w:marBottom w:val="0"/>
                          <w:divBdr>
                            <w:top w:val="none" w:sz="0" w:space="0" w:color="auto"/>
                            <w:left w:val="none" w:sz="0" w:space="0" w:color="auto"/>
                            <w:bottom w:val="none" w:sz="0" w:space="0" w:color="auto"/>
                            <w:right w:val="none" w:sz="0" w:space="0" w:color="auto"/>
                          </w:divBdr>
                        </w:div>
                      </w:divsChild>
                    </w:div>
                    <w:div w:id="1520315179">
                      <w:marLeft w:val="0"/>
                      <w:marRight w:val="0"/>
                      <w:marTop w:val="0"/>
                      <w:marBottom w:val="0"/>
                      <w:divBdr>
                        <w:top w:val="none" w:sz="0" w:space="0" w:color="auto"/>
                        <w:left w:val="none" w:sz="0" w:space="0" w:color="auto"/>
                        <w:bottom w:val="none" w:sz="0" w:space="0" w:color="auto"/>
                        <w:right w:val="none" w:sz="0" w:space="0" w:color="auto"/>
                      </w:divBdr>
                      <w:divsChild>
                        <w:div w:id="19656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079507">
      <w:bodyDiv w:val="1"/>
      <w:marLeft w:val="0"/>
      <w:marRight w:val="0"/>
      <w:marTop w:val="0"/>
      <w:marBottom w:val="0"/>
      <w:divBdr>
        <w:top w:val="none" w:sz="0" w:space="0" w:color="auto"/>
        <w:left w:val="none" w:sz="0" w:space="0" w:color="auto"/>
        <w:bottom w:val="none" w:sz="0" w:space="0" w:color="auto"/>
        <w:right w:val="none" w:sz="0" w:space="0" w:color="auto"/>
      </w:divBdr>
      <w:divsChild>
        <w:div w:id="508953567">
          <w:marLeft w:val="0"/>
          <w:marRight w:val="0"/>
          <w:marTop w:val="0"/>
          <w:marBottom w:val="0"/>
          <w:divBdr>
            <w:top w:val="none" w:sz="0" w:space="0" w:color="auto"/>
            <w:left w:val="none" w:sz="0" w:space="0" w:color="auto"/>
            <w:bottom w:val="none" w:sz="0" w:space="0" w:color="auto"/>
            <w:right w:val="none" w:sz="0" w:space="0" w:color="auto"/>
          </w:divBdr>
          <w:divsChild>
            <w:div w:id="1468156877">
              <w:marLeft w:val="0"/>
              <w:marRight w:val="0"/>
              <w:marTop w:val="0"/>
              <w:marBottom w:val="0"/>
              <w:divBdr>
                <w:top w:val="none" w:sz="0" w:space="0" w:color="auto"/>
                <w:left w:val="none" w:sz="0" w:space="0" w:color="auto"/>
                <w:bottom w:val="none" w:sz="0" w:space="0" w:color="auto"/>
                <w:right w:val="none" w:sz="0" w:space="0" w:color="auto"/>
              </w:divBdr>
              <w:divsChild>
                <w:div w:id="637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25784">
      <w:bodyDiv w:val="1"/>
      <w:marLeft w:val="0"/>
      <w:marRight w:val="0"/>
      <w:marTop w:val="0"/>
      <w:marBottom w:val="0"/>
      <w:divBdr>
        <w:top w:val="none" w:sz="0" w:space="0" w:color="auto"/>
        <w:left w:val="none" w:sz="0" w:space="0" w:color="auto"/>
        <w:bottom w:val="none" w:sz="0" w:space="0" w:color="auto"/>
        <w:right w:val="none" w:sz="0" w:space="0" w:color="auto"/>
      </w:divBdr>
    </w:div>
    <w:div w:id="502277997">
      <w:bodyDiv w:val="1"/>
      <w:marLeft w:val="0"/>
      <w:marRight w:val="0"/>
      <w:marTop w:val="0"/>
      <w:marBottom w:val="0"/>
      <w:divBdr>
        <w:top w:val="none" w:sz="0" w:space="0" w:color="auto"/>
        <w:left w:val="none" w:sz="0" w:space="0" w:color="auto"/>
        <w:bottom w:val="none" w:sz="0" w:space="0" w:color="auto"/>
        <w:right w:val="none" w:sz="0" w:space="0" w:color="auto"/>
      </w:divBdr>
    </w:div>
    <w:div w:id="505049721">
      <w:bodyDiv w:val="1"/>
      <w:marLeft w:val="0"/>
      <w:marRight w:val="0"/>
      <w:marTop w:val="0"/>
      <w:marBottom w:val="0"/>
      <w:divBdr>
        <w:top w:val="none" w:sz="0" w:space="0" w:color="auto"/>
        <w:left w:val="none" w:sz="0" w:space="0" w:color="auto"/>
        <w:bottom w:val="none" w:sz="0" w:space="0" w:color="auto"/>
        <w:right w:val="none" w:sz="0" w:space="0" w:color="auto"/>
      </w:divBdr>
    </w:div>
    <w:div w:id="541096402">
      <w:bodyDiv w:val="1"/>
      <w:marLeft w:val="0"/>
      <w:marRight w:val="0"/>
      <w:marTop w:val="0"/>
      <w:marBottom w:val="0"/>
      <w:divBdr>
        <w:top w:val="none" w:sz="0" w:space="0" w:color="auto"/>
        <w:left w:val="none" w:sz="0" w:space="0" w:color="auto"/>
        <w:bottom w:val="none" w:sz="0" w:space="0" w:color="auto"/>
        <w:right w:val="none" w:sz="0" w:space="0" w:color="auto"/>
      </w:divBdr>
    </w:div>
    <w:div w:id="567376253">
      <w:bodyDiv w:val="1"/>
      <w:marLeft w:val="0"/>
      <w:marRight w:val="0"/>
      <w:marTop w:val="0"/>
      <w:marBottom w:val="0"/>
      <w:divBdr>
        <w:top w:val="none" w:sz="0" w:space="0" w:color="auto"/>
        <w:left w:val="none" w:sz="0" w:space="0" w:color="auto"/>
        <w:bottom w:val="none" w:sz="0" w:space="0" w:color="auto"/>
        <w:right w:val="none" w:sz="0" w:space="0" w:color="auto"/>
      </w:divBdr>
      <w:divsChild>
        <w:div w:id="1875003454">
          <w:marLeft w:val="0"/>
          <w:marRight w:val="0"/>
          <w:marTop w:val="0"/>
          <w:marBottom w:val="0"/>
          <w:divBdr>
            <w:top w:val="none" w:sz="0" w:space="0" w:color="auto"/>
            <w:left w:val="none" w:sz="0" w:space="0" w:color="auto"/>
            <w:bottom w:val="none" w:sz="0" w:space="0" w:color="auto"/>
            <w:right w:val="none" w:sz="0" w:space="0" w:color="auto"/>
          </w:divBdr>
          <w:divsChild>
            <w:div w:id="1713070593">
              <w:marLeft w:val="0"/>
              <w:marRight w:val="0"/>
              <w:marTop w:val="0"/>
              <w:marBottom w:val="0"/>
              <w:divBdr>
                <w:top w:val="none" w:sz="0" w:space="0" w:color="auto"/>
                <w:left w:val="none" w:sz="0" w:space="0" w:color="auto"/>
                <w:bottom w:val="none" w:sz="0" w:space="0" w:color="auto"/>
                <w:right w:val="none" w:sz="0" w:space="0" w:color="auto"/>
              </w:divBdr>
              <w:divsChild>
                <w:div w:id="5429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6289">
      <w:bodyDiv w:val="1"/>
      <w:marLeft w:val="0"/>
      <w:marRight w:val="0"/>
      <w:marTop w:val="0"/>
      <w:marBottom w:val="0"/>
      <w:divBdr>
        <w:top w:val="none" w:sz="0" w:space="0" w:color="auto"/>
        <w:left w:val="none" w:sz="0" w:space="0" w:color="auto"/>
        <w:bottom w:val="none" w:sz="0" w:space="0" w:color="auto"/>
        <w:right w:val="none" w:sz="0" w:space="0" w:color="auto"/>
      </w:divBdr>
      <w:divsChild>
        <w:div w:id="1048921577">
          <w:marLeft w:val="0"/>
          <w:marRight w:val="0"/>
          <w:marTop w:val="0"/>
          <w:marBottom w:val="0"/>
          <w:divBdr>
            <w:top w:val="none" w:sz="0" w:space="0" w:color="auto"/>
            <w:left w:val="none" w:sz="0" w:space="0" w:color="auto"/>
            <w:bottom w:val="none" w:sz="0" w:space="0" w:color="auto"/>
            <w:right w:val="none" w:sz="0" w:space="0" w:color="auto"/>
          </w:divBdr>
          <w:divsChild>
            <w:div w:id="580260196">
              <w:marLeft w:val="0"/>
              <w:marRight w:val="0"/>
              <w:marTop w:val="0"/>
              <w:marBottom w:val="0"/>
              <w:divBdr>
                <w:top w:val="none" w:sz="0" w:space="0" w:color="auto"/>
                <w:left w:val="none" w:sz="0" w:space="0" w:color="auto"/>
                <w:bottom w:val="none" w:sz="0" w:space="0" w:color="auto"/>
                <w:right w:val="none" w:sz="0" w:space="0" w:color="auto"/>
              </w:divBdr>
              <w:divsChild>
                <w:div w:id="1519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4831">
      <w:bodyDiv w:val="1"/>
      <w:marLeft w:val="0"/>
      <w:marRight w:val="0"/>
      <w:marTop w:val="0"/>
      <w:marBottom w:val="0"/>
      <w:divBdr>
        <w:top w:val="none" w:sz="0" w:space="0" w:color="auto"/>
        <w:left w:val="none" w:sz="0" w:space="0" w:color="auto"/>
        <w:bottom w:val="none" w:sz="0" w:space="0" w:color="auto"/>
        <w:right w:val="none" w:sz="0" w:space="0" w:color="auto"/>
      </w:divBdr>
    </w:div>
    <w:div w:id="767967602">
      <w:bodyDiv w:val="1"/>
      <w:marLeft w:val="0"/>
      <w:marRight w:val="0"/>
      <w:marTop w:val="0"/>
      <w:marBottom w:val="0"/>
      <w:divBdr>
        <w:top w:val="none" w:sz="0" w:space="0" w:color="auto"/>
        <w:left w:val="none" w:sz="0" w:space="0" w:color="auto"/>
        <w:bottom w:val="none" w:sz="0" w:space="0" w:color="auto"/>
        <w:right w:val="none" w:sz="0" w:space="0" w:color="auto"/>
      </w:divBdr>
    </w:div>
    <w:div w:id="821123508">
      <w:bodyDiv w:val="1"/>
      <w:marLeft w:val="0"/>
      <w:marRight w:val="0"/>
      <w:marTop w:val="0"/>
      <w:marBottom w:val="0"/>
      <w:divBdr>
        <w:top w:val="none" w:sz="0" w:space="0" w:color="auto"/>
        <w:left w:val="none" w:sz="0" w:space="0" w:color="auto"/>
        <w:bottom w:val="none" w:sz="0" w:space="0" w:color="auto"/>
        <w:right w:val="none" w:sz="0" w:space="0" w:color="auto"/>
      </w:divBdr>
      <w:divsChild>
        <w:div w:id="1199244106">
          <w:marLeft w:val="0"/>
          <w:marRight w:val="0"/>
          <w:marTop w:val="0"/>
          <w:marBottom w:val="0"/>
          <w:divBdr>
            <w:top w:val="none" w:sz="0" w:space="0" w:color="auto"/>
            <w:left w:val="none" w:sz="0" w:space="0" w:color="auto"/>
            <w:bottom w:val="none" w:sz="0" w:space="0" w:color="auto"/>
            <w:right w:val="none" w:sz="0" w:space="0" w:color="auto"/>
          </w:divBdr>
          <w:divsChild>
            <w:div w:id="496310919">
              <w:marLeft w:val="0"/>
              <w:marRight w:val="0"/>
              <w:marTop w:val="0"/>
              <w:marBottom w:val="0"/>
              <w:divBdr>
                <w:top w:val="none" w:sz="0" w:space="0" w:color="auto"/>
                <w:left w:val="none" w:sz="0" w:space="0" w:color="auto"/>
                <w:bottom w:val="none" w:sz="0" w:space="0" w:color="auto"/>
                <w:right w:val="none" w:sz="0" w:space="0" w:color="auto"/>
              </w:divBdr>
              <w:divsChild>
                <w:div w:id="11902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2225">
      <w:bodyDiv w:val="1"/>
      <w:marLeft w:val="0"/>
      <w:marRight w:val="0"/>
      <w:marTop w:val="0"/>
      <w:marBottom w:val="0"/>
      <w:divBdr>
        <w:top w:val="none" w:sz="0" w:space="0" w:color="auto"/>
        <w:left w:val="none" w:sz="0" w:space="0" w:color="auto"/>
        <w:bottom w:val="none" w:sz="0" w:space="0" w:color="auto"/>
        <w:right w:val="none" w:sz="0" w:space="0" w:color="auto"/>
      </w:divBdr>
    </w:div>
    <w:div w:id="1008748676">
      <w:bodyDiv w:val="1"/>
      <w:marLeft w:val="0"/>
      <w:marRight w:val="0"/>
      <w:marTop w:val="0"/>
      <w:marBottom w:val="0"/>
      <w:divBdr>
        <w:top w:val="none" w:sz="0" w:space="0" w:color="auto"/>
        <w:left w:val="none" w:sz="0" w:space="0" w:color="auto"/>
        <w:bottom w:val="none" w:sz="0" w:space="0" w:color="auto"/>
        <w:right w:val="none" w:sz="0" w:space="0" w:color="auto"/>
      </w:divBdr>
    </w:div>
    <w:div w:id="1111899877">
      <w:bodyDiv w:val="1"/>
      <w:marLeft w:val="0"/>
      <w:marRight w:val="0"/>
      <w:marTop w:val="0"/>
      <w:marBottom w:val="0"/>
      <w:divBdr>
        <w:top w:val="none" w:sz="0" w:space="0" w:color="auto"/>
        <w:left w:val="none" w:sz="0" w:space="0" w:color="auto"/>
        <w:bottom w:val="none" w:sz="0" w:space="0" w:color="auto"/>
        <w:right w:val="none" w:sz="0" w:space="0" w:color="auto"/>
      </w:divBdr>
      <w:divsChild>
        <w:div w:id="17106727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85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52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579401">
      <w:bodyDiv w:val="1"/>
      <w:marLeft w:val="0"/>
      <w:marRight w:val="0"/>
      <w:marTop w:val="0"/>
      <w:marBottom w:val="0"/>
      <w:divBdr>
        <w:top w:val="none" w:sz="0" w:space="0" w:color="auto"/>
        <w:left w:val="none" w:sz="0" w:space="0" w:color="auto"/>
        <w:bottom w:val="none" w:sz="0" w:space="0" w:color="auto"/>
        <w:right w:val="none" w:sz="0" w:space="0" w:color="auto"/>
      </w:divBdr>
      <w:divsChild>
        <w:div w:id="392192597">
          <w:marLeft w:val="0"/>
          <w:marRight w:val="0"/>
          <w:marTop w:val="0"/>
          <w:marBottom w:val="0"/>
          <w:divBdr>
            <w:top w:val="none" w:sz="0" w:space="0" w:color="auto"/>
            <w:left w:val="none" w:sz="0" w:space="0" w:color="auto"/>
            <w:bottom w:val="none" w:sz="0" w:space="0" w:color="auto"/>
            <w:right w:val="none" w:sz="0" w:space="0" w:color="auto"/>
          </w:divBdr>
          <w:divsChild>
            <w:div w:id="1941255966">
              <w:marLeft w:val="0"/>
              <w:marRight w:val="0"/>
              <w:marTop w:val="0"/>
              <w:marBottom w:val="0"/>
              <w:divBdr>
                <w:top w:val="none" w:sz="0" w:space="0" w:color="auto"/>
                <w:left w:val="none" w:sz="0" w:space="0" w:color="auto"/>
                <w:bottom w:val="none" w:sz="0" w:space="0" w:color="auto"/>
                <w:right w:val="none" w:sz="0" w:space="0" w:color="auto"/>
              </w:divBdr>
              <w:divsChild>
                <w:div w:id="671178458">
                  <w:marLeft w:val="0"/>
                  <w:marRight w:val="0"/>
                  <w:marTop w:val="0"/>
                  <w:marBottom w:val="0"/>
                  <w:divBdr>
                    <w:top w:val="none" w:sz="0" w:space="0" w:color="auto"/>
                    <w:left w:val="none" w:sz="0" w:space="0" w:color="auto"/>
                    <w:bottom w:val="none" w:sz="0" w:space="0" w:color="auto"/>
                    <w:right w:val="none" w:sz="0" w:space="0" w:color="auto"/>
                  </w:divBdr>
                  <w:divsChild>
                    <w:div w:id="179289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56334">
          <w:marLeft w:val="0"/>
          <w:marRight w:val="0"/>
          <w:marTop w:val="0"/>
          <w:marBottom w:val="0"/>
          <w:divBdr>
            <w:top w:val="none" w:sz="0" w:space="0" w:color="auto"/>
            <w:left w:val="none" w:sz="0" w:space="0" w:color="auto"/>
            <w:bottom w:val="none" w:sz="0" w:space="0" w:color="auto"/>
            <w:right w:val="none" w:sz="0" w:space="0" w:color="auto"/>
          </w:divBdr>
          <w:divsChild>
            <w:div w:id="1283028093">
              <w:marLeft w:val="0"/>
              <w:marRight w:val="0"/>
              <w:marTop w:val="0"/>
              <w:marBottom w:val="0"/>
              <w:divBdr>
                <w:top w:val="none" w:sz="0" w:space="0" w:color="auto"/>
                <w:left w:val="none" w:sz="0" w:space="0" w:color="auto"/>
                <w:bottom w:val="none" w:sz="0" w:space="0" w:color="auto"/>
                <w:right w:val="none" w:sz="0" w:space="0" w:color="auto"/>
              </w:divBdr>
              <w:divsChild>
                <w:div w:id="351228278">
                  <w:marLeft w:val="0"/>
                  <w:marRight w:val="0"/>
                  <w:marTop w:val="0"/>
                  <w:marBottom w:val="0"/>
                  <w:divBdr>
                    <w:top w:val="none" w:sz="0" w:space="0" w:color="auto"/>
                    <w:left w:val="none" w:sz="0" w:space="0" w:color="auto"/>
                    <w:bottom w:val="none" w:sz="0" w:space="0" w:color="auto"/>
                    <w:right w:val="none" w:sz="0" w:space="0" w:color="auto"/>
                  </w:divBdr>
                  <w:divsChild>
                    <w:div w:id="12145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0355">
          <w:marLeft w:val="0"/>
          <w:marRight w:val="0"/>
          <w:marTop w:val="0"/>
          <w:marBottom w:val="0"/>
          <w:divBdr>
            <w:top w:val="none" w:sz="0" w:space="0" w:color="auto"/>
            <w:left w:val="none" w:sz="0" w:space="0" w:color="auto"/>
            <w:bottom w:val="none" w:sz="0" w:space="0" w:color="auto"/>
            <w:right w:val="none" w:sz="0" w:space="0" w:color="auto"/>
          </w:divBdr>
          <w:divsChild>
            <w:div w:id="569777816">
              <w:marLeft w:val="0"/>
              <w:marRight w:val="0"/>
              <w:marTop w:val="0"/>
              <w:marBottom w:val="0"/>
              <w:divBdr>
                <w:top w:val="none" w:sz="0" w:space="0" w:color="auto"/>
                <w:left w:val="none" w:sz="0" w:space="0" w:color="auto"/>
                <w:bottom w:val="none" w:sz="0" w:space="0" w:color="auto"/>
                <w:right w:val="none" w:sz="0" w:space="0" w:color="auto"/>
              </w:divBdr>
              <w:divsChild>
                <w:div w:id="1525709610">
                  <w:marLeft w:val="0"/>
                  <w:marRight w:val="0"/>
                  <w:marTop w:val="0"/>
                  <w:marBottom w:val="0"/>
                  <w:divBdr>
                    <w:top w:val="none" w:sz="0" w:space="0" w:color="auto"/>
                    <w:left w:val="none" w:sz="0" w:space="0" w:color="auto"/>
                    <w:bottom w:val="none" w:sz="0" w:space="0" w:color="auto"/>
                    <w:right w:val="none" w:sz="0" w:space="0" w:color="auto"/>
                  </w:divBdr>
                  <w:divsChild>
                    <w:div w:id="41583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41285">
          <w:marLeft w:val="0"/>
          <w:marRight w:val="0"/>
          <w:marTop w:val="0"/>
          <w:marBottom w:val="0"/>
          <w:divBdr>
            <w:top w:val="none" w:sz="0" w:space="0" w:color="auto"/>
            <w:left w:val="none" w:sz="0" w:space="0" w:color="auto"/>
            <w:bottom w:val="none" w:sz="0" w:space="0" w:color="auto"/>
            <w:right w:val="none" w:sz="0" w:space="0" w:color="auto"/>
          </w:divBdr>
          <w:divsChild>
            <w:div w:id="1033731751">
              <w:marLeft w:val="0"/>
              <w:marRight w:val="0"/>
              <w:marTop w:val="0"/>
              <w:marBottom w:val="0"/>
              <w:divBdr>
                <w:top w:val="none" w:sz="0" w:space="0" w:color="auto"/>
                <w:left w:val="none" w:sz="0" w:space="0" w:color="auto"/>
                <w:bottom w:val="none" w:sz="0" w:space="0" w:color="auto"/>
                <w:right w:val="none" w:sz="0" w:space="0" w:color="auto"/>
              </w:divBdr>
              <w:divsChild>
                <w:div w:id="955135648">
                  <w:marLeft w:val="0"/>
                  <w:marRight w:val="0"/>
                  <w:marTop w:val="0"/>
                  <w:marBottom w:val="0"/>
                  <w:divBdr>
                    <w:top w:val="none" w:sz="0" w:space="0" w:color="auto"/>
                    <w:left w:val="none" w:sz="0" w:space="0" w:color="auto"/>
                    <w:bottom w:val="none" w:sz="0" w:space="0" w:color="auto"/>
                    <w:right w:val="none" w:sz="0" w:space="0" w:color="auto"/>
                  </w:divBdr>
                  <w:divsChild>
                    <w:div w:id="13736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02431">
      <w:bodyDiv w:val="1"/>
      <w:marLeft w:val="0"/>
      <w:marRight w:val="0"/>
      <w:marTop w:val="0"/>
      <w:marBottom w:val="0"/>
      <w:divBdr>
        <w:top w:val="none" w:sz="0" w:space="0" w:color="auto"/>
        <w:left w:val="none" w:sz="0" w:space="0" w:color="auto"/>
        <w:bottom w:val="none" w:sz="0" w:space="0" w:color="auto"/>
        <w:right w:val="none" w:sz="0" w:space="0" w:color="auto"/>
      </w:divBdr>
      <w:divsChild>
        <w:div w:id="69352230">
          <w:marLeft w:val="0"/>
          <w:marRight w:val="0"/>
          <w:marTop w:val="0"/>
          <w:marBottom w:val="0"/>
          <w:divBdr>
            <w:top w:val="none" w:sz="0" w:space="0" w:color="auto"/>
            <w:left w:val="none" w:sz="0" w:space="0" w:color="auto"/>
            <w:bottom w:val="none" w:sz="0" w:space="0" w:color="auto"/>
            <w:right w:val="none" w:sz="0" w:space="0" w:color="auto"/>
          </w:divBdr>
          <w:divsChild>
            <w:div w:id="95639568">
              <w:marLeft w:val="0"/>
              <w:marRight w:val="0"/>
              <w:marTop w:val="0"/>
              <w:marBottom w:val="0"/>
              <w:divBdr>
                <w:top w:val="none" w:sz="0" w:space="0" w:color="auto"/>
                <w:left w:val="none" w:sz="0" w:space="0" w:color="auto"/>
                <w:bottom w:val="none" w:sz="0" w:space="0" w:color="auto"/>
                <w:right w:val="none" w:sz="0" w:space="0" w:color="auto"/>
              </w:divBdr>
              <w:divsChild>
                <w:div w:id="1496798545">
                  <w:marLeft w:val="0"/>
                  <w:marRight w:val="0"/>
                  <w:marTop w:val="0"/>
                  <w:marBottom w:val="0"/>
                  <w:divBdr>
                    <w:top w:val="none" w:sz="0" w:space="0" w:color="auto"/>
                    <w:left w:val="none" w:sz="0" w:space="0" w:color="auto"/>
                    <w:bottom w:val="none" w:sz="0" w:space="0" w:color="auto"/>
                    <w:right w:val="none" w:sz="0" w:space="0" w:color="auto"/>
                  </w:divBdr>
                  <w:divsChild>
                    <w:div w:id="552884536">
                      <w:marLeft w:val="0"/>
                      <w:marRight w:val="0"/>
                      <w:marTop w:val="0"/>
                      <w:marBottom w:val="0"/>
                      <w:divBdr>
                        <w:top w:val="none" w:sz="0" w:space="0" w:color="auto"/>
                        <w:left w:val="none" w:sz="0" w:space="0" w:color="auto"/>
                        <w:bottom w:val="none" w:sz="0" w:space="0" w:color="auto"/>
                        <w:right w:val="none" w:sz="0" w:space="0" w:color="auto"/>
                      </w:divBdr>
                    </w:div>
                  </w:divsChild>
                </w:div>
                <w:div w:id="1587610918">
                  <w:marLeft w:val="0"/>
                  <w:marRight w:val="0"/>
                  <w:marTop w:val="0"/>
                  <w:marBottom w:val="0"/>
                  <w:divBdr>
                    <w:top w:val="none" w:sz="0" w:space="0" w:color="auto"/>
                    <w:left w:val="none" w:sz="0" w:space="0" w:color="auto"/>
                    <w:bottom w:val="none" w:sz="0" w:space="0" w:color="auto"/>
                    <w:right w:val="none" w:sz="0" w:space="0" w:color="auto"/>
                  </w:divBdr>
                </w:div>
                <w:div w:id="1694719994">
                  <w:marLeft w:val="0"/>
                  <w:marRight w:val="0"/>
                  <w:marTop w:val="0"/>
                  <w:marBottom w:val="0"/>
                  <w:divBdr>
                    <w:top w:val="none" w:sz="0" w:space="0" w:color="auto"/>
                    <w:left w:val="none" w:sz="0" w:space="0" w:color="auto"/>
                    <w:bottom w:val="none" w:sz="0" w:space="0" w:color="auto"/>
                    <w:right w:val="none" w:sz="0" w:space="0" w:color="auto"/>
                  </w:divBdr>
                  <w:divsChild>
                    <w:div w:id="310210590">
                      <w:marLeft w:val="0"/>
                      <w:marRight w:val="0"/>
                      <w:marTop w:val="0"/>
                      <w:marBottom w:val="0"/>
                      <w:divBdr>
                        <w:top w:val="none" w:sz="0" w:space="0" w:color="auto"/>
                        <w:left w:val="none" w:sz="0" w:space="0" w:color="auto"/>
                        <w:bottom w:val="none" w:sz="0" w:space="0" w:color="auto"/>
                        <w:right w:val="none" w:sz="0" w:space="0" w:color="auto"/>
                      </w:divBdr>
                    </w:div>
                  </w:divsChild>
                </w:div>
                <w:div w:id="2032948603">
                  <w:marLeft w:val="0"/>
                  <w:marRight w:val="0"/>
                  <w:marTop w:val="0"/>
                  <w:marBottom w:val="0"/>
                  <w:divBdr>
                    <w:top w:val="none" w:sz="0" w:space="0" w:color="auto"/>
                    <w:left w:val="none" w:sz="0" w:space="0" w:color="auto"/>
                    <w:bottom w:val="none" w:sz="0" w:space="0" w:color="auto"/>
                    <w:right w:val="none" w:sz="0" w:space="0" w:color="auto"/>
                  </w:divBdr>
                  <w:divsChild>
                    <w:div w:id="74823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556848">
      <w:bodyDiv w:val="1"/>
      <w:marLeft w:val="0"/>
      <w:marRight w:val="0"/>
      <w:marTop w:val="0"/>
      <w:marBottom w:val="0"/>
      <w:divBdr>
        <w:top w:val="none" w:sz="0" w:space="0" w:color="auto"/>
        <w:left w:val="none" w:sz="0" w:space="0" w:color="auto"/>
        <w:bottom w:val="none" w:sz="0" w:space="0" w:color="auto"/>
        <w:right w:val="none" w:sz="0" w:space="0" w:color="auto"/>
      </w:divBdr>
    </w:div>
    <w:div w:id="1455321722">
      <w:bodyDiv w:val="1"/>
      <w:marLeft w:val="0"/>
      <w:marRight w:val="0"/>
      <w:marTop w:val="0"/>
      <w:marBottom w:val="0"/>
      <w:divBdr>
        <w:top w:val="none" w:sz="0" w:space="0" w:color="auto"/>
        <w:left w:val="none" w:sz="0" w:space="0" w:color="auto"/>
        <w:bottom w:val="none" w:sz="0" w:space="0" w:color="auto"/>
        <w:right w:val="none" w:sz="0" w:space="0" w:color="auto"/>
      </w:divBdr>
    </w:div>
    <w:div w:id="1514148602">
      <w:bodyDiv w:val="1"/>
      <w:marLeft w:val="0"/>
      <w:marRight w:val="0"/>
      <w:marTop w:val="0"/>
      <w:marBottom w:val="0"/>
      <w:divBdr>
        <w:top w:val="none" w:sz="0" w:space="0" w:color="auto"/>
        <w:left w:val="none" w:sz="0" w:space="0" w:color="auto"/>
        <w:bottom w:val="none" w:sz="0" w:space="0" w:color="auto"/>
        <w:right w:val="none" w:sz="0" w:space="0" w:color="auto"/>
      </w:divBdr>
      <w:divsChild>
        <w:div w:id="1832407128">
          <w:marLeft w:val="0"/>
          <w:marRight w:val="0"/>
          <w:marTop w:val="0"/>
          <w:marBottom w:val="0"/>
          <w:divBdr>
            <w:top w:val="none" w:sz="0" w:space="0" w:color="auto"/>
            <w:left w:val="none" w:sz="0" w:space="0" w:color="auto"/>
            <w:bottom w:val="none" w:sz="0" w:space="0" w:color="auto"/>
            <w:right w:val="none" w:sz="0" w:space="0" w:color="auto"/>
          </w:divBdr>
          <w:divsChild>
            <w:div w:id="718633241">
              <w:marLeft w:val="0"/>
              <w:marRight w:val="0"/>
              <w:marTop w:val="0"/>
              <w:marBottom w:val="0"/>
              <w:divBdr>
                <w:top w:val="none" w:sz="0" w:space="0" w:color="auto"/>
                <w:left w:val="none" w:sz="0" w:space="0" w:color="auto"/>
                <w:bottom w:val="none" w:sz="0" w:space="0" w:color="auto"/>
                <w:right w:val="none" w:sz="0" w:space="0" w:color="auto"/>
              </w:divBdr>
              <w:divsChild>
                <w:div w:id="339815014">
                  <w:marLeft w:val="0"/>
                  <w:marRight w:val="0"/>
                  <w:marTop w:val="0"/>
                  <w:marBottom w:val="0"/>
                  <w:divBdr>
                    <w:top w:val="none" w:sz="0" w:space="0" w:color="auto"/>
                    <w:left w:val="none" w:sz="0" w:space="0" w:color="auto"/>
                    <w:bottom w:val="none" w:sz="0" w:space="0" w:color="auto"/>
                    <w:right w:val="none" w:sz="0" w:space="0" w:color="auto"/>
                  </w:divBdr>
                  <w:divsChild>
                    <w:div w:id="1667249636">
                      <w:marLeft w:val="0"/>
                      <w:marRight w:val="0"/>
                      <w:marTop w:val="0"/>
                      <w:marBottom w:val="0"/>
                      <w:divBdr>
                        <w:top w:val="none" w:sz="0" w:space="0" w:color="auto"/>
                        <w:left w:val="none" w:sz="0" w:space="0" w:color="auto"/>
                        <w:bottom w:val="none" w:sz="0" w:space="0" w:color="auto"/>
                        <w:right w:val="none" w:sz="0" w:space="0" w:color="auto"/>
                      </w:divBdr>
                      <w:divsChild>
                        <w:div w:id="443306661">
                          <w:marLeft w:val="0"/>
                          <w:marRight w:val="0"/>
                          <w:marTop w:val="0"/>
                          <w:marBottom w:val="0"/>
                          <w:divBdr>
                            <w:top w:val="none" w:sz="0" w:space="0" w:color="auto"/>
                            <w:left w:val="none" w:sz="0" w:space="0" w:color="auto"/>
                            <w:bottom w:val="none" w:sz="0" w:space="0" w:color="auto"/>
                            <w:right w:val="none" w:sz="0" w:space="0" w:color="auto"/>
                          </w:divBdr>
                          <w:divsChild>
                            <w:div w:id="1467697414">
                              <w:marLeft w:val="0"/>
                              <w:marRight w:val="0"/>
                              <w:marTop w:val="0"/>
                              <w:marBottom w:val="0"/>
                              <w:divBdr>
                                <w:top w:val="none" w:sz="0" w:space="0" w:color="auto"/>
                                <w:left w:val="none" w:sz="0" w:space="0" w:color="auto"/>
                                <w:bottom w:val="none" w:sz="0" w:space="0" w:color="auto"/>
                                <w:right w:val="none" w:sz="0" w:space="0" w:color="auto"/>
                              </w:divBdr>
                              <w:divsChild>
                                <w:div w:id="1381129668">
                                  <w:marLeft w:val="0"/>
                                  <w:marRight w:val="0"/>
                                  <w:marTop w:val="0"/>
                                  <w:marBottom w:val="0"/>
                                  <w:divBdr>
                                    <w:top w:val="none" w:sz="0" w:space="0" w:color="auto"/>
                                    <w:left w:val="none" w:sz="0" w:space="0" w:color="auto"/>
                                    <w:bottom w:val="none" w:sz="0" w:space="0" w:color="auto"/>
                                    <w:right w:val="none" w:sz="0" w:space="0" w:color="auto"/>
                                  </w:divBdr>
                                  <w:divsChild>
                                    <w:div w:id="30888054">
                                      <w:marLeft w:val="0"/>
                                      <w:marRight w:val="0"/>
                                      <w:marTop w:val="0"/>
                                      <w:marBottom w:val="0"/>
                                      <w:divBdr>
                                        <w:top w:val="none" w:sz="0" w:space="0" w:color="auto"/>
                                        <w:left w:val="none" w:sz="0" w:space="0" w:color="auto"/>
                                        <w:bottom w:val="none" w:sz="0" w:space="0" w:color="auto"/>
                                        <w:right w:val="none" w:sz="0" w:space="0" w:color="auto"/>
                                      </w:divBdr>
                                      <w:divsChild>
                                        <w:div w:id="1994484910">
                                          <w:marLeft w:val="0"/>
                                          <w:marRight w:val="0"/>
                                          <w:marTop w:val="0"/>
                                          <w:marBottom w:val="0"/>
                                          <w:divBdr>
                                            <w:top w:val="none" w:sz="0" w:space="0" w:color="auto"/>
                                            <w:left w:val="none" w:sz="0" w:space="0" w:color="auto"/>
                                            <w:bottom w:val="none" w:sz="0" w:space="0" w:color="auto"/>
                                            <w:right w:val="none" w:sz="0" w:space="0" w:color="auto"/>
                                          </w:divBdr>
                                        </w:div>
                                      </w:divsChild>
                                    </w:div>
                                    <w:div w:id="34044883">
                                      <w:marLeft w:val="0"/>
                                      <w:marRight w:val="0"/>
                                      <w:marTop w:val="0"/>
                                      <w:marBottom w:val="0"/>
                                      <w:divBdr>
                                        <w:top w:val="none" w:sz="0" w:space="0" w:color="auto"/>
                                        <w:left w:val="none" w:sz="0" w:space="0" w:color="auto"/>
                                        <w:bottom w:val="none" w:sz="0" w:space="0" w:color="auto"/>
                                        <w:right w:val="none" w:sz="0" w:space="0" w:color="auto"/>
                                      </w:divBdr>
                                      <w:divsChild>
                                        <w:div w:id="1445006073">
                                          <w:marLeft w:val="0"/>
                                          <w:marRight w:val="0"/>
                                          <w:marTop w:val="0"/>
                                          <w:marBottom w:val="0"/>
                                          <w:divBdr>
                                            <w:top w:val="none" w:sz="0" w:space="0" w:color="auto"/>
                                            <w:left w:val="none" w:sz="0" w:space="0" w:color="auto"/>
                                            <w:bottom w:val="none" w:sz="0" w:space="0" w:color="auto"/>
                                            <w:right w:val="none" w:sz="0" w:space="0" w:color="auto"/>
                                          </w:divBdr>
                                        </w:div>
                                      </w:divsChild>
                                    </w:div>
                                    <w:div w:id="496193146">
                                      <w:marLeft w:val="0"/>
                                      <w:marRight w:val="0"/>
                                      <w:marTop w:val="0"/>
                                      <w:marBottom w:val="0"/>
                                      <w:divBdr>
                                        <w:top w:val="none" w:sz="0" w:space="0" w:color="auto"/>
                                        <w:left w:val="none" w:sz="0" w:space="0" w:color="auto"/>
                                        <w:bottom w:val="none" w:sz="0" w:space="0" w:color="auto"/>
                                        <w:right w:val="none" w:sz="0" w:space="0" w:color="auto"/>
                                      </w:divBdr>
                                      <w:divsChild>
                                        <w:div w:id="2073505022">
                                          <w:marLeft w:val="0"/>
                                          <w:marRight w:val="0"/>
                                          <w:marTop w:val="0"/>
                                          <w:marBottom w:val="0"/>
                                          <w:divBdr>
                                            <w:top w:val="none" w:sz="0" w:space="0" w:color="auto"/>
                                            <w:left w:val="none" w:sz="0" w:space="0" w:color="auto"/>
                                            <w:bottom w:val="none" w:sz="0" w:space="0" w:color="auto"/>
                                            <w:right w:val="none" w:sz="0" w:space="0" w:color="auto"/>
                                          </w:divBdr>
                                        </w:div>
                                      </w:divsChild>
                                    </w:div>
                                    <w:div w:id="673335612">
                                      <w:marLeft w:val="0"/>
                                      <w:marRight w:val="0"/>
                                      <w:marTop w:val="0"/>
                                      <w:marBottom w:val="0"/>
                                      <w:divBdr>
                                        <w:top w:val="none" w:sz="0" w:space="0" w:color="auto"/>
                                        <w:left w:val="none" w:sz="0" w:space="0" w:color="auto"/>
                                        <w:bottom w:val="none" w:sz="0" w:space="0" w:color="auto"/>
                                        <w:right w:val="none" w:sz="0" w:space="0" w:color="auto"/>
                                      </w:divBdr>
                                      <w:divsChild>
                                        <w:div w:id="852960026">
                                          <w:marLeft w:val="0"/>
                                          <w:marRight w:val="0"/>
                                          <w:marTop w:val="0"/>
                                          <w:marBottom w:val="0"/>
                                          <w:divBdr>
                                            <w:top w:val="none" w:sz="0" w:space="0" w:color="auto"/>
                                            <w:left w:val="none" w:sz="0" w:space="0" w:color="auto"/>
                                            <w:bottom w:val="none" w:sz="0" w:space="0" w:color="auto"/>
                                            <w:right w:val="none" w:sz="0" w:space="0" w:color="auto"/>
                                          </w:divBdr>
                                        </w:div>
                                      </w:divsChild>
                                    </w:div>
                                    <w:div w:id="1130438595">
                                      <w:marLeft w:val="0"/>
                                      <w:marRight w:val="0"/>
                                      <w:marTop w:val="0"/>
                                      <w:marBottom w:val="0"/>
                                      <w:divBdr>
                                        <w:top w:val="none" w:sz="0" w:space="0" w:color="auto"/>
                                        <w:left w:val="none" w:sz="0" w:space="0" w:color="auto"/>
                                        <w:bottom w:val="none" w:sz="0" w:space="0" w:color="auto"/>
                                        <w:right w:val="none" w:sz="0" w:space="0" w:color="auto"/>
                                      </w:divBdr>
                                      <w:divsChild>
                                        <w:div w:id="1130519367">
                                          <w:marLeft w:val="0"/>
                                          <w:marRight w:val="0"/>
                                          <w:marTop w:val="0"/>
                                          <w:marBottom w:val="0"/>
                                          <w:divBdr>
                                            <w:top w:val="none" w:sz="0" w:space="0" w:color="auto"/>
                                            <w:left w:val="none" w:sz="0" w:space="0" w:color="auto"/>
                                            <w:bottom w:val="none" w:sz="0" w:space="0" w:color="auto"/>
                                            <w:right w:val="none" w:sz="0" w:space="0" w:color="auto"/>
                                          </w:divBdr>
                                        </w:div>
                                      </w:divsChild>
                                    </w:div>
                                    <w:div w:id="1365592674">
                                      <w:marLeft w:val="0"/>
                                      <w:marRight w:val="0"/>
                                      <w:marTop w:val="0"/>
                                      <w:marBottom w:val="0"/>
                                      <w:divBdr>
                                        <w:top w:val="none" w:sz="0" w:space="0" w:color="auto"/>
                                        <w:left w:val="none" w:sz="0" w:space="0" w:color="auto"/>
                                        <w:bottom w:val="none" w:sz="0" w:space="0" w:color="auto"/>
                                        <w:right w:val="none" w:sz="0" w:space="0" w:color="auto"/>
                                      </w:divBdr>
                                      <w:divsChild>
                                        <w:div w:id="879782818">
                                          <w:marLeft w:val="0"/>
                                          <w:marRight w:val="0"/>
                                          <w:marTop w:val="0"/>
                                          <w:marBottom w:val="0"/>
                                          <w:divBdr>
                                            <w:top w:val="none" w:sz="0" w:space="0" w:color="auto"/>
                                            <w:left w:val="none" w:sz="0" w:space="0" w:color="auto"/>
                                            <w:bottom w:val="none" w:sz="0" w:space="0" w:color="auto"/>
                                            <w:right w:val="none" w:sz="0" w:space="0" w:color="auto"/>
                                          </w:divBdr>
                                        </w:div>
                                      </w:divsChild>
                                    </w:div>
                                    <w:div w:id="1458142810">
                                      <w:marLeft w:val="0"/>
                                      <w:marRight w:val="0"/>
                                      <w:marTop w:val="0"/>
                                      <w:marBottom w:val="0"/>
                                      <w:divBdr>
                                        <w:top w:val="none" w:sz="0" w:space="0" w:color="auto"/>
                                        <w:left w:val="none" w:sz="0" w:space="0" w:color="auto"/>
                                        <w:bottom w:val="none" w:sz="0" w:space="0" w:color="auto"/>
                                        <w:right w:val="none" w:sz="0" w:space="0" w:color="auto"/>
                                      </w:divBdr>
                                      <w:divsChild>
                                        <w:div w:id="391462331">
                                          <w:marLeft w:val="0"/>
                                          <w:marRight w:val="0"/>
                                          <w:marTop w:val="0"/>
                                          <w:marBottom w:val="0"/>
                                          <w:divBdr>
                                            <w:top w:val="none" w:sz="0" w:space="0" w:color="auto"/>
                                            <w:left w:val="none" w:sz="0" w:space="0" w:color="auto"/>
                                            <w:bottom w:val="none" w:sz="0" w:space="0" w:color="auto"/>
                                            <w:right w:val="none" w:sz="0" w:space="0" w:color="auto"/>
                                          </w:divBdr>
                                        </w:div>
                                      </w:divsChild>
                                    </w:div>
                                    <w:div w:id="1460951542">
                                      <w:marLeft w:val="0"/>
                                      <w:marRight w:val="0"/>
                                      <w:marTop w:val="0"/>
                                      <w:marBottom w:val="0"/>
                                      <w:divBdr>
                                        <w:top w:val="none" w:sz="0" w:space="0" w:color="auto"/>
                                        <w:left w:val="none" w:sz="0" w:space="0" w:color="auto"/>
                                        <w:bottom w:val="none" w:sz="0" w:space="0" w:color="auto"/>
                                        <w:right w:val="none" w:sz="0" w:space="0" w:color="auto"/>
                                      </w:divBdr>
                                      <w:divsChild>
                                        <w:div w:id="1761681796">
                                          <w:marLeft w:val="0"/>
                                          <w:marRight w:val="0"/>
                                          <w:marTop w:val="0"/>
                                          <w:marBottom w:val="0"/>
                                          <w:divBdr>
                                            <w:top w:val="none" w:sz="0" w:space="0" w:color="auto"/>
                                            <w:left w:val="none" w:sz="0" w:space="0" w:color="auto"/>
                                            <w:bottom w:val="none" w:sz="0" w:space="0" w:color="auto"/>
                                            <w:right w:val="none" w:sz="0" w:space="0" w:color="auto"/>
                                          </w:divBdr>
                                        </w:div>
                                      </w:divsChild>
                                    </w:div>
                                    <w:div w:id="1826580545">
                                      <w:marLeft w:val="0"/>
                                      <w:marRight w:val="0"/>
                                      <w:marTop w:val="0"/>
                                      <w:marBottom w:val="0"/>
                                      <w:divBdr>
                                        <w:top w:val="none" w:sz="0" w:space="0" w:color="auto"/>
                                        <w:left w:val="none" w:sz="0" w:space="0" w:color="auto"/>
                                        <w:bottom w:val="none" w:sz="0" w:space="0" w:color="auto"/>
                                        <w:right w:val="none" w:sz="0" w:space="0" w:color="auto"/>
                                      </w:divBdr>
                                      <w:divsChild>
                                        <w:div w:id="9340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13894">
                              <w:marLeft w:val="0"/>
                              <w:marRight w:val="0"/>
                              <w:marTop w:val="0"/>
                              <w:marBottom w:val="0"/>
                              <w:divBdr>
                                <w:top w:val="none" w:sz="0" w:space="0" w:color="auto"/>
                                <w:left w:val="none" w:sz="0" w:space="0" w:color="auto"/>
                                <w:bottom w:val="none" w:sz="0" w:space="0" w:color="auto"/>
                                <w:right w:val="none" w:sz="0" w:space="0" w:color="auto"/>
                              </w:divBdr>
                              <w:divsChild>
                                <w:div w:id="18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50074">
                          <w:marLeft w:val="0"/>
                          <w:marRight w:val="0"/>
                          <w:marTop w:val="0"/>
                          <w:marBottom w:val="0"/>
                          <w:divBdr>
                            <w:top w:val="none" w:sz="0" w:space="0" w:color="auto"/>
                            <w:left w:val="none" w:sz="0" w:space="0" w:color="auto"/>
                            <w:bottom w:val="none" w:sz="0" w:space="0" w:color="auto"/>
                            <w:right w:val="none" w:sz="0" w:space="0" w:color="auto"/>
                          </w:divBdr>
                          <w:divsChild>
                            <w:div w:id="754667038">
                              <w:marLeft w:val="0"/>
                              <w:marRight w:val="0"/>
                              <w:marTop w:val="0"/>
                              <w:marBottom w:val="0"/>
                              <w:divBdr>
                                <w:top w:val="none" w:sz="0" w:space="0" w:color="auto"/>
                                <w:left w:val="none" w:sz="0" w:space="0" w:color="auto"/>
                                <w:bottom w:val="none" w:sz="0" w:space="0" w:color="auto"/>
                                <w:right w:val="none" w:sz="0" w:space="0" w:color="auto"/>
                              </w:divBdr>
                              <w:divsChild>
                                <w:div w:id="801263449">
                                  <w:marLeft w:val="0"/>
                                  <w:marRight w:val="0"/>
                                  <w:marTop w:val="0"/>
                                  <w:marBottom w:val="0"/>
                                  <w:divBdr>
                                    <w:top w:val="none" w:sz="0" w:space="0" w:color="auto"/>
                                    <w:left w:val="none" w:sz="0" w:space="0" w:color="auto"/>
                                    <w:bottom w:val="none" w:sz="0" w:space="0" w:color="auto"/>
                                    <w:right w:val="none" w:sz="0" w:space="0" w:color="auto"/>
                                  </w:divBdr>
                                </w:div>
                              </w:divsChild>
                            </w:div>
                            <w:div w:id="1931428704">
                              <w:marLeft w:val="0"/>
                              <w:marRight w:val="0"/>
                              <w:marTop w:val="0"/>
                              <w:marBottom w:val="0"/>
                              <w:divBdr>
                                <w:top w:val="none" w:sz="0" w:space="0" w:color="auto"/>
                                <w:left w:val="none" w:sz="0" w:space="0" w:color="auto"/>
                                <w:bottom w:val="none" w:sz="0" w:space="0" w:color="auto"/>
                                <w:right w:val="none" w:sz="0" w:space="0" w:color="auto"/>
                              </w:divBdr>
                              <w:divsChild>
                                <w:div w:id="22441664">
                                  <w:marLeft w:val="0"/>
                                  <w:marRight w:val="0"/>
                                  <w:marTop w:val="0"/>
                                  <w:marBottom w:val="0"/>
                                  <w:divBdr>
                                    <w:top w:val="none" w:sz="0" w:space="0" w:color="auto"/>
                                    <w:left w:val="none" w:sz="0" w:space="0" w:color="auto"/>
                                    <w:bottom w:val="none" w:sz="0" w:space="0" w:color="auto"/>
                                    <w:right w:val="none" w:sz="0" w:space="0" w:color="auto"/>
                                  </w:divBdr>
                                  <w:divsChild>
                                    <w:div w:id="570627469">
                                      <w:marLeft w:val="0"/>
                                      <w:marRight w:val="0"/>
                                      <w:marTop w:val="0"/>
                                      <w:marBottom w:val="0"/>
                                      <w:divBdr>
                                        <w:top w:val="none" w:sz="0" w:space="0" w:color="auto"/>
                                        <w:left w:val="none" w:sz="0" w:space="0" w:color="auto"/>
                                        <w:bottom w:val="none" w:sz="0" w:space="0" w:color="auto"/>
                                        <w:right w:val="none" w:sz="0" w:space="0" w:color="auto"/>
                                      </w:divBdr>
                                      <w:divsChild>
                                        <w:div w:id="1039669047">
                                          <w:marLeft w:val="0"/>
                                          <w:marRight w:val="0"/>
                                          <w:marTop w:val="0"/>
                                          <w:marBottom w:val="0"/>
                                          <w:divBdr>
                                            <w:top w:val="none" w:sz="0" w:space="0" w:color="auto"/>
                                            <w:left w:val="none" w:sz="0" w:space="0" w:color="auto"/>
                                            <w:bottom w:val="none" w:sz="0" w:space="0" w:color="auto"/>
                                            <w:right w:val="none" w:sz="0" w:space="0" w:color="auto"/>
                                          </w:divBdr>
                                        </w:div>
                                      </w:divsChild>
                                    </w:div>
                                    <w:div w:id="1988898696">
                                      <w:marLeft w:val="0"/>
                                      <w:marRight w:val="0"/>
                                      <w:marTop w:val="0"/>
                                      <w:marBottom w:val="0"/>
                                      <w:divBdr>
                                        <w:top w:val="none" w:sz="0" w:space="0" w:color="auto"/>
                                        <w:left w:val="none" w:sz="0" w:space="0" w:color="auto"/>
                                        <w:bottom w:val="none" w:sz="0" w:space="0" w:color="auto"/>
                                        <w:right w:val="none" w:sz="0" w:space="0" w:color="auto"/>
                                      </w:divBdr>
                                      <w:divsChild>
                                        <w:div w:id="12985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2321">
                                  <w:marLeft w:val="0"/>
                                  <w:marRight w:val="0"/>
                                  <w:marTop w:val="0"/>
                                  <w:marBottom w:val="0"/>
                                  <w:divBdr>
                                    <w:top w:val="none" w:sz="0" w:space="0" w:color="auto"/>
                                    <w:left w:val="none" w:sz="0" w:space="0" w:color="auto"/>
                                    <w:bottom w:val="none" w:sz="0" w:space="0" w:color="auto"/>
                                    <w:right w:val="none" w:sz="0" w:space="0" w:color="auto"/>
                                  </w:divBdr>
                                  <w:divsChild>
                                    <w:div w:id="92436754">
                                      <w:marLeft w:val="0"/>
                                      <w:marRight w:val="0"/>
                                      <w:marTop w:val="0"/>
                                      <w:marBottom w:val="0"/>
                                      <w:divBdr>
                                        <w:top w:val="none" w:sz="0" w:space="0" w:color="auto"/>
                                        <w:left w:val="none" w:sz="0" w:space="0" w:color="auto"/>
                                        <w:bottom w:val="none" w:sz="0" w:space="0" w:color="auto"/>
                                        <w:right w:val="none" w:sz="0" w:space="0" w:color="auto"/>
                                      </w:divBdr>
                                      <w:divsChild>
                                        <w:div w:id="1617131618">
                                          <w:marLeft w:val="0"/>
                                          <w:marRight w:val="0"/>
                                          <w:marTop w:val="0"/>
                                          <w:marBottom w:val="0"/>
                                          <w:divBdr>
                                            <w:top w:val="none" w:sz="0" w:space="0" w:color="auto"/>
                                            <w:left w:val="none" w:sz="0" w:space="0" w:color="auto"/>
                                            <w:bottom w:val="none" w:sz="0" w:space="0" w:color="auto"/>
                                            <w:right w:val="none" w:sz="0" w:space="0" w:color="auto"/>
                                          </w:divBdr>
                                        </w:div>
                                      </w:divsChild>
                                    </w:div>
                                    <w:div w:id="445806820">
                                      <w:marLeft w:val="0"/>
                                      <w:marRight w:val="0"/>
                                      <w:marTop w:val="0"/>
                                      <w:marBottom w:val="0"/>
                                      <w:divBdr>
                                        <w:top w:val="none" w:sz="0" w:space="0" w:color="auto"/>
                                        <w:left w:val="none" w:sz="0" w:space="0" w:color="auto"/>
                                        <w:bottom w:val="none" w:sz="0" w:space="0" w:color="auto"/>
                                        <w:right w:val="none" w:sz="0" w:space="0" w:color="auto"/>
                                      </w:divBdr>
                                      <w:divsChild>
                                        <w:div w:id="245042628">
                                          <w:marLeft w:val="0"/>
                                          <w:marRight w:val="0"/>
                                          <w:marTop w:val="0"/>
                                          <w:marBottom w:val="0"/>
                                          <w:divBdr>
                                            <w:top w:val="none" w:sz="0" w:space="0" w:color="auto"/>
                                            <w:left w:val="none" w:sz="0" w:space="0" w:color="auto"/>
                                            <w:bottom w:val="none" w:sz="0" w:space="0" w:color="auto"/>
                                            <w:right w:val="none" w:sz="0" w:space="0" w:color="auto"/>
                                          </w:divBdr>
                                        </w:div>
                                      </w:divsChild>
                                    </w:div>
                                    <w:div w:id="1657296427">
                                      <w:marLeft w:val="0"/>
                                      <w:marRight w:val="0"/>
                                      <w:marTop w:val="0"/>
                                      <w:marBottom w:val="0"/>
                                      <w:divBdr>
                                        <w:top w:val="none" w:sz="0" w:space="0" w:color="auto"/>
                                        <w:left w:val="none" w:sz="0" w:space="0" w:color="auto"/>
                                        <w:bottom w:val="none" w:sz="0" w:space="0" w:color="auto"/>
                                        <w:right w:val="none" w:sz="0" w:space="0" w:color="auto"/>
                                      </w:divBdr>
                                      <w:divsChild>
                                        <w:div w:id="64187165">
                                          <w:marLeft w:val="0"/>
                                          <w:marRight w:val="0"/>
                                          <w:marTop w:val="0"/>
                                          <w:marBottom w:val="0"/>
                                          <w:divBdr>
                                            <w:top w:val="none" w:sz="0" w:space="0" w:color="auto"/>
                                            <w:left w:val="none" w:sz="0" w:space="0" w:color="auto"/>
                                            <w:bottom w:val="none" w:sz="0" w:space="0" w:color="auto"/>
                                            <w:right w:val="none" w:sz="0" w:space="0" w:color="auto"/>
                                          </w:divBdr>
                                        </w:div>
                                      </w:divsChild>
                                    </w:div>
                                    <w:div w:id="1788427996">
                                      <w:marLeft w:val="0"/>
                                      <w:marRight w:val="0"/>
                                      <w:marTop w:val="0"/>
                                      <w:marBottom w:val="0"/>
                                      <w:divBdr>
                                        <w:top w:val="none" w:sz="0" w:space="0" w:color="auto"/>
                                        <w:left w:val="none" w:sz="0" w:space="0" w:color="auto"/>
                                        <w:bottom w:val="none" w:sz="0" w:space="0" w:color="auto"/>
                                        <w:right w:val="none" w:sz="0" w:space="0" w:color="auto"/>
                                      </w:divBdr>
                                      <w:divsChild>
                                        <w:div w:id="224143305">
                                          <w:marLeft w:val="0"/>
                                          <w:marRight w:val="0"/>
                                          <w:marTop w:val="0"/>
                                          <w:marBottom w:val="0"/>
                                          <w:divBdr>
                                            <w:top w:val="none" w:sz="0" w:space="0" w:color="auto"/>
                                            <w:left w:val="none" w:sz="0" w:space="0" w:color="auto"/>
                                            <w:bottom w:val="none" w:sz="0" w:space="0" w:color="auto"/>
                                            <w:right w:val="none" w:sz="0" w:space="0" w:color="auto"/>
                                          </w:divBdr>
                                        </w:div>
                                      </w:divsChild>
                                    </w:div>
                                    <w:div w:id="1916553768">
                                      <w:marLeft w:val="0"/>
                                      <w:marRight w:val="0"/>
                                      <w:marTop w:val="0"/>
                                      <w:marBottom w:val="0"/>
                                      <w:divBdr>
                                        <w:top w:val="none" w:sz="0" w:space="0" w:color="auto"/>
                                        <w:left w:val="none" w:sz="0" w:space="0" w:color="auto"/>
                                        <w:bottom w:val="none" w:sz="0" w:space="0" w:color="auto"/>
                                        <w:right w:val="none" w:sz="0" w:space="0" w:color="auto"/>
                                      </w:divBdr>
                                      <w:divsChild>
                                        <w:div w:id="13627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1684">
                                  <w:marLeft w:val="0"/>
                                  <w:marRight w:val="0"/>
                                  <w:marTop w:val="0"/>
                                  <w:marBottom w:val="0"/>
                                  <w:divBdr>
                                    <w:top w:val="none" w:sz="0" w:space="0" w:color="auto"/>
                                    <w:left w:val="none" w:sz="0" w:space="0" w:color="auto"/>
                                    <w:bottom w:val="none" w:sz="0" w:space="0" w:color="auto"/>
                                    <w:right w:val="none" w:sz="0" w:space="0" w:color="auto"/>
                                  </w:divBdr>
                                  <w:divsChild>
                                    <w:div w:id="449010954">
                                      <w:marLeft w:val="0"/>
                                      <w:marRight w:val="0"/>
                                      <w:marTop w:val="0"/>
                                      <w:marBottom w:val="0"/>
                                      <w:divBdr>
                                        <w:top w:val="none" w:sz="0" w:space="0" w:color="auto"/>
                                        <w:left w:val="none" w:sz="0" w:space="0" w:color="auto"/>
                                        <w:bottom w:val="none" w:sz="0" w:space="0" w:color="auto"/>
                                        <w:right w:val="none" w:sz="0" w:space="0" w:color="auto"/>
                                      </w:divBdr>
                                      <w:divsChild>
                                        <w:div w:id="453133828">
                                          <w:marLeft w:val="0"/>
                                          <w:marRight w:val="0"/>
                                          <w:marTop w:val="0"/>
                                          <w:marBottom w:val="0"/>
                                          <w:divBdr>
                                            <w:top w:val="none" w:sz="0" w:space="0" w:color="auto"/>
                                            <w:left w:val="none" w:sz="0" w:space="0" w:color="auto"/>
                                            <w:bottom w:val="none" w:sz="0" w:space="0" w:color="auto"/>
                                            <w:right w:val="none" w:sz="0" w:space="0" w:color="auto"/>
                                          </w:divBdr>
                                        </w:div>
                                      </w:divsChild>
                                    </w:div>
                                    <w:div w:id="1467550577">
                                      <w:marLeft w:val="0"/>
                                      <w:marRight w:val="0"/>
                                      <w:marTop w:val="0"/>
                                      <w:marBottom w:val="0"/>
                                      <w:divBdr>
                                        <w:top w:val="none" w:sz="0" w:space="0" w:color="auto"/>
                                        <w:left w:val="none" w:sz="0" w:space="0" w:color="auto"/>
                                        <w:bottom w:val="none" w:sz="0" w:space="0" w:color="auto"/>
                                        <w:right w:val="none" w:sz="0" w:space="0" w:color="auto"/>
                                      </w:divBdr>
                                      <w:divsChild>
                                        <w:div w:id="15881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013">
                                  <w:marLeft w:val="0"/>
                                  <w:marRight w:val="0"/>
                                  <w:marTop w:val="0"/>
                                  <w:marBottom w:val="0"/>
                                  <w:divBdr>
                                    <w:top w:val="none" w:sz="0" w:space="0" w:color="auto"/>
                                    <w:left w:val="none" w:sz="0" w:space="0" w:color="auto"/>
                                    <w:bottom w:val="none" w:sz="0" w:space="0" w:color="auto"/>
                                    <w:right w:val="none" w:sz="0" w:space="0" w:color="auto"/>
                                  </w:divBdr>
                                  <w:divsChild>
                                    <w:div w:id="149368652">
                                      <w:marLeft w:val="0"/>
                                      <w:marRight w:val="0"/>
                                      <w:marTop w:val="0"/>
                                      <w:marBottom w:val="0"/>
                                      <w:divBdr>
                                        <w:top w:val="none" w:sz="0" w:space="0" w:color="auto"/>
                                        <w:left w:val="none" w:sz="0" w:space="0" w:color="auto"/>
                                        <w:bottom w:val="none" w:sz="0" w:space="0" w:color="auto"/>
                                        <w:right w:val="none" w:sz="0" w:space="0" w:color="auto"/>
                                      </w:divBdr>
                                      <w:divsChild>
                                        <w:div w:id="1491750884">
                                          <w:marLeft w:val="0"/>
                                          <w:marRight w:val="0"/>
                                          <w:marTop w:val="0"/>
                                          <w:marBottom w:val="0"/>
                                          <w:divBdr>
                                            <w:top w:val="none" w:sz="0" w:space="0" w:color="auto"/>
                                            <w:left w:val="none" w:sz="0" w:space="0" w:color="auto"/>
                                            <w:bottom w:val="none" w:sz="0" w:space="0" w:color="auto"/>
                                            <w:right w:val="none" w:sz="0" w:space="0" w:color="auto"/>
                                          </w:divBdr>
                                        </w:div>
                                      </w:divsChild>
                                    </w:div>
                                    <w:div w:id="157238189">
                                      <w:marLeft w:val="0"/>
                                      <w:marRight w:val="0"/>
                                      <w:marTop w:val="0"/>
                                      <w:marBottom w:val="0"/>
                                      <w:divBdr>
                                        <w:top w:val="none" w:sz="0" w:space="0" w:color="auto"/>
                                        <w:left w:val="none" w:sz="0" w:space="0" w:color="auto"/>
                                        <w:bottom w:val="none" w:sz="0" w:space="0" w:color="auto"/>
                                        <w:right w:val="none" w:sz="0" w:space="0" w:color="auto"/>
                                      </w:divBdr>
                                      <w:divsChild>
                                        <w:div w:id="2078547283">
                                          <w:marLeft w:val="0"/>
                                          <w:marRight w:val="0"/>
                                          <w:marTop w:val="0"/>
                                          <w:marBottom w:val="0"/>
                                          <w:divBdr>
                                            <w:top w:val="none" w:sz="0" w:space="0" w:color="auto"/>
                                            <w:left w:val="none" w:sz="0" w:space="0" w:color="auto"/>
                                            <w:bottom w:val="none" w:sz="0" w:space="0" w:color="auto"/>
                                            <w:right w:val="none" w:sz="0" w:space="0" w:color="auto"/>
                                          </w:divBdr>
                                        </w:div>
                                      </w:divsChild>
                                    </w:div>
                                    <w:div w:id="621107734">
                                      <w:marLeft w:val="0"/>
                                      <w:marRight w:val="0"/>
                                      <w:marTop w:val="0"/>
                                      <w:marBottom w:val="0"/>
                                      <w:divBdr>
                                        <w:top w:val="none" w:sz="0" w:space="0" w:color="auto"/>
                                        <w:left w:val="none" w:sz="0" w:space="0" w:color="auto"/>
                                        <w:bottom w:val="none" w:sz="0" w:space="0" w:color="auto"/>
                                        <w:right w:val="none" w:sz="0" w:space="0" w:color="auto"/>
                                      </w:divBdr>
                                      <w:divsChild>
                                        <w:div w:id="506361128">
                                          <w:marLeft w:val="0"/>
                                          <w:marRight w:val="0"/>
                                          <w:marTop w:val="0"/>
                                          <w:marBottom w:val="0"/>
                                          <w:divBdr>
                                            <w:top w:val="none" w:sz="0" w:space="0" w:color="auto"/>
                                            <w:left w:val="none" w:sz="0" w:space="0" w:color="auto"/>
                                            <w:bottom w:val="none" w:sz="0" w:space="0" w:color="auto"/>
                                            <w:right w:val="none" w:sz="0" w:space="0" w:color="auto"/>
                                          </w:divBdr>
                                        </w:div>
                                      </w:divsChild>
                                    </w:div>
                                    <w:div w:id="682780976">
                                      <w:marLeft w:val="0"/>
                                      <w:marRight w:val="0"/>
                                      <w:marTop w:val="0"/>
                                      <w:marBottom w:val="0"/>
                                      <w:divBdr>
                                        <w:top w:val="none" w:sz="0" w:space="0" w:color="auto"/>
                                        <w:left w:val="none" w:sz="0" w:space="0" w:color="auto"/>
                                        <w:bottom w:val="none" w:sz="0" w:space="0" w:color="auto"/>
                                        <w:right w:val="none" w:sz="0" w:space="0" w:color="auto"/>
                                      </w:divBdr>
                                      <w:divsChild>
                                        <w:div w:id="788204642">
                                          <w:marLeft w:val="0"/>
                                          <w:marRight w:val="0"/>
                                          <w:marTop w:val="0"/>
                                          <w:marBottom w:val="0"/>
                                          <w:divBdr>
                                            <w:top w:val="none" w:sz="0" w:space="0" w:color="auto"/>
                                            <w:left w:val="none" w:sz="0" w:space="0" w:color="auto"/>
                                            <w:bottom w:val="none" w:sz="0" w:space="0" w:color="auto"/>
                                            <w:right w:val="none" w:sz="0" w:space="0" w:color="auto"/>
                                          </w:divBdr>
                                        </w:div>
                                      </w:divsChild>
                                    </w:div>
                                    <w:div w:id="907157923">
                                      <w:marLeft w:val="0"/>
                                      <w:marRight w:val="0"/>
                                      <w:marTop w:val="0"/>
                                      <w:marBottom w:val="0"/>
                                      <w:divBdr>
                                        <w:top w:val="none" w:sz="0" w:space="0" w:color="auto"/>
                                        <w:left w:val="none" w:sz="0" w:space="0" w:color="auto"/>
                                        <w:bottom w:val="none" w:sz="0" w:space="0" w:color="auto"/>
                                        <w:right w:val="none" w:sz="0" w:space="0" w:color="auto"/>
                                      </w:divBdr>
                                      <w:divsChild>
                                        <w:div w:id="1944457348">
                                          <w:marLeft w:val="0"/>
                                          <w:marRight w:val="0"/>
                                          <w:marTop w:val="0"/>
                                          <w:marBottom w:val="0"/>
                                          <w:divBdr>
                                            <w:top w:val="none" w:sz="0" w:space="0" w:color="auto"/>
                                            <w:left w:val="none" w:sz="0" w:space="0" w:color="auto"/>
                                            <w:bottom w:val="none" w:sz="0" w:space="0" w:color="auto"/>
                                            <w:right w:val="none" w:sz="0" w:space="0" w:color="auto"/>
                                          </w:divBdr>
                                        </w:div>
                                      </w:divsChild>
                                    </w:div>
                                    <w:div w:id="1139348851">
                                      <w:marLeft w:val="0"/>
                                      <w:marRight w:val="0"/>
                                      <w:marTop w:val="0"/>
                                      <w:marBottom w:val="0"/>
                                      <w:divBdr>
                                        <w:top w:val="none" w:sz="0" w:space="0" w:color="auto"/>
                                        <w:left w:val="none" w:sz="0" w:space="0" w:color="auto"/>
                                        <w:bottom w:val="none" w:sz="0" w:space="0" w:color="auto"/>
                                        <w:right w:val="none" w:sz="0" w:space="0" w:color="auto"/>
                                      </w:divBdr>
                                      <w:divsChild>
                                        <w:div w:id="1616667246">
                                          <w:marLeft w:val="0"/>
                                          <w:marRight w:val="0"/>
                                          <w:marTop w:val="0"/>
                                          <w:marBottom w:val="0"/>
                                          <w:divBdr>
                                            <w:top w:val="none" w:sz="0" w:space="0" w:color="auto"/>
                                            <w:left w:val="none" w:sz="0" w:space="0" w:color="auto"/>
                                            <w:bottom w:val="none" w:sz="0" w:space="0" w:color="auto"/>
                                            <w:right w:val="none" w:sz="0" w:space="0" w:color="auto"/>
                                          </w:divBdr>
                                        </w:div>
                                      </w:divsChild>
                                    </w:div>
                                    <w:div w:id="1214274173">
                                      <w:marLeft w:val="0"/>
                                      <w:marRight w:val="0"/>
                                      <w:marTop w:val="0"/>
                                      <w:marBottom w:val="0"/>
                                      <w:divBdr>
                                        <w:top w:val="none" w:sz="0" w:space="0" w:color="auto"/>
                                        <w:left w:val="none" w:sz="0" w:space="0" w:color="auto"/>
                                        <w:bottom w:val="none" w:sz="0" w:space="0" w:color="auto"/>
                                        <w:right w:val="none" w:sz="0" w:space="0" w:color="auto"/>
                                      </w:divBdr>
                                      <w:divsChild>
                                        <w:div w:id="815222681">
                                          <w:marLeft w:val="0"/>
                                          <w:marRight w:val="0"/>
                                          <w:marTop w:val="0"/>
                                          <w:marBottom w:val="0"/>
                                          <w:divBdr>
                                            <w:top w:val="none" w:sz="0" w:space="0" w:color="auto"/>
                                            <w:left w:val="none" w:sz="0" w:space="0" w:color="auto"/>
                                            <w:bottom w:val="none" w:sz="0" w:space="0" w:color="auto"/>
                                            <w:right w:val="none" w:sz="0" w:space="0" w:color="auto"/>
                                          </w:divBdr>
                                        </w:div>
                                      </w:divsChild>
                                    </w:div>
                                    <w:div w:id="1392197354">
                                      <w:marLeft w:val="0"/>
                                      <w:marRight w:val="0"/>
                                      <w:marTop w:val="0"/>
                                      <w:marBottom w:val="0"/>
                                      <w:divBdr>
                                        <w:top w:val="none" w:sz="0" w:space="0" w:color="auto"/>
                                        <w:left w:val="none" w:sz="0" w:space="0" w:color="auto"/>
                                        <w:bottom w:val="none" w:sz="0" w:space="0" w:color="auto"/>
                                        <w:right w:val="none" w:sz="0" w:space="0" w:color="auto"/>
                                      </w:divBdr>
                                      <w:divsChild>
                                        <w:div w:id="416288090">
                                          <w:marLeft w:val="0"/>
                                          <w:marRight w:val="0"/>
                                          <w:marTop w:val="0"/>
                                          <w:marBottom w:val="0"/>
                                          <w:divBdr>
                                            <w:top w:val="none" w:sz="0" w:space="0" w:color="auto"/>
                                            <w:left w:val="none" w:sz="0" w:space="0" w:color="auto"/>
                                            <w:bottom w:val="none" w:sz="0" w:space="0" w:color="auto"/>
                                            <w:right w:val="none" w:sz="0" w:space="0" w:color="auto"/>
                                          </w:divBdr>
                                        </w:div>
                                      </w:divsChild>
                                    </w:div>
                                    <w:div w:id="1568879963">
                                      <w:marLeft w:val="0"/>
                                      <w:marRight w:val="0"/>
                                      <w:marTop w:val="0"/>
                                      <w:marBottom w:val="0"/>
                                      <w:divBdr>
                                        <w:top w:val="none" w:sz="0" w:space="0" w:color="auto"/>
                                        <w:left w:val="none" w:sz="0" w:space="0" w:color="auto"/>
                                        <w:bottom w:val="none" w:sz="0" w:space="0" w:color="auto"/>
                                        <w:right w:val="none" w:sz="0" w:space="0" w:color="auto"/>
                                      </w:divBdr>
                                      <w:divsChild>
                                        <w:div w:id="254748777">
                                          <w:marLeft w:val="0"/>
                                          <w:marRight w:val="0"/>
                                          <w:marTop w:val="0"/>
                                          <w:marBottom w:val="0"/>
                                          <w:divBdr>
                                            <w:top w:val="none" w:sz="0" w:space="0" w:color="auto"/>
                                            <w:left w:val="none" w:sz="0" w:space="0" w:color="auto"/>
                                            <w:bottom w:val="none" w:sz="0" w:space="0" w:color="auto"/>
                                            <w:right w:val="none" w:sz="0" w:space="0" w:color="auto"/>
                                          </w:divBdr>
                                        </w:div>
                                      </w:divsChild>
                                    </w:div>
                                    <w:div w:id="1586455328">
                                      <w:marLeft w:val="0"/>
                                      <w:marRight w:val="0"/>
                                      <w:marTop w:val="0"/>
                                      <w:marBottom w:val="0"/>
                                      <w:divBdr>
                                        <w:top w:val="none" w:sz="0" w:space="0" w:color="auto"/>
                                        <w:left w:val="none" w:sz="0" w:space="0" w:color="auto"/>
                                        <w:bottom w:val="none" w:sz="0" w:space="0" w:color="auto"/>
                                        <w:right w:val="none" w:sz="0" w:space="0" w:color="auto"/>
                                      </w:divBdr>
                                      <w:divsChild>
                                        <w:div w:id="1154180926">
                                          <w:marLeft w:val="0"/>
                                          <w:marRight w:val="0"/>
                                          <w:marTop w:val="0"/>
                                          <w:marBottom w:val="0"/>
                                          <w:divBdr>
                                            <w:top w:val="none" w:sz="0" w:space="0" w:color="auto"/>
                                            <w:left w:val="none" w:sz="0" w:space="0" w:color="auto"/>
                                            <w:bottom w:val="none" w:sz="0" w:space="0" w:color="auto"/>
                                            <w:right w:val="none" w:sz="0" w:space="0" w:color="auto"/>
                                          </w:divBdr>
                                        </w:div>
                                      </w:divsChild>
                                    </w:div>
                                    <w:div w:id="1761103401">
                                      <w:marLeft w:val="0"/>
                                      <w:marRight w:val="0"/>
                                      <w:marTop w:val="0"/>
                                      <w:marBottom w:val="0"/>
                                      <w:divBdr>
                                        <w:top w:val="none" w:sz="0" w:space="0" w:color="auto"/>
                                        <w:left w:val="none" w:sz="0" w:space="0" w:color="auto"/>
                                        <w:bottom w:val="none" w:sz="0" w:space="0" w:color="auto"/>
                                        <w:right w:val="none" w:sz="0" w:space="0" w:color="auto"/>
                                      </w:divBdr>
                                      <w:divsChild>
                                        <w:div w:id="2048875602">
                                          <w:marLeft w:val="0"/>
                                          <w:marRight w:val="0"/>
                                          <w:marTop w:val="0"/>
                                          <w:marBottom w:val="0"/>
                                          <w:divBdr>
                                            <w:top w:val="none" w:sz="0" w:space="0" w:color="auto"/>
                                            <w:left w:val="none" w:sz="0" w:space="0" w:color="auto"/>
                                            <w:bottom w:val="none" w:sz="0" w:space="0" w:color="auto"/>
                                            <w:right w:val="none" w:sz="0" w:space="0" w:color="auto"/>
                                          </w:divBdr>
                                        </w:div>
                                      </w:divsChild>
                                    </w:div>
                                    <w:div w:id="1791244964">
                                      <w:marLeft w:val="0"/>
                                      <w:marRight w:val="0"/>
                                      <w:marTop w:val="0"/>
                                      <w:marBottom w:val="0"/>
                                      <w:divBdr>
                                        <w:top w:val="none" w:sz="0" w:space="0" w:color="auto"/>
                                        <w:left w:val="none" w:sz="0" w:space="0" w:color="auto"/>
                                        <w:bottom w:val="none" w:sz="0" w:space="0" w:color="auto"/>
                                        <w:right w:val="none" w:sz="0" w:space="0" w:color="auto"/>
                                      </w:divBdr>
                                      <w:divsChild>
                                        <w:div w:id="13026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340">
                                  <w:marLeft w:val="0"/>
                                  <w:marRight w:val="0"/>
                                  <w:marTop w:val="0"/>
                                  <w:marBottom w:val="0"/>
                                  <w:divBdr>
                                    <w:top w:val="none" w:sz="0" w:space="0" w:color="auto"/>
                                    <w:left w:val="none" w:sz="0" w:space="0" w:color="auto"/>
                                    <w:bottom w:val="none" w:sz="0" w:space="0" w:color="auto"/>
                                    <w:right w:val="none" w:sz="0" w:space="0" w:color="auto"/>
                                  </w:divBdr>
                                  <w:divsChild>
                                    <w:div w:id="310406957">
                                      <w:marLeft w:val="0"/>
                                      <w:marRight w:val="0"/>
                                      <w:marTop w:val="0"/>
                                      <w:marBottom w:val="0"/>
                                      <w:divBdr>
                                        <w:top w:val="none" w:sz="0" w:space="0" w:color="auto"/>
                                        <w:left w:val="none" w:sz="0" w:space="0" w:color="auto"/>
                                        <w:bottom w:val="none" w:sz="0" w:space="0" w:color="auto"/>
                                        <w:right w:val="none" w:sz="0" w:space="0" w:color="auto"/>
                                      </w:divBdr>
                                      <w:divsChild>
                                        <w:div w:id="720372970">
                                          <w:marLeft w:val="0"/>
                                          <w:marRight w:val="0"/>
                                          <w:marTop w:val="0"/>
                                          <w:marBottom w:val="0"/>
                                          <w:divBdr>
                                            <w:top w:val="none" w:sz="0" w:space="0" w:color="auto"/>
                                            <w:left w:val="none" w:sz="0" w:space="0" w:color="auto"/>
                                            <w:bottom w:val="none" w:sz="0" w:space="0" w:color="auto"/>
                                            <w:right w:val="none" w:sz="0" w:space="0" w:color="auto"/>
                                          </w:divBdr>
                                        </w:div>
                                      </w:divsChild>
                                    </w:div>
                                    <w:div w:id="1192065432">
                                      <w:marLeft w:val="0"/>
                                      <w:marRight w:val="0"/>
                                      <w:marTop w:val="0"/>
                                      <w:marBottom w:val="0"/>
                                      <w:divBdr>
                                        <w:top w:val="none" w:sz="0" w:space="0" w:color="auto"/>
                                        <w:left w:val="none" w:sz="0" w:space="0" w:color="auto"/>
                                        <w:bottom w:val="none" w:sz="0" w:space="0" w:color="auto"/>
                                        <w:right w:val="none" w:sz="0" w:space="0" w:color="auto"/>
                                      </w:divBdr>
                                      <w:divsChild>
                                        <w:div w:id="1098602654">
                                          <w:marLeft w:val="0"/>
                                          <w:marRight w:val="0"/>
                                          <w:marTop w:val="0"/>
                                          <w:marBottom w:val="0"/>
                                          <w:divBdr>
                                            <w:top w:val="none" w:sz="0" w:space="0" w:color="auto"/>
                                            <w:left w:val="none" w:sz="0" w:space="0" w:color="auto"/>
                                            <w:bottom w:val="none" w:sz="0" w:space="0" w:color="auto"/>
                                            <w:right w:val="none" w:sz="0" w:space="0" w:color="auto"/>
                                          </w:divBdr>
                                        </w:div>
                                      </w:divsChild>
                                    </w:div>
                                    <w:div w:id="2008823870">
                                      <w:marLeft w:val="0"/>
                                      <w:marRight w:val="0"/>
                                      <w:marTop w:val="0"/>
                                      <w:marBottom w:val="0"/>
                                      <w:divBdr>
                                        <w:top w:val="none" w:sz="0" w:space="0" w:color="auto"/>
                                        <w:left w:val="none" w:sz="0" w:space="0" w:color="auto"/>
                                        <w:bottom w:val="none" w:sz="0" w:space="0" w:color="auto"/>
                                        <w:right w:val="none" w:sz="0" w:space="0" w:color="auto"/>
                                      </w:divBdr>
                                      <w:divsChild>
                                        <w:div w:id="1226331679">
                                          <w:marLeft w:val="0"/>
                                          <w:marRight w:val="0"/>
                                          <w:marTop w:val="0"/>
                                          <w:marBottom w:val="0"/>
                                          <w:divBdr>
                                            <w:top w:val="none" w:sz="0" w:space="0" w:color="auto"/>
                                            <w:left w:val="none" w:sz="0" w:space="0" w:color="auto"/>
                                            <w:bottom w:val="none" w:sz="0" w:space="0" w:color="auto"/>
                                            <w:right w:val="none" w:sz="0" w:space="0" w:color="auto"/>
                                          </w:divBdr>
                                        </w:div>
                                      </w:divsChild>
                                    </w:div>
                                    <w:div w:id="2011060371">
                                      <w:marLeft w:val="0"/>
                                      <w:marRight w:val="0"/>
                                      <w:marTop w:val="0"/>
                                      <w:marBottom w:val="0"/>
                                      <w:divBdr>
                                        <w:top w:val="none" w:sz="0" w:space="0" w:color="auto"/>
                                        <w:left w:val="none" w:sz="0" w:space="0" w:color="auto"/>
                                        <w:bottom w:val="none" w:sz="0" w:space="0" w:color="auto"/>
                                        <w:right w:val="none" w:sz="0" w:space="0" w:color="auto"/>
                                      </w:divBdr>
                                      <w:divsChild>
                                        <w:div w:id="16759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87740">
                                  <w:marLeft w:val="0"/>
                                  <w:marRight w:val="0"/>
                                  <w:marTop w:val="0"/>
                                  <w:marBottom w:val="0"/>
                                  <w:divBdr>
                                    <w:top w:val="none" w:sz="0" w:space="0" w:color="auto"/>
                                    <w:left w:val="none" w:sz="0" w:space="0" w:color="auto"/>
                                    <w:bottom w:val="none" w:sz="0" w:space="0" w:color="auto"/>
                                    <w:right w:val="none" w:sz="0" w:space="0" w:color="auto"/>
                                  </w:divBdr>
                                  <w:divsChild>
                                    <w:div w:id="721908126">
                                      <w:marLeft w:val="0"/>
                                      <w:marRight w:val="0"/>
                                      <w:marTop w:val="0"/>
                                      <w:marBottom w:val="0"/>
                                      <w:divBdr>
                                        <w:top w:val="none" w:sz="0" w:space="0" w:color="auto"/>
                                        <w:left w:val="none" w:sz="0" w:space="0" w:color="auto"/>
                                        <w:bottom w:val="none" w:sz="0" w:space="0" w:color="auto"/>
                                        <w:right w:val="none" w:sz="0" w:space="0" w:color="auto"/>
                                      </w:divBdr>
                                      <w:divsChild>
                                        <w:div w:id="73480654">
                                          <w:marLeft w:val="0"/>
                                          <w:marRight w:val="0"/>
                                          <w:marTop w:val="0"/>
                                          <w:marBottom w:val="0"/>
                                          <w:divBdr>
                                            <w:top w:val="none" w:sz="0" w:space="0" w:color="auto"/>
                                            <w:left w:val="none" w:sz="0" w:space="0" w:color="auto"/>
                                            <w:bottom w:val="none" w:sz="0" w:space="0" w:color="auto"/>
                                            <w:right w:val="none" w:sz="0" w:space="0" w:color="auto"/>
                                          </w:divBdr>
                                        </w:div>
                                      </w:divsChild>
                                    </w:div>
                                    <w:div w:id="791747736">
                                      <w:marLeft w:val="0"/>
                                      <w:marRight w:val="0"/>
                                      <w:marTop w:val="0"/>
                                      <w:marBottom w:val="0"/>
                                      <w:divBdr>
                                        <w:top w:val="none" w:sz="0" w:space="0" w:color="auto"/>
                                        <w:left w:val="none" w:sz="0" w:space="0" w:color="auto"/>
                                        <w:bottom w:val="none" w:sz="0" w:space="0" w:color="auto"/>
                                        <w:right w:val="none" w:sz="0" w:space="0" w:color="auto"/>
                                      </w:divBdr>
                                      <w:divsChild>
                                        <w:div w:id="17299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9426">
                                  <w:marLeft w:val="0"/>
                                  <w:marRight w:val="0"/>
                                  <w:marTop w:val="0"/>
                                  <w:marBottom w:val="0"/>
                                  <w:divBdr>
                                    <w:top w:val="none" w:sz="0" w:space="0" w:color="auto"/>
                                    <w:left w:val="none" w:sz="0" w:space="0" w:color="auto"/>
                                    <w:bottom w:val="none" w:sz="0" w:space="0" w:color="auto"/>
                                    <w:right w:val="none" w:sz="0" w:space="0" w:color="auto"/>
                                  </w:divBdr>
                                  <w:divsChild>
                                    <w:div w:id="540168860">
                                      <w:marLeft w:val="0"/>
                                      <w:marRight w:val="0"/>
                                      <w:marTop w:val="0"/>
                                      <w:marBottom w:val="0"/>
                                      <w:divBdr>
                                        <w:top w:val="none" w:sz="0" w:space="0" w:color="auto"/>
                                        <w:left w:val="none" w:sz="0" w:space="0" w:color="auto"/>
                                        <w:bottom w:val="none" w:sz="0" w:space="0" w:color="auto"/>
                                        <w:right w:val="none" w:sz="0" w:space="0" w:color="auto"/>
                                      </w:divBdr>
                                      <w:divsChild>
                                        <w:div w:id="1134254237">
                                          <w:marLeft w:val="0"/>
                                          <w:marRight w:val="0"/>
                                          <w:marTop w:val="0"/>
                                          <w:marBottom w:val="0"/>
                                          <w:divBdr>
                                            <w:top w:val="none" w:sz="0" w:space="0" w:color="auto"/>
                                            <w:left w:val="none" w:sz="0" w:space="0" w:color="auto"/>
                                            <w:bottom w:val="none" w:sz="0" w:space="0" w:color="auto"/>
                                            <w:right w:val="none" w:sz="0" w:space="0" w:color="auto"/>
                                          </w:divBdr>
                                        </w:div>
                                      </w:divsChild>
                                    </w:div>
                                    <w:div w:id="1529879619">
                                      <w:marLeft w:val="0"/>
                                      <w:marRight w:val="0"/>
                                      <w:marTop w:val="0"/>
                                      <w:marBottom w:val="0"/>
                                      <w:divBdr>
                                        <w:top w:val="none" w:sz="0" w:space="0" w:color="auto"/>
                                        <w:left w:val="none" w:sz="0" w:space="0" w:color="auto"/>
                                        <w:bottom w:val="none" w:sz="0" w:space="0" w:color="auto"/>
                                        <w:right w:val="none" w:sz="0" w:space="0" w:color="auto"/>
                                      </w:divBdr>
                                      <w:divsChild>
                                        <w:div w:id="75831333">
                                          <w:marLeft w:val="0"/>
                                          <w:marRight w:val="0"/>
                                          <w:marTop w:val="0"/>
                                          <w:marBottom w:val="0"/>
                                          <w:divBdr>
                                            <w:top w:val="none" w:sz="0" w:space="0" w:color="auto"/>
                                            <w:left w:val="none" w:sz="0" w:space="0" w:color="auto"/>
                                            <w:bottom w:val="none" w:sz="0" w:space="0" w:color="auto"/>
                                            <w:right w:val="none" w:sz="0" w:space="0" w:color="auto"/>
                                          </w:divBdr>
                                        </w:div>
                                      </w:divsChild>
                                    </w:div>
                                    <w:div w:id="1836022984">
                                      <w:marLeft w:val="0"/>
                                      <w:marRight w:val="0"/>
                                      <w:marTop w:val="0"/>
                                      <w:marBottom w:val="0"/>
                                      <w:divBdr>
                                        <w:top w:val="none" w:sz="0" w:space="0" w:color="auto"/>
                                        <w:left w:val="none" w:sz="0" w:space="0" w:color="auto"/>
                                        <w:bottom w:val="none" w:sz="0" w:space="0" w:color="auto"/>
                                        <w:right w:val="none" w:sz="0" w:space="0" w:color="auto"/>
                                      </w:divBdr>
                                      <w:divsChild>
                                        <w:div w:id="1339387067">
                                          <w:marLeft w:val="0"/>
                                          <w:marRight w:val="0"/>
                                          <w:marTop w:val="0"/>
                                          <w:marBottom w:val="0"/>
                                          <w:divBdr>
                                            <w:top w:val="none" w:sz="0" w:space="0" w:color="auto"/>
                                            <w:left w:val="none" w:sz="0" w:space="0" w:color="auto"/>
                                            <w:bottom w:val="none" w:sz="0" w:space="0" w:color="auto"/>
                                            <w:right w:val="none" w:sz="0" w:space="0" w:color="auto"/>
                                          </w:divBdr>
                                        </w:div>
                                      </w:divsChild>
                                    </w:div>
                                    <w:div w:id="1897469193">
                                      <w:marLeft w:val="0"/>
                                      <w:marRight w:val="0"/>
                                      <w:marTop w:val="0"/>
                                      <w:marBottom w:val="0"/>
                                      <w:divBdr>
                                        <w:top w:val="none" w:sz="0" w:space="0" w:color="auto"/>
                                        <w:left w:val="none" w:sz="0" w:space="0" w:color="auto"/>
                                        <w:bottom w:val="none" w:sz="0" w:space="0" w:color="auto"/>
                                        <w:right w:val="none" w:sz="0" w:space="0" w:color="auto"/>
                                      </w:divBdr>
                                      <w:divsChild>
                                        <w:div w:id="15917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06121">
                                  <w:marLeft w:val="0"/>
                                  <w:marRight w:val="0"/>
                                  <w:marTop w:val="0"/>
                                  <w:marBottom w:val="0"/>
                                  <w:divBdr>
                                    <w:top w:val="none" w:sz="0" w:space="0" w:color="auto"/>
                                    <w:left w:val="none" w:sz="0" w:space="0" w:color="auto"/>
                                    <w:bottom w:val="none" w:sz="0" w:space="0" w:color="auto"/>
                                    <w:right w:val="none" w:sz="0" w:space="0" w:color="auto"/>
                                  </w:divBdr>
                                  <w:divsChild>
                                    <w:div w:id="166098125">
                                      <w:marLeft w:val="0"/>
                                      <w:marRight w:val="0"/>
                                      <w:marTop w:val="0"/>
                                      <w:marBottom w:val="0"/>
                                      <w:divBdr>
                                        <w:top w:val="none" w:sz="0" w:space="0" w:color="auto"/>
                                        <w:left w:val="none" w:sz="0" w:space="0" w:color="auto"/>
                                        <w:bottom w:val="none" w:sz="0" w:space="0" w:color="auto"/>
                                        <w:right w:val="none" w:sz="0" w:space="0" w:color="auto"/>
                                      </w:divBdr>
                                      <w:divsChild>
                                        <w:div w:id="1713383520">
                                          <w:marLeft w:val="0"/>
                                          <w:marRight w:val="0"/>
                                          <w:marTop w:val="0"/>
                                          <w:marBottom w:val="0"/>
                                          <w:divBdr>
                                            <w:top w:val="none" w:sz="0" w:space="0" w:color="auto"/>
                                            <w:left w:val="none" w:sz="0" w:space="0" w:color="auto"/>
                                            <w:bottom w:val="none" w:sz="0" w:space="0" w:color="auto"/>
                                            <w:right w:val="none" w:sz="0" w:space="0" w:color="auto"/>
                                          </w:divBdr>
                                        </w:div>
                                      </w:divsChild>
                                    </w:div>
                                    <w:div w:id="370426275">
                                      <w:marLeft w:val="0"/>
                                      <w:marRight w:val="0"/>
                                      <w:marTop w:val="0"/>
                                      <w:marBottom w:val="0"/>
                                      <w:divBdr>
                                        <w:top w:val="none" w:sz="0" w:space="0" w:color="auto"/>
                                        <w:left w:val="none" w:sz="0" w:space="0" w:color="auto"/>
                                        <w:bottom w:val="none" w:sz="0" w:space="0" w:color="auto"/>
                                        <w:right w:val="none" w:sz="0" w:space="0" w:color="auto"/>
                                      </w:divBdr>
                                      <w:divsChild>
                                        <w:div w:id="1446340315">
                                          <w:marLeft w:val="0"/>
                                          <w:marRight w:val="0"/>
                                          <w:marTop w:val="0"/>
                                          <w:marBottom w:val="0"/>
                                          <w:divBdr>
                                            <w:top w:val="none" w:sz="0" w:space="0" w:color="auto"/>
                                            <w:left w:val="none" w:sz="0" w:space="0" w:color="auto"/>
                                            <w:bottom w:val="none" w:sz="0" w:space="0" w:color="auto"/>
                                            <w:right w:val="none" w:sz="0" w:space="0" w:color="auto"/>
                                          </w:divBdr>
                                        </w:div>
                                      </w:divsChild>
                                    </w:div>
                                    <w:div w:id="664743354">
                                      <w:marLeft w:val="0"/>
                                      <w:marRight w:val="0"/>
                                      <w:marTop w:val="0"/>
                                      <w:marBottom w:val="0"/>
                                      <w:divBdr>
                                        <w:top w:val="none" w:sz="0" w:space="0" w:color="auto"/>
                                        <w:left w:val="none" w:sz="0" w:space="0" w:color="auto"/>
                                        <w:bottom w:val="none" w:sz="0" w:space="0" w:color="auto"/>
                                        <w:right w:val="none" w:sz="0" w:space="0" w:color="auto"/>
                                      </w:divBdr>
                                      <w:divsChild>
                                        <w:div w:id="740904483">
                                          <w:marLeft w:val="0"/>
                                          <w:marRight w:val="0"/>
                                          <w:marTop w:val="0"/>
                                          <w:marBottom w:val="0"/>
                                          <w:divBdr>
                                            <w:top w:val="none" w:sz="0" w:space="0" w:color="auto"/>
                                            <w:left w:val="none" w:sz="0" w:space="0" w:color="auto"/>
                                            <w:bottom w:val="none" w:sz="0" w:space="0" w:color="auto"/>
                                            <w:right w:val="none" w:sz="0" w:space="0" w:color="auto"/>
                                          </w:divBdr>
                                        </w:div>
                                      </w:divsChild>
                                    </w:div>
                                    <w:div w:id="699404364">
                                      <w:marLeft w:val="0"/>
                                      <w:marRight w:val="0"/>
                                      <w:marTop w:val="0"/>
                                      <w:marBottom w:val="0"/>
                                      <w:divBdr>
                                        <w:top w:val="none" w:sz="0" w:space="0" w:color="auto"/>
                                        <w:left w:val="none" w:sz="0" w:space="0" w:color="auto"/>
                                        <w:bottom w:val="none" w:sz="0" w:space="0" w:color="auto"/>
                                        <w:right w:val="none" w:sz="0" w:space="0" w:color="auto"/>
                                      </w:divBdr>
                                      <w:divsChild>
                                        <w:div w:id="1980838863">
                                          <w:marLeft w:val="0"/>
                                          <w:marRight w:val="0"/>
                                          <w:marTop w:val="0"/>
                                          <w:marBottom w:val="0"/>
                                          <w:divBdr>
                                            <w:top w:val="none" w:sz="0" w:space="0" w:color="auto"/>
                                            <w:left w:val="none" w:sz="0" w:space="0" w:color="auto"/>
                                            <w:bottom w:val="none" w:sz="0" w:space="0" w:color="auto"/>
                                            <w:right w:val="none" w:sz="0" w:space="0" w:color="auto"/>
                                          </w:divBdr>
                                        </w:div>
                                      </w:divsChild>
                                    </w:div>
                                    <w:div w:id="1407992111">
                                      <w:marLeft w:val="0"/>
                                      <w:marRight w:val="0"/>
                                      <w:marTop w:val="0"/>
                                      <w:marBottom w:val="0"/>
                                      <w:divBdr>
                                        <w:top w:val="none" w:sz="0" w:space="0" w:color="auto"/>
                                        <w:left w:val="none" w:sz="0" w:space="0" w:color="auto"/>
                                        <w:bottom w:val="none" w:sz="0" w:space="0" w:color="auto"/>
                                        <w:right w:val="none" w:sz="0" w:space="0" w:color="auto"/>
                                      </w:divBdr>
                                      <w:divsChild>
                                        <w:div w:id="688066136">
                                          <w:marLeft w:val="0"/>
                                          <w:marRight w:val="0"/>
                                          <w:marTop w:val="0"/>
                                          <w:marBottom w:val="0"/>
                                          <w:divBdr>
                                            <w:top w:val="none" w:sz="0" w:space="0" w:color="auto"/>
                                            <w:left w:val="none" w:sz="0" w:space="0" w:color="auto"/>
                                            <w:bottom w:val="none" w:sz="0" w:space="0" w:color="auto"/>
                                            <w:right w:val="none" w:sz="0" w:space="0" w:color="auto"/>
                                          </w:divBdr>
                                        </w:div>
                                      </w:divsChild>
                                    </w:div>
                                    <w:div w:id="1572502868">
                                      <w:marLeft w:val="0"/>
                                      <w:marRight w:val="0"/>
                                      <w:marTop w:val="0"/>
                                      <w:marBottom w:val="0"/>
                                      <w:divBdr>
                                        <w:top w:val="none" w:sz="0" w:space="0" w:color="auto"/>
                                        <w:left w:val="none" w:sz="0" w:space="0" w:color="auto"/>
                                        <w:bottom w:val="none" w:sz="0" w:space="0" w:color="auto"/>
                                        <w:right w:val="none" w:sz="0" w:space="0" w:color="auto"/>
                                      </w:divBdr>
                                      <w:divsChild>
                                        <w:div w:id="784468835">
                                          <w:marLeft w:val="0"/>
                                          <w:marRight w:val="0"/>
                                          <w:marTop w:val="0"/>
                                          <w:marBottom w:val="0"/>
                                          <w:divBdr>
                                            <w:top w:val="none" w:sz="0" w:space="0" w:color="auto"/>
                                            <w:left w:val="none" w:sz="0" w:space="0" w:color="auto"/>
                                            <w:bottom w:val="none" w:sz="0" w:space="0" w:color="auto"/>
                                            <w:right w:val="none" w:sz="0" w:space="0" w:color="auto"/>
                                          </w:divBdr>
                                        </w:div>
                                      </w:divsChild>
                                    </w:div>
                                    <w:div w:id="1802721762">
                                      <w:marLeft w:val="0"/>
                                      <w:marRight w:val="0"/>
                                      <w:marTop w:val="0"/>
                                      <w:marBottom w:val="0"/>
                                      <w:divBdr>
                                        <w:top w:val="none" w:sz="0" w:space="0" w:color="auto"/>
                                        <w:left w:val="none" w:sz="0" w:space="0" w:color="auto"/>
                                        <w:bottom w:val="none" w:sz="0" w:space="0" w:color="auto"/>
                                        <w:right w:val="none" w:sz="0" w:space="0" w:color="auto"/>
                                      </w:divBdr>
                                      <w:divsChild>
                                        <w:div w:id="927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84407">
                                  <w:marLeft w:val="0"/>
                                  <w:marRight w:val="0"/>
                                  <w:marTop w:val="0"/>
                                  <w:marBottom w:val="0"/>
                                  <w:divBdr>
                                    <w:top w:val="none" w:sz="0" w:space="0" w:color="auto"/>
                                    <w:left w:val="none" w:sz="0" w:space="0" w:color="auto"/>
                                    <w:bottom w:val="none" w:sz="0" w:space="0" w:color="auto"/>
                                    <w:right w:val="none" w:sz="0" w:space="0" w:color="auto"/>
                                  </w:divBdr>
                                  <w:divsChild>
                                    <w:div w:id="931815770">
                                      <w:marLeft w:val="0"/>
                                      <w:marRight w:val="0"/>
                                      <w:marTop w:val="0"/>
                                      <w:marBottom w:val="0"/>
                                      <w:divBdr>
                                        <w:top w:val="none" w:sz="0" w:space="0" w:color="auto"/>
                                        <w:left w:val="none" w:sz="0" w:space="0" w:color="auto"/>
                                        <w:bottom w:val="none" w:sz="0" w:space="0" w:color="auto"/>
                                        <w:right w:val="none" w:sz="0" w:space="0" w:color="auto"/>
                                      </w:divBdr>
                                      <w:divsChild>
                                        <w:div w:id="1601335052">
                                          <w:marLeft w:val="0"/>
                                          <w:marRight w:val="0"/>
                                          <w:marTop w:val="0"/>
                                          <w:marBottom w:val="0"/>
                                          <w:divBdr>
                                            <w:top w:val="none" w:sz="0" w:space="0" w:color="auto"/>
                                            <w:left w:val="none" w:sz="0" w:space="0" w:color="auto"/>
                                            <w:bottom w:val="none" w:sz="0" w:space="0" w:color="auto"/>
                                            <w:right w:val="none" w:sz="0" w:space="0" w:color="auto"/>
                                          </w:divBdr>
                                        </w:div>
                                      </w:divsChild>
                                    </w:div>
                                    <w:div w:id="1135105160">
                                      <w:marLeft w:val="0"/>
                                      <w:marRight w:val="0"/>
                                      <w:marTop w:val="0"/>
                                      <w:marBottom w:val="0"/>
                                      <w:divBdr>
                                        <w:top w:val="none" w:sz="0" w:space="0" w:color="auto"/>
                                        <w:left w:val="none" w:sz="0" w:space="0" w:color="auto"/>
                                        <w:bottom w:val="none" w:sz="0" w:space="0" w:color="auto"/>
                                        <w:right w:val="none" w:sz="0" w:space="0" w:color="auto"/>
                                      </w:divBdr>
                                      <w:divsChild>
                                        <w:div w:id="1068651768">
                                          <w:marLeft w:val="0"/>
                                          <w:marRight w:val="0"/>
                                          <w:marTop w:val="0"/>
                                          <w:marBottom w:val="0"/>
                                          <w:divBdr>
                                            <w:top w:val="none" w:sz="0" w:space="0" w:color="auto"/>
                                            <w:left w:val="none" w:sz="0" w:space="0" w:color="auto"/>
                                            <w:bottom w:val="none" w:sz="0" w:space="0" w:color="auto"/>
                                            <w:right w:val="none" w:sz="0" w:space="0" w:color="auto"/>
                                          </w:divBdr>
                                        </w:div>
                                      </w:divsChild>
                                    </w:div>
                                    <w:div w:id="1533960698">
                                      <w:marLeft w:val="0"/>
                                      <w:marRight w:val="0"/>
                                      <w:marTop w:val="0"/>
                                      <w:marBottom w:val="0"/>
                                      <w:divBdr>
                                        <w:top w:val="none" w:sz="0" w:space="0" w:color="auto"/>
                                        <w:left w:val="none" w:sz="0" w:space="0" w:color="auto"/>
                                        <w:bottom w:val="none" w:sz="0" w:space="0" w:color="auto"/>
                                        <w:right w:val="none" w:sz="0" w:space="0" w:color="auto"/>
                                      </w:divBdr>
                                      <w:divsChild>
                                        <w:div w:id="803930154">
                                          <w:marLeft w:val="0"/>
                                          <w:marRight w:val="0"/>
                                          <w:marTop w:val="0"/>
                                          <w:marBottom w:val="0"/>
                                          <w:divBdr>
                                            <w:top w:val="none" w:sz="0" w:space="0" w:color="auto"/>
                                            <w:left w:val="none" w:sz="0" w:space="0" w:color="auto"/>
                                            <w:bottom w:val="none" w:sz="0" w:space="0" w:color="auto"/>
                                            <w:right w:val="none" w:sz="0" w:space="0" w:color="auto"/>
                                          </w:divBdr>
                                        </w:div>
                                      </w:divsChild>
                                    </w:div>
                                    <w:div w:id="1667518304">
                                      <w:marLeft w:val="0"/>
                                      <w:marRight w:val="0"/>
                                      <w:marTop w:val="0"/>
                                      <w:marBottom w:val="0"/>
                                      <w:divBdr>
                                        <w:top w:val="none" w:sz="0" w:space="0" w:color="auto"/>
                                        <w:left w:val="none" w:sz="0" w:space="0" w:color="auto"/>
                                        <w:bottom w:val="none" w:sz="0" w:space="0" w:color="auto"/>
                                        <w:right w:val="none" w:sz="0" w:space="0" w:color="auto"/>
                                      </w:divBdr>
                                      <w:divsChild>
                                        <w:div w:id="66074137">
                                          <w:marLeft w:val="0"/>
                                          <w:marRight w:val="0"/>
                                          <w:marTop w:val="0"/>
                                          <w:marBottom w:val="0"/>
                                          <w:divBdr>
                                            <w:top w:val="none" w:sz="0" w:space="0" w:color="auto"/>
                                            <w:left w:val="none" w:sz="0" w:space="0" w:color="auto"/>
                                            <w:bottom w:val="none" w:sz="0" w:space="0" w:color="auto"/>
                                            <w:right w:val="none" w:sz="0" w:space="0" w:color="auto"/>
                                          </w:divBdr>
                                        </w:div>
                                        <w:div w:id="1136800735">
                                          <w:marLeft w:val="0"/>
                                          <w:marRight w:val="0"/>
                                          <w:marTop w:val="0"/>
                                          <w:marBottom w:val="0"/>
                                          <w:divBdr>
                                            <w:top w:val="none" w:sz="0" w:space="0" w:color="auto"/>
                                            <w:left w:val="none" w:sz="0" w:space="0" w:color="auto"/>
                                            <w:bottom w:val="none" w:sz="0" w:space="0" w:color="auto"/>
                                            <w:right w:val="none" w:sz="0" w:space="0" w:color="auto"/>
                                          </w:divBdr>
                                          <w:divsChild>
                                            <w:div w:id="718748404">
                                              <w:marLeft w:val="0"/>
                                              <w:marRight w:val="0"/>
                                              <w:marTop w:val="0"/>
                                              <w:marBottom w:val="0"/>
                                              <w:divBdr>
                                                <w:top w:val="none" w:sz="0" w:space="0" w:color="auto"/>
                                                <w:left w:val="none" w:sz="0" w:space="0" w:color="auto"/>
                                                <w:bottom w:val="none" w:sz="0" w:space="0" w:color="auto"/>
                                                <w:right w:val="none" w:sz="0" w:space="0" w:color="auto"/>
                                              </w:divBdr>
                                            </w:div>
                                          </w:divsChild>
                                        </w:div>
                                        <w:div w:id="2143226999">
                                          <w:marLeft w:val="0"/>
                                          <w:marRight w:val="0"/>
                                          <w:marTop w:val="0"/>
                                          <w:marBottom w:val="0"/>
                                          <w:divBdr>
                                            <w:top w:val="none" w:sz="0" w:space="0" w:color="auto"/>
                                            <w:left w:val="none" w:sz="0" w:space="0" w:color="auto"/>
                                            <w:bottom w:val="none" w:sz="0" w:space="0" w:color="auto"/>
                                            <w:right w:val="none" w:sz="0" w:space="0" w:color="auto"/>
                                          </w:divBdr>
                                        </w:div>
                                      </w:divsChild>
                                    </w:div>
                                    <w:div w:id="1768038932">
                                      <w:marLeft w:val="0"/>
                                      <w:marRight w:val="0"/>
                                      <w:marTop w:val="0"/>
                                      <w:marBottom w:val="0"/>
                                      <w:divBdr>
                                        <w:top w:val="none" w:sz="0" w:space="0" w:color="auto"/>
                                        <w:left w:val="none" w:sz="0" w:space="0" w:color="auto"/>
                                        <w:bottom w:val="none" w:sz="0" w:space="0" w:color="auto"/>
                                        <w:right w:val="none" w:sz="0" w:space="0" w:color="auto"/>
                                      </w:divBdr>
                                      <w:divsChild>
                                        <w:div w:id="1684820206">
                                          <w:marLeft w:val="0"/>
                                          <w:marRight w:val="0"/>
                                          <w:marTop w:val="0"/>
                                          <w:marBottom w:val="0"/>
                                          <w:divBdr>
                                            <w:top w:val="none" w:sz="0" w:space="0" w:color="auto"/>
                                            <w:left w:val="none" w:sz="0" w:space="0" w:color="auto"/>
                                            <w:bottom w:val="none" w:sz="0" w:space="0" w:color="auto"/>
                                            <w:right w:val="none" w:sz="0" w:space="0" w:color="auto"/>
                                          </w:divBdr>
                                        </w:div>
                                      </w:divsChild>
                                    </w:div>
                                    <w:div w:id="2002738131">
                                      <w:marLeft w:val="0"/>
                                      <w:marRight w:val="0"/>
                                      <w:marTop w:val="0"/>
                                      <w:marBottom w:val="0"/>
                                      <w:divBdr>
                                        <w:top w:val="none" w:sz="0" w:space="0" w:color="auto"/>
                                        <w:left w:val="none" w:sz="0" w:space="0" w:color="auto"/>
                                        <w:bottom w:val="none" w:sz="0" w:space="0" w:color="auto"/>
                                        <w:right w:val="none" w:sz="0" w:space="0" w:color="auto"/>
                                      </w:divBdr>
                                      <w:divsChild>
                                        <w:div w:id="20129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29854">
                                  <w:marLeft w:val="0"/>
                                  <w:marRight w:val="0"/>
                                  <w:marTop w:val="0"/>
                                  <w:marBottom w:val="0"/>
                                  <w:divBdr>
                                    <w:top w:val="none" w:sz="0" w:space="0" w:color="auto"/>
                                    <w:left w:val="none" w:sz="0" w:space="0" w:color="auto"/>
                                    <w:bottom w:val="none" w:sz="0" w:space="0" w:color="auto"/>
                                    <w:right w:val="none" w:sz="0" w:space="0" w:color="auto"/>
                                  </w:divBdr>
                                  <w:divsChild>
                                    <w:div w:id="36398353">
                                      <w:marLeft w:val="0"/>
                                      <w:marRight w:val="0"/>
                                      <w:marTop w:val="0"/>
                                      <w:marBottom w:val="0"/>
                                      <w:divBdr>
                                        <w:top w:val="none" w:sz="0" w:space="0" w:color="auto"/>
                                        <w:left w:val="none" w:sz="0" w:space="0" w:color="auto"/>
                                        <w:bottom w:val="none" w:sz="0" w:space="0" w:color="auto"/>
                                        <w:right w:val="none" w:sz="0" w:space="0" w:color="auto"/>
                                      </w:divBdr>
                                      <w:divsChild>
                                        <w:div w:id="459346191">
                                          <w:marLeft w:val="0"/>
                                          <w:marRight w:val="0"/>
                                          <w:marTop w:val="0"/>
                                          <w:marBottom w:val="0"/>
                                          <w:divBdr>
                                            <w:top w:val="none" w:sz="0" w:space="0" w:color="auto"/>
                                            <w:left w:val="none" w:sz="0" w:space="0" w:color="auto"/>
                                            <w:bottom w:val="none" w:sz="0" w:space="0" w:color="auto"/>
                                            <w:right w:val="none" w:sz="0" w:space="0" w:color="auto"/>
                                          </w:divBdr>
                                        </w:div>
                                      </w:divsChild>
                                    </w:div>
                                    <w:div w:id="483670491">
                                      <w:marLeft w:val="0"/>
                                      <w:marRight w:val="0"/>
                                      <w:marTop w:val="0"/>
                                      <w:marBottom w:val="0"/>
                                      <w:divBdr>
                                        <w:top w:val="none" w:sz="0" w:space="0" w:color="auto"/>
                                        <w:left w:val="none" w:sz="0" w:space="0" w:color="auto"/>
                                        <w:bottom w:val="none" w:sz="0" w:space="0" w:color="auto"/>
                                        <w:right w:val="none" w:sz="0" w:space="0" w:color="auto"/>
                                      </w:divBdr>
                                      <w:divsChild>
                                        <w:div w:id="1788811707">
                                          <w:marLeft w:val="0"/>
                                          <w:marRight w:val="0"/>
                                          <w:marTop w:val="0"/>
                                          <w:marBottom w:val="0"/>
                                          <w:divBdr>
                                            <w:top w:val="none" w:sz="0" w:space="0" w:color="auto"/>
                                            <w:left w:val="none" w:sz="0" w:space="0" w:color="auto"/>
                                            <w:bottom w:val="none" w:sz="0" w:space="0" w:color="auto"/>
                                            <w:right w:val="none" w:sz="0" w:space="0" w:color="auto"/>
                                          </w:divBdr>
                                        </w:div>
                                      </w:divsChild>
                                    </w:div>
                                    <w:div w:id="1170828913">
                                      <w:marLeft w:val="0"/>
                                      <w:marRight w:val="0"/>
                                      <w:marTop w:val="0"/>
                                      <w:marBottom w:val="0"/>
                                      <w:divBdr>
                                        <w:top w:val="none" w:sz="0" w:space="0" w:color="auto"/>
                                        <w:left w:val="none" w:sz="0" w:space="0" w:color="auto"/>
                                        <w:bottom w:val="none" w:sz="0" w:space="0" w:color="auto"/>
                                        <w:right w:val="none" w:sz="0" w:space="0" w:color="auto"/>
                                      </w:divBdr>
                                      <w:divsChild>
                                        <w:div w:id="1157845933">
                                          <w:marLeft w:val="0"/>
                                          <w:marRight w:val="0"/>
                                          <w:marTop w:val="0"/>
                                          <w:marBottom w:val="0"/>
                                          <w:divBdr>
                                            <w:top w:val="none" w:sz="0" w:space="0" w:color="auto"/>
                                            <w:left w:val="none" w:sz="0" w:space="0" w:color="auto"/>
                                            <w:bottom w:val="none" w:sz="0" w:space="0" w:color="auto"/>
                                            <w:right w:val="none" w:sz="0" w:space="0" w:color="auto"/>
                                          </w:divBdr>
                                        </w:div>
                                      </w:divsChild>
                                    </w:div>
                                    <w:div w:id="1204102344">
                                      <w:marLeft w:val="0"/>
                                      <w:marRight w:val="0"/>
                                      <w:marTop w:val="0"/>
                                      <w:marBottom w:val="0"/>
                                      <w:divBdr>
                                        <w:top w:val="none" w:sz="0" w:space="0" w:color="auto"/>
                                        <w:left w:val="none" w:sz="0" w:space="0" w:color="auto"/>
                                        <w:bottom w:val="none" w:sz="0" w:space="0" w:color="auto"/>
                                        <w:right w:val="none" w:sz="0" w:space="0" w:color="auto"/>
                                      </w:divBdr>
                                      <w:divsChild>
                                        <w:div w:id="188296547">
                                          <w:marLeft w:val="0"/>
                                          <w:marRight w:val="0"/>
                                          <w:marTop w:val="0"/>
                                          <w:marBottom w:val="0"/>
                                          <w:divBdr>
                                            <w:top w:val="none" w:sz="0" w:space="0" w:color="auto"/>
                                            <w:left w:val="none" w:sz="0" w:space="0" w:color="auto"/>
                                            <w:bottom w:val="none" w:sz="0" w:space="0" w:color="auto"/>
                                            <w:right w:val="none" w:sz="0" w:space="0" w:color="auto"/>
                                          </w:divBdr>
                                        </w:div>
                                      </w:divsChild>
                                    </w:div>
                                    <w:div w:id="1536306618">
                                      <w:marLeft w:val="0"/>
                                      <w:marRight w:val="0"/>
                                      <w:marTop w:val="0"/>
                                      <w:marBottom w:val="0"/>
                                      <w:divBdr>
                                        <w:top w:val="none" w:sz="0" w:space="0" w:color="auto"/>
                                        <w:left w:val="none" w:sz="0" w:space="0" w:color="auto"/>
                                        <w:bottom w:val="none" w:sz="0" w:space="0" w:color="auto"/>
                                        <w:right w:val="none" w:sz="0" w:space="0" w:color="auto"/>
                                      </w:divBdr>
                                      <w:divsChild>
                                        <w:div w:id="833256042">
                                          <w:marLeft w:val="0"/>
                                          <w:marRight w:val="0"/>
                                          <w:marTop w:val="0"/>
                                          <w:marBottom w:val="0"/>
                                          <w:divBdr>
                                            <w:top w:val="none" w:sz="0" w:space="0" w:color="auto"/>
                                            <w:left w:val="none" w:sz="0" w:space="0" w:color="auto"/>
                                            <w:bottom w:val="none" w:sz="0" w:space="0" w:color="auto"/>
                                            <w:right w:val="none" w:sz="0" w:space="0" w:color="auto"/>
                                          </w:divBdr>
                                        </w:div>
                                      </w:divsChild>
                                    </w:div>
                                    <w:div w:id="1748918522">
                                      <w:marLeft w:val="0"/>
                                      <w:marRight w:val="0"/>
                                      <w:marTop w:val="0"/>
                                      <w:marBottom w:val="0"/>
                                      <w:divBdr>
                                        <w:top w:val="none" w:sz="0" w:space="0" w:color="auto"/>
                                        <w:left w:val="none" w:sz="0" w:space="0" w:color="auto"/>
                                        <w:bottom w:val="none" w:sz="0" w:space="0" w:color="auto"/>
                                        <w:right w:val="none" w:sz="0" w:space="0" w:color="auto"/>
                                      </w:divBdr>
                                      <w:divsChild>
                                        <w:div w:id="4173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5948">
                                  <w:marLeft w:val="0"/>
                                  <w:marRight w:val="0"/>
                                  <w:marTop w:val="0"/>
                                  <w:marBottom w:val="0"/>
                                  <w:divBdr>
                                    <w:top w:val="none" w:sz="0" w:space="0" w:color="auto"/>
                                    <w:left w:val="none" w:sz="0" w:space="0" w:color="auto"/>
                                    <w:bottom w:val="none" w:sz="0" w:space="0" w:color="auto"/>
                                    <w:right w:val="none" w:sz="0" w:space="0" w:color="auto"/>
                                  </w:divBdr>
                                  <w:divsChild>
                                    <w:div w:id="246616045">
                                      <w:marLeft w:val="0"/>
                                      <w:marRight w:val="0"/>
                                      <w:marTop w:val="0"/>
                                      <w:marBottom w:val="0"/>
                                      <w:divBdr>
                                        <w:top w:val="none" w:sz="0" w:space="0" w:color="auto"/>
                                        <w:left w:val="none" w:sz="0" w:space="0" w:color="auto"/>
                                        <w:bottom w:val="none" w:sz="0" w:space="0" w:color="auto"/>
                                        <w:right w:val="none" w:sz="0" w:space="0" w:color="auto"/>
                                      </w:divBdr>
                                      <w:divsChild>
                                        <w:div w:id="1769472347">
                                          <w:marLeft w:val="0"/>
                                          <w:marRight w:val="0"/>
                                          <w:marTop w:val="0"/>
                                          <w:marBottom w:val="0"/>
                                          <w:divBdr>
                                            <w:top w:val="none" w:sz="0" w:space="0" w:color="auto"/>
                                            <w:left w:val="none" w:sz="0" w:space="0" w:color="auto"/>
                                            <w:bottom w:val="none" w:sz="0" w:space="0" w:color="auto"/>
                                            <w:right w:val="none" w:sz="0" w:space="0" w:color="auto"/>
                                          </w:divBdr>
                                        </w:div>
                                      </w:divsChild>
                                    </w:div>
                                    <w:div w:id="315963068">
                                      <w:marLeft w:val="0"/>
                                      <w:marRight w:val="0"/>
                                      <w:marTop w:val="0"/>
                                      <w:marBottom w:val="0"/>
                                      <w:divBdr>
                                        <w:top w:val="none" w:sz="0" w:space="0" w:color="auto"/>
                                        <w:left w:val="none" w:sz="0" w:space="0" w:color="auto"/>
                                        <w:bottom w:val="none" w:sz="0" w:space="0" w:color="auto"/>
                                        <w:right w:val="none" w:sz="0" w:space="0" w:color="auto"/>
                                      </w:divBdr>
                                      <w:divsChild>
                                        <w:div w:id="483397316">
                                          <w:marLeft w:val="0"/>
                                          <w:marRight w:val="0"/>
                                          <w:marTop w:val="0"/>
                                          <w:marBottom w:val="0"/>
                                          <w:divBdr>
                                            <w:top w:val="none" w:sz="0" w:space="0" w:color="auto"/>
                                            <w:left w:val="none" w:sz="0" w:space="0" w:color="auto"/>
                                            <w:bottom w:val="none" w:sz="0" w:space="0" w:color="auto"/>
                                            <w:right w:val="none" w:sz="0" w:space="0" w:color="auto"/>
                                          </w:divBdr>
                                        </w:div>
                                      </w:divsChild>
                                    </w:div>
                                    <w:div w:id="669336496">
                                      <w:marLeft w:val="0"/>
                                      <w:marRight w:val="0"/>
                                      <w:marTop w:val="0"/>
                                      <w:marBottom w:val="0"/>
                                      <w:divBdr>
                                        <w:top w:val="none" w:sz="0" w:space="0" w:color="auto"/>
                                        <w:left w:val="none" w:sz="0" w:space="0" w:color="auto"/>
                                        <w:bottom w:val="none" w:sz="0" w:space="0" w:color="auto"/>
                                        <w:right w:val="none" w:sz="0" w:space="0" w:color="auto"/>
                                      </w:divBdr>
                                      <w:divsChild>
                                        <w:div w:id="511260467">
                                          <w:marLeft w:val="0"/>
                                          <w:marRight w:val="0"/>
                                          <w:marTop w:val="0"/>
                                          <w:marBottom w:val="0"/>
                                          <w:divBdr>
                                            <w:top w:val="none" w:sz="0" w:space="0" w:color="auto"/>
                                            <w:left w:val="none" w:sz="0" w:space="0" w:color="auto"/>
                                            <w:bottom w:val="none" w:sz="0" w:space="0" w:color="auto"/>
                                            <w:right w:val="none" w:sz="0" w:space="0" w:color="auto"/>
                                          </w:divBdr>
                                        </w:div>
                                      </w:divsChild>
                                    </w:div>
                                    <w:div w:id="799304609">
                                      <w:marLeft w:val="0"/>
                                      <w:marRight w:val="0"/>
                                      <w:marTop w:val="0"/>
                                      <w:marBottom w:val="0"/>
                                      <w:divBdr>
                                        <w:top w:val="none" w:sz="0" w:space="0" w:color="auto"/>
                                        <w:left w:val="none" w:sz="0" w:space="0" w:color="auto"/>
                                        <w:bottom w:val="none" w:sz="0" w:space="0" w:color="auto"/>
                                        <w:right w:val="none" w:sz="0" w:space="0" w:color="auto"/>
                                      </w:divBdr>
                                      <w:divsChild>
                                        <w:div w:id="1381127642">
                                          <w:marLeft w:val="0"/>
                                          <w:marRight w:val="0"/>
                                          <w:marTop w:val="0"/>
                                          <w:marBottom w:val="0"/>
                                          <w:divBdr>
                                            <w:top w:val="none" w:sz="0" w:space="0" w:color="auto"/>
                                            <w:left w:val="none" w:sz="0" w:space="0" w:color="auto"/>
                                            <w:bottom w:val="none" w:sz="0" w:space="0" w:color="auto"/>
                                            <w:right w:val="none" w:sz="0" w:space="0" w:color="auto"/>
                                          </w:divBdr>
                                        </w:div>
                                      </w:divsChild>
                                    </w:div>
                                    <w:div w:id="1783840397">
                                      <w:marLeft w:val="0"/>
                                      <w:marRight w:val="0"/>
                                      <w:marTop w:val="0"/>
                                      <w:marBottom w:val="0"/>
                                      <w:divBdr>
                                        <w:top w:val="none" w:sz="0" w:space="0" w:color="auto"/>
                                        <w:left w:val="none" w:sz="0" w:space="0" w:color="auto"/>
                                        <w:bottom w:val="none" w:sz="0" w:space="0" w:color="auto"/>
                                        <w:right w:val="none" w:sz="0" w:space="0" w:color="auto"/>
                                      </w:divBdr>
                                      <w:divsChild>
                                        <w:div w:id="10851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00308">
                                  <w:marLeft w:val="0"/>
                                  <w:marRight w:val="0"/>
                                  <w:marTop w:val="0"/>
                                  <w:marBottom w:val="0"/>
                                  <w:divBdr>
                                    <w:top w:val="none" w:sz="0" w:space="0" w:color="auto"/>
                                    <w:left w:val="none" w:sz="0" w:space="0" w:color="auto"/>
                                    <w:bottom w:val="none" w:sz="0" w:space="0" w:color="auto"/>
                                    <w:right w:val="none" w:sz="0" w:space="0" w:color="auto"/>
                                  </w:divBdr>
                                  <w:divsChild>
                                    <w:div w:id="1539196457">
                                      <w:marLeft w:val="0"/>
                                      <w:marRight w:val="0"/>
                                      <w:marTop w:val="0"/>
                                      <w:marBottom w:val="0"/>
                                      <w:divBdr>
                                        <w:top w:val="none" w:sz="0" w:space="0" w:color="auto"/>
                                        <w:left w:val="none" w:sz="0" w:space="0" w:color="auto"/>
                                        <w:bottom w:val="none" w:sz="0" w:space="0" w:color="auto"/>
                                        <w:right w:val="none" w:sz="0" w:space="0" w:color="auto"/>
                                      </w:divBdr>
                                      <w:divsChild>
                                        <w:div w:id="1681397487">
                                          <w:marLeft w:val="0"/>
                                          <w:marRight w:val="0"/>
                                          <w:marTop w:val="0"/>
                                          <w:marBottom w:val="0"/>
                                          <w:divBdr>
                                            <w:top w:val="none" w:sz="0" w:space="0" w:color="auto"/>
                                            <w:left w:val="none" w:sz="0" w:space="0" w:color="auto"/>
                                            <w:bottom w:val="none" w:sz="0" w:space="0" w:color="auto"/>
                                            <w:right w:val="none" w:sz="0" w:space="0" w:color="auto"/>
                                          </w:divBdr>
                                        </w:div>
                                      </w:divsChild>
                                    </w:div>
                                    <w:div w:id="1952085774">
                                      <w:marLeft w:val="0"/>
                                      <w:marRight w:val="0"/>
                                      <w:marTop w:val="0"/>
                                      <w:marBottom w:val="0"/>
                                      <w:divBdr>
                                        <w:top w:val="none" w:sz="0" w:space="0" w:color="auto"/>
                                        <w:left w:val="none" w:sz="0" w:space="0" w:color="auto"/>
                                        <w:bottom w:val="none" w:sz="0" w:space="0" w:color="auto"/>
                                        <w:right w:val="none" w:sz="0" w:space="0" w:color="auto"/>
                                      </w:divBdr>
                                      <w:divsChild>
                                        <w:div w:id="7292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0890">
                                  <w:marLeft w:val="0"/>
                                  <w:marRight w:val="0"/>
                                  <w:marTop w:val="0"/>
                                  <w:marBottom w:val="0"/>
                                  <w:divBdr>
                                    <w:top w:val="none" w:sz="0" w:space="0" w:color="auto"/>
                                    <w:left w:val="none" w:sz="0" w:space="0" w:color="auto"/>
                                    <w:bottom w:val="none" w:sz="0" w:space="0" w:color="auto"/>
                                    <w:right w:val="none" w:sz="0" w:space="0" w:color="auto"/>
                                  </w:divBdr>
                                  <w:divsChild>
                                    <w:div w:id="424961655">
                                      <w:marLeft w:val="0"/>
                                      <w:marRight w:val="0"/>
                                      <w:marTop w:val="0"/>
                                      <w:marBottom w:val="0"/>
                                      <w:divBdr>
                                        <w:top w:val="none" w:sz="0" w:space="0" w:color="auto"/>
                                        <w:left w:val="none" w:sz="0" w:space="0" w:color="auto"/>
                                        <w:bottom w:val="none" w:sz="0" w:space="0" w:color="auto"/>
                                        <w:right w:val="none" w:sz="0" w:space="0" w:color="auto"/>
                                      </w:divBdr>
                                      <w:divsChild>
                                        <w:div w:id="1095201100">
                                          <w:marLeft w:val="0"/>
                                          <w:marRight w:val="0"/>
                                          <w:marTop w:val="0"/>
                                          <w:marBottom w:val="0"/>
                                          <w:divBdr>
                                            <w:top w:val="none" w:sz="0" w:space="0" w:color="auto"/>
                                            <w:left w:val="none" w:sz="0" w:space="0" w:color="auto"/>
                                            <w:bottom w:val="none" w:sz="0" w:space="0" w:color="auto"/>
                                            <w:right w:val="none" w:sz="0" w:space="0" w:color="auto"/>
                                          </w:divBdr>
                                        </w:div>
                                      </w:divsChild>
                                    </w:div>
                                    <w:div w:id="1224758965">
                                      <w:marLeft w:val="0"/>
                                      <w:marRight w:val="0"/>
                                      <w:marTop w:val="0"/>
                                      <w:marBottom w:val="0"/>
                                      <w:divBdr>
                                        <w:top w:val="none" w:sz="0" w:space="0" w:color="auto"/>
                                        <w:left w:val="none" w:sz="0" w:space="0" w:color="auto"/>
                                        <w:bottom w:val="none" w:sz="0" w:space="0" w:color="auto"/>
                                        <w:right w:val="none" w:sz="0" w:space="0" w:color="auto"/>
                                      </w:divBdr>
                                      <w:divsChild>
                                        <w:div w:id="322319429">
                                          <w:marLeft w:val="0"/>
                                          <w:marRight w:val="0"/>
                                          <w:marTop w:val="0"/>
                                          <w:marBottom w:val="0"/>
                                          <w:divBdr>
                                            <w:top w:val="none" w:sz="0" w:space="0" w:color="auto"/>
                                            <w:left w:val="none" w:sz="0" w:space="0" w:color="auto"/>
                                            <w:bottom w:val="none" w:sz="0" w:space="0" w:color="auto"/>
                                            <w:right w:val="none" w:sz="0" w:space="0" w:color="auto"/>
                                          </w:divBdr>
                                        </w:div>
                                      </w:divsChild>
                                    </w:div>
                                    <w:div w:id="1389184862">
                                      <w:marLeft w:val="0"/>
                                      <w:marRight w:val="0"/>
                                      <w:marTop w:val="0"/>
                                      <w:marBottom w:val="0"/>
                                      <w:divBdr>
                                        <w:top w:val="none" w:sz="0" w:space="0" w:color="auto"/>
                                        <w:left w:val="none" w:sz="0" w:space="0" w:color="auto"/>
                                        <w:bottom w:val="none" w:sz="0" w:space="0" w:color="auto"/>
                                        <w:right w:val="none" w:sz="0" w:space="0" w:color="auto"/>
                                      </w:divBdr>
                                      <w:divsChild>
                                        <w:div w:id="949899101">
                                          <w:marLeft w:val="0"/>
                                          <w:marRight w:val="0"/>
                                          <w:marTop w:val="0"/>
                                          <w:marBottom w:val="0"/>
                                          <w:divBdr>
                                            <w:top w:val="none" w:sz="0" w:space="0" w:color="auto"/>
                                            <w:left w:val="none" w:sz="0" w:space="0" w:color="auto"/>
                                            <w:bottom w:val="none" w:sz="0" w:space="0" w:color="auto"/>
                                            <w:right w:val="none" w:sz="0" w:space="0" w:color="auto"/>
                                          </w:divBdr>
                                        </w:div>
                                      </w:divsChild>
                                    </w:div>
                                    <w:div w:id="1926373893">
                                      <w:marLeft w:val="0"/>
                                      <w:marRight w:val="0"/>
                                      <w:marTop w:val="0"/>
                                      <w:marBottom w:val="0"/>
                                      <w:divBdr>
                                        <w:top w:val="none" w:sz="0" w:space="0" w:color="auto"/>
                                        <w:left w:val="none" w:sz="0" w:space="0" w:color="auto"/>
                                        <w:bottom w:val="none" w:sz="0" w:space="0" w:color="auto"/>
                                        <w:right w:val="none" w:sz="0" w:space="0" w:color="auto"/>
                                      </w:divBdr>
                                      <w:divsChild>
                                        <w:div w:id="19759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872169">
                  <w:marLeft w:val="0"/>
                  <w:marRight w:val="0"/>
                  <w:marTop w:val="0"/>
                  <w:marBottom w:val="0"/>
                  <w:divBdr>
                    <w:top w:val="none" w:sz="0" w:space="0" w:color="auto"/>
                    <w:left w:val="none" w:sz="0" w:space="0" w:color="auto"/>
                    <w:bottom w:val="none" w:sz="0" w:space="0" w:color="auto"/>
                    <w:right w:val="none" w:sz="0" w:space="0" w:color="auto"/>
                  </w:divBdr>
                </w:div>
                <w:div w:id="15659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863530">
      <w:bodyDiv w:val="1"/>
      <w:marLeft w:val="0"/>
      <w:marRight w:val="0"/>
      <w:marTop w:val="0"/>
      <w:marBottom w:val="0"/>
      <w:divBdr>
        <w:top w:val="none" w:sz="0" w:space="0" w:color="auto"/>
        <w:left w:val="none" w:sz="0" w:space="0" w:color="auto"/>
        <w:bottom w:val="none" w:sz="0" w:space="0" w:color="auto"/>
        <w:right w:val="none" w:sz="0" w:space="0" w:color="auto"/>
      </w:divBdr>
    </w:div>
    <w:div w:id="1708524320">
      <w:bodyDiv w:val="1"/>
      <w:marLeft w:val="0"/>
      <w:marRight w:val="0"/>
      <w:marTop w:val="0"/>
      <w:marBottom w:val="0"/>
      <w:divBdr>
        <w:top w:val="none" w:sz="0" w:space="0" w:color="auto"/>
        <w:left w:val="none" w:sz="0" w:space="0" w:color="auto"/>
        <w:bottom w:val="none" w:sz="0" w:space="0" w:color="auto"/>
        <w:right w:val="none" w:sz="0" w:space="0" w:color="auto"/>
      </w:divBdr>
    </w:div>
    <w:div w:id="1837577056">
      <w:bodyDiv w:val="1"/>
      <w:marLeft w:val="0"/>
      <w:marRight w:val="0"/>
      <w:marTop w:val="0"/>
      <w:marBottom w:val="0"/>
      <w:divBdr>
        <w:top w:val="none" w:sz="0" w:space="0" w:color="auto"/>
        <w:left w:val="none" w:sz="0" w:space="0" w:color="auto"/>
        <w:bottom w:val="none" w:sz="0" w:space="0" w:color="auto"/>
        <w:right w:val="none" w:sz="0" w:space="0" w:color="auto"/>
      </w:divBdr>
      <w:divsChild>
        <w:div w:id="925916926">
          <w:marLeft w:val="0"/>
          <w:marRight w:val="0"/>
          <w:marTop w:val="0"/>
          <w:marBottom w:val="0"/>
          <w:divBdr>
            <w:top w:val="none" w:sz="0" w:space="0" w:color="auto"/>
            <w:left w:val="none" w:sz="0" w:space="0" w:color="auto"/>
            <w:bottom w:val="none" w:sz="0" w:space="0" w:color="auto"/>
            <w:right w:val="none" w:sz="0" w:space="0" w:color="auto"/>
          </w:divBdr>
          <w:divsChild>
            <w:div w:id="527522680">
              <w:marLeft w:val="0"/>
              <w:marRight w:val="0"/>
              <w:marTop w:val="0"/>
              <w:marBottom w:val="0"/>
              <w:divBdr>
                <w:top w:val="none" w:sz="0" w:space="0" w:color="auto"/>
                <w:left w:val="none" w:sz="0" w:space="0" w:color="auto"/>
                <w:bottom w:val="none" w:sz="0" w:space="0" w:color="auto"/>
                <w:right w:val="none" w:sz="0" w:space="0" w:color="auto"/>
              </w:divBdr>
              <w:divsChild>
                <w:div w:id="199519380">
                  <w:marLeft w:val="0"/>
                  <w:marRight w:val="0"/>
                  <w:marTop w:val="0"/>
                  <w:marBottom w:val="0"/>
                  <w:divBdr>
                    <w:top w:val="none" w:sz="0" w:space="0" w:color="auto"/>
                    <w:left w:val="none" w:sz="0" w:space="0" w:color="auto"/>
                    <w:bottom w:val="none" w:sz="0" w:space="0" w:color="auto"/>
                    <w:right w:val="none" w:sz="0" w:space="0" w:color="auto"/>
                  </w:divBdr>
                </w:div>
                <w:div w:id="276372123">
                  <w:marLeft w:val="0"/>
                  <w:marRight w:val="0"/>
                  <w:marTop w:val="0"/>
                  <w:marBottom w:val="0"/>
                  <w:divBdr>
                    <w:top w:val="none" w:sz="0" w:space="0" w:color="auto"/>
                    <w:left w:val="none" w:sz="0" w:space="0" w:color="auto"/>
                    <w:bottom w:val="none" w:sz="0" w:space="0" w:color="auto"/>
                    <w:right w:val="none" w:sz="0" w:space="0" w:color="auto"/>
                  </w:divBdr>
                  <w:divsChild>
                    <w:div w:id="1741321221">
                      <w:marLeft w:val="0"/>
                      <w:marRight w:val="0"/>
                      <w:marTop w:val="0"/>
                      <w:marBottom w:val="0"/>
                      <w:divBdr>
                        <w:top w:val="none" w:sz="0" w:space="0" w:color="auto"/>
                        <w:left w:val="none" w:sz="0" w:space="0" w:color="auto"/>
                        <w:bottom w:val="none" w:sz="0" w:space="0" w:color="auto"/>
                        <w:right w:val="none" w:sz="0" w:space="0" w:color="auto"/>
                      </w:divBdr>
                    </w:div>
                  </w:divsChild>
                </w:div>
                <w:div w:id="938680916">
                  <w:marLeft w:val="0"/>
                  <w:marRight w:val="0"/>
                  <w:marTop w:val="0"/>
                  <w:marBottom w:val="0"/>
                  <w:divBdr>
                    <w:top w:val="none" w:sz="0" w:space="0" w:color="auto"/>
                    <w:left w:val="none" w:sz="0" w:space="0" w:color="auto"/>
                    <w:bottom w:val="none" w:sz="0" w:space="0" w:color="auto"/>
                    <w:right w:val="none" w:sz="0" w:space="0" w:color="auto"/>
                  </w:divBdr>
                  <w:divsChild>
                    <w:div w:id="1903520457">
                      <w:marLeft w:val="0"/>
                      <w:marRight w:val="0"/>
                      <w:marTop w:val="0"/>
                      <w:marBottom w:val="0"/>
                      <w:divBdr>
                        <w:top w:val="none" w:sz="0" w:space="0" w:color="auto"/>
                        <w:left w:val="none" w:sz="0" w:space="0" w:color="auto"/>
                        <w:bottom w:val="none" w:sz="0" w:space="0" w:color="auto"/>
                        <w:right w:val="none" w:sz="0" w:space="0" w:color="auto"/>
                      </w:divBdr>
                    </w:div>
                  </w:divsChild>
                </w:div>
                <w:div w:id="1622109448">
                  <w:marLeft w:val="0"/>
                  <w:marRight w:val="0"/>
                  <w:marTop w:val="0"/>
                  <w:marBottom w:val="0"/>
                  <w:divBdr>
                    <w:top w:val="none" w:sz="0" w:space="0" w:color="auto"/>
                    <w:left w:val="none" w:sz="0" w:space="0" w:color="auto"/>
                    <w:bottom w:val="none" w:sz="0" w:space="0" w:color="auto"/>
                    <w:right w:val="none" w:sz="0" w:space="0" w:color="auto"/>
                  </w:divBdr>
                  <w:divsChild>
                    <w:div w:id="9980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046003">
      <w:bodyDiv w:val="1"/>
      <w:marLeft w:val="0"/>
      <w:marRight w:val="0"/>
      <w:marTop w:val="0"/>
      <w:marBottom w:val="0"/>
      <w:divBdr>
        <w:top w:val="none" w:sz="0" w:space="0" w:color="auto"/>
        <w:left w:val="none" w:sz="0" w:space="0" w:color="auto"/>
        <w:bottom w:val="none" w:sz="0" w:space="0" w:color="auto"/>
        <w:right w:val="none" w:sz="0" w:space="0" w:color="auto"/>
      </w:divBdr>
      <w:divsChild>
        <w:div w:id="346055677">
          <w:marLeft w:val="0"/>
          <w:marRight w:val="0"/>
          <w:marTop w:val="0"/>
          <w:marBottom w:val="0"/>
          <w:divBdr>
            <w:top w:val="none" w:sz="0" w:space="0" w:color="auto"/>
            <w:left w:val="none" w:sz="0" w:space="0" w:color="auto"/>
            <w:bottom w:val="none" w:sz="0" w:space="0" w:color="auto"/>
            <w:right w:val="none" w:sz="0" w:space="0" w:color="auto"/>
          </w:divBdr>
          <w:divsChild>
            <w:div w:id="1515192420">
              <w:marLeft w:val="0"/>
              <w:marRight w:val="0"/>
              <w:marTop w:val="0"/>
              <w:marBottom w:val="0"/>
              <w:divBdr>
                <w:top w:val="none" w:sz="0" w:space="0" w:color="auto"/>
                <w:left w:val="none" w:sz="0" w:space="0" w:color="auto"/>
                <w:bottom w:val="none" w:sz="0" w:space="0" w:color="auto"/>
                <w:right w:val="none" w:sz="0" w:space="0" w:color="auto"/>
              </w:divBdr>
              <w:divsChild>
                <w:div w:id="19123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96431">
      <w:bodyDiv w:val="1"/>
      <w:marLeft w:val="0"/>
      <w:marRight w:val="0"/>
      <w:marTop w:val="0"/>
      <w:marBottom w:val="0"/>
      <w:divBdr>
        <w:top w:val="none" w:sz="0" w:space="0" w:color="auto"/>
        <w:left w:val="none" w:sz="0" w:space="0" w:color="auto"/>
        <w:bottom w:val="none" w:sz="0" w:space="0" w:color="auto"/>
        <w:right w:val="none" w:sz="0" w:space="0" w:color="auto"/>
      </w:divBdr>
      <w:divsChild>
        <w:div w:id="551888732">
          <w:marLeft w:val="0"/>
          <w:marRight w:val="0"/>
          <w:marTop w:val="0"/>
          <w:marBottom w:val="0"/>
          <w:divBdr>
            <w:top w:val="none" w:sz="0" w:space="0" w:color="auto"/>
            <w:left w:val="none" w:sz="0" w:space="0" w:color="auto"/>
            <w:bottom w:val="none" w:sz="0" w:space="0" w:color="auto"/>
            <w:right w:val="none" w:sz="0" w:space="0" w:color="auto"/>
          </w:divBdr>
          <w:divsChild>
            <w:div w:id="455610640">
              <w:marLeft w:val="0"/>
              <w:marRight w:val="0"/>
              <w:marTop w:val="0"/>
              <w:marBottom w:val="0"/>
              <w:divBdr>
                <w:top w:val="none" w:sz="0" w:space="0" w:color="auto"/>
                <w:left w:val="none" w:sz="0" w:space="0" w:color="auto"/>
                <w:bottom w:val="none" w:sz="0" w:space="0" w:color="auto"/>
                <w:right w:val="none" w:sz="0" w:space="0" w:color="auto"/>
              </w:divBdr>
              <w:divsChild>
                <w:div w:id="15291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1573">
      <w:bodyDiv w:val="1"/>
      <w:marLeft w:val="0"/>
      <w:marRight w:val="0"/>
      <w:marTop w:val="0"/>
      <w:marBottom w:val="0"/>
      <w:divBdr>
        <w:top w:val="none" w:sz="0" w:space="0" w:color="auto"/>
        <w:left w:val="none" w:sz="0" w:space="0" w:color="auto"/>
        <w:bottom w:val="none" w:sz="0" w:space="0" w:color="auto"/>
        <w:right w:val="none" w:sz="0" w:space="0" w:color="auto"/>
      </w:divBdr>
      <w:divsChild>
        <w:div w:id="2127963529">
          <w:marLeft w:val="0"/>
          <w:marRight w:val="0"/>
          <w:marTop w:val="0"/>
          <w:marBottom w:val="0"/>
          <w:divBdr>
            <w:top w:val="none" w:sz="0" w:space="0" w:color="auto"/>
            <w:left w:val="none" w:sz="0" w:space="0" w:color="auto"/>
            <w:bottom w:val="none" w:sz="0" w:space="0" w:color="auto"/>
            <w:right w:val="none" w:sz="0" w:space="0" w:color="auto"/>
          </w:divBdr>
          <w:divsChild>
            <w:div w:id="1937596186">
              <w:marLeft w:val="0"/>
              <w:marRight w:val="0"/>
              <w:marTop w:val="0"/>
              <w:marBottom w:val="0"/>
              <w:divBdr>
                <w:top w:val="none" w:sz="0" w:space="0" w:color="auto"/>
                <w:left w:val="none" w:sz="0" w:space="0" w:color="auto"/>
                <w:bottom w:val="none" w:sz="0" w:space="0" w:color="auto"/>
                <w:right w:val="none" w:sz="0" w:space="0" w:color="auto"/>
              </w:divBdr>
              <w:divsChild>
                <w:div w:id="1255213418">
                  <w:marLeft w:val="0"/>
                  <w:marRight w:val="0"/>
                  <w:marTop w:val="0"/>
                  <w:marBottom w:val="0"/>
                  <w:divBdr>
                    <w:top w:val="none" w:sz="0" w:space="0" w:color="auto"/>
                    <w:left w:val="none" w:sz="0" w:space="0" w:color="auto"/>
                    <w:bottom w:val="none" w:sz="0" w:space="0" w:color="auto"/>
                    <w:right w:val="none" w:sz="0" w:space="0" w:color="auto"/>
                  </w:divBdr>
                  <w:divsChild>
                    <w:div w:id="1045255426">
                      <w:marLeft w:val="0"/>
                      <w:marRight w:val="0"/>
                      <w:marTop w:val="0"/>
                      <w:marBottom w:val="0"/>
                      <w:divBdr>
                        <w:top w:val="none" w:sz="0" w:space="0" w:color="auto"/>
                        <w:left w:val="none" w:sz="0" w:space="0" w:color="auto"/>
                        <w:bottom w:val="none" w:sz="0" w:space="0" w:color="auto"/>
                        <w:right w:val="none" w:sz="0" w:space="0" w:color="auto"/>
                      </w:divBdr>
                    </w:div>
                  </w:divsChild>
                </w:div>
                <w:div w:id="1363825449">
                  <w:marLeft w:val="0"/>
                  <w:marRight w:val="0"/>
                  <w:marTop w:val="0"/>
                  <w:marBottom w:val="0"/>
                  <w:divBdr>
                    <w:top w:val="none" w:sz="0" w:space="0" w:color="auto"/>
                    <w:left w:val="none" w:sz="0" w:space="0" w:color="auto"/>
                    <w:bottom w:val="none" w:sz="0" w:space="0" w:color="auto"/>
                    <w:right w:val="none" w:sz="0" w:space="0" w:color="auto"/>
                  </w:divBdr>
                  <w:divsChild>
                    <w:div w:id="884413840">
                      <w:marLeft w:val="0"/>
                      <w:marRight w:val="0"/>
                      <w:marTop w:val="0"/>
                      <w:marBottom w:val="0"/>
                      <w:divBdr>
                        <w:top w:val="none" w:sz="0" w:space="0" w:color="auto"/>
                        <w:left w:val="none" w:sz="0" w:space="0" w:color="auto"/>
                        <w:bottom w:val="none" w:sz="0" w:space="0" w:color="auto"/>
                        <w:right w:val="none" w:sz="0" w:space="0" w:color="auto"/>
                      </w:divBdr>
                    </w:div>
                  </w:divsChild>
                </w:div>
                <w:div w:id="19376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36708">
      <w:bodyDiv w:val="1"/>
      <w:marLeft w:val="0"/>
      <w:marRight w:val="0"/>
      <w:marTop w:val="0"/>
      <w:marBottom w:val="0"/>
      <w:divBdr>
        <w:top w:val="none" w:sz="0" w:space="0" w:color="auto"/>
        <w:left w:val="none" w:sz="0" w:space="0" w:color="auto"/>
        <w:bottom w:val="none" w:sz="0" w:space="0" w:color="auto"/>
        <w:right w:val="none" w:sz="0" w:space="0" w:color="auto"/>
      </w:divBdr>
      <w:divsChild>
        <w:div w:id="961686454">
          <w:marLeft w:val="0"/>
          <w:marRight w:val="0"/>
          <w:marTop w:val="0"/>
          <w:marBottom w:val="0"/>
          <w:divBdr>
            <w:top w:val="none" w:sz="0" w:space="0" w:color="auto"/>
            <w:left w:val="none" w:sz="0" w:space="0" w:color="auto"/>
            <w:bottom w:val="none" w:sz="0" w:space="0" w:color="auto"/>
            <w:right w:val="none" w:sz="0" w:space="0" w:color="auto"/>
          </w:divBdr>
          <w:divsChild>
            <w:div w:id="1988708966">
              <w:marLeft w:val="0"/>
              <w:marRight w:val="0"/>
              <w:marTop w:val="0"/>
              <w:marBottom w:val="0"/>
              <w:divBdr>
                <w:top w:val="none" w:sz="0" w:space="0" w:color="auto"/>
                <w:left w:val="none" w:sz="0" w:space="0" w:color="auto"/>
                <w:bottom w:val="none" w:sz="0" w:space="0" w:color="auto"/>
                <w:right w:val="none" w:sz="0" w:space="0" w:color="auto"/>
              </w:divBdr>
              <w:divsChild>
                <w:div w:id="77289056">
                  <w:marLeft w:val="0"/>
                  <w:marRight w:val="0"/>
                  <w:marTop w:val="0"/>
                  <w:marBottom w:val="0"/>
                  <w:divBdr>
                    <w:top w:val="none" w:sz="0" w:space="0" w:color="auto"/>
                    <w:left w:val="none" w:sz="0" w:space="0" w:color="auto"/>
                    <w:bottom w:val="none" w:sz="0" w:space="0" w:color="auto"/>
                    <w:right w:val="none" w:sz="0" w:space="0" w:color="auto"/>
                  </w:divBdr>
                  <w:divsChild>
                    <w:div w:id="1928884455">
                      <w:marLeft w:val="0"/>
                      <w:marRight w:val="0"/>
                      <w:marTop w:val="0"/>
                      <w:marBottom w:val="0"/>
                      <w:divBdr>
                        <w:top w:val="none" w:sz="0" w:space="0" w:color="auto"/>
                        <w:left w:val="none" w:sz="0" w:space="0" w:color="auto"/>
                        <w:bottom w:val="none" w:sz="0" w:space="0" w:color="auto"/>
                        <w:right w:val="none" w:sz="0" w:space="0" w:color="auto"/>
                      </w:divBdr>
                    </w:div>
                  </w:divsChild>
                </w:div>
                <w:div w:id="248195985">
                  <w:marLeft w:val="0"/>
                  <w:marRight w:val="0"/>
                  <w:marTop w:val="0"/>
                  <w:marBottom w:val="0"/>
                  <w:divBdr>
                    <w:top w:val="none" w:sz="0" w:space="0" w:color="auto"/>
                    <w:left w:val="none" w:sz="0" w:space="0" w:color="auto"/>
                    <w:bottom w:val="none" w:sz="0" w:space="0" w:color="auto"/>
                    <w:right w:val="none" w:sz="0" w:space="0" w:color="auto"/>
                  </w:divBdr>
                </w:div>
                <w:div w:id="1315645316">
                  <w:marLeft w:val="0"/>
                  <w:marRight w:val="0"/>
                  <w:marTop w:val="0"/>
                  <w:marBottom w:val="0"/>
                  <w:divBdr>
                    <w:top w:val="none" w:sz="0" w:space="0" w:color="auto"/>
                    <w:left w:val="none" w:sz="0" w:space="0" w:color="auto"/>
                    <w:bottom w:val="none" w:sz="0" w:space="0" w:color="auto"/>
                    <w:right w:val="none" w:sz="0" w:space="0" w:color="auto"/>
                  </w:divBdr>
                  <w:divsChild>
                    <w:div w:id="478348643">
                      <w:marLeft w:val="0"/>
                      <w:marRight w:val="0"/>
                      <w:marTop w:val="0"/>
                      <w:marBottom w:val="0"/>
                      <w:divBdr>
                        <w:top w:val="none" w:sz="0" w:space="0" w:color="auto"/>
                        <w:left w:val="none" w:sz="0" w:space="0" w:color="auto"/>
                        <w:bottom w:val="none" w:sz="0" w:space="0" w:color="auto"/>
                        <w:right w:val="none" w:sz="0" w:space="0" w:color="auto"/>
                      </w:divBdr>
                    </w:div>
                    <w:div w:id="1243760156">
                      <w:marLeft w:val="0"/>
                      <w:marRight w:val="0"/>
                      <w:marTop w:val="0"/>
                      <w:marBottom w:val="0"/>
                      <w:divBdr>
                        <w:top w:val="none" w:sz="0" w:space="0" w:color="auto"/>
                        <w:left w:val="none" w:sz="0" w:space="0" w:color="auto"/>
                        <w:bottom w:val="none" w:sz="0" w:space="0" w:color="auto"/>
                        <w:right w:val="none" w:sz="0" w:space="0" w:color="auto"/>
                      </w:divBdr>
                      <w:divsChild>
                        <w:div w:id="8373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8870">
                  <w:marLeft w:val="0"/>
                  <w:marRight w:val="0"/>
                  <w:marTop w:val="0"/>
                  <w:marBottom w:val="0"/>
                  <w:divBdr>
                    <w:top w:val="none" w:sz="0" w:space="0" w:color="auto"/>
                    <w:left w:val="none" w:sz="0" w:space="0" w:color="auto"/>
                    <w:bottom w:val="none" w:sz="0" w:space="0" w:color="auto"/>
                    <w:right w:val="none" w:sz="0" w:space="0" w:color="auto"/>
                  </w:divBdr>
                  <w:divsChild>
                    <w:div w:id="1076560535">
                      <w:marLeft w:val="0"/>
                      <w:marRight w:val="0"/>
                      <w:marTop w:val="0"/>
                      <w:marBottom w:val="0"/>
                      <w:divBdr>
                        <w:top w:val="none" w:sz="0" w:space="0" w:color="auto"/>
                        <w:left w:val="none" w:sz="0" w:space="0" w:color="auto"/>
                        <w:bottom w:val="none" w:sz="0" w:space="0" w:color="auto"/>
                        <w:right w:val="none" w:sz="0" w:space="0" w:color="auto"/>
                      </w:divBdr>
                    </w:div>
                  </w:divsChild>
                </w:div>
                <w:div w:id="2049916932">
                  <w:marLeft w:val="0"/>
                  <w:marRight w:val="0"/>
                  <w:marTop w:val="0"/>
                  <w:marBottom w:val="0"/>
                  <w:divBdr>
                    <w:top w:val="none" w:sz="0" w:space="0" w:color="auto"/>
                    <w:left w:val="none" w:sz="0" w:space="0" w:color="auto"/>
                    <w:bottom w:val="none" w:sz="0" w:space="0" w:color="auto"/>
                    <w:right w:val="none" w:sz="0" w:space="0" w:color="auto"/>
                  </w:divBdr>
                  <w:divsChild>
                    <w:div w:id="17835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B0BC9-9C4D-48DB-9314-2D331EE1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1168</Words>
  <Characters>6661</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Oakes</dc:creator>
  <cp:lastModifiedBy>Ilaria Di Gioia</cp:lastModifiedBy>
  <cp:revision>3</cp:revision>
  <cp:lastPrinted>2019-08-10T12:51:00Z</cp:lastPrinted>
  <dcterms:created xsi:type="dcterms:W3CDTF">2019-11-29T17:45:00Z</dcterms:created>
  <dcterms:modified xsi:type="dcterms:W3CDTF">2019-11-29T17:48:00Z</dcterms:modified>
</cp:coreProperties>
</file>