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1A" w:rsidRPr="00395F1A" w:rsidRDefault="00395F1A" w:rsidP="00395F1A">
      <w:pPr>
        <w:widowControl w:val="0"/>
        <w:overflowPunct w:val="0"/>
        <w:autoSpaceDE w:val="0"/>
        <w:autoSpaceDN w:val="0"/>
        <w:adjustRightInd w:val="0"/>
        <w:spacing w:line="480" w:lineRule="auto"/>
        <w:ind w:left="-567" w:right="-472"/>
        <w:jc w:val="center"/>
        <w:rPr>
          <w:rFonts w:ascii="Arial" w:eastAsia="Times New Roman" w:hAnsi="Arial" w:cs="Arial"/>
          <w:b/>
          <w:kern w:val="28"/>
          <w:sz w:val="20"/>
          <w:szCs w:val="20"/>
          <w:u w:val="single"/>
        </w:rPr>
      </w:pPr>
      <w:bookmarkStart w:id="0" w:name="_GoBack"/>
      <w:bookmarkEnd w:id="0"/>
      <w:r w:rsidRPr="00395F1A">
        <w:rPr>
          <w:rFonts w:ascii="Arial" w:hAnsi="Arial" w:cs="Arial"/>
          <w:b/>
          <w:sz w:val="20"/>
          <w:szCs w:val="20"/>
          <w:u w:val="single"/>
        </w:rPr>
        <w:t>Transatlantic Trade and Investment Partnership (TTIP</w:t>
      </w:r>
      <w:proofErr w:type="gramStart"/>
      <w:r w:rsidRPr="00395F1A">
        <w:rPr>
          <w:rFonts w:ascii="Arial" w:hAnsi="Arial" w:cs="Arial"/>
          <w:b/>
          <w:sz w:val="20"/>
          <w:szCs w:val="20"/>
          <w:u w:val="single"/>
        </w:rPr>
        <w:t xml:space="preserve">) </w:t>
      </w:r>
      <w:r w:rsidR="000368AB">
        <w:rPr>
          <w:rFonts w:ascii="Arial" w:hAnsi="Arial" w:cs="Arial"/>
          <w:b/>
          <w:sz w:val="20"/>
          <w:szCs w:val="20"/>
          <w:u w:val="single"/>
        </w:rPr>
        <w:t xml:space="preserve"> and</w:t>
      </w:r>
      <w:proofErr w:type="gramEnd"/>
      <w:r w:rsidR="000368AB">
        <w:rPr>
          <w:rFonts w:ascii="Arial" w:hAnsi="Arial" w:cs="Arial"/>
          <w:b/>
          <w:sz w:val="20"/>
          <w:szCs w:val="20"/>
          <w:u w:val="single"/>
        </w:rPr>
        <w:t xml:space="preserve"> the </w:t>
      </w:r>
      <w:r w:rsidRPr="00395F1A">
        <w:rPr>
          <w:rFonts w:ascii="Arial" w:hAnsi="Arial" w:cs="Arial"/>
          <w:b/>
          <w:sz w:val="20"/>
          <w:szCs w:val="20"/>
          <w:u w:val="single"/>
        </w:rPr>
        <w:t>spill overs</w:t>
      </w:r>
      <w:r>
        <w:rPr>
          <w:rFonts w:ascii="Arial" w:hAnsi="Arial" w:cs="Arial"/>
          <w:b/>
          <w:sz w:val="20"/>
          <w:szCs w:val="20"/>
          <w:u w:val="single"/>
        </w:rPr>
        <w:t xml:space="preserve"> effects on</w:t>
      </w:r>
      <w:r w:rsidR="000368AB">
        <w:rPr>
          <w:rFonts w:ascii="Arial" w:hAnsi="Arial" w:cs="Arial"/>
          <w:b/>
          <w:sz w:val="20"/>
          <w:szCs w:val="20"/>
          <w:u w:val="single"/>
        </w:rPr>
        <w:t xml:space="preserve"> the Gulf – Cooperation Council</w:t>
      </w:r>
    </w:p>
    <w:p w:rsidR="00440936" w:rsidRPr="00440936" w:rsidRDefault="00440936" w:rsidP="00395F1A">
      <w:pPr>
        <w:spacing w:after="100" w:afterAutospacing="1" w:line="480" w:lineRule="auto"/>
        <w:jc w:val="both"/>
        <w:rPr>
          <w:rFonts w:ascii="Arial" w:hAnsi="Arial" w:cs="Arial"/>
          <w:sz w:val="20"/>
          <w:szCs w:val="20"/>
          <w:u w:val="single"/>
        </w:rPr>
      </w:pPr>
      <w:r w:rsidRPr="00440936">
        <w:rPr>
          <w:rFonts w:ascii="Arial" w:hAnsi="Arial" w:cs="Arial"/>
          <w:sz w:val="20"/>
          <w:szCs w:val="20"/>
          <w:u w:val="single"/>
        </w:rPr>
        <w:t>Abstract</w:t>
      </w:r>
    </w:p>
    <w:p w:rsidR="00D0060C" w:rsidRDefault="00395F1A" w:rsidP="00395F1A">
      <w:pPr>
        <w:spacing w:after="100" w:afterAutospacing="1" w:line="480" w:lineRule="auto"/>
        <w:jc w:val="both"/>
        <w:rPr>
          <w:rFonts w:ascii="Arial" w:hAnsi="Arial" w:cs="Arial"/>
          <w:i/>
          <w:sz w:val="20"/>
          <w:szCs w:val="20"/>
        </w:rPr>
      </w:pPr>
      <w:r w:rsidRPr="00440936">
        <w:rPr>
          <w:rFonts w:ascii="Arial" w:hAnsi="Arial" w:cs="Arial"/>
          <w:i/>
          <w:sz w:val="20"/>
          <w:szCs w:val="20"/>
        </w:rPr>
        <w:t>The EU and the US are negotiating the Transatlantic Trade and Investment Partnership (TTIP), a trade agreement that aims to remove trade barriers across different economic sectors to increase trade between the EU and the US</w:t>
      </w:r>
      <w:r w:rsidRPr="00440936">
        <w:rPr>
          <w:rStyle w:val="FootnoteReference"/>
          <w:rFonts w:ascii="Arial" w:hAnsi="Arial" w:cs="Arial"/>
          <w:i/>
        </w:rPr>
        <w:footnoteReference w:id="1"/>
      </w:r>
      <w:r w:rsidRPr="00440936">
        <w:rPr>
          <w:rFonts w:ascii="Arial" w:hAnsi="Arial" w:cs="Arial"/>
          <w:i/>
          <w:sz w:val="20"/>
          <w:szCs w:val="20"/>
        </w:rPr>
        <w:t xml:space="preserve">. The TTIP will have spill over effects on the MENA region, the GCC, Australia and the Asian sub-continent as it raises key questions for </w:t>
      </w:r>
      <w:r w:rsidR="00D83BA2">
        <w:rPr>
          <w:rFonts w:ascii="Arial" w:hAnsi="Arial" w:cs="Arial"/>
          <w:i/>
          <w:sz w:val="20"/>
          <w:szCs w:val="20"/>
        </w:rPr>
        <w:t xml:space="preserve">intellectual property and </w:t>
      </w:r>
      <w:r w:rsidRPr="00440936">
        <w:rPr>
          <w:rFonts w:ascii="Arial" w:hAnsi="Arial" w:cs="Arial"/>
          <w:i/>
          <w:sz w:val="20"/>
          <w:szCs w:val="20"/>
        </w:rPr>
        <w:t>international trade agreements</w:t>
      </w:r>
      <w:r w:rsidRPr="00440936">
        <w:rPr>
          <w:rStyle w:val="FootnoteReference"/>
          <w:rFonts w:ascii="Arial" w:hAnsi="Arial" w:cs="Arial"/>
          <w:i/>
        </w:rPr>
        <w:footnoteReference w:id="2"/>
      </w:r>
      <w:r w:rsidRPr="00440936">
        <w:rPr>
          <w:rFonts w:ascii="Arial" w:hAnsi="Arial" w:cs="Arial"/>
          <w:i/>
          <w:sz w:val="20"/>
          <w:szCs w:val="20"/>
        </w:rPr>
        <w:t xml:space="preserve">. For instance, will the US and EU be on an equal footing or will one triumph over the other, will third party countries like the GCC states be expected to adopt new standards as a result of the partnership and </w:t>
      </w:r>
      <w:r w:rsidR="00306099">
        <w:rPr>
          <w:rFonts w:ascii="Arial" w:hAnsi="Arial" w:cs="Arial"/>
          <w:i/>
          <w:sz w:val="20"/>
          <w:szCs w:val="20"/>
        </w:rPr>
        <w:t>will this be compatible with the religious laws followed</w:t>
      </w:r>
      <w:r w:rsidRPr="00440936">
        <w:rPr>
          <w:rFonts w:ascii="Arial" w:hAnsi="Arial" w:cs="Arial"/>
          <w:i/>
          <w:sz w:val="20"/>
          <w:szCs w:val="20"/>
        </w:rPr>
        <w:t>? The EU have included investor to state dispute settlement (ISDS) in the TTIP. ISDS enables foreign investors to circumvent domestic legal processes and hold governments in foreign states to account in arbitration tribunals, without having to go through WTO, in effect creating a corporate sovereignty</w:t>
      </w:r>
      <w:r w:rsidRPr="00440936">
        <w:rPr>
          <w:rStyle w:val="FootnoteReference"/>
          <w:rFonts w:ascii="Arial" w:hAnsi="Arial" w:cs="Arial"/>
          <w:i/>
        </w:rPr>
        <w:footnoteReference w:id="3"/>
      </w:r>
      <w:r w:rsidRPr="00440936">
        <w:rPr>
          <w:rFonts w:ascii="Arial" w:hAnsi="Arial" w:cs="Arial"/>
          <w:i/>
          <w:sz w:val="20"/>
          <w:szCs w:val="20"/>
        </w:rPr>
        <w:t>. Sovereignty is itself a contentious issue, as different states and regions have very different political structures, resulting in individual sovereignty issues. ISDS poses a series of sovereignty threats as it puts investors on par with nations giving them authority to seek compensation directly from states with some draconian measures such as powers to seize state assets</w:t>
      </w:r>
      <w:r w:rsidRPr="00440936">
        <w:rPr>
          <w:rStyle w:val="FootnoteReference"/>
          <w:rFonts w:ascii="Arial" w:hAnsi="Arial" w:cs="Arial"/>
          <w:i/>
        </w:rPr>
        <w:footnoteReference w:id="4"/>
      </w:r>
      <w:r w:rsidRPr="00440936">
        <w:rPr>
          <w:rFonts w:ascii="Arial" w:hAnsi="Arial" w:cs="Arial"/>
          <w:i/>
          <w:sz w:val="20"/>
          <w:szCs w:val="20"/>
        </w:rPr>
        <w:t>.</w:t>
      </w:r>
    </w:p>
    <w:p w:rsidR="00440936" w:rsidRPr="00D0060C" w:rsidRDefault="00440936" w:rsidP="00395F1A">
      <w:pPr>
        <w:spacing w:after="100" w:afterAutospacing="1" w:line="480" w:lineRule="auto"/>
        <w:jc w:val="both"/>
        <w:rPr>
          <w:rFonts w:ascii="Arial" w:hAnsi="Arial" w:cs="Arial"/>
          <w:i/>
          <w:sz w:val="20"/>
          <w:szCs w:val="20"/>
        </w:rPr>
      </w:pPr>
      <w:r w:rsidRPr="00440936">
        <w:rPr>
          <w:rFonts w:ascii="Arial" w:hAnsi="Arial" w:cs="Arial"/>
          <w:sz w:val="20"/>
          <w:szCs w:val="20"/>
          <w:u w:val="single"/>
        </w:rPr>
        <w:t>Research Purpose</w:t>
      </w:r>
    </w:p>
    <w:p w:rsidR="00C94AD4" w:rsidRDefault="00395F1A" w:rsidP="00395F1A">
      <w:pPr>
        <w:spacing w:after="100" w:afterAutospacing="1" w:line="480" w:lineRule="auto"/>
        <w:jc w:val="both"/>
        <w:rPr>
          <w:rFonts w:ascii="Arial" w:hAnsi="Arial" w:cs="Arial"/>
          <w:sz w:val="20"/>
          <w:szCs w:val="20"/>
        </w:rPr>
      </w:pPr>
      <w:r>
        <w:rPr>
          <w:rFonts w:ascii="Arial" w:hAnsi="Arial" w:cs="Arial"/>
          <w:sz w:val="20"/>
          <w:szCs w:val="20"/>
        </w:rPr>
        <w:t xml:space="preserve">For the purpose of this paper, the </w:t>
      </w:r>
      <w:r w:rsidR="00C94AD4">
        <w:rPr>
          <w:rFonts w:ascii="Arial" w:hAnsi="Arial" w:cs="Arial"/>
          <w:sz w:val="20"/>
          <w:szCs w:val="20"/>
        </w:rPr>
        <w:t>key objectives are to analyse:</w:t>
      </w:r>
    </w:p>
    <w:p w:rsidR="00D0060C" w:rsidRDefault="00B65715" w:rsidP="00C94AD4">
      <w:pPr>
        <w:pStyle w:val="ListParagraph"/>
        <w:numPr>
          <w:ilvl w:val="0"/>
          <w:numId w:val="1"/>
        </w:numPr>
        <w:spacing w:after="100" w:afterAutospacing="1" w:line="480" w:lineRule="auto"/>
        <w:jc w:val="both"/>
        <w:rPr>
          <w:rFonts w:ascii="Arial" w:hAnsi="Arial" w:cs="Arial"/>
          <w:sz w:val="20"/>
          <w:szCs w:val="20"/>
        </w:rPr>
      </w:pPr>
      <w:r>
        <w:rPr>
          <w:rFonts w:ascii="Arial" w:hAnsi="Arial" w:cs="Arial"/>
          <w:sz w:val="20"/>
          <w:szCs w:val="20"/>
        </w:rPr>
        <w:t xml:space="preserve">The </w:t>
      </w:r>
      <w:r w:rsidR="00D0060C">
        <w:rPr>
          <w:rFonts w:ascii="Arial" w:hAnsi="Arial" w:cs="Arial"/>
          <w:sz w:val="20"/>
          <w:szCs w:val="20"/>
        </w:rPr>
        <w:t xml:space="preserve">benefits/pitfalls </w:t>
      </w:r>
      <w:r>
        <w:rPr>
          <w:rFonts w:ascii="Arial" w:hAnsi="Arial" w:cs="Arial"/>
          <w:sz w:val="20"/>
          <w:szCs w:val="20"/>
        </w:rPr>
        <w:t xml:space="preserve">of </w:t>
      </w:r>
      <w:r w:rsidR="00D0060C">
        <w:rPr>
          <w:rFonts w:ascii="Arial" w:hAnsi="Arial" w:cs="Arial"/>
          <w:sz w:val="20"/>
          <w:szCs w:val="20"/>
        </w:rPr>
        <w:t xml:space="preserve">the TTIP on </w:t>
      </w:r>
      <w:r>
        <w:rPr>
          <w:rFonts w:ascii="Arial" w:hAnsi="Arial" w:cs="Arial"/>
          <w:sz w:val="20"/>
          <w:szCs w:val="20"/>
        </w:rPr>
        <w:t xml:space="preserve">intellectual property and </w:t>
      </w:r>
      <w:r w:rsidR="00D0060C">
        <w:rPr>
          <w:rFonts w:ascii="Arial" w:hAnsi="Arial" w:cs="Arial"/>
          <w:sz w:val="20"/>
          <w:szCs w:val="20"/>
        </w:rPr>
        <w:t>international trade</w:t>
      </w:r>
    </w:p>
    <w:p w:rsidR="00C94AD4" w:rsidRDefault="00306099" w:rsidP="00C94AD4">
      <w:pPr>
        <w:pStyle w:val="ListParagraph"/>
        <w:numPr>
          <w:ilvl w:val="0"/>
          <w:numId w:val="1"/>
        </w:numPr>
        <w:spacing w:after="100" w:afterAutospacing="1" w:line="480" w:lineRule="auto"/>
        <w:jc w:val="both"/>
        <w:rPr>
          <w:rFonts w:ascii="Arial" w:hAnsi="Arial" w:cs="Arial"/>
          <w:sz w:val="20"/>
          <w:szCs w:val="20"/>
        </w:rPr>
      </w:pPr>
      <w:r>
        <w:rPr>
          <w:rFonts w:ascii="Arial" w:hAnsi="Arial" w:cs="Arial"/>
          <w:sz w:val="20"/>
          <w:szCs w:val="20"/>
        </w:rPr>
        <w:t>W</w:t>
      </w:r>
      <w:r w:rsidR="00C94AD4">
        <w:rPr>
          <w:rFonts w:ascii="Arial" w:hAnsi="Arial" w:cs="Arial"/>
          <w:sz w:val="20"/>
          <w:szCs w:val="20"/>
        </w:rPr>
        <w:t>hat impact ISDS could have on intellectual property rights in the GCC</w:t>
      </w:r>
      <w:r>
        <w:rPr>
          <w:rFonts w:ascii="Arial" w:hAnsi="Arial" w:cs="Arial"/>
          <w:sz w:val="20"/>
          <w:szCs w:val="20"/>
        </w:rPr>
        <w:t xml:space="preserve"> gi</w:t>
      </w:r>
      <w:r w:rsidR="0028230E">
        <w:rPr>
          <w:rFonts w:ascii="Arial" w:hAnsi="Arial" w:cs="Arial"/>
          <w:sz w:val="20"/>
          <w:szCs w:val="20"/>
        </w:rPr>
        <w:t>ven that all GCC states follow s</w:t>
      </w:r>
      <w:r>
        <w:rPr>
          <w:rFonts w:ascii="Arial" w:hAnsi="Arial" w:cs="Arial"/>
          <w:sz w:val="20"/>
          <w:szCs w:val="20"/>
        </w:rPr>
        <w:t>haria law at a constitutional level</w:t>
      </w:r>
    </w:p>
    <w:p w:rsidR="00C94AD4" w:rsidRPr="00440936" w:rsidRDefault="00306099" w:rsidP="00440936">
      <w:pPr>
        <w:pStyle w:val="ListParagraph"/>
        <w:numPr>
          <w:ilvl w:val="0"/>
          <w:numId w:val="1"/>
        </w:numPr>
        <w:spacing w:after="100" w:afterAutospacing="1" w:line="480" w:lineRule="auto"/>
        <w:jc w:val="both"/>
        <w:rPr>
          <w:rFonts w:ascii="Arial" w:hAnsi="Arial" w:cs="Arial"/>
          <w:sz w:val="20"/>
          <w:szCs w:val="20"/>
        </w:rPr>
      </w:pPr>
      <w:r>
        <w:rPr>
          <w:rFonts w:ascii="Arial" w:hAnsi="Arial" w:cs="Arial"/>
          <w:sz w:val="20"/>
          <w:szCs w:val="20"/>
        </w:rPr>
        <w:lastRenderedPageBreak/>
        <w:t>W</w:t>
      </w:r>
      <w:r w:rsidR="000368AB">
        <w:rPr>
          <w:rFonts w:ascii="Arial" w:hAnsi="Arial" w:cs="Arial"/>
          <w:sz w:val="20"/>
          <w:szCs w:val="20"/>
        </w:rPr>
        <w:t xml:space="preserve">hat </w:t>
      </w:r>
      <w:r w:rsidR="00440936">
        <w:rPr>
          <w:rFonts w:ascii="Arial" w:hAnsi="Arial" w:cs="Arial"/>
          <w:sz w:val="20"/>
          <w:szCs w:val="20"/>
        </w:rPr>
        <w:t>corporat</w:t>
      </w:r>
      <w:r w:rsidR="000368AB">
        <w:rPr>
          <w:rFonts w:ascii="Arial" w:hAnsi="Arial" w:cs="Arial"/>
          <w:sz w:val="20"/>
          <w:szCs w:val="20"/>
        </w:rPr>
        <w:t>e sovereignty means for</w:t>
      </w:r>
      <w:r w:rsidR="00440936">
        <w:rPr>
          <w:rFonts w:ascii="Arial" w:hAnsi="Arial" w:cs="Arial"/>
          <w:sz w:val="20"/>
          <w:szCs w:val="20"/>
        </w:rPr>
        <w:t xml:space="preserve"> the </w:t>
      </w:r>
      <w:r>
        <w:rPr>
          <w:rFonts w:ascii="Arial" w:hAnsi="Arial" w:cs="Arial"/>
          <w:sz w:val="20"/>
          <w:szCs w:val="20"/>
        </w:rPr>
        <w:t xml:space="preserve">GCC </w:t>
      </w:r>
      <w:r w:rsidR="00C94AD4">
        <w:rPr>
          <w:rFonts w:ascii="Arial" w:hAnsi="Arial" w:cs="Arial"/>
          <w:sz w:val="20"/>
          <w:szCs w:val="20"/>
        </w:rPr>
        <w:t>monarchies</w:t>
      </w:r>
      <w:r w:rsidR="00440936">
        <w:rPr>
          <w:rFonts w:ascii="Arial" w:hAnsi="Arial" w:cs="Arial"/>
          <w:sz w:val="20"/>
          <w:szCs w:val="20"/>
        </w:rPr>
        <w:t xml:space="preserve"> </w:t>
      </w:r>
      <w:r w:rsidR="000368AB">
        <w:rPr>
          <w:rFonts w:ascii="Arial" w:hAnsi="Arial" w:cs="Arial"/>
          <w:sz w:val="20"/>
          <w:szCs w:val="20"/>
        </w:rPr>
        <w:t>given they all follow different political structures</w:t>
      </w:r>
    </w:p>
    <w:p w:rsidR="00440936" w:rsidRPr="00440936" w:rsidRDefault="00440936" w:rsidP="00440936">
      <w:pPr>
        <w:widowControl w:val="0"/>
        <w:overflowPunct w:val="0"/>
        <w:autoSpaceDE w:val="0"/>
        <w:autoSpaceDN w:val="0"/>
        <w:adjustRightInd w:val="0"/>
        <w:spacing w:line="480" w:lineRule="auto"/>
        <w:ind w:right="-472"/>
        <w:jc w:val="both"/>
        <w:rPr>
          <w:rFonts w:ascii="Arial" w:eastAsia="Times New Roman" w:hAnsi="Arial" w:cs="Arial"/>
          <w:kern w:val="28"/>
          <w:sz w:val="20"/>
          <w:szCs w:val="20"/>
          <w:u w:val="single"/>
        </w:rPr>
      </w:pPr>
      <w:r w:rsidRPr="00440936">
        <w:rPr>
          <w:rFonts w:ascii="Arial" w:eastAsia="Times New Roman" w:hAnsi="Arial" w:cs="Arial"/>
          <w:kern w:val="28"/>
          <w:sz w:val="20"/>
          <w:szCs w:val="20"/>
          <w:u w:val="single"/>
        </w:rPr>
        <w:t>Methodology</w:t>
      </w:r>
      <w:r w:rsidR="00D51A6E">
        <w:rPr>
          <w:rFonts w:ascii="Arial" w:eastAsia="Times New Roman" w:hAnsi="Arial" w:cs="Arial"/>
          <w:kern w:val="28"/>
          <w:sz w:val="20"/>
          <w:szCs w:val="20"/>
          <w:u w:val="single"/>
        </w:rPr>
        <w:t xml:space="preserve"> – Intellectual Property Data</w:t>
      </w:r>
    </w:p>
    <w:p w:rsidR="00765AEC" w:rsidRPr="00765AEC" w:rsidRDefault="00765AEC" w:rsidP="00765AEC">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765AEC">
        <w:rPr>
          <w:rFonts w:ascii="Arial" w:eastAsia="Times New Roman" w:hAnsi="Arial" w:cs="Arial"/>
          <w:kern w:val="28"/>
          <w:sz w:val="20"/>
          <w:szCs w:val="20"/>
        </w:rPr>
        <w:t>The research design is a paper and online data collection method to find literature to date on intellectual prope</w:t>
      </w:r>
      <w:r>
        <w:rPr>
          <w:rFonts w:ascii="Arial" w:eastAsia="Times New Roman" w:hAnsi="Arial" w:cs="Arial"/>
          <w:kern w:val="28"/>
          <w:sz w:val="20"/>
          <w:szCs w:val="20"/>
        </w:rPr>
        <w:t>rty law development in the GCC s</w:t>
      </w:r>
      <w:r w:rsidRPr="00765AEC">
        <w:rPr>
          <w:rFonts w:ascii="Arial" w:eastAsia="Times New Roman" w:hAnsi="Arial" w:cs="Arial"/>
          <w:kern w:val="28"/>
          <w:sz w:val="20"/>
          <w:szCs w:val="20"/>
        </w:rPr>
        <w:t>tates</w:t>
      </w:r>
      <w:r>
        <w:rPr>
          <w:rFonts w:ascii="Arial" w:eastAsia="Times New Roman" w:hAnsi="Arial" w:cs="Arial"/>
          <w:kern w:val="28"/>
          <w:sz w:val="20"/>
          <w:szCs w:val="20"/>
        </w:rPr>
        <w:t xml:space="preserve"> in relation to the three research objectives as set out above</w:t>
      </w:r>
      <w:r w:rsidRPr="00765AEC">
        <w:rPr>
          <w:rFonts w:ascii="Arial" w:eastAsia="Times New Roman" w:hAnsi="Arial" w:cs="Arial"/>
          <w:kern w:val="28"/>
          <w:sz w:val="20"/>
          <w:szCs w:val="20"/>
        </w:rPr>
        <w:t>. The literature is the population and this could prove problema</w:t>
      </w:r>
      <w:r>
        <w:rPr>
          <w:rFonts w:ascii="Arial" w:eastAsia="Times New Roman" w:hAnsi="Arial" w:cs="Arial"/>
          <w:kern w:val="28"/>
          <w:sz w:val="20"/>
          <w:szCs w:val="20"/>
        </w:rPr>
        <w:t>tic. Different databases have been</w:t>
      </w:r>
      <w:r w:rsidRPr="00765AEC">
        <w:rPr>
          <w:rFonts w:ascii="Arial" w:eastAsia="Times New Roman" w:hAnsi="Arial" w:cs="Arial"/>
          <w:kern w:val="28"/>
          <w:sz w:val="20"/>
          <w:szCs w:val="20"/>
        </w:rPr>
        <w:t xml:space="preserve"> used to cover all sources where data can be found. To confine the data to a timeframe is difficult as Islamic sources are by their nature historical and date back to when the Quran was first introduced. Literature on </w:t>
      </w:r>
      <w:r>
        <w:rPr>
          <w:rFonts w:ascii="Arial" w:eastAsia="Times New Roman" w:hAnsi="Arial" w:cs="Arial"/>
          <w:kern w:val="28"/>
          <w:sz w:val="20"/>
          <w:szCs w:val="20"/>
        </w:rPr>
        <w:t>intellectual property law development</w:t>
      </w:r>
      <w:r w:rsidRPr="00765AEC">
        <w:rPr>
          <w:rFonts w:ascii="Arial" w:eastAsia="Times New Roman" w:hAnsi="Arial" w:cs="Arial"/>
          <w:kern w:val="28"/>
          <w:sz w:val="20"/>
          <w:szCs w:val="20"/>
        </w:rPr>
        <w:t xml:space="preserve"> can be placed in a timeframe from 1970 to present.</w:t>
      </w:r>
    </w:p>
    <w:p w:rsidR="00D51A6E" w:rsidRDefault="00765AEC" w:rsidP="00440936">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765AEC">
        <w:rPr>
          <w:rFonts w:ascii="Arial" w:eastAsia="Times New Roman" w:hAnsi="Arial" w:cs="Arial"/>
          <w:kern w:val="28"/>
          <w:sz w:val="20"/>
          <w:szCs w:val="20"/>
        </w:rPr>
        <w:t>The sample size is a census sample as all literature available through paper data collection and online searches in this field is collected and then selected based on its relevance to the research. The data collected has come from policy documents, legislation, statistics, books, peer-reviewed articles, press reports, internet based materials, research studies and relevant theory. The data will be analysed through the grounded theory method whereby data col</w:t>
      </w:r>
      <w:r>
        <w:rPr>
          <w:rFonts w:ascii="Arial" w:eastAsia="Times New Roman" w:hAnsi="Arial" w:cs="Arial"/>
          <w:kern w:val="28"/>
          <w:sz w:val="20"/>
          <w:szCs w:val="20"/>
        </w:rPr>
        <w:t>lected will be analysed to assess the impact of the TTIP, corporate sovereignty and ISDS in relation to</w:t>
      </w:r>
      <w:r w:rsidRPr="00765AEC">
        <w:rPr>
          <w:rFonts w:ascii="Arial" w:eastAsia="Times New Roman" w:hAnsi="Arial" w:cs="Arial"/>
          <w:kern w:val="28"/>
          <w:sz w:val="20"/>
          <w:szCs w:val="20"/>
        </w:rPr>
        <w:t xml:space="preserve"> Islamic law and intellectual property law (Strauss and Corbin 199</w:t>
      </w:r>
      <w:r w:rsidR="008F111E">
        <w:rPr>
          <w:rFonts w:ascii="Arial" w:eastAsia="Times New Roman" w:hAnsi="Arial" w:cs="Arial"/>
          <w:kern w:val="28"/>
          <w:sz w:val="20"/>
          <w:szCs w:val="20"/>
        </w:rPr>
        <w:t>8</w:t>
      </w:r>
      <w:r w:rsidR="008F111E">
        <w:rPr>
          <w:rStyle w:val="FootnoteReference"/>
          <w:rFonts w:ascii="Arial" w:eastAsia="Times New Roman" w:hAnsi="Arial" w:cs="Arial"/>
          <w:kern w:val="28"/>
          <w:sz w:val="20"/>
          <w:szCs w:val="20"/>
        </w:rPr>
        <w:footnoteReference w:id="5"/>
      </w:r>
      <w:r w:rsidRPr="00765AEC">
        <w:rPr>
          <w:rFonts w:ascii="Arial" w:eastAsia="Times New Roman" w:hAnsi="Arial" w:cs="Arial"/>
          <w:kern w:val="28"/>
          <w:sz w:val="20"/>
          <w:szCs w:val="20"/>
        </w:rPr>
        <w:t>)</w:t>
      </w:r>
      <w:r w:rsidR="00CF4B55">
        <w:rPr>
          <w:rFonts w:ascii="Arial" w:eastAsia="Times New Roman" w:hAnsi="Arial" w:cs="Arial"/>
          <w:kern w:val="28"/>
          <w:sz w:val="20"/>
          <w:szCs w:val="20"/>
        </w:rPr>
        <w:t>.</w:t>
      </w:r>
    </w:p>
    <w:p w:rsidR="00440936" w:rsidRPr="00D51A6E" w:rsidRDefault="00D51A6E" w:rsidP="00440936">
      <w:pPr>
        <w:widowControl w:val="0"/>
        <w:overflowPunct w:val="0"/>
        <w:autoSpaceDE w:val="0"/>
        <w:autoSpaceDN w:val="0"/>
        <w:adjustRightInd w:val="0"/>
        <w:spacing w:line="480" w:lineRule="auto"/>
        <w:ind w:right="-472"/>
        <w:jc w:val="both"/>
        <w:rPr>
          <w:rFonts w:ascii="Arial" w:eastAsia="Times New Roman" w:hAnsi="Arial" w:cs="Arial"/>
          <w:kern w:val="28"/>
          <w:sz w:val="20"/>
          <w:szCs w:val="20"/>
          <w:u w:val="single"/>
        </w:rPr>
      </w:pPr>
      <w:r w:rsidRPr="00D51A6E">
        <w:rPr>
          <w:rFonts w:ascii="Arial" w:eastAsia="Times New Roman" w:hAnsi="Arial" w:cs="Arial"/>
          <w:kern w:val="28"/>
          <w:sz w:val="20"/>
          <w:szCs w:val="20"/>
          <w:u w:val="single"/>
        </w:rPr>
        <w:t>Methodology – Islamic Sources</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 xml:space="preserve">There are four main schools of Islamic jurisprudence; </w:t>
      </w:r>
      <w:proofErr w:type="spellStart"/>
      <w:r w:rsidRPr="003A3A5E">
        <w:rPr>
          <w:rFonts w:ascii="Arial" w:eastAsia="Times New Roman" w:hAnsi="Arial" w:cs="Arial"/>
          <w:kern w:val="28"/>
          <w:sz w:val="20"/>
          <w:szCs w:val="20"/>
        </w:rPr>
        <w:t>Hanbali</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Shafii</w:t>
      </w:r>
      <w:proofErr w:type="spellEnd"/>
      <w:r w:rsidRPr="003A3A5E">
        <w:rPr>
          <w:rFonts w:ascii="Arial" w:eastAsia="Times New Roman" w:hAnsi="Arial" w:cs="Arial"/>
          <w:kern w:val="28"/>
          <w:sz w:val="20"/>
          <w:szCs w:val="20"/>
        </w:rPr>
        <w:t xml:space="preserve">, Maliki, and Hanafi. </w:t>
      </w:r>
      <w:proofErr w:type="spellStart"/>
      <w:r w:rsidRPr="003A3A5E">
        <w:rPr>
          <w:rFonts w:ascii="Arial" w:eastAsia="Times New Roman" w:hAnsi="Arial" w:cs="Arial"/>
          <w:kern w:val="28"/>
          <w:sz w:val="20"/>
          <w:szCs w:val="20"/>
        </w:rPr>
        <w:t>Hanbali</w:t>
      </w:r>
      <w:proofErr w:type="spellEnd"/>
      <w:r w:rsidRPr="003A3A5E">
        <w:rPr>
          <w:rFonts w:ascii="Arial" w:eastAsia="Times New Roman" w:hAnsi="Arial" w:cs="Arial"/>
          <w:kern w:val="28"/>
          <w:sz w:val="20"/>
          <w:szCs w:val="20"/>
        </w:rPr>
        <w:t xml:space="preserve">, is followed by Saudi Arabia and is the strictest of the four schools, employing </w:t>
      </w:r>
      <w:proofErr w:type="spellStart"/>
      <w:r w:rsidRPr="003A3A5E">
        <w:rPr>
          <w:rFonts w:ascii="Arial" w:eastAsia="Times New Roman" w:hAnsi="Arial" w:cs="Arial"/>
          <w:kern w:val="28"/>
          <w:sz w:val="20"/>
          <w:szCs w:val="20"/>
        </w:rPr>
        <w:t>Qiyas</w:t>
      </w:r>
      <w:proofErr w:type="spellEnd"/>
      <w:r w:rsidRPr="003A3A5E">
        <w:rPr>
          <w:rFonts w:ascii="Arial" w:eastAsia="Times New Roman" w:hAnsi="Arial" w:cs="Arial"/>
          <w:kern w:val="28"/>
          <w:sz w:val="20"/>
          <w:szCs w:val="20"/>
        </w:rPr>
        <w:t xml:space="preserve"> only as a last resort. The </w:t>
      </w:r>
      <w:proofErr w:type="spellStart"/>
      <w:r w:rsidRPr="003A3A5E">
        <w:rPr>
          <w:rFonts w:ascii="Arial" w:eastAsia="Times New Roman" w:hAnsi="Arial" w:cs="Arial"/>
          <w:kern w:val="28"/>
          <w:sz w:val="20"/>
          <w:szCs w:val="20"/>
        </w:rPr>
        <w:t>Shafii</w:t>
      </w:r>
      <w:proofErr w:type="spellEnd"/>
      <w:r w:rsidRPr="003A3A5E">
        <w:rPr>
          <w:rFonts w:ascii="Arial" w:eastAsia="Times New Roman" w:hAnsi="Arial" w:cs="Arial"/>
          <w:kern w:val="28"/>
          <w:sz w:val="20"/>
          <w:szCs w:val="20"/>
        </w:rPr>
        <w:t xml:space="preserve"> school of thought is more widely accepted as it allows the application of </w:t>
      </w:r>
      <w:proofErr w:type="spellStart"/>
      <w:r w:rsidRPr="003A3A5E">
        <w:rPr>
          <w:rFonts w:ascii="Arial" w:eastAsia="Times New Roman" w:hAnsi="Arial" w:cs="Arial"/>
          <w:kern w:val="28"/>
          <w:sz w:val="20"/>
          <w:szCs w:val="20"/>
        </w:rPr>
        <w:t>qiyas</w:t>
      </w:r>
      <w:proofErr w:type="spellEnd"/>
      <w:r w:rsidRPr="003A3A5E">
        <w:rPr>
          <w:rFonts w:ascii="Arial" w:eastAsia="Times New Roman" w:hAnsi="Arial" w:cs="Arial"/>
          <w:kern w:val="28"/>
          <w:sz w:val="20"/>
          <w:szCs w:val="20"/>
        </w:rPr>
        <w:t xml:space="preserve"> to make legitimate analogies. The Maliki </w:t>
      </w:r>
      <w:proofErr w:type="gramStart"/>
      <w:r w:rsidRPr="003A3A5E">
        <w:rPr>
          <w:rFonts w:ascii="Arial" w:eastAsia="Times New Roman" w:hAnsi="Arial" w:cs="Arial"/>
          <w:kern w:val="28"/>
          <w:sz w:val="20"/>
          <w:szCs w:val="20"/>
        </w:rPr>
        <w:t>school</w:t>
      </w:r>
      <w:proofErr w:type="gramEnd"/>
      <w:r w:rsidRPr="003A3A5E">
        <w:rPr>
          <w:rFonts w:ascii="Arial" w:eastAsia="Times New Roman" w:hAnsi="Arial" w:cs="Arial"/>
          <w:kern w:val="28"/>
          <w:sz w:val="20"/>
          <w:szCs w:val="20"/>
        </w:rPr>
        <w:t xml:space="preserve"> differs slightly from the other schools as it relies on historical customs and practice of the </w:t>
      </w:r>
      <w:proofErr w:type="spellStart"/>
      <w:r w:rsidRPr="003A3A5E">
        <w:rPr>
          <w:rFonts w:ascii="Arial" w:eastAsia="Times New Roman" w:hAnsi="Arial" w:cs="Arial"/>
          <w:kern w:val="28"/>
          <w:sz w:val="20"/>
          <w:szCs w:val="20"/>
        </w:rPr>
        <w:t>Medinan</w:t>
      </w:r>
      <w:proofErr w:type="spellEnd"/>
      <w:r w:rsidRPr="003A3A5E">
        <w:rPr>
          <w:rFonts w:ascii="Arial" w:eastAsia="Times New Roman" w:hAnsi="Arial" w:cs="Arial"/>
          <w:kern w:val="28"/>
          <w:sz w:val="20"/>
          <w:szCs w:val="20"/>
        </w:rPr>
        <w:t xml:space="preserve"> people as a source and is observed in Kuwait, Bahrain and the United Arab Emirates. The four main schools are followed by Sunni Muslim as t</w:t>
      </w:r>
      <w:r>
        <w:rPr>
          <w:rFonts w:ascii="Arial" w:eastAsia="Times New Roman" w:hAnsi="Arial" w:cs="Arial"/>
          <w:kern w:val="28"/>
          <w:sz w:val="20"/>
          <w:szCs w:val="20"/>
        </w:rPr>
        <w:t>he law making power in the GCC s</w:t>
      </w:r>
      <w:r w:rsidRPr="003A3A5E">
        <w:rPr>
          <w:rFonts w:ascii="Arial" w:eastAsia="Times New Roman" w:hAnsi="Arial" w:cs="Arial"/>
          <w:kern w:val="28"/>
          <w:sz w:val="20"/>
          <w:szCs w:val="20"/>
        </w:rPr>
        <w:t>tates rests with Sunni Muslims and not Shia Muslims. Islamic jurisprudence from Shia scholars has not been considered in this research and is beyond the scope of the research. The sources cited below are for Sunni Muslims as none of the GCC states follow Shia jurisprudence.</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Pr>
          <w:rFonts w:ascii="Arial" w:eastAsia="Times New Roman" w:hAnsi="Arial" w:cs="Arial"/>
          <w:kern w:val="28"/>
          <w:sz w:val="20"/>
          <w:szCs w:val="20"/>
        </w:rPr>
        <w:lastRenderedPageBreak/>
        <w:t>a)</w:t>
      </w:r>
      <w:r>
        <w:rPr>
          <w:rFonts w:ascii="Arial" w:eastAsia="Times New Roman" w:hAnsi="Arial" w:cs="Arial"/>
          <w:kern w:val="28"/>
          <w:sz w:val="20"/>
          <w:szCs w:val="20"/>
        </w:rPr>
        <w:tab/>
        <w:t>Quran</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 xml:space="preserve">The main resource for the Quran is www.quran.com. Data sources for the website include </w:t>
      </w:r>
      <w:proofErr w:type="spellStart"/>
      <w:r w:rsidRPr="003A3A5E">
        <w:rPr>
          <w:rFonts w:ascii="Arial" w:eastAsia="Times New Roman" w:hAnsi="Arial" w:cs="Arial"/>
          <w:kern w:val="28"/>
          <w:sz w:val="20"/>
          <w:szCs w:val="20"/>
        </w:rPr>
        <w:t>Tanzil</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QuranComplex</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Zekr</w:t>
      </w:r>
      <w:proofErr w:type="spellEnd"/>
      <w:r w:rsidRPr="003A3A5E">
        <w:rPr>
          <w:rFonts w:ascii="Arial" w:eastAsia="Times New Roman" w:hAnsi="Arial" w:cs="Arial"/>
          <w:kern w:val="28"/>
          <w:sz w:val="20"/>
          <w:szCs w:val="20"/>
        </w:rPr>
        <w:t xml:space="preserve"> and Online Qur'an Project. Translations are provided by seven authors as approved by Saudi Arabia: </w:t>
      </w: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International, </w:t>
      </w:r>
      <w:proofErr w:type="spellStart"/>
      <w:r w:rsidRPr="003A3A5E">
        <w:rPr>
          <w:rFonts w:ascii="Arial" w:eastAsia="Times New Roman" w:hAnsi="Arial" w:cs="Arial"/>
          <w:kern w:val="28"/>
          <w:sz w:val="20"/>
          <w:szCs w:val="20"/>
        </w:rPr>
        <w:t>Muhsin</w:t>
      </w:r>
      <w:proofErr w:type="spellEnd"/>
      <w:r w:rsidRPr="003A3A5E">
        <w:rPr>
          <w:rFonts w:ascii="Arial" w:eastAsia="Times New Roman" w:hAnsi="Arial" w:cs="Arial"/>
          <w:kern w:val="28"/>
          <w:sz w:val="20"/>
          <w:szCs w:val="20"/>
        </w:rPr>
        <w:t xml:space="preserve"> Khan, </w:t>
      </w:r>
      <w:proofErr w:type="spellStart"/>
      <w:proofErr w:type="gramStart"/>
      <w:r w:rsidRPr="003A3A5E">
        <w:rPr>
          <w:rFonts w:ascii="Arial" w:eastAsia="Times New Roman" w:hAnsi="Arial" w:cs="Arial"/>
          <w:kern w:val="28"/>
          <w:sz w:val="20"/>
          <w:szCs w:val="20"/>
        </w:rPr>
        <w:t>Pickthall</w:t>
      </w:r>
      <w:proofErr w:type="spellEnd"/>
      <w:proofErr w:type="gramEnd"/>
      <w:r w:rsidRPr="003A3A5E">
        <w:rPr>
          <w:rFonts w:ascii="Arial" w:eastAsia="Times New Roman" w:hAnsi="Arial" w:cs="Arial"/>
          <w:kern w:val="28"/>
          <w:sz w:val="20"/>
          <w:szCs w:val="20"/>
        </w:rPr>
        <w:t xml:space="preserve">. Yusuf Ali, </w:t>
      </w:r>
      <w:proofErr w:type="spellStart"/>
      <w:r w:rsidRPr="003A3A5E">
        <w:rPr>
          <w:rFonts w:ascii="Arial" w:eastAsia="Times New Roman" w:hAnsi="Arial" w:cs="Arial"/>
          <w:kern w:val="28"/>
          <w:sz w:val="20"/>
          <w:szCs w:val="20"/>
        </w:rPr>
        <w:t>Shakir</w:t>
      </w:r>
      <w:proofErr w:type="spellEnd"/>
      <w:r w:rsidRPr="003A3A5E">
        <w:rPr>
          <w:rFonts w:ascii="Arial" w:eastAsia="Times New Roman" w:hAnsi="Arial" w:cs="Arial"/>
          <w:kern w:val="28"/>
          <w:sz w:val="20"/>
          <w:szCs w:val="20"/>
        </w:rPr>
        <w:t xml:space="preserve"> and </w:t>
      </w:r>
      <w:proofErr w:type="spellStart"/>
      <w:r w:rsidRPr="003A3A5E">
        <w:rPr>
          <w:rFonts w:ascii="Arial" w:eastAsia="Times New Roman" w:hAnsi="Arial" w:cs="Arial"/>
          <w:kern w:val="28"/>
          <w:sz w:val="20"/>
          <w:szCs w:val="20"/>
        </w:rPr>
        <w:t>Dr.</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Ghali</w:t>
      </w:r>
      <w:proofErr w:type="spellEnd"/>
      <w:r w:rsidRPr="003A3A5E">
        <w:rPr>
          <w:rFonts w:ascii="Arial" w:eastAsia="Times New Roman" w:hAnsi="Arial" w:cs="Arial"/>
          <w:kern w:val="28"/>
          <w:sz w:val="20"/>
          <w:szCs w:val="20"/>
        </w:rPr>
        <w:t xml:space="preserve">. The reason there are more than one single approved translator is because there is a general consensus among all Islamic scholars that the Quran cannot be completely translated into another language because it was written for the Arabic language. The stylistic and syntactic properties of the Quran are language-specific. As a result, scholars can consider translations from authors that have been approved by Saudi Arabia however the most widely accepted translations to date comes from </w:t>
      </w: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International and </w:t>
      </w:r>
      <w:proofErr w:type="spellStart"/>
      <w:r w:rsidRPr="003A3A5E">
        <w:rPr>
          <w:rFonts w:ascii="Arial" w:eastAsia="Times New Roman" w:hAnsi="Arial" w:cs="Arial"/>
          <w:kern w:val="28"/>
          <w:sz w:val="20"/>
          <w:szCs w:val="20"/>
        </w:rPr>
        <w:t>Muhsin</w:t>
      </w:r>
      <w:proofErr w:type="spellEnd"/>
      <w:r w:rsidRPr="003A3A5E">
        <w:rPr>
          <w:rFonts w:ascii="Arial" w:eastAsia="Times New Roman" w:hAnsi="Arial" w:cs="Arial"/>
          <w:kern w:val="28"/>
          <w:sz w:val="20"/>
          <w:szCs w:val="20"/>
        </w:rPr>
        <w:t xml:space="preserve"> khan.</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proofErr w:type="spellStart"/>
      <w:proofErr w:type="gramStart"/>
      <w:r w:rsidRPr="003A3A5E">
        <w:rPr>
          <w:rFonts w:ascii="Arial" w:eastAsia="Times New Roman" w:hAnsi="Arial" w:cs="Arial"/>
          <w:kern w:val="28"/>
          <w:sz w:val="20"/>
          <w:szCs w:val="20"/>
        </w:rPr>
        <w:t>i</w:t>
      </w:r>
      <w:proofErr w:type="spellEnd"/>
      <w:proofErr w:type="gramEnd"/>
      <w:r w:rsidRPr="003A3A5E">
        <w:rPr>
          <w:rFonts w:ascii="Arial" w:eastAsia="Times New Roman" w:hAnsi="Arial" w:cs="Arial"/>
          <w:kern w:val="28"/>
          <w:sz w:val="20"/>
          <w:szCs w:val="20"/>
        </w:rPr>
        <w:t>.</w:t>
      </w:r>
      <w:r w:rsidRPr="003A3A5E">
        <w:rPr>
          <w:rFonts w:ascii="Arial" w:eastAsia="Times New Roman" w:hAnsi="Arial" w:cs="Arial"/>
          <w:kern w:val="28"/>
          <w:sz w:val="20"/>
          <w:szCs w:val="20"/>
        </w:rPr>
        <w:tab/>
      </w: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International</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The Quran: Arabic Text with Corresponding English Meanings (</w:t>
      </w: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International) </w:t>
      </w:r>
      <w:proofErr w:type="spellStart"/>
      <w:r w:rsidRPr="003A3A5E">
        <w:rPr>
          <w:rFonts w:ascii="Arial" w:eastAsia="Times New Roman" w:hAnsi="Arial" w:cs="Arial"/>
          <w:kern w:val="28"/>
          <w:sz w:val="20"/>
          <w:szCs w:val="20"/>
        </w:rPr>
        <w:t>Almunatada</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Alislami</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Abul</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Qasim</w:t>
      </w:r>
      <w:proofErr w:type="spellEnd"/>
      <w:r w:rsidRPr="003A3A5E">
        <w:rPr>
          <w:rFonts w:ascii="Arial" w:eastAsia="Times New Roman" w:hAnsi="Arial" w:cs="Arial"/>
          <w:kern w:val="28"/>
          <w:sz w:val="20"/>
          <w:szCs w:val="20"/>
        </w:rPr>
        <w:t xml:space="preserve"> Publishing House (1997). </w:t>
      </w: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w:t>
      </w:r>
      <w:r w:rsidR="000368AB" w:rsidRPr="003A3A5E">
        <w:rPr>
          <w:rFonts w:ascii="Arial" w:eastAsia="Times New Roman" w:hAnsi="Arial" w:cs="Arial"/>
          <w:kern w:val="28"/>
          <w:sz w:val="20"/>
          <w:szCs w:val="20"/>
        </w:rPr>
        <w:t>International is</w:t>
      </w:r>
      <w:r w:rsidRPr="003A3A5E">
        <w:rPr>
          <w:rFonts w:ascii="Arial" w:eastAsia="Times New Roman" w:hAnsi="Arial" w:cs="Arial"/>
          <w:kern w:val="28"/>
          <w:sz w:val="20"/>
          <w:szCs w:val="20"/>
        </w:rPr>
        <w:t xml:space="preserve"> an approved translation by Saudi Arabia and is available at the King Fahad National Library in Saudi Arabia.</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proofErr w:type="gramStart"/>
      <w:r w:rsidRPr="003A3A5E">
        <w:rPr>
          <w:rFonts w:ascii="Arial" w:eastAsia="Times New Roman" w:hAnsi="Arial" w:cs="Arial"/>
          <w:kern w:val="28"/>
          <w:sz w:val="20"/>
          <w:szCs w:val="20"/>
        </w:rPr>
        <w:t>ii</w:t>
      </w:r>
      <w:proofErr w:type="gramEnd"/>
      <w:r w:rsidRPr="003A3A5E">
        <w:rPr>
          <w:rFonts w:ascii="Arial" w:eastAsia="Times New Roman" w:hAnsi="Arial" w:cs="Arial"/>
          <w:kern w:val="28"/>
          <w:sz w:val="20"/>
          <w:szCs w:val="20"/>
        </w:rPr>
        <w:t>.</w:t>
      </w:r>
      <w:r w:rsidRPr="003A3A5E">
        <w:rPr>
          <w:rFonts w:ascii="Arial" w:eastAsia="Times New Roman" w:hAnsi="Arial" w:cs="Arial"/>
          <w:kern w:val="28"/>
          <w:sz w:val="20"/>
          <w:szCs w:val="20"/>
        </w:rPr>
        <w:tab/>
      </w:r>
      <w:proofErr w:type="spellStart"/>
      <w:r w:rsidRPr="003A3A5E">
        <w:rPr>
          <w:rFonts w:ascii="Arial" w:eastAsia="Times New Roman" w:hAnsi="Arial" w:cs="Arial"/>
          <w:kern w:val="28"/>
          <w:sz w:val="20"/>
          <w:szCs w:val="20"/>
        </w:rPr>
        <w:t>Muhsin</w:t>
      </w:r>
      <w:proofErr w:type="spellEnd"/>
      <w:r w:rsidRPr="003A3A5E">
        <w:rPr>
          <w:rFonts w:ascii="Arial" w:eastAsia="Times New Roman" w:hAnsi="Arial" w:cs="Arial"/>
          <w:kern w:val="28"/>
          <w:sz w:val="20"/>
          <w:szCs w:val="20"/>
        </w:rPr>
        <w:t xml:space="preserve"> Khan</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The Noble Quran in the English Language (</w:t>
      </w:r>
      <w:proofErr w:type="spellStart"/>
      <w:r w:rsidRPr="003A3A5E">
        <w:rPr>
          <w:rFonts w:ascii="Arial" w:eastAsia="Times New Roman" w:hAnsi="Arial" w:cs="Arial"/>
          <w:kern w:val="28"/>
          <w:sz w:val="20"/>
          <w:szCs w:val="20"/>
        </w:rPr>
        <w:t>Muhsin</w:t>
      </w:r>
      <w:proofErr w:type="spellEnd"/>
      <w:r w:rsidRPr="003A3A5E">
        <w:rPr>
          <w:rFonts w:ascii="Arial" w:eastAsia="Times New Roman" w:hAnsi="Arial" w:cs="Arial"/>
          <w:kern w:val="28"/>
          <w:sz w:val="20"/>
          <w:szCs w:val="20"/>
        </w:rPr>
        <w:t xml:space="preserve"> Khan) King Fahd Printing Complex, Madinah, Saudi Arabia (1996). </w:t>
      </w:r>
      <w:proofErr w:type="spellStart"/>
      <w:r w:rsidRPr="003A3A5E">
        <w:rPr>
          <w:rFonts w:ascii="Arial" w:eastAsia="Times New Roman" w:hAnsi="Arial" w:cs="Arial"/>
          <w:kern w:val="28"/>
          <w:sz w:val="20"/>
          <w:szCs w:val="20"/>
        </w:rPr>
        <w:t>Muhsin</w:t>
      </w:r>
      <w:proofErr w:type="spellEnd"/>
      <w:r w:rsidRPr="003A3A5E">
        <w:rPr>
          <w:rFonts w:ascii="Arial" w:eastAsia="Times New Roman" w:hAnsi="Arial" w:cs="Arial"/>
          <w:kern w:val="28"/>
          <w:sz w:val="20"/>
          <w:szCs w:val="20"/>
        </w:rPr>
        <w:t xml:space="preserve"> Khan - the most widely disseminated Qur'an in most Islamic bookstores and Sunni mosques throughout the English-speaking world and is approved by both the University of Medina and the Saudi Dar al-</w:t>
      </w:r>
      <w:proofErr w:type="spellStart"/>
      <w:r w:rsidRPr="003A3A5E">
        <w:rPr>
          <w:rFonts w:ascii="Arial" w:eastAsia="Times New Roman" w:hAnsi="Arial" w:cs="Arial"/>
          <w:kern w:val="28"/>
          <w:sz w:val="20"/>
          <w:szCs w:val="20"/>
        </w:rPr>
        <w:t>Ifta</w:t>
      </w:r>
      <w:proofErr w:type="spellEnd"/>
      <w:r w:rsidRPr="003A3A5E">
        <w:rPr>
          <w:rFonts w:ascii="Arial" w:eastAsia="Times New Roman" w:hAnsi="Arial" w:cs="Arial"/>
          <w:kern w:val="28"/>
          <w:sz w:val="20"/>
          <w:szCs w:val="20"/>
        </w:rPr>
        <w:t xml:space="preserve"> in Saudi Arabia.</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iii.</w:t>
      </w:r>
      <w:r w:rsidRPr="003A3A5E">
        <w:rPr>
          <w:rFonts w:ascii="Arial" w:eastAsia="Times New Roman" w:hAnsi="Arial" w:cs="Arial"/>
          <w:kern w:val="28"/>
          <w:sz w:val="20"/>
          <w:szCs w:val="20"/>
        </w:rPr>
        <w:tab/>
      </w:r>
      <w:proofErr w:type="spellStart"/>
      <w:r w:rsidRPr="003A3A5E">
        <w:rPr>
          <w:rFonts w:ascii="Arial" w:eastAsia="Times New Roman" w:hAnsi="Arial" w:cs="Arial"/>
          <w:kern w:val="28"/>
          <w:sz w:val="20"/>
          <w:szCs w:val="20"/>
        </w:rPr>
        <w:t>Pickthall</w:t>
      </w:r>
      <w:proofErr w:type="spellEnd"/>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 xml:space="preserve">The Meaning of the Glorious Koran (Mohammed Marmaduke </w:t>
      </w:r>
      <w:proofErr w:type="spellStart"/>
      <w:r w:rsidRPr="003A3A5E">
        <w:rPr>
          <w:rFonts w:ascii="Arial" w:eastAsia="Times New Roman" w:hAnsi="Arial" w:cs="Arial"/>
          <w:kern w:val="28"/>
          <w:sz w:val="20"/>
          <w:szCs w:val="20"/>
        </w:rPr>
        <w:t>Pickthall</w:t>
      </w:r>
      <w:proofErr w:type="spellEnd"/>
      <w:r w:rsidRPr="003A3A5E">
        <w:rPr>
          <w:rFonts w:ascii="Arial" w:eastAsia="Times New Roman" w:hAnsi="Arial" w:cs="Arial"/>
          <w:kern w:val="28"/>
          <w:sz w:val="20"/>
          <w:szCs w:val="20"/>
        </w:rPr>
        <w:t>) Reprinted by Plume (1997). First published 1930.</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iv.</w:t>
      </w:r>
      <w:r w:rsidRPr="003A3A5E">
        <w:rPr>
          <w:rFonts w:ascii="Arial" w:eastAsia="Times New Roman" w:hAnsi="Arial" w:cs="Arial"/>
          <w:kern w:val="28"/>
          <w:sz w:val="20"/>
          <w:szCs w:val="20"/>
        </w:rPr>
        <w:tab/>
        <w:t>Yusuf Ali</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 xml:space="preserve">The Holy Quran: Translation and Commentary (Yusuf Ali) Reprinted by Islamic Vision </w:t>
      </w:r>
      <w:r>
        <w:rPr>
          <w:rFonts w:ascii="Arial" w:eastAsia="Times New Roman" w:hAnsi="Arial" w:cs="Arial"/>
          <w:kern w:val="28"/>
          <w:sz w:val="20"/>
          <w:szCs w:val="20"/>
        </w:rPr>
        <w:t>(2001). First published in 1934,</w:t>
      </w:r>
      <w:r w:rsidRPr="003A3A5E">
        <w:rPr>
          <w:rFonts w:ascii="Arial" w:eastAsia="Times New Roman" w:hAnsi="Arial" w:cs="Arial"/>
          <w:kern w:val="28"/>
          <w:sz w:val="20"/>
          <w:szCs w:val="20"/>
        </w:rPr>
        <w:t xml:space="preserve"> A</w:t>
      </w:r>
      <w:r>
        <w:rPr>
          <w:rFonts w:ascii="Arial" w:eastAsia="Times New Roman" w:hAnsi="Arial" w:cs="Arial"/>
          <w:kern w:val="28"/>
          <w:sz w:val="20"/>
          <w:szCs w:val="20"/>
        </w:rPr>
        <w:t>bdullah Yusuf 'Ali (1872-1952).</w:t>
      </w:r>
      <w:r w:rsidRPr="003A3A5E">
        <w:rPr>
          <w:rFonts w:ascii="Arial" w:eastAsia="Times New Roman" w:hAnsi="Arial" w:cs="Arial"/>
          <w:kern w:val="28"/>
          <w:sz w:val="20"/>
          <w:szCs w:val="20"/>
        </w:rPr>
        <w:t xml:space="preserve"> In 1989, Saudi Arabia's </w:t>
      </w:r>
      <w:proofErr w:type="spellStart"/>
      <w:r w:rsidRPr="003A3A5E">
        <w:rPr>
          <w:rFonts w:ascii="Arial" w:eastAsia="Times New Roman" w:hAnsi="Arial" w:cs="Arial"/>
          <w:kern w:val="28"/>
          <w:sz w:val="20"/>
          <w:szCs w:val="20"/>
        </w:rPr>
        <w:t>Ar-Rajhi</w:t>
      </w:r>
      <w:proofErr w:type="spellEnd"/>
      <w:r w:rsidRPr="003A3A5E">
        <w:rPr>
          <w:rFonts w:ascii="Arial" w:eastAsia="Times New Roman" w:hAnsi="Arial" w:cs="Arial"/>
          <w:kern w:val="28"/>
          <w:sz w:val="20"/>
          <w:szCs w:val="20"/>
        </w:rPr>
        <w:t xml:space="preserve"> banking company financed the U.S.-based Amana Corporation's project to revise the translation to reflect an interpretation more in conjunction with the line of Islamic thought followed in Saudi Arabia. </w:t>
      </w:r>
      <w:proofErr w:type="spellStart"/>
      <w:r w:rsidRPr="003A3A5E">
        <w:rPr>
          <w:rFonts w:ascii="Arial" w:eastAsia="Times New Roman" w:hAnsi="Arial" w:cs="Arial"/>
          <w:kern w:val="28"/>
          <w:sz w:val="20"/>
          <w:szCs w:val="20"/>
        </w:rPr>
        <w:t>Ar-Rahji</w:t>
      </w:r>
      <w:proofErr w:type="spellEnd"/>
      <w:r w:rsidRPr="003A3A5E">
        <w:rPr>
          <w:rFonts w:ascii="Arial" w:eastAsia="Times New Roman" w:hAnsi="Arial" w:cs="Arial"/>
          <w:kern w:val="28"/>
          <w:sz w:val="20"/>
          <w:szCs w:val="20"/>
        </w:rPr>
        <w:t xml:space="preserve"> offered the resulting version for </w:t>
      </w:r>
      <w:r w:rsidRPr="003A3A5E">
        <w:rPr>
          <w:rFonts w:ascii="Arial" w:eastAsia="Times New Roman" w:hAnsi="Arial" w:cs="Arial"/>
          <w:kern w:val="28"/>
          <w:sz w:val="20"/>
          <w:szCs w:val="20"/>
        </w:rPr>
        <w:lastRenderedPageBreak/>
        <w:t xml:space="preserve">free to mosques, schools, and libraries throughout the world. </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v.</w:t>
      </w:r>
      <w:r w:rsidRPr="003A3A5E">
        <w:rPr>
          <w:rFonts w:ascii="Arial" w:eastAsia="Times New Roman" w:hAnsi="Arial" w:cs="Arial"/>
          <w:kern w:val="28"/>
          <w:sz w:val="20"/>
          <w:szCs w:val="20"/>
        </w:rPr>
        <w:tab/>
      </w:r>
      <w:proofErr w:type="spellStart"/>
      <w:r w:rsidRPr="003A3A5E">
        <w:rPr>
          <w:rFonts w:ascii="Arial" w:eastAsia="Times New Roman" w:hAnsi="Arial" w:cs="Arial"/>
          <w:kern w:val="28"/>
          <w:sz w:val="20"/>
          <w:szCs w:val="20"/>
        </w:rPr>
        <w:t>Shakir</w:t>
      </w:r>
      <w:proofErr w:type="spellEnd"/>
    </w:p>
    <w:p w:rsidR="003A3A5E" w:rsidRPr="003A3A5E" w:rsidRDefault="000368AB"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Pr>
          <w:rFonts w:ascii="Arial" w:eastAsia="Times New Roman" w:hAnsi="Arial" w:cs="Arial"/>
          <w:kern w:val="28"/>
          <w:sz w:val="20"/>
          <w:szCs w:val="20"/>
        </w:rPr>
        <w:t>The Holy Quran t</w:t>
      </w:r>
      <w:r w:rsidR="003A3A5E" w:rsidRPr="003A3A5E">
        <w:rPr>
          <w:rFonts w:ascii="Arial" w:eastAsia="Times New Roman" w:hAnsi="Arial" w:cs="Arial"/>
          <w:kern w:val="28"/>
          <w:sz w:val="20"/>
          <w:szCs w:val="20"/>
        </w:rPr>
        <w:t xml:space="preserve">ranslated </w:t>
      </w:r>
      <w:r>
        <w:rPr>
          <w:rFonts w:ascii="Arial" w:eastAsia="Times New Roman" w:hAnsi="Arial" w:cs="Arial"/>
          <w:kern w:val="28"/>
          <w:sz w:val="20"/>
          <w:szCs w:val="20"/>
        </w:rPr>
        <w:t xml:space="preserve">by M. H. </w:t>
      </w:r>
      <w:proofErr w:type="spellStart"/>
      <w:r>
        <w:rPr>
          <w:rFonts w:ascii="Arial" w:eastAsia="Times New Roman" w:hAnsi="Arial" w:cs="Arial"/>
          <w:kern w:val="28"/>
          <w:sz w:val="20"/>
          <w:szCs w:val="20"/>
        </w:rPr>
        <w:t>Shakir</w:t>
      </w:r>
      <w:proofErr w:type="spellEnd"/>
      <w:r>
        <w:rPr>
          <w:rFonts w:ascii="Arial" w:eastAsia="Times New Roman" w:hAnsi="Arial" w:cs="Arial"/>
          <w:kern w:val="28"/>
          <w:sz w:val="20"/>
          <w:szCs w:val="20"/>
        </w:rPr>
        <w:t xml:space="preserve"> and p</w:t>
      </w:r>
      <w:r w:rsidR="003A3A5E" w:rsidRPr="003A3A5E">
        <w:rPr>
          <w:rFonts w:ascii="Arial" w:eastAsia="Times New Roman" w:hAnsi="Arial" w:cs="Arial"/>
          <w:kern w:val="28"/>
          <w:sz w:val="20"/>
          <w:szCs w:val="20"/>
        </w:rPr>
        <w:t xml:space="preserve">ublished by </w:t>
      </w:r>
      <w:proofErr w:type="spellStart"/>
      <w:r w:rsidR="003A3A5E" w:rsidRPr="003A3A5E">
        <w:rPr>
          <w:rFonts w:ascii="Arial" w:eastAsia="Times New Roman" w:hAnsi="Arial" w:cs="Arial"/>
          <w:kern w:val="28"/>
          <w:sz w:val="20"/>
          <w:szCs w:val="20"/>
        </w:rPr>
        <w:t>Tahrike</w:t>
      </w:r>
      <w:proofErr w:type="spellEnd"/>
      <w:r w:rsidR="003A3A5E" w:rsidRPr="003A3A5E">
        <w:rPr>
          <w:rFonts w:ascii="Arial" w:eastAsia="Times New Roman" w:hAnsi="Arial" w:cs="Arial"/>
          <w:kern w:val="28"/>
          <w:sz w:val="20"/>
          <w:szCs w:val="20"/>
        </w:rPr>
        <w:t xml:space="preserve"> </w:t>
      </w:r>
      <w:proofErr w:type="spellStart"/>
      <w:r w:rsidR="003A3A5E" w:rsidRPr="003A3A5E">
        <w:rPr>
          <w:rFonts w:ascii="Arial" w:eastAsia="Times New Roman" w:hAnsi="Arial" w:cs="Arial"/>
          <w:kern w:val="28"/>
          <w:sz w:val="20"/>
          <w:szCs w:val="20"/>
        </w:rPr>
        <w:t>Tarsile</w:t>
      </w:r>
      <w:proofErr w:type="spellEnd"/>
      <w:r w:rsidR="003A3A5E" w:rsidRPr="003A3A5E">
        <w:rPr>
          <w:rFonts w:ascii="Arial" w:eastAsia="Times New Roman" w:hAnsi="Arial" w:cs="Arial"/>
          <w:kern w:val="28"/>
          <w:sz w:val="20"/>
          <w:szCs w:val="20"/>
        </w:rPr>
        <w:t xml:space="preserve"> Quran (1999).</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proofErr w:type="gramStart"/>
      <w:r w:rsidRPr="003A3A5E">
        <w:rPr>
          <w:rFonts w:ascii="Arial" w:eastAsia="Times New Roman" w:hAnsi="Arial" w:cs="Arial"/>
          <w:kern w:val="28"/>
          <w:sz w:val="20"/>
          <w:szCs w:val="20"/>
        </w:rPr>
        <w:t>vi</w:t>
      </w:r>
      <w:proofErr w:type="gramEnd"/>
      <w:r w:rsidRPr="003A3A5E">
        <w:rPr>
          <w:rFonts w:ascii="Arial" w:eastAsia="Times New Roman" w:hAnsi="Arial" w:cs="Arial"/>
          <w:kern w:val="28"/>
          <w:sz w:val="20"/>
          <w:szCs w:val="20"/>
        </w:rPr>
        <w:t>.</w:t>
      </w:r>
      <w:r w:rsidRPr="003A3A5E">
        <w:rPr>
          <w:rFonts w:ascii="Arial" w:eastAsia="Times New Roman" w:hAnsi="Arial" w:cs="Arial"/>
          <w:kern w:val="28"/>
          <w:sz w:val="20"/>
          <w:szCs w:val="20"/>
        </w:rPr>
        <w:tab/>
        <w:t xml:space="preserve">Dr. </w:t>
      </w:r>
      <w:proofErr w:type="spellStart"/>
      <w:r w:rsidRPr="003A3A5E">
        <w:rPr>
          <w:rFonts w:ascii="Arial" w:eastAsia="Times New Roman" w:hAnsi="Arial" w:cs="Arial"/>
          <w:kern w:val="28"/>
          <w:sz w:val="20"/>
          <w:szCs w:val="20"/>
        </w:rPr>
        <w:t>Ghali</w:t>
      </w:r>
      <w:proofErr w:type="spellEnd"/>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 xml:space="preserve">Dr. </w:t>
      </w:r>
      <w:proofErr w:type="spellStart"/>
      <w:r w:rsidRPr="003A3A5E">
        <w:rPr>
          <w:rFonts w:ascii="Arial" w:eastAsia="Times New Roman" w:hAnsi="Arial" w:cs="Arial"/>
          <w:kern w:val="28"/>
          <w:sz w:val="20"/>
          <w:szCs w:val="20"/>
        </w:rPr>
        <w:t>Ghali</w:t>
      </w:r>
      <w:proofErr w:type="spellEnd"/>
      <w:r w:rsidRPr="003A3A5E">
        <w:rPr>
          <w:rFonts w:ascii="Arial" w:eastAsia="Times New Roman" w:hAnsi="Arial" w:cs="Arial"/>
          <w:kern w:val="28"/>
          <w:sz w:val="20"/>
          <w:szCs w:val="20"/>
        </w:rPr>
        <w:t xml:space="preserve"> was the head of the English language department in Al-</w:t>
      </w:r>
      <w:proofErr w:type="spellStart"/>
      <w:r w:rsidRPr="003A3A5E">
        <w:rPr>
          <w:rFonts w:ascii="Arial" w:eastAsia="Times New Roman" w:hAnsi="Arial" w:cs="Arial"/>
          <w:kern w:val="28"/>
          <w:sz w:val="20"/>
          <w:szCs w:val="20"/>
        </w:rPr>
        <w:t>Azhar</w:t>
      </w:r>
      <w:proofErr w:type="spellEnd"/>
      <w:r w:rsidRPr="003A3A5E">
        <w:rPr>
          <w:rFonts w:ascii="Arial" w:eastAsia="Times New Roman" w:hAnsi="Arial" w:cs="Arial"/>
          <w:kern w:val="28"/>
          <w:sz w:val="20"/>
          <w:szCs w:val="20"/>
        </w:rPr>
        <w:t xml:space="preserve"> University in </w:t>
      </w:r>
      <w:proofErr w:type="spellStart"/>
      <w:r w:rsidRPr="003A3A5E">
        <w:rPr>
          <w:rFonts w:ascii="Arial" w:eastAsia="Times New Roman" w:hAnsi="Arial" w:cs="Arial"/>
          <w:kern w:val="28"/>
          <w:sz w:val="20"/>
          <w:szCs w:val="20"/>
        </w:rPr>
        <w:t>Cario</w:t>
      </w:r>
      <w:proofErr w:type="spellEnd"/>
      <w:r w:rsidRPr="003A3A5E">
        <w:rPr>
          <w:rFonts w:ascii="Arial" w:eastAsia="Times New Roman" w:hAnsi="Arial" w:cs="Arial"/>
          <w:kern w:val="28"/>
          <w:sz w:val="20"/>
          <w:szCs w:val="20"/>
        </w:rPr>
        <w:t>. He spent around 15 years to finish the translation. While working at King ‘Abdul- ‘</w:t>
      </w:r>
      <w:proofErr w:type="spellStart"/>
      <w:r w:rsidRPr="003A3A5E">
        <w:rPr>
          <w:rFonts w:ascii="Arial" w:eastAsia="Times New Roman" w:hAnsi="Arial" w:cs="Arial"/>
          <w:kern w:val="28"/>
          <w:sz w:val="20"/>
          <w:szCs w:val="20"/>
        </w:rPr>
        <w:t>Azeez</w:t>
      </w:r>
      <w:proofErr w:type="spellEnd"/>
      <w:r w:rsidRPr="003A3A5E">
        <w:rPr>
          <w:rFonts w:ascii="Arial" w:eastAsia="Times New Roman" w:hAnsi="Arial" w:cs="Arial"/>
          <w:kern w:val="28"/>
          <w:sz w:val="20"/>
          <w:szCs w:val="20"/>
        </w:rPr>
        <w:t xml:space="preserve"> University, </w:t>
      </w:r>
      <w:proofErr w:type="spellStart"/>
      <w:r w:rsidRPr="003A3A5E">
        <w:rPr>
          <w:rFonts w:ascii="Arial" w:eastAsia="Times New Roman" w:hAnsi="Arial" w:cs="Arial"/>
          <w:kern w:val="28"/>
          <w:sz w:val="20"/>
          <w:szCs w:val="20"/>
        </w:rPr>
        <w:t>Ghâlî</w:t>
      </w:r>
      <w:proofErr w:type="spellEnd"/>
      <w:r w:rsidRPr="003A3A5E">
        <w:rPr>
          <w:rFonts w:ascii="Arial" w:eastAsia="Times New Roman" w:hAnsi="Arial" w:cs="Arial"/>
          <w:kern w:val="28"/>
          <w:sz w:val="20"/>
          <w:szCs w:val="20"/>
        </w:rPr>
        <w:t>, along with a committee of another twelve professors, was assigned to revise the most pro</w:t>
      </w:r>
      <w:r w:rsidR="000368AB">
        <w:rPr>
          <w:rFonts w:ascii="Arial" w:eastAsia="Times New Roman" w:hAnsi="Arial" w:cs="Arial"/>
          <w:kern w:val="28"/>
          <w:sz w:val="20"/>
          <w:szCs w:val="20"/>
        </w:rPr>
        <w:t>minent translations of the Qura</w:t>
      </w:r>
      <w:r w:rsidRPr="003A3A5E">
        <w:rPr>
          <w:rFonts w:ascii="Arial" w:eastAsia="Times New Roman" w:hAnsi="Arial" w:cs="Arial"/>
          <w:kern w:val="28"/>
          <w:sz w:val="20"/>
          <w:szCs w:val="20"/>
        </w:rPr>
        <w:t xml:space="preserve">n into English. </w:t>
      </w:r>
    </w:p>
    <w:p w:rsidR="003A3A5E" w:rsidRPr="003A3A5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3A3A5E">
        <w:rPr>
          <w:rFonts w:ascii="Arial" w:eastAsia="Times New Roman" w:hAnsi="Arial" w:cs="Arial"/>
          <w:kern w:val="28"/>
          <w:sz w:val="20"/>
          <w:szCs w:val="20"/>
        </w:rPr>
        <w:t xml:space="preserve">b) </w:t>
      </w:r>
      <w:r w:rsidRPr="003A3A5E">
        <w:rPr>
          <w:rFonts w:ascii="Arial" w:eastAsia="Times New Roman" w:hAnsi="Arial" w:cs="Arial"/>
          <w:kern w:val="28"/>
          <w:sz w:val="20"/>
          <w:szCs w:val="20"/>
        </w:rPr>
        <w:tab/>
        <w:t>Sunnah</w:t>
      </w:r>
    </w:p>
    <w:p w:rsidR="00D51A6E" w:rsidRDefault="003A3A5E" w:rsidP="003A3A5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Al Bukhari is the approved author of Sunnah sources. Certificates of approval are from; Sheikh 'Abdul 'Aziz bin 'Abdullah bin Baz, Dar-</w:t>
      </w:r>
      <w:proofErr w:type="spellStart"/>
      <w:r w:rsidRPr="003A3A5E">
        <w:rPr>
          <w:rFonts w:ascii="Arial" w:eastAsia="Times New Roman" w:hAnsi="Arial" w:cs="Arial"/>
          <w:kern w:val="28"/>
          <w:sz w:val="20"/>
          <w:szCs w:val="20"/>
        </w:rPr>
        <w:t>ul</w:t>
      </w:r>
      <w:proofErr w:type="spellEnd"/>
      <w:r w:rsidRPr="003A3A5E">
        <w:rPr>
          <w:rFonts w:ascii="Arial" w:eastAsia="Times New Roman" w:hAnsi="Arial" w:cs="Arial"/>
          <w:kern w:val="28"/>
          <w:sz w:val="20"/>
          <w:szCs w:val="20"/>
        </w:rPr>
        <w:t>-</w:t>
      </w:r>
      <w:proofErr w:type="spellStart"/>
      <w:r w:rsidRPr="003A3A5E">
        <w:rPr>
          <w:rFonts w:ascii="Arial" w:eastAsia="Times New Roman" w:hAnsi="Arial" w:cs="Arial"/>
          <w:kern w:val="28"/>
          <w:sz w:val="20"/>
          <w:szCs w:val="20"/>
        </w:rPr>
        <w:t>Ifta</w:t>
      </w:r>
      <w:proofErr w:type="spellEnd"/>
      <w:r w:rsidRPr="003A3A5E">
        <w:rPr>
          <w:rFonts w:ascii="Arial" w:eastAsia="Times New Roman" w:hAnsi="Arial" w:cs="Arial"/>
          <w:kern w:val="28"/>
          <w:sz w:val="20"/>
          <w:szCs w:val="20"/>
        </w:rPr>
        <w:t xml:space="preserve">', Presidency of Islamic Research, </w:t>
      </w:r>
      <w:proofErr w:type="spellStart"/>
      <w:r w:rsidRPr="003A3A5E">
        <w:rPr>
          <w:rFonts w:ascii="Arial" w:eastAsia="Times New Roman" w:hAnsi="Arial" w:cs="Arial"/>
          <w:kern w:val="28"/>
          <w:sz w:val="20"/>
          <w:szCs w:val="20"/>
        </w:rPr>
        <w:t>Ifta</w:t>
      </w:r>
      <w:proofErr w:type="spellEnd"/>
      <w:r w:rsidRPr="003A3A5E">
        <w:rPr>
          <w:rFonts w:ascii="Arial" w:eastAsia="Times New Roman" w:hAnsi="Arial" w:cs="Arial"/>
          <w:kern w:val="28"/>
          <w:sz w:val="20"/>
          <w:szCs w:val="20"/>
        </w:rPr>
        <w:t xml:space="preserve">', Call and Propagation, Kingdom of Saudi Arabia, Sheikh 'Umar Muhammad </w:t>
      </w:r>
      <w:proofErr w:type="spellStart"/>
      <w:r w:rsidRPr="003A3A5E">
        <w:rPr>
          <w:rFonts w:ascii="Arial" w:eastAsia="Times New Roman" w:hAnsi="Arial" w:cs="Arial"/>
          <w:kern w:val="28"/>
          <w:sz w:val="20"/>
          <w:szCs w:val="20"/>
        </w:rPr>
        <w:t>Fullata</w:t>
      </w:r>
      <w:proofErr w:type="spellEnd"/>
      <w:r w:rsidRPr="003A3A5E">
        <w:rPr>
          <w:rFonts w:ascii="Arial" w:eastAsia="Times New Roman" w:hAnsi="Arial" w:cs="Arial"/>
          <w:kern w:val="28"/>
          <w:sz w:val="20"/>
          <w:szCs w:val="20"/>
        </w:rPr>
        <w:t>, General Secretary of Islamic, University, Al-</w:t>
      </w:r>
      <w:proofErr w:type="spellStart"/>
      <w:r w:rsidRPr="003A3A5E">
        <w:rPr>
          <w:rFonts w:ascii="Arial" w:eastAsia="Times New Roman" w:hAnsi="Arial" w:cs="Arial"/>
          <w:kern w:val="28"/>
          <w:sz w:val="20"/>
          <w:szCs w:val="20"/>
        </w:rPr>
        <w:t>Madina</w:t>
      </w:r>
      <w:proofErr w:type="spellEnd"/>
      <w:r w:rsidRPr="003A3A5E">
        <w:rPr>
          <w:rFonts w:ascii="Arial" w:eastAsia="Times New Roman" w:hAnsi="Arial" w:cs="Arial"/>
          <w:kern w:val="28"/>
          <w:sz w:val="20"/>
          <w:szCs w:val="20"/>
        </w:rPr>
        <w:t xml:space="preserve"> Al-Munawwara and </w:t>
      </w:r>
      <w:proofErr w:type="spellStart"/>
      <w:r w:rsidRPr="003A3A5E">
        <w:rPr>
          <w:rFonts w:ascii="Arial" w:eastAsia="Times New Roman" w:hAnsi="Arial" w:cs="Arial"/>
          <w:kern w:val="28"/>
          <w:sz w:val="20"/>
          <w:szCs w:val="20"/>
        </w:rPr>
        <w:t>Dr.</w:t>
      </w:r>
      <w:proofErr w:type="spellEnd"/>
      <w:r w:rsidRPr="003A3A5E">
        <w:rPr>
          <w:rFonts w:ascii="Arial" w:eastAsia="Times New Roman" w:hAnsi="Arial" w:cs="Arial"/>
          <w:kern w:val="28"/>
          <w:sz w:val="20"/>
          <w:szCs w:val="20"/>
        </w:rPr>
        <w:t xml:space="preserve"> Muhammad Amin Al-</w:t>
      </w:r>
      <w:proofErr w:type="spellStart"/>
      <w:r w:rsidRPr="003A3A5E">
        <w:rPr>
          <w:rFonts w:ascii="Arial" w:eastAsia="Times New Roman" w:hAnsi="Arial" w:cs="Arial"/>
          <w:kern w:val="28"/>
          <w:sz w:val="20"/>
          <w:szCs w:val="20"/>
        </w:rPr>
        <w:t>Misri</w:t>
      </w:r>
      <w:proofErr w:type="spellEnd"/>
      <w:r w:rsidRPr="003A3A5E">
        <w:rPr>
          <w:rFonts w:ascii="Arial" w:eastAsia="Times New Roman" w:hAnsi="Arial" w:cs="Arial"/>
          <w:kern w:val="28"/>
          <w:sz w:val="20"/>
          <w:szCs w:val="20"/>
        </w:rPr>
        <w:t>, Head of Higher Studies, Islamic University, Al-</w:t>
      </w:r>
      <w:proofErr w:type="spellStart"/>
      <w:r w:rsidRPr="003A3A5E">
        <w:rPr>
          <w:rFonts w:ascii="Arial" w:eastAsia="Times New Roman" w:hAnsi="Arial" w:cs="Arial"/>
          <w:kern w:val="28"/>
          <w:sz w:val="20"/>
          <w:szCs w:val="20"/>
        </w:rPr>
        <w:t>Madina</w:t>
      </w:r>
      <w:proofErr w:type="spellEnd"/>
      <w:r w:rsidRPr="003A3A5E">
        <w:rPr>
          <w:rFonts w:ascii="Arial" w:eastAsia="Times New Roman" w:hAnsi="Arial" w:cs="Arial"/>
          <w:kern w:val="28"/>
          <w:sz w:val="20"/>
          <w:szCs w:val="20"/>
        </w:rPr>
        <w:t xml:space="preserve"> Al-Munawwara. The translation of </w:t>
      </w:r>
      <w:proofErr w:type="spellStart"/>
      <w:r w:rsidRPr="003A3A5E">
        <w:rPr>
          <w:rFonts w:ascii="Arial" w:eastAsia="Times New Roman" w:hAnsi="Arial" w:cs="Arial"/>
          <w:kern w:val="28"/>
          <w:sz w:val="20"/>
          <w:szCs w:val="20"/>
        </w:rPr>
        <w:t>Sahih</w:t>
      </w:r>
      <w:proofErr w:type="spellEnd"/>
      <w:r w:rsidRPr="003A3A5E">
        <w:rPr>
          <w:rFonts w:ascii="Arial" w:eastAsia="Times New Roman" w:hAnsi="Arial" w:cs="Arial"/>
          <w:kern w:val="28"/>
          <w:sz w:val="20"/>
          <w:szCs w:val="20"/>
        </w:rPr>
        <w:t xml:space="preserve"> Al Bukhari Hadith is by </w:t>
      </w:r>
      <w:proofErr w:type="spellStart"/>
      <w:r w:rsidRPr="003A3A5E">
        <w:rPr>
          <w:rFonts w:ascii="Arial" w:eastAsia="Times New Roman" w:hAnsi="Arial" w:cs="Arial"/>
          <w:kern w:val="28"/>
          <w:sz w:val="20"/>
          <w:szCs w:val="20"/>
        </w:rPr>
        <w:t>Muhsin</w:t>
      </w:r>
      <w:proofErr w:type="spellEnd"/>
      <w:r w:rsidRPr="003A3A5E">
        <w:rPr>
          <w:rFonts w:ascii="Arial" w:eastAsia="Times New Roman" w:hAnsi="Arial" w:cs="Arial"/>
          <w:kern w:val="28"/>
          <w:sz w:val="20"/>
          <w:szCs w:val="20"/>
        </w:rPr>
        <w:t xml:space="preserve"> Khan who is an approved translator of the Quran. The translation is further approved by three scholars who have undersigned the translation. They are; </w:t>
      </w:r>
      <w:proofErr w:type="spellStart"/>
      <w:r w:rsidRPr="003A3A5E">
        <w:rPr>
          <w:rFonts w:ascii="Arial" w:eastAsia="Times New Roman" w:hAnsi="Arial" w:cs="Arial"/>
          <w:kern w:val="28"/>
          <w:sz w:val="20"/>
          <w:szCs w:val="20"/>
        </w:rPr>
        <w:t>Shakir</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Nasif</w:t>
      </w:r>
      <w:proofErr w:type="spellEnd"/>
      <w:r w:rsidRPr="003A3A5E">
        <w:rPr>
          <w:rFonts w:ascii="Arial" w:eastAsia="Times New Roman" w:hAnsi="Arial" w:cs="Arial"/>
          <w:kern w:val="28"/>
          <w:sz w:val="20"/>
          <w:szCs w:val="20"/>
        </w:rPr>
        <w:t xml:space="preserve"> Al-'</w:t>
      </w:r>
      <w:proofErr w:type="spellStart"/>
      <w:r w:rsidRPr="003A3A5E">
        <w:rPr>
          <w:rFonts w:ascii="Arial" w:eastAsia="Times New Roman" w:hAnsi="Arial" w:cs="Arial"/>
          <w:kern w:val="28"/>
          <w:sz w:val="20"/>
          <w:szCs w:val="20"/>
        </w:rPr>
        <w:t>Ubaydi</w:t>
      </w:r>
      <w:proofErr w:type="spellEnd"/>
      <w:r w:rsidRPr="003A3A5E">
        <w:rPr>
          <w:rFonts w:ascii="Arial" w:eastAsia="Times New Roman" w:hAnsi="Arial" w:cs="Arial"/>
          <w:kern w:val="28"/>
          <w:sz w:val="20"/>
          <w:szCs w:val="20"/>
        </w:rPr>
        <w:t xml:space="preserve">, M.A. (English), Vanderbilt University, U.S.A., Teacher of English: Baghdad University &amp; College of Education, </w:t>
      </w:r>
      <w:proofErr w:type="spellStart"/>
      <w:r w:rsidRPr="003A3A5E">
        <w:rPr>
          <w:rFonts w:ascii="Arial" w:eastAsia="Times New Roman" w:hAnsi="Arial" w:cs="Arial"/>
          <w:kern w:val="28"/>
          <w:sz w:val="20"/>
          <w:szCs w:val="20"/>
        </w:rPr>
        <w:t>Makka</w:t>
      </w:r>
      <w:proofErr w:type="spellEnd"/>
      <w:r w:rsidRPr="003A3A5E">
        <w:rPr>
          <w:rFonts w:ascii="Arial" w:eastAsia="Times New Roman" w:hAnsi="Arial" w:cs="Arial"/>
          <w:kern w:val="28"/>
          <w:sz w:val="20"/>
          <w:szCs w:val="20"/>
        </w:rPr>
        <w:t xml:space="preserve">, </w:t>
      </w:r>
      <w:proofErr w:type="spellStart"/>
      <w:r w:rsidRPr="003A3A5E">
        <w:rPr>
          <w:rFonts w:ascii="Arial" w:eastAsia="Times New Roman" w:hAnsi="Arial" w:cs="Arial"/>
          <w:kern w:val="28"/>
          <w:sz w:val="20"/>
          <w:szCs w:val="20"/>
        </w:rPr>
        <w:t>Dr.</w:t>
      </w:r>
      <w:proofErr w:type="spellEnd"/>
      <w:r w:rsidRPr="003A3A5E">
        <w:rPr>
          <w:rFonts w:ascii="Arial" w:eastAsia="Times New Roman" w:hAnsi="Arial" w:cs="Arial"/>
          <w:kern w:val="28"/>
          <w:sz w:val="20"/>
          <w:szCs w:val="20"/>
        </w:rPr>
        <w:t xml:space="preserve"> Mahmud Hamad Nasr, Graduate of </w:t>
      </w:r>
      <w:proofErr w:type="spellStart"/>
      <w:r w:rsidRPr="003A3A5E">
        <w:rPr>
          <w:rFonts w:ascii="Arial" w:eastAsia="Times New Roman" w:hAnsi="Arial" w:cs="Arial"/>
          <w:kern w:val="28"/>
          <w:sz w:val="20"/>
          <w:szCs w:val="20"/>
        </w:rPr>
        <w:t>Khartum</w:t>
      </w:r>
      <w:proofErr w:type="spellEnd"/>
      <w:r w:rsidRPr="003A3A5E">
        <w:rPr>
          <w:rFonts w:ascii="Arial" w:eastAsia="Times New Roman" w:hAnsi="Arial" w:cs="Arial"/>
          <w:kern w:val="28"/>
          <w:sz w:val="20"/>
          <w:szCs w:val="20"/>
        </w:rPr>
        <w:t xml:space="preserve"> University, Physician: King Hospital, Al-</w:t>
      </w:r>
      <w:proofErr w:type="spellStart"/>
      <w:r w:rsidRPr="003A3A5E">
        <w:rPr>
          <w:rFonts w:ascii="Arial" w:eastAsia="Times New Roman" w:hAnsi="Arial" w:cs="Arial"/>
          <w:kern w:val="28"/>
          <w:sz w:val="20"/>
          <w:szCs w:val="20"/>
        </w:rPr>
        <w:t>Madina</w:t>
      </w:r>
      <w:proofErr w:type="spellEnd"/>
      <w:r w:rsidRPr="003A3A5E">
        <w:rPr>
          <w:rFonts w:ascii="Arial" w:eastAsia="Times New Roman" w:hAnsi="Arial" w:cs="Arial"/>
          <w:kern w:val="28"/>
          <w:sz w:val="20"/>
          <w:szCs w:val="20"/>
        </w:rPr>
        <w:t xml:space="preserve"> and </w:t>
      </w:r>
      <w:proofErr w:type="spellStart"/>
      <w:r w:rsidRPr="003A3A5E">
        <w:rPr>
          <w:rFonts w:ascii="Arial" w:eastAsia="Times New Roman" w:hAnsi="Arial" w:cs="Arial"/>
          <w:kern w:val="28"/>
          <w:sz w:val="20"/>
          <w:szCs w:val="20"/>
        </w:rPr>
        <w:t>Dr.</w:t>
      </w:r>
      <w:proofErr w:type="spellEnd"/>
      <w:r w:rsidRPr="003A3A5E">
        <w:rPr>
          <w:rFonts w:ascii="Arial" w:eastAsia="Times New Roman" w:hAnsi="Arial" w:cs="Arial"/>
          <w:kern w:val="28"/>
          <w:sz w:val="20"/>
          <w:szCs w:val="20"/>
        </w:rPr>
        <w:t xml:space="preserve"> M. </w:t>
      </w:r>
      <w:proofErr w:type="spellStart"/>
      <w:r w:rsidRPr="003A3A5E">
        <w:rPr>
          <w:rFonts w:ascii="Arial" w:eastAsia="Times New Roman" w:hAnsi="Arial" w:cs="Arial"/>
          <w:kern w:val="28"/>
          <w:sz w:val="20"/>
          <w:szCs w:val="20"/>
        </w:rPr>
        <w:t>Taqi</w:t>
      </w:r>
      <w:proofErr w:type="spellEnd"/>
      <w:r w:rsidRPr="003A3A5E">
        <w:rPr>
          <w:rFonts w:ascii="Arial" w:eastAsia="Times New Roman" w:hAnsi="Arial" w:cs="Arial"/>
          <w:kern w:val="28"/>
          <w:sz w:val="20"/>
          <w:szCs w:val="20"/>
        </w:rPr>
        <w:t>-</w:t>
      </w:r>
      <w:proofErr w:type="spellStart"/>
      <w:r w:rsidRPr="003A3A5E">
        <w:rPr>
          <w:rFonts w:ascii="Arial" w:eastAsia="Times New Roman" w:hAnsi="Arial" w:cs="Arial"/>
          <w:kern w:val="28"/>
          <w:sz w:val="20"/>
          <w:szCs w:val="20"/>
        </w:rPr>
        <w:t>ud</w:t>
      </w:r>
      <w:proofErr w:type="spellEnd"/>
      <w:r w:rsidRPr="003A3A5E">
        <w:rPr>
          <w:rFonts w:ascii="Arial" w:eastAsia="Times New Roman" w:hAnsi="Arial" w:cs="Arial"/>
          <w:kern w:val="28"/>
          <w:sz w:val="20"/>
          <w:szCs w:val="20"/>
        </w:rPr>
        <w:t>-Din Al-</w:t>
      </w:r>
      <w:proofErr w:type="spellStart"/>
      <w:r w:rsidRPr="003A3A5E">
        <w:rPr>
          <w:rFonts w:ascii="Arial" w:eastAsia="Times New Roman" w:hAnsi="Arial" w:cs="Arial"/>
          <w:kern w:val="28"/>
          <w:sz w:val="20"/>
          <w:szCs w:val="20"/>
        </w:rPr>
        <w:t>Hilali</w:t>
      </w:r>
      <w:proofErr w:type="spellEnd"/>
      <w:r w:rsidRPr="003A3A5E">
        <w:rPr>
          <w:rFonts w:ascii="Arial" w:eastAsia="Times New Roman" w:hAnsi="Arial" w:cs="Arial"/>
          <w:kern w:val="28"/>
          <w:sz w:val="20"/>
          <w:szCs w:val="20"/>
        </w:rPr>
        <w:t>, PhD, Berlin University, Germany, Professor: Muhammad V University, Morocco, Islamic University,  Al-</w:t>
      </w:r>
      <w:proofErr w:type="spellStart"/>
      <w:r w:rsidRPr="003A3A5E">
        <w:rPr>
          <w:rFonts w:ascii="Arial" w:eastAsia="Times New Roman" w:hAnsi="Arial" w:cs="Arial"/>
          <w:kern w:val="28"/>
          <w:sz w:val="20"/>
          <w:szCs w:val="20"/>
        </w:rPr>
        <w:t>Madina</w:t>
      </w:r>
      <w:proofErr w:type="spellEnd"/>
      <w:r w:rsidRPr="003A3A5E">
        <w:rPr>
          <w:rFonts w:ascii="Arial" w:eastAsia="Times New Roman" w:hAnsi="Arial" w:cs="Arial"/>
          <w:kern w:val="28"/>
          <w:sz w:val="20"/>
          <w:szCs w:val="20"/>
        </w:rPr>
        <w:t xml:space="preserve">. The book of hadith is available online and the link is </w:t>
      </w:r>
      <w:r>
        <w:rPr>
          <w:rFonts w:ascii="Arial" w:eastAsia="Times New Roman" w:hAnsi="Arial" w:cs="Arial"/>
          <w:kern w:val="28"/>
          <w:sz w:val="20"/>
          <w:szCs w:val="20"/>
        </w:rPr>
        <w:t xml:space="preserve">at </w:t>
      </w:r>
      <w:hyperlink r:id="rId8" w:history="1">
        <w:r w:rsidRPr="00B70B8A">
          <w:rPr>
            <w:rStyle w:val="Hyperlink"/>
            <w:rFonts w:ascii="Arial" w:eastAsia="Times New Roman" w:hAnsi="Arial" w:cs="Arial"/>
            <w:kern w:val="28"/>
            <w:sz w:val="20"/>
            <w:szCs w:val="20"/>
          </w:rPr>
          <w:t>http://www.dar-us-salam.com/inside/H01-Bukhari_Vol-1.pdf</w:t>
        </w:r>
      </w:hyperlink>
      <w:r>
        <w:rPr>
          <w:rFonts w:ascii="Arial" w:eastAsia="Times New Roman" w:hAnsi="Arial" w:cs="Arial"/>
          <w:kern w:val="28"/>
          <w:sz w:val="20"/>
          <w:szCs w:val="20"/>
        </w:rPr>
        <w:t xml:space="preserve">. </w:t>
      </w:r>
      <w:r w:rsidRPr="003A3A5E">
        <w:rPr>
          <w:rFonts w:ascii="Arial" w:eastAsia="Times New Roman" w:hAnsi="Arial" w:cs="Arial"/>
          <w:kern w:val="28"/>
          <w:sz w:val="20"/>
          <w:szCs w:val="20"/>
        </w:rPr>
        <w:t xml:space="preserve"> Also it is available </w:t>
      </w:r>
      <w:r>
        <w:rPr>
          <w:rFonts w:ascii="Arial" w:eastAsia="Times New Roman" w:hAnsi="Arial" w:cs="Arial"/>
          <w:kern w:val="28"/>
          <w:sz w:val="20"/>
          <w:szCs w:val="20"/>
        </w:rPr>
        <w:t xml:space="preserve">at </w:t>
      </w:r>
      <w:hyperlink r:id="rId9" w:history="1">
        <w:r w:rsidRPr="00B70B8A">
          <w:rPr>
            <w:rStyle w:val="Hyperlink"/>
            <w:rFonts w:ascii="Arial" w:eastAsia="Times New Roman" w:hAnsi="Arial" w:cs="Arial"/>
            <w:kern w:val="28"/>
            <w:sz w:val="20"/>
            <w:szCs w:val="20"/>
          </w:rPr>
          <w:t>www.sunnah.com</w:t>
        </w:r>
      </w:hyperlink>
      <w:r>
        <w:rPr>
          <w:rFonts w:ascii="Arial" w:eastAsia="Times New Roman" w:hAnsi="Arial" w:cs="Arial"/>
          <w:kern w:val="28"/>
          <w:sz w:val="20"/>
          <w:szCs w:val="20"/>
        </w:rPr>
        <w:t xml:space="preserve">. </w:t>
      </w:r>
    </w:p>
    <w:p w:rsidR="0032672B" w:rsidRDefault="00C80C4C" w:rsidP="00440936">
      <w:pPr>
        <w:widowControl w:val="0"/>
        <w:overflowPunct w:val="0"/>
        <w:autoSpaceDE w:val="0"/>
        <w:autoSpaceDN w:val="0"/>
        <w:adjustRightInd w:val="0"/>
        <w:spacing w:line="480" w:lineRule="auto"/>
        <w:ind w:right="-472"/>
        <w:jc w:val="both"/>
        <w:rPr>
          <w:rFonts w:ascii="Arial" w:eastAsia="Times New Roman" w:hAnsi="Arial" w:cs="Arial"/>
          <w:kern w:val="28"/>
          <w:sz w:val="20"/>
          <w:szCs w:val="20"/>
          <w:u w:val="single"/>
        </w:rPr>
      </w:pPr>
      <w:r>
        <w:rPr>
          <w:rFonts w:ascii="Arial" w:eastAsia="Times New Roman" w:hAnsi="Arial" w:cs="Arial"/>
          <w:kern w:val="28"/>
          <w:sz w:val="20"/>
          <w:szCs w:val="20"/>
          <w:u w:val="single"/>
        </w:rPr>
        <w:t xml:space="preserve">Existing literature in the </w:t>
      </w:r>
      <w:r w:rsidR="007519CB">
        <w:rPr>
          <w:rFonts w:ascii="Arial" w:eastAsia="Times New Roman" w:hAnsi="Arial" w:cs="Arial"/>
          <w:kern w:val="28"/>
          <w:sz w:val="20"/>
          <w:szCs w:val="20"/>
          <w:u w:val="single"/>
        </w:rPr>
        <w:t>field</w:t>
      </w:r>
    </w:p>
    <w:p w:rsidR="007A2407" w:rsidRPr="005D7CDE" w:rsidRDefault="00E0127F" w:rsidP="007A2407">
      <w:pPr>
        <w:widowControl w:val="0"/>
        <w:overflowPunct w:val="0"/>
        <w:autoSpaceDE w:val="0"/>
        <w:autoSpaceDN w:val="0"/>
        <w:adjustRightInd w:val="0"/>
        <w:spacing w:line="480" w:lineRule="auto"/>
        <w:ind w:right="-471"/>
        <w:jc w:val="both"/>
        <w:rPr>
          <w:rFonts w:ascii="Arial" w:hAnsi="Arial" w:cs="Arial"/>
          <w:sz w:val="20"/>
          <w:szCs w:val="20"/>
          <w:shd w:val="clear" w:color="auto" w:fill="FFFFFF"/>
        </w:rPr>
      </w:pPr>
      <w:r>
        <w:rPr>
          <w:rFonts w:ascii="Arial" w:eastAsia="Times New Roman" w:hAnsi="Arial" w:cs="Arial"/>
          <w:kern w:val="28"/>
          <w:sz w:val="20"/>
          <w:szCs w:val="20"/>
        </w:rPr>
        <w:t>Prior to World Trade Organisation ascension and achieving trade related intellectual property rights (TRIPS) compliance</w:t>
      </w:r>
      <w:r w:rsidR="007B2728" w:rsidRPr="007B2728">
        <w:rPr>
          <w:rFonts w:ascii="Arial" w:eastAsia="Times New Roman" w:hAnsi="Arial" w:cs="Arial"/>
          <w:kern w:val="28"/>
          <w:sz w:val="20"/>
          <w:szCs w:val="20"/>
        </w:rPr>
        <w:t>, the Gulf states offere</w:t>
      </w:r>
      <w:r w:rsidR="00F366C4">
        <w:rPr>
          <w:rFonts w:ascii="Arial" w:eastAsia="Times New Roman" w:hAnsi="Arial" w:cs="Arial"/>
          <w:kern w:val="28"/>
          <w:sz w:val="20"/>
          <w:szCs w:val="20"/>
        </w:rPr>
        <w:t>d limited legal recourse for intellectual property right</w:t>
      </w:r>
      <w:r w:rsidR="007B2728" w:rsidRPr="007B2728">
        <w:rPr>
          <w:rFonts w:ascii="Arial" w:eastAsia="Times New Roman" w:hAnsi="Arial" w:cs="Arial"/>
          <w:kern w:val="28"/>
          <w:sz w:val="20"/>
          <w:szCs w:val="20"/>
        </w:rPr>
        <w:t xml:space="preserve"> holders (</w:t>
      </w:r>
      <w:proofErr w:type="spellStart"/>
      <w:r w:rsidR="007B2728" w:rsidRPr="007B2728">
        <w:rPr>
          <w:rFonts w:ascii="Arial" w:eastAsia="Times New Roman" w:hAnsi="Arial" w:cs="Arial"/>
          <w:kern w:val="28"/>
          <w:sz w:val="20"/>
          <w:szCs w:val="20"/>
        </w:rPr>
        <w:t>Abou</w:t>
      </w:r>
      <w:proofErr w:type="spellEnd"/>
      <w:r w:rsidR="007B2728" w:rsidRPr="007B2728">
        <w:rPr>
          <w:rFonts w:ascii="Arial" w:eastAsia="Times New Roman" w:hAnsi="Arial" w:cs="Arial"/>
          <w:kern w:val="28"/>
          <w:sz w:val="20"/>
          <w:szCs w:val="20"/>
        </w:rPr>
        <w:t xml:space="preserve"> El </w:t>
      </w:r>
      <w:proofErr w:type="spellStart"/>
      <w:r w:rsidR="007B2728" w:rsidRPr="007B2728">
        <w:rPr>
          <w:rFonts w:ascii="Arial" w:eastAsia="Times New Roman" w:hAnsi="Arial" w:cs="Arial"/>
          <w:kern w:val="28"/>
          <w:sz w:val="20"/>
          <w:szCs w:val="20"/>
        </w:rPr>
        <w:t>Fadl</w:t>
      </w:r>
      <w:proofErr w:type="spellEnd"/>
      <w:r w:rsidR="007B2728" w:rsidRPr="007B2728">
        <w:rPr>
          <w:rFonts w:ascii="Arial" w:eastAsia="Times New Roman" w:hAnsi="Arial" w:cs="Arial"/>
          <w:kern w:val="28"/>
          <w:sz w:val="20"/>
          <w:szCs w:val="20"/>
        </w:rPr>
        <w:t xml:space="preserve"> </w:t>
      </w:r>
      <w:r w:rsidR="007B2728" w:rsidRPr="005D7CDE">
        <w:rPr>
          <w:rFonts w:ascii="Arial" w:eastAsia="Times New Roman" w:hAnsi="Arial" w:cs="Arial"/>
          <w:kern w:val="28"/>
          <w:sz w:val="20"/>
          <w:szCs w:val="20"/>
        </w:rPr>
        <w:t>2001, Braga 1998, Carrol 2001, Maskus 1995, Ballantyne 1986 and Price 2009). The sub-continent as a whole was an agrarian economy, lacking intellectual property legislation and protection.</w:t>
      </w:r>
      <w:r w:rsidR="001A536F" w:rsidRPr="005D7CDE">
        <w:rPr>
          <w:rFonts w:ascii="Arial" w:eastAsia="Times New Roman" w:hAnsi="Arial" w:cs="Arial"/>
          <w:kern w:val="28"/>
          <w:sz w:val="20"/>
          <w:szCs w:val="20"/>
        </w:rPr>
        <w:t xml:space="preserve"> </w:t>
      </w:r>
      <w:r w:rsidR="001A536F" w:rsidRPr="005D7CDE">
        <w:rPr>
          <w:rFonts w:ascii="Arial" w:hAnsi="Arial" w:cs="Arial"/>
          <w:sz w:val="20"/>
          <w:szCs w:val="20"/>
          <w:shd w:val="clear" w:color="auto" w:fill="FFFFFF"/>
        </w:rPr>
        <w:t xml:space="preserve">The Gulf region, pre TRIPS, was mainly influenced by international intellectual property rules that began during the colonial era. </w:t>
      </w:r>
      <w:r w:rsidR="001A536F" w:rsidRPr="005D7CDE">
        <w:rPr>
          <w:rFonts w:ascii="Arial" w:hAnsi="Arial" w:cs="Arial"/>
          <w:sz w:val="20"/>
          <w:szCs w:val="20"/>
          <w:shd w:val="clear" w:color="auto" w:fill="FFFFFF"/>
        </w:rPr>
        <w:lastRenderedPageBreak/>
        <w:t>As colonial powers imposed their respective legal regimes in their colonies, variations of intellectual property protection and regimes emerged in developing countries</w:t>
      </w:r>
      <w:r w:rsidR="001A536F" w:rsidRPr="005D7CDE">
        <w:rPr>
          <w:rStyle w:val="FootnoteReference"/>
          <w:rFonts w:ascii="Arial" w:hAnsi="Arial" w:cs="Arial"/>
          <w:shd w:val="clear" w:color="auto" w:fill="FFFFFF"/>
        </w:rPr>
        <w:footnoteReference w:id="6"/>
      </w:r>
      <w:r w:rsidR="001A536F" w:rsidRPr="005D7CDE">
        <w:rPr>
          <w:rFonts w:ascii="Arial" w:hAnsi="Arial" w:cs="Arial"/>
          <w:sz w:val="20"/>
          <w:szCs w:val="20"/>
          <w:shd w:val="clear" w:color="auto" w:fill="FFFFFF"/>
        </w:rPr>
        <w:t xml:space="preserve">. </w:t>
      </w:r>
      <w:r w:rsidR="007A2407" w:rsidRPr="005D7CDE">
        <w:rPr>
          <w:rFonts w:ascii="Arial" w:eastAsia="Times New Roman" w:hAnsi="Arial" w:cs="Arial"/>
          <w:kern w:val="28"/>
          <w:sz w:val="20"/>
          <w:szCs w:val="20"/>
        </w:rPr>
        <w:t xml:space="preserve"> Intellectual property protectio</w:t>
      </w:r>
      <w:r w:rsidR="001A536F" w:rsidRPr="005D7CDE">
        <w:rPr>
          <w:rFonts w:ascii="Arial" w:eastAsia="Times New Roman" w:hAnsi="Arial" w:cs="Arial"/>
          <w:kern w:val="28"/>
          <w:sz w:val="20"/>
          <w:szCs w:val="20"/>
        </w:rPr>
        <w:t>n in the Arab world is not a Western</w:t>
      </w:r>
      <w:r w:rsidR="007A2407" w:rsidRPr="005D7CDE">
        <w:rPr>
          <w:rFonts w:ascii="Arial" w:eastAsia="Times New Roman" w:hAnsi="Arial" w:cs="Arial"/>
          <w:kern w:val="28"/>
          <w:sz w:val="20"/>
          <w:szCs w:val="20"/>
        </w:rPr>
        <w:t xml:space="preserve"> phenomenon</w:t>
      </w:r>
      <w:r w:rsidR="00F64C71" w:rsidRPr="005D7CDE">
        <w:rPr>
          <w:rFonts w:ascii="Arial" w:eastAsia="Times New Roman" w:hAnsi="Arial" w:cs="Arial"/>
          <w:kern w:val="28"/>
          <w:sz w:val="20"/>
          <w:szCs w:val="20"/>
        </w:rPr>
        <w:t xml:space="preserve"> and existed</w:t>
      </w:r>
      <w:r w:rsidR="001A536F" w:rsidRPr="005D7CDE">
        <w:rPr>
          <w:rFonts w:ascii="Arial" w:eastAsia="Times New Roman" w:hAnsi="Arial" w:cs="Arial"/>
          <w:kern w:val="28"/>
          <w:sz w:val="20"/>
          <w:szCs w:val="20"/>
        </w:rPr>
        <w:t xml:space="preserve"> pre-colonialism</w:t>
      </w:r>
      <w:r w:rsidR="007A2407" w:rsidRPr="005D7CDE">
        <w:rPr>
          <w:rFonts w:ascii="Arial" w:eastAsia="Times New Roman" w:hAnsi="Arial" w:cs="Arial"/>
          <w:kern w:val="28"/>
          <w:sz w:val="20"/>
          <w:szCs w:val="20"/>
        </w:rPr>
        <w:t>. Poetry was highly regarded and copyright infringement of such works was heavily disapproved of</w:t>
      </w:r>
      <w:r w:rsidR="007A2407" w:rsidRPr="005D7CDE">
        <w:rPr>
          <w:rStyle w:val="FootnoteReference"/>
          <w:rFonts w:ascii="Arial" w:eastAsia="Times New Roman" w:hAnsi="Arial" w:cs="Arial"/>
          <w:kern w:val="28"/>
          <w:sz w:val="20"/>
          <w:szCs w:val="20"/>
        </w:rPr>
        <w:footnoteReference w:id="7"/>
      </w:r>
      <w:r w:rsidR="007A2407" w:rsidRPr="005D7CDE">
        <w:rPr>
          <w:rFonts w:ascii="Arial" w:eastAsia="Times New Roman" w:hAnsi="Arial" w:cs="Arial"/>
          <w:kern w:val="28"/>
          <w:sz w:val="20"/>
          <w:szCs w:val="20"/>
        </w:rPr>
        <w:t xml:space="preserve">. </w:t>
      </w:r>
    </w:p>
    <w:p w:rsidR="007519CB" w:rsidRPr="005D7CDE" w:rsidRDefault="007519CB" w:rsidP="007A2407">
      <w:pPr>
        <w:widowControl w:val="0"/>
        <w:overflowPunct w:val="0"/>
        <w:autoSpaceDE w:val="0"/>
        <w:autoSpaceDN w:val="0"/>
        <w:adjustRightInd w:val="0"/>
        <w:spacing w:line="480" w:lineRule="auto"/>
        <w:ind w:right="-471"/>
        <w:jc w:val="both"/>
        <w:rPr>
          <w:rFonts w:ascii="Arial" w:eastAsia="Times New Roman" w:hAnsi="Arial" w:cs="Arial"/>
          <w:kern w:val="28"/>
          <w:sz w:val="20"/>
          <w:szCs w:val="20"/>
        </w:rPr>
      </w:pPr>
      <w:r w:rsidRPr="005D7CDE">
        <w:rPr>
          <w:rFonts w:ascii="Arial" w:eastAsia="Times New Roman" w:hAnsi="Arial" w:cs="Arial"/>
          <w:kern w:val="28"/>
          <w:sz w:val="20"/>
          <w:szCs w:val="20"/>
        </w:rPr>
        <w:t>Price (2009) highlighted</w:t>
      </w:r>
      <w:r w:rsidR="007A2407" w:rsidRPr="005D7CDE">
        <w:rPr>
          <w:rFonts w:ascii="Arial" w:eastAsia="Times New Roman" w:hAnsi="Arial" w:cs="Arial"/>
          <w:kern w:val="28"/>
          <w:sz w:val="20"/>
          <w:szCs w:val="20"/>
        </w:rPr>
        <w:t xml:space="preserve"> the </w:t>
      </w:r>
      <w:r w:rsidRPr="005D7CDE">
        <w:rPr>
          <w:rFonts w:ascii="Arial" w:eastAsia="Times New Roman" w:hAnsi="Arial" w:cs="Arial"/>
          <w:kern w:val="28"/>
          <w:sz w:val="20"/>
          <w:szCs w:val="20"/>
        </w:rPr>
        <w:t>rapid growth of intellectual property laws in the GCC states</w:t>
      </w:r>
      <w:r w:rsidR="007A2407" w:rsidRPr="005D7CDE">
        <w:rPr>
          <w:rFonts w:ascii="Arial" w:eastAsia="Times New Roman" w:hAnsi="Arial" w:cs="Arial"/>
          <w:kern w:val="28"/>
          <w:sz w:val="20"/>
          <w:szCs w:val="20"/>
        </w:rPr>
        <w:t xml:space="preserve"> and pressure from developed countries to conform to pro-west standards</w:t>
      </w:r>
      <w:r w:rsidR="007A2407" w:rsidRPr="005D7CDE">
        <w:rPr>
          <w:rStyle w:val="FootnoteReference"/>
          <w:rFonts w:ascii="Arial" w:eastAsia="Times New Roman" w:hAnsi="Arial" w:cs="Arial"/>
          <w:kern w:val="28"/>
          <w:sz w:val="20"/>
          <w:szCs w:val="20"/>
        </w:rPr>
        <w:footnoteReference w:id="8"/>
      </w:r>
      <w:r w:rsidR="007A2407" w:rsidRPr="005D7CDE">
        <w:rPr>
          <w:rFonts w:ascii="Arial" w:eastAsia="Times New Roman" w:hAnsi="Arial" w:cs="Arial"/>
          <w:kern w:val="28"/>
          <w:sz w:val="20"/>
          <w:szCs w:val="20"/>
        </w:rPr>
        <w:t xml:space="preserve">. Price’s work focuses on </w:t>
      </w:r>
      <w:r w:rsidRPr="005D7CDE">
        <w:rPr>
          <w:rFonts w:ascii="Arial" w:eastAsia="Times New Roman" w:hAnsi="Arial" w:cs="Arial"/>
          <w:kern w:val="28"/>
          <w:sz w:val="20"/>
          <w:szCs w:val="20"/>
        </w:rPr>
        <w:t xml:space="preserve">how </w:t>
      </w:r>
      <w:r w:rsidR="007A2407" w:rsidRPr="005D7CDE">
        <w:rPr>
          <w:rFonts w:ascii="Arial" w:eastAsia="Times New Roman" w:hAnsi="Arial" w:cs="Arial"/>
          <w:kern w:val="28"/>
          <w:sz w:val="20"/>
          <w:szCs w:val="20"/>
        </w:rPr>
        <w:t xml:space="preserve">the Gulf </w:t>
      </w:r>
      <w:r w:rsidRPr="005D7CDE">
        <w:rPr>
          <w:rFonts w:ascii="Arial" w:eastAsia="Times New Roman" w:hAnsi="Arial" w:cs="Arial"/>
          <w:kern w:val="28"/>
          <w:sz w:val="20"/>
          <w:szCs w:val="20"/>
        </w:rPr>
        <w:t>states</w:t>
      </w:r>
      <w:r w:rsidR="007A2407" w:rsidRPr="005D7CDE">
        <w:rPr>
          <w:rFonts w:ascii="Arial" w:eastAsia="Times New Roman" w:hAnsi="Arial" w:cs="Arial"/>
          <w:kern w:val="28"/>
          <w:sz w:val="20"/>
          <w:szCs w:val="20"/>
        </w:rPr>
        <w:t xml:space="preserve"> have undergone dramatic intellectual property development in a short span of a few de</w:t>
      </w:r>
      <w:r w:rsidRPr="005D7CDE">
        <w:rPr>
          <w:rFonts w:ascii="Arial" w:eastAsia="Times New Roman" w:hAnsi="Arial" w:cs="Arial"/>
          <w:kern w:val="28"/>
          <w:sz w:val="20"/>
          <w:szCs w:val="20"/>
        </w:rPr>
        <w:t xml:space="preserve">cades. </w:t>
      </w:r>
      <w:proofErr w:type="spellStart"/>
      <w:r w:rsidRPr="005D7CDE">
        <w:rPr>
          <w:rFonts w:ascii="Arial" w:eastAsia="Times New Roman" w:hAnsi="Arial" w:cs="Arial"/>
          <w:kern w:val="28"/>
          <w:sz w:val="20"/>
          <w:szCs w:val="20"/>
        </w:rPr>
        <w:t>Beltrametti</w:t>
      </w:r>
      <w:proofErr w:type="spellEnd"/>
      <w:r w:rsidRPr="005D7CDE">
        <w:rPr>
          <w:rFonts w:ascii="Arial" w:eastAsia="Times New Roman" w:hAnsi="Arial" w:cs="Arial"/>
          <w:kern w:val="28"/>
          <w:sz w:val="20"/>
          <w:szCs w:val="20"/>
        </w:rPr>
        <w:t xml:space="preserve"> (2010) raised</w:t>
      </w:r>
      <w:r w:rsidR="007A2407" w:rsidRPr="005D7CDE">
        <w:rPr>
          <w:rFonts w:ascii="Arial" w:eastAsia="Times New Roman" w:hAnsi="Arial" w:cs="Arial"/>
          <w:kern w:val="28"/>
          <w:sz w:val="20"/>
          <w:szCs w:val="20"/>
        </w:rPr>
        <w:t xml:space="preserve"> important question</w:t>
      </w:r>
      <w:r w:rsidRPr="005D7CDE">
        <w:rPr>
          <w:rFonts w:ascii="Arial" w:eastAsia="Times New Roman" w:hAnsi="Arial" w:cs="Arial"/>
          <w:kern w:val="28"/>
          <w:sz w:val="20"/>
          <w:szCs w:val="20"/>
        </w:rPr>
        <w:t>s</w:t>
      </w:r>
      <w:r w:rsidR="007A2407" w:rsidRPr="005D7CDE">
        <w:rPr>
          <w:rFonts w:ascii="Arial" w:eastAsia="Times New Roman" w:hAnsi="Arial" w:cs="Arial"/>
          <w:kern w:val="28"/>
          <w:sz w:val="20"/>
          <w:szCs w:val="20"/>
        </w:rPr>
        <w:t xml:space="preserve"> on the effectiveness of intellectual property laws that are made by Islamic states and this is crucial to producing valid research</w:t>
      </w:r>
      <w:r w:rsidR="007A2407" w:rsidRPr="005D7CDE">
        <w:rPr>
          <w:rStyle w:val="FootnoteReference"/>
          <w:rFonts w:ascii="Arial" w:eastAsia="Times New Roman" w:hAnsi="Arial" w:cs="Arial"/>
          <w:kern w:val="28"/>
          <w:sz w:val="20"/>
          <w:szCs w:val="20"/>
        </w:rPr>
        <w:footnoteReference w:id="9"/>
      </w:r>
      <w:r w:rsidR="007A2407" w:rsidRPr="005D7CDE">
        <w:rPr>
          <w:rFonts w:ascii="Arial" w:eastAsia="Times New Roman" w:hAnsi="Arial" w:cs="Arial"/>
          <w:kern w:val="28"/>
          <w:sz w:val="20"/>
          <w:szCs w:val="20"/>
        </w:rPr>
        <w:t>.</w:t>
      </w:r>
    </w:p>
    <w:p w:rsidR="009F564B" w:rsidRPr="005D7CDE" w:rsidRDefault="00DF17D1" w:rsidP="00E0127F">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5D7CDE">
        <w:rPr>
          <w:rFonts w:ascii="Arial" w:eastAsia="Times New Roman" w:hAnsi="Arial" w:cs="Arial"/>
          <w:kern w:val="28"/>
          <w:sz w:val="20"/>
          <w:szCs w:val="20"/>
        </w:rPr>
        <w:t>In terms of the economic value of intellectual property, a</w:t>
      </w:r>
      <w:r w:rsidR="009F564B" w:rsidRPr="005D7CDE">
        <w:rPr>
          <w:rFonts w:ascii="Arial" w:eastAsia="Times New Roman" w:hAnsi="Arial" w:cs="Arial"/>
          <w:kern w:val="28"/>
          <w:sz w:val="20"/>
          <w:szCs w:val="20"/>
        </w:rPr>
        <w:t xml:space="preserve"> common </w:t>
      </w:r>
      <w:r w:rsidRPr="005D7CDE">
        <w:rPr>
          <w:rFonts w:ascii="Arial" w:eastAsia="Times New Roman" w:hAnsi="Arial" w:cs="Arial"/>
          <w:kern w:val="28"/>
          <w:sz w:val="20"/>
          <w:szCs w:val="20"/>
        </w:rPr>
        <w:t xml:space="preserve">accepted </w:t>
      </w:r>
      <w:r w:rsidR="009F564B" w:rsidRPr="005D7CDE">
        <w:rPr>
          <w:rFonts w:ascii="Arial" w:eastAsia="Times New Roman" w:hAnsi="Arial" w:cs="Arial"/>
          <w:kern w:val="28"/>
          <w:sz w:val="20"/>
          <w:szCs w:val="20"/>
        </w:rPr>
        <w:t xml:space="preserve">view among economists </w:t>
      </w:r>
      <w:r w:rsidRPr="005D7CDE">
        <w:rPr>
          <w:rFonts w:ascii="Arial" w:eastAsia="Times New Roman" w:hAnsi="Arial" w:cs="Arial"/>
          <w:kern w:val="28"/>
          <w:sz w:val="20"/>
          <w:szCs w:val="20"/>
        </w:rPr>
        <w:t xml:space="preserve">is </w:t>
      </w:r>
      <w:r w:rsidR="009F564B" w:rsidRPr="005D7CDE">
        <w:rPr>
          <w:rFonts w:ascii="Arial" w:eastAsia="Times New Roman" w:hAnsi="Arial" w:cs="Arial"/>
          <w:kern w:val="28"/>
          <w:sz w:val="20"/>
          <w:szCs w:val="20"/>
        </w:rPr>
        <w:t>that trade liberalisation is an engine for economic development</w:t>
      </w:r>
      <w:r w:rsidR="009F564B" w:rsidRPr="005D7CDE">
        <w:rPr>
          <w:rStyle w:val="FootnoteReference"/>
          <w:rFonts w:ascii="Arial" w:eastAsia="Times New Roman" w:hAnsi="Arial" w:cs="Arial"/>
          <w:kern w:val="28"/>
        </w:rPr>
        <w:footnoteReference w:id="10"/>
      </w:r>
      <w:r w:rsidR="009F564B" w:rsidRPr="005D7CDE">
        <w:rPr>
          <w:rFonts w:ascii="Arial" w:eastAsia="Times New Roman" w:hAnsi="Arial" w:cs="Arial"/>
          <w:kern w:val="28"/>
          <w:sz w:val="20"/>
          <w:szCs w:val="20"/>
        </w:rPr>
        <w:t>. Empirical evidence to date highlights the importance of trade for economic growth in developing countries</w:t>
      </w:r>
      <w:r w:rsidR="009F564B" w:rsidRPr="005D7CDE">
        <w:rPr>
          <w:rStyle w:val="FootnoteReference"/>
          <w:rFonts w:ascii="Arial" w:eastAsia="Times New Roman" w:hAnsi="Arial" w:cs="Arial"/>
          <w:kern w:val="28"/>
        </w:rPr>
        <w:footnoteReference w:id="11"/>
      </w:r>
      <w:r w:rsidR="009F564B" w:rsidRPr="005D7CDE">
        <w:rPr>
          <w:rFonts w:ascii="Arial" w:eastAsia="Times New Roman" w:hAnsi="Arial" w:cs="Arial"/>
          <w:kern w:val="28"/>
          <w:sz w:val="20"/>
          <w:szCs w:val="20"/>
        </w:rPr>
        <w:t>. However, states with politically instability have struggled to enforce macroeconomic policies towards trade reform and the role of foreign investment is ambiguous</w:t>
      </w:r>
      <w:r w:rsidR="009F564B" w:rsidRPr="005D7CDE">
        <w:rPr>
          <w:rStyle w:val="FootnoteReference"/>
          <w:rFonts w:ascii="Arial" w:eastAsia="Times New Roman" w:hAnsi="Arial" w:cs="Arial"/>
          <w:kern w:val="28"/>
        </w:rPr>
        <w:footnoteReference w:id="12"/>
      </w:r>
      <w:r w:rsidR="009F564B" w:rsidRPr="005D7CDE">
        <w:rPr>
          <w:rFonts w:ascii="Arial" w:eastAsia="Times New Roman" w:hAnsi="Arial" w:cs="Arial"/>
          <w:kern w:val="28"/>
          <w:sz w:val="20"/>
          <w:szCs w:val="20"/>
        </w:rPr>
        <w:t>. Transparency in intellectual property development and legislation is also a contributing factor</w:t>
      </w:r>
      <w:r w:rsidR="009F564B" w:rsidRPr="005D7CDE">
        <w:rPr>
          <w:rStyle w:val="FootnoteReference"/>
          <w:rFonts w:ascii="Arial" w:eastAsia="Times New Roman" w:hAnsi="Arial" w:cs="Arial"/>
          <w:kern w:val="28"/>
        </w:rPr>
        <w:footnoteReference w:id="13"/>
      </w:r>
      <w:r w:rsidR="009F564B" w:rsidRPr="005D7CDE">
        <w:rPr>
          <w:rFonts w:ascii="Arial" w:eastAsia="Times New Roman" w:hAnsi="Arial" w:cs="Arial"/>
          <w:kern w:val="28"/>
          <w:sz w:val="20"/>
          <w:szCs w:val="20"/>
        </w:rPr>
        <w:t xml:space="preserve">. Economists argue international trade under the guise of bilateral and multilateral agreements remains unfair to developing </w:t>
      </w:r>
      <w:r w:rsidRPr="005D7CDE">
        <w:rPr>
          <w:rFonts w:ascii="Arial" w:eastAsia="Times New Roman" w:hAnsi="Arial" w:cs="Arial"/>
          <w:kern w:val="28"/>
          <w:sz w:val="20"/>
          <w:szCs w:val="20"/>
        </w:rPr>
        <w:t>s</w:t>
      </w:r>
      <w:r w:rsidR="009F564B" w:rsidRPr="005D7CDE">
        <w:rPr>
          <w:rFonts w:ascii="Arial" w:eastAsia="Times New Roman" w:hAnsi="Arial" w:cs="Arial"/>
          <w:kern w:val="28"/>
          <w:sz w:val="20"/>
          <w:szCs w:val="20"/>
        </w:rPr>
        <w:t xml:space="preserve">tates, given that the large proportion of benefits from trade are amassed by developed </w:t>
      </w:r>
      <w:r w:rsidR="009F564B" w:rsidRPr="005D7CDE">
        <w:rPr>
          <w:rFonts w:ascii="Arial" w:eastAsia="Times New Roman" w:hAnsi="Arial" w:cs="Arial"/>
          <w:kern w:val="28"/>
          <w:sz w:val="20"/>
          <w:szCs w:val="20"/>
        </w:rPr>
        <w:lastRenderedPageBreak/>
        <w:t>countries</w:t>
      </w:r>
      <w:r w:rsidR="009F564B" w:rsidRPr="005D7CDE">
        <w:rPr>
          <w:rStyle w:val="FootnoteReference"/>
          <w:rFonts w:ascii="Arial" w:eastAsia="Times New Roman" w:hAnsi="Arial" w:cs="Arial"/>
          <w:kern w:val="28"/>
        </w:rPr>
        <w:footnoteReference w:id="14"/>
      </w:r>
      <w:r w:rsidR="009F564B" w:rsidRPr="005D7CDE">
        <w:rPr>
          <w:rFonts w:ascii="Arial" w:eastAsia="Times New Roman" w:hAnsi="Arial" w:cs="Arial"/>
          <w:kern w:val="28"/>
          <w:sz w:val="20"/>
          <w:szCs w:val="20"/>
        </w:rPr>
        <w:t>.</w:t>
      </w:r>
    </w:p>
    <w:p w:rsidR="00F64C71" w:rsidRDefault="009F564B" w:rsidP="009F564B">
      <w:pPr>
        <w:widowControl w:val="0"/>
        <w:overflowPunct w:val="0"/>
        <w:autoSpaceDE w:val="0"/>
        <w:autoSpaceDN w:val="0"/>
        <w:adjustRightInd w:val="0"/>
        <w:spacing w:line="480" w:lineRule="auto"/>
        <w:ind w:right="-471"/>
        <w:jc w:val="both"/>
        <w:rPr>
          <w:rFonts w:ascii="Arial" w:eastAsia="Times New Roman" w:hAnsi="Arial" w:cs="Arial"/>
          <w:kern w:val="28"/>
          <w:sz w:val="20"/>
          <w:szCs w:val="20"/>
        </w:rPr>
      </w:pPr>
      <w:r w:rsidRPr="00155DAC">
        <w:rPr>
          <w:rFonts w:ascii="Arial" w:eastAsia="Times New Roman" w:hAnsi="Arial" w:cs="Arial"/>
          <w:kern w:val="28"/>
          <w:sz w:val="20"/>
          <w:szCs w:val="20"/>
        </w:rPr>
        <w:t xml:space="preserve">There is </w:t>
      </w:r>
      <w:proofErr w:type="spellStart"/>
      <w:r w:rsidRPr="00155DAC">
        <w:rPr>
          <w:rFonts w:ascii="Arial" w:eastAsia="Times New Roman" w:hAnsi="Arial" w:cs="Arial"/>
          <w:kern w:val="28"/>
          <w:sz w:val="20"/>
          <w:szCs w:val="20"/>
        </w:rPr>
        <w:t>scholary</w:t>
      </w:r>
      <w:proofErr w:type="spellEnd"/>
      <w:r w:rsidR="00812D54">
        <w:rPr>
          <w:rFonts w:ascii="Arial" w:eastAsia="Times New Roman" w:hAnsi="Arial" w:cs="Arial"/>
          <w:kern w:val="28"/>
          <w:sz w:val="20"/>
          <w:szCs w:val="20"/>
        </w:rPr>
        <w:t xml:space="preserve"> work </w:t>
      </w:r>
      <w:r>
        <w:rPr>
          <w:rFonts w:ascii="Arial" w:eastAsia="Times New Roman" w:hAnsi="Arial" w:cs="Arial"/>
          <w:kern w:val="28"/>
          <w:sz w:val="20"/>
          <w:szCs w:val="20"/>
        </w:rPr>
        <w:t>on</w:t>
      </w:r>
      <w:r w:rsidRPr="00155DAC">
        <w:rPr>
          <w:rFonts w:ascii="Arial" w:eastAsia="Times New Roman" w:hAnsi="Arial" w:cs="Arial"/>
          <w:kern w:val="28"/>
          <w:sz w:val="20"/>
          <w:szCs w:val="20"/>
        </w:rPr>
        <w:t xml:space="preserve"> the economic impact of intellectual property and</w:t>
      </w:r>
      <w:r w:rsidR="00812D54">
        <w:rPr>
          <w:rFonts w:ascii="Arial" w:eastAsia="Times New Roman" w:hAnsi="Arial" w:cs="Arial"/>
          <w:kern w:val="28"/>
          <w:sz w:val="20"/>
          <w:szCs w:val="20"/>
        </w:rPr>
        <w:t xml:space="preserve"> how the level of intellectual property protection a state can demonstrate influences the amount of foreign investment made</w:t>
      </w:r>
      <w:r w:rsidRPr="00155DAC">
        <w:rPr>
          <w:rStyle w:val="FootnoteReference"/>
          <w:rFonts w:ascii="Arial" w:eastAsia="Times New Roman" w:hAnsi="Arial" w:cs="Arial"/>
          <w:kern w:val="28"/>
        </w:rPr>
        <w:footnoteReference w:id="15"/>
      </w:r>
      <w:r w:rsidRPr="00155DAC">
        <w:rPr>
          <w:rFonts w:ascii="Arial" w:eastAsia="Times New Roman" w:hAnsi="Arial" w:cs="Arial"/>
          <w:kern w:val="28"/>
          <w:sz w:val="20"/>
          <w:szCs w:val="20"/>
        </w:rPr>
        <w:t>.</w:t>
      </w:r>
      <w:r>
        <w:rPr>
          <w:rFonts w:ascii="Arial" w:eastAsia="Times New Roman" w:hAnsi="Arial" w:cs="Arial"/>
          <w:kern w:val="28"/>
          <w:sz w:val="20"/>
          <w:szCs w:val="20"/>
        </w:rPr>
        <w:t xml:space="preserve"> Although the general body of literature supports economic growth through stronger intellectual property laws, there is very little empirical data to measure the economic impact of intellectual property rights at varying points of time</w:t>
      </w:r>
      <w:r>
        <w:rPr>
          <w:rStyle w:val="FootnoteReference"/>
          <w:rFonts w:ascii="Arial" w:eastAsia="Times New Roman" w:hAnsi="Arial" w:cs="Arial"/>
          <w:kern w:val="28"/>
        </w:rPr>
        <w:footnoteReference w:id="16"/>
      </w:r>
      <w:r>
        <w:rPr>
          <w:rFonts w:ascii="Arial" w:eastAsia="Times New Roman" w:hAnsi="Arial" w:cs="Arial"/>
          <w:kern w:val="28"/>
          <w:sz w:val="20"/>
          <w:szCs w:val="20"/>
        </w:rPr>
        <w:t>.</w:t>
      </w:r>
      <w:r w:rsidR="008A788D">
        <w:rPr>
          <w:rFonts w:ascii="Arial" w:eastAsia="Times New Roman" w:hAnsi="Arial" w:cs="Arial"/>
          <w:kern w:val="28"/>
          <w:sz w:val="20"/>
          <w:szCs w:val="20"/>
        </w:rPr>
        <w:t xml:space="preserve"> In relation to the TTIP, the research is concentrating on the proposed intellectual property chapter</w:t>
      </w:r>
      <w:r w:rsidR="00C46616">
        <w:rPr>
          <w:rFonts w:ascii="Arial" w:eastAsia="Times New Roman" w:hAnsi="Arial" w:cs="Arial"/>
          <w:kern w:val="28"/>
          <w:sz w:val="20"/>
          <w:szCs w:val="20"/>
        </w:rPr>
        <w:t xml:space="preserve"> as up until October 2014, all negotiations on the TTIP were classified</w:t>
      </w:r>
      <w:r w:rsidR="00C46616">
        <w:rPr>
          <w:rStyle w:val="FootnoteReference"/>
          <w:rFonts w:ascii="Arial" w:eastAsia="Times New Roman" w:hAnsi="Arial" w:cs="Arial"/>
          <w:kern w:val="28"/>
          <w:sz w:val="20"/>
          <w:szCs w:val="20"/>
        </w:rPr>
        <w:footnoteReference w:id="17"/>
      </w:r>
      <w:r w:rsidR="00C46616">
        <w:rPr>
          <w:rFonts w:ascii="Arial" w:eastAsia="Times New Roman" w:hAnsi="Arial" w:cs="Arial"/>
          <w:kern w:val="28"/>
          <w:sz w:val="20"/>
          <w:szCs w:val="20"/>
        </w:rPr>
        <w:t>.</w:t>
      </w:r>
      <w:r w:rsidR="008C4B86">
        <w:rPr>
          <w:rFonts w:ascii="Arial" w:eastAsia="Times New Roman" w:hAnsi="Arial" w:cs="Arial"/>
          <w:kern w:val="28"/>
          <w:sz w:val="20"/>
          <w:szCs w:val="20"/>
        </w:rPr>
        <w:t xml:space="preserve"> Questions have arisen on the transparency of the TTIP and </w:t>
      </w:r>
      <w:r w:rsidR="00877EFD">
        <w:rPr>
          <w:rFonts w:ascii="Arial" w:eastAsia="Times New Roman" w:hAnsi="Arial" w:cs="Arial"/>
          <w:kern w:val="28"/>
          <w:sz w:val="20"/>
          <w:szCs w:val="20"/>
        </w:rPr>
        <w:t>that it is un</w:t>
      </w:r>
      <w:r w:rsidR="0078763C">
        <w:rPr>
          <w:rFonts w:ascii="Arial" w:eastAsia="Times New Roman" w:hAnsi="Arial" w:cs="Arial"/>
          <w:kern w:val="28"/>
          <w:sz w:val="20"/>
          <w:szCs w:val="20"/>
        </w:rPr>
        <w:t>democratic</w:t>
      </w:r>
      <w:r w:rsidR="0078763C">
        <w:rPr>
          <w:rStyle w:val="FootnoteReference"/>
          <w:rFonts w:ascii="Arial" w:eastAsia="Times New Roman" w:hAnsi="Arial" w:cs="Arial"/>
          <w:kern w:val="28"/>
          <w:sz w:val="20"/>
          <w:szCs w:val="20"/>
        </w:rPr>
        <w:footnoteReference w:id="18"/>
      </w:r>
      <w:r w:rsidR="00877EFD">
        <w:rPr>
          <w:rFonts w:ascii="Arial" w:eastAsia="Times New Roman" w:hAnsi="Arial" w:cs="Arial"/>
          <w:kern w:val="28"/>
          <w:sz w:val="20"/>
          <w:szCs w:val="20"/>
        </w:rPr>
        <w:t>.</w:t>
      </w:r>
      <w:r w:rsidR="009F4177">
        <w:rPr>
          <w:rFonts w:ascii="Arial" w:eastAsia="Times New Roman" w:hAnsi="Arial" w:cs="Arial"/>
          <w:kern w:val="28"/>
          <w:sz w:val="20"/>
          <w:szCs w:val="20"/>
        </w:rPr>
        <w:t xml:space="preserve"> The US and EU existing trade relationship is already the biggest in the world and therefore what additional benefits the TTIP aims to bring need to be understood.</w:t>
      </w:r>
      <w:r w:rsidR="000368AB">
        <w:rPr>
          <w:rFonts w:ascii="Arial" w:eastAsia="Times New Roman" w:hAnsi="Arial" w:cs="Arial"/>
          <w:kern w:val="28"/>
          <w:sz w:val="20"/>
          <w:szCs w:val="20"/>
        </w:rPr>
        <w:t xml:space="preserve"> In regard to the GCC states, this paper analyses the TTIP agreement,</w:t>
      </w:r>
      <w:r w:rsidR="0059200D">
        <w:rPr>
          <w:rFonts w:ascii="Arial" w:eastAsia="Times New Roman" w:hAnsi="Arial" w:cs="Arial"/>
          <w:kern w:val="28"/>
          <w:sz w:val="20"/>
          <w:szCs w:val="20"/>
        </w:rPr>
        <w:t xml:space="preserve"> intellectual property and ISDS provisions and highlights a need for the GCC states and other developing Islamic countries to assess the impact of the TTIP and ISDS on their rule of law and governance.</w:t>
      </w:r>
    </w:p>
    <w:p w:rsidR="001504FA" w:rsidRDefault="001504FA" w:rsidP="001504FA">
      <w:pPr>
        <w:spacing w:after="100" w:afterAutospacing="1" w:line="480" w:lineRule="auto"/>
        <w:jc w:val="both"/>
        <w:rPr>
          <w:rFonts w:ascii="Arial" w:hAnsi="Arial" w:cs="Arial"/>
          <w:sz w:val="20"/>
          <w:szCs w:val="20"/>
        </w:rPr>
      </w:pPr>
      <w:r w:rsidRPr="001504FA">
        <w:rPr>
          <w:rFonts w:ascii="Arial" w:hAnsi="Arial" w:cs="Arial"/>
          <w:sz w:val="20"/>
          <w:szCs w:val="20"/>
          <w:u w:val="single"/>
        </w:rPr>
        <w:t>TTIP on intellectual property and international trade</w:t>
      </w:r>
      <w:r w:rsidRPr="001504FA">
        <w:rPr>
          <w:rFonts w:ascii="Arial" w:hAnsi="Arial" w:cs="Arial"/>
          <w:sz w:val="20"/>
          <w:szCs w:val="20"/>
        </w:rPr>
        <w:t xml:space="preserve"> </w:t>
      </w:r>
    </w:p>
    <w:p w:rsidR="00474FA9" w:rsidRDefault="001504FA" w:rsidP="00100EE0">
      <w:pPr>
        <w:spacing w:after="100" w:afterAutospacing="1" w:line="480" w:lineRule="auto"/>
        <w:jc w:val="both"/>
        <w:rPr>
          <w:rFonts w:ascii="Arial" w:hAnsi="Arial" w:cs="Arial"/>
          <w:sz w:val="20"/>
          <w:szCs w:val="20"/>
        </w:rPr>
      </w:pPr>
      <w:r>
        <w:rPr>
          <w:rFonts w:ascii="Arial" w:hAnsi="Arial" w:cs="Arial"/>
          <w:sz w:val="20"/>
          <w:szCs w:val="20"/>
        </w:rPr>
        <w:t>As the EU-US TTIP is aiming to conclude by end of 2014</w:t>
      </w:r>
      <w:r w:rsidR="00DC6DE3">
        <w:rPr>
          <w:rFonts w:ascii="Arial" w:hAnsi="Arial" w:cs="Arial"/>
          <w:sz w:val="20"/>
          <w:szCs w:val="20"/>
        </w:rPr>
        <w:t>/ early 2015</w:t>
      </w:r>
      <w:r>
        <w:rPr>
          <w:rFonts w:ascii="Arial" w:hAnsi="Arial" w:cs="Arial"/>
          <w:sz w:val="20"/>
          <w:szCs w:val="20"/>
        </w:rPr>
        <w:t xml:space="preserve">, the GCC has an opportunity to reassess its relationship with both the EU and GCC. Up until now, the GCC was able to enter into negotiations with the EU and US relatively independently. However where the EU and US can agree, there will be a harmonisation of regulations. This therefore has repercussions for the GCC which will be </w:t>
      </w:r>
      <w:r>
        <w:rPr>
          <w:rFonts w:ascii="Arial" w:hAnsi="Arial" w:cs="Arial"/>
          <w:sz w:val="20"/>
          <w:szCs w:val="20"/>
        </w:rPr>
        <w:lastRenderedPageBreak/>
        <w:t xml:space="preserve">further analysed in this paper. </w:t>
      </w:r>
      <w:r w:rsidR="00573018">
        <w:rPr>
          <w:rFonts w:ascii="Arial" w:hAnsi="Arial" w:cs="Arial"/>
          <w:sz w:val="20"/>
          <w:szCs w:val="20"/>
        </w:rPr>
        <w:t xml:space="preserve">The TTIP </w:t>
      </w:r>
      <w:r w:rsidR="00C11BD9">
        <w:rPr>
          <w:rFonts w:ascii="Arial" w:hAnsi="Arial" w:cs="Arial"/>
          <w:sz w:val="20"/>
          <w:szCs w:val="20"/>
        </w:rPr>
        <w:t>has three main aims;</w:t>
      </w:r>
      <w:r w:rsidR="00573018">
        <w:rPr>
          <w:rFonts w:ascii="Arial" w:hAnsi="Arial" w:cs="Arial"/>
          <w:sz w:val="20"/>
          <w:szCs w:val="20"/>
        </w:rPr>
        <w:t xml:space="preserve"> to increase</w:t>
      </w:r>
      <w:r w:rsidR="00573018" w:rsidRPr="00573018">
        <w:rPr>
          <w:rFonts w:ascii="Arial" w:hAnsi="Arial" w:cs="Arial"/>
          <w:sz w:val="20"/>
          <w:szCs w:val="20"/>
        </w:rPr>
        <w:t xml:space="preserve"> trade an</w:t>
      </w:r>
      <w:r w:rsidR="00573018">
        <w:rPr>
          <w:rFonts w:ascii="Arial" w:hAnsi="Arial" w:cs="Arial"/>
          <w:sz w:val="20"/>
          <w:szCs w:val="20"/>
        </w:rPr>
        <w:t>d investment</w:t>
      </w:r>
      <w:r w:rsidR="00C11BD9">
        <w:rPr>
          <w:rFonts w:ascii="Arial" w:hAnsi="Arial" w:cs="Arial"/>
          <w:sz w:val="20"/>
          <w:szCs w:val="20"/>
        </w:rPr>
        <w:t xml:space="preserve"> through market access</w:t>
      </w:r>
      <w:r w:rsidR="00573018">
        <w:rPr>
          <w:rFonts w:ascii="Arial" w:hAnsi="Arial" w:cs="Arial"/>
          <w:sz w:val="20"/>
          <w:szCs w:val="20"/>
        </w:rPr>
        <w:t xml:space="preserve">, increase employment and </w:t>
      </w:r>
      <w:r w:rsidR="00C11BD9">
        <w:rPr>
          <w:rFonts w:ascii="Arial" w:hAnsi="Arial" w:cs="Arial"/>
          <w:sz w:val="20"/>
          <w:szCs w:val="20"/>
        </w:rPr>
        <w:t>competitiveness and create a harmonised approach to global trade</w:t>
      </w:r>
      <w:r w:rsidR="00C11BD9">
        <w:rPr>
          <w:rStyle w:val="FootnoteReference"/>
          <w:rFonts w:ascii="Arial" w:hAnsi="Arial" w:cs="Arial"/>
          <w:sz w:val="20"/>
          <w:szCs w:val="20"/>
        </w:rPr>
        <w:footnoteReference w:id="19"/>
      </w:r>
      <w:r w:rsidR="00C11BD9">
        <w:rPr>
          <w:rFonts w:ascii="Arial" w:hAnsi="Arial" w:cs="Arial"/>
          <w:sz w:val="20"/>
          <w:szCs w:val="20"/>
        </w:rPr>
        <w:t xml:space="preserve">. </w:t>
      </w:r>
      <w:r w:rsidR="00573018" w:rsidRPr="00573018">
        <w:rPr>
          <w:rFonts w:ascii="Arial" w:hAnsi="Arial" w:cs="Arial"/>
          <w:sz w:val="20"/>
          <w:szCs w:val="20"/>
        </w:rPr>
        <w:t xml:space="preserve"> </w:t>
      </w:r>
      <w:r w:rsidR="00E4321F">
        <w:rPr>
          <w:rFonts w:ascii="Arial" w:hAnsi="Arial" w:cs="Arial"/>
          <w:sz w:val="20"/>
          <w:szCs w:val="20"/>
        </w:rPr>
        <w:t>In order to harmonise global trade, the EU and US aim to harmonise their intellectua</w:t>
      </w:r>
      <w:r w:rsidR="002746FD">
        <w:rPr>
          <w:rFonts w:ascii="Arial" w:hAnsi="Arial" w:cs="Arial"/>
          <w:sz w:val="20"/>
          <w:szCs w:val="20"/>
        </w:rPr>
        <w:t>l property rights through an intellectual property rights</w:t>
      </w:r>
      <w:r w:rsidR="00E4321F">
        <w:rPr>
          <w:rFonts w:ascii="Arial" w:hAnsi="Arial" w:cs="Arial"/>
          <w:sz w:val="20"/>
          <w:szCs w:val="20"/>
        </w:rPr>
        <w:t xml:space="preserve"> chapter that deals specifically with </w:t>
      </w:r>
      <w:r w:rsidR="00242083">
        <w:rPr>
          <w:rFonts w:ascii="Arial" w:hAnsi="Arial" w:cs="Arial"/>
          <w:sz w:val="20"/>
          <w:szCs w:val="20"/>
        </w:rPr>
        <w:t>enhancing protection</w:t>
      </w:r>
      <w:r w:rsidR="00D12E3D">
        <w:rPr>
          <w:rFonts w:ascii="Arial" w:hAnsi="Arial" w:cs="Arial"/>
          <w:sz w:val="20"/>
          <w:szCs w:val="20"/>
        </w:rPr>
        <w:t xml:space="preserve"> and recognition</w:t>
      </w:r>
      <w:r w:rsidR="00242083">
        <w:rPr>
          <w:rFonts w:ascii="Arial" w:hAnsi="Arial" w:cs="Arial"/>
          <w:sz w:val="20"/>
          <w:szCs w:val="20"/>
        </w:rPr>
        <w:t xml:space="preserve"> for geographical </w:t>
      </w:r>
      <w:r w:rsidR="00620414">
        <w:rPr>
          <w:rFonts w:ascii="Arial" w:hAnsi="Arial" w:cs="Arial"/>
          <w:sz w:val="20"/>
          <w:szCs w:val="20"/>
        </w:rPr>
        <w:t xml:space="preserve">indications, build on TRIPS and </w:t>
      </w:r>
      <w:r w:rsidR="00954292">
        <w:rPr>
          <w:rFonts w:ascii="Arial" w:hAnsi="Arial" w:cs="Arial"/>
          <w:sz w:val="20"/>
          <w:szCs w:val="20"/>
        </w:rPr>
        <w:t>patentability</w:t>
      </w:r>
      <w:r w:rsidR="00D12E3D">
        <w:rPr>
          <w:rStyle w:val="FootnoteReference"/>
          <w:rFonts w:ascii="Arial" w:hAnsi="Arial" w:cs="Arial"/>
          <w:sz w:val="20"/>
          <w:szCs w:val="20"/>
        </w:rPr>
        <w:footnoteReference w:id="20"/>
      </w:r>
      <w:r w:rsidR="00E61822">
        <w:rPr>
          <w:rFonts w:ascii="Arial" w:hAnsi="Arial" w:cs="Arial"/>
          <w:sz w:val="20"/>
          <w:szCs w:val="20"/>
        </w:rPr>
        <w:t>.</w:t>
      </w:r>
      <w:r w:rsidR="00CA4289">
        <w:rPr>
          <w:rFonts w:ascii="Arial" w:hAnsi="Arial" w:cs="Arial"/>
          <w:sz w:val="20"/>
          <w:szCs w:val="20"/>
        </w:rPr>
        <w:t xml:space="preserve"> </w:t>
      </w:r>
      <w:proofErr w:type="spellStart"/>
      <w:r w:rsidR="00C25B52" w:rsidRPr="009A54A8">
        <w:rPr>
          <w:rFonts w:ascii="Arial" w:hAnsi="Arial" w:cs="Arial"/>
          <w:sz w:val="20"/>
          <w:szCs w:val="20"/>
        </w:rPr>
        <w:t>Marietje</w:t>
      </w:r>
      <w:proofErr w:type="spellEnd"/>
      <w:r w:rsidR="00C25B52" w:rsidRPr="009A54A8">
        <w:rPr>
          <w:rFonts w:ascii="Arial" w:hAnsi="Arial" w:cs="Arial"/>
          <w:sz w:val="20"/>
          <w:szCs w:val="20"/>
        </w:rPr>
        <w:t xml:space="preserve"> </w:t>
      </w:r>
      <w:proofErr w:type="spellStart"/>
      <w:r w:rsidR="00C25B52" w:rsidRPr="009A54A8">
        <w:rPr>
          <w:rFonts w:ascii="Arial" w:hAnsi="Arial" w:cs="Arial"/>
          <w:sz w:val="20"/>
          <w:szCs w:val="20"/>
        </w:rPr>
        <w:t>Schaake</w:t>
      </w:r>
      <w:proofErr w:type="spellEnd"/>
      <w:r w:rsidR="00C25B52" w:rsidRPr="009A54A8">
        <w:rPr>
          <w:rFonts w:ascii="Arial" w:hAnsi="Arial" w:cs="Arial"/>
          <w:sz w:val="20"/>
          <w:szCs w:val="20"/>
        </w:rPr>
        <w:t>, member of the European P</w:t>
      </w:r>
      <w:r w:rsidR="00C25B52">
        <w:rPr>
          <w:rFonts w:ascii="Arial" w:hAnsi="Arial" w:cs="Arial"/>
          <w:sz w:val="20"/>
          <w:szCs w:val="20"/>
        </w:rPr>
        <w:t xml:space="preserve">arliament for the Liberal Group organised a conference on intellectual property in the TTIP through the </w:t>
      </w:r>
      <w:r w:rsidR="008C3D92">
        <w:rPr>
          <w:rFonts w:ascii="Arial" w:hAnsi="Arial" w:cs="Arial"/>
          <w:sz w:val="20"/>
          <w:szCs w:val="20"/>
        </w:rPr>
        <w:t xml:space="preserve">Alliance of Liberals and Democrats for Europe entitled </w:t>
      </w:r>
      <w:r w:rsidR="008C3D92" w:rsidRPr="009A54A8">
        <w:rPr>
          <w:rFonts w:ascii="Arial" w:hAnsi="Arial" w:cs="Arial"/>
          <w:sz w:val="20"/>
          <w:szCs w:val="20"/>
        </w:rPr>
        <w:t>“What Role for Intellectu</w:t>
      </w:r>
      <w:r w:rsidR="008C3D92">
        <w:rPr>
          <w:rFonts w:ascii="Arial" w:hAnsi="Arial" w:cs="Arial"/>
          <w:sz w:val="20"/>
          <w:szCs w:val="20"/>
        </w:rPr>
        <w:t xml:space="preserve">al Property Rights in the TTIP? </w:t>
      </w:r>
      <w:r w:rsidR="006E28AE">
        <w:rPr>
          <w:rFonts w:ascii="Arial" w:hAnsi="Arial" w:cs="Arial"/>
          <w:sz w:val="20"/>
          <w:szCs w:val="20"/>
        </w:rPr>
        <w:t>On 15</w:t>
      </w:r>
      <w:r w:rsidR="006E28AE" w:rsidRPr="006E28AE">
        <w:rPr>
          <w:rFonts w:ascii="Arial" w:hAnsi="Arial" w:cs="Arial"/>
          <w:sz w:val="20"/>
          <w:szCs w:val="20"/>
          <w:vertAlign w:val="superscript"/>
        </w:rPr>
        <w:t>th</w:t>
      </w:r>
      <w:r w:rsidR="006E28AE">
        <w:rPr>
          <w:rFonts w:ascii="Arial" w:hAnsi="Arial" w:cs="Arial"/>
          <w:sz w:val="20"/>
          <w:szCs w:val="20"/>
        </w:rPr>
        <w:t xml:space="preserve"> May 2013. </w:t>
      </w:r>
      <w:r w:rsidR="008C3D92">
        <w:rPr>
          <w:rFonts w:ascii="Arial" w:hAnsi="Arial" w:cs="Arial"/>
          <w:sz w:val="20"/>
          <w:szCs w:val="20"/>
        </w:rPr>
        <w:t xml:space="preserve">Guest speakers included </w:t>
      </w:r>
      <w:r w:rsidR="009A54A8" w:rsidRPr="009A54A8">
        <w:rPr>
          <w:rFonts w:ascii="Arial" w:hAnsi="Arial" w:cs="Arial"/>
          <w:sz w:val="20"/>
          <w:szCs w:val="20"/>
        </w:rPr>
        <w:t xml:space="preserve">Bernd </w:t>
      </w:r>
      <w:proofErr w:type="spellStart"/>
      <w:r w:rsidR="009A54A8" w:rsidRPr="009A54A8">
        <w:rPr>
          <w:rFonts w:ascii="Arial" w:hAnsi="Arial" w:cs="Arial"/>
          <w:sz w:val="20"/>
          <w:szCs w:val="20"/>
        </w:rPr>
        <w:t>Hugenholtz</w:t>
      </w:r>
      <w:proofErr w:type="spellEnd"/>
      <w:r w:rsidR="009A54A8" w:rsidRPr="009A54A8">
        <w:rPr>
          <w:rFonts w:ascii="Arial" w:hAnsi="Arial" w:cs="Arial"/>
          <w:sz w:val="20"/>
          <w:szCs w:val="20"/>
        </w:rPr>
        <w:t>, director of the Inst</w:t>
      </w:r>
      <w:r w:rsidR="006E28AE">
        <w:rPr>
          <w:rFonts w:ascii="Arial" w:hAnsi="Arial" w:cs="Arial"/>
          <w:sz w:val="20"/>
          <w:szCs w:val="20"/>
        </w:rPr>
        <w:t>itute for Information Law</w:t>
      </w:r>
      <w:r w:rsidR="009A54A8" w:rsidRPr="009A54A8">
        <w:rPr>
          <w:rFonts w:ascii="Arial" w:hAnsi="Arial" w:cs="Arial"/>
          <w:sz w:val="20"/>
          <w:szCs w:val="20"/>
        </w:rPr>
        <w:t xml:space="preserve"> at the Uni</w:t>
      </w:r>
      <w:r w:rsidR="009A54A8">
        <w:rPr>
          <w:rFonts w:ascii="Arial" w:hAnsi="Arial" w:cs="Arial"/>
          <w:sz w:val="20"/>
          <w:szCs w:val="20"/>
        </w:rPr>
        <w:t>versity of Brusse</w:t>
      </w:r>
      <w:r w:rsidR="008C3D92">
        <w:rPr>
          <w:rFonts w:ascii="Arial" w:hAnsi="Arial" w:cs="Arial"/>
          <w:sz w:val="20"/>
          <w:szCs w:val="20"/>
        </w:rPr>
        <w:t>ls who</w:t>
      </w:r>
      <w:r w:rsidR="009A54A8">
        <w:rPr>
          <w:rFonts w:ascii="Arial" w:hAnsi="Arial" w:cs="Arial"/>
          <w:sz w:val="20"/>
          <w:szCs w:val="20"/>
        </w:rPr>
        <w:t xml:space="preserve"> </w:t>
      </w:r>
      <w:r w:rsidR="009A54A8" w:rsidRPr="009A54A8">
        <w:rPr>
          <w:rFonts w:ascii="Arial" w:hAnsi="Arial" w:cs="Arial"/>
          <w:sz w:val="20"/>
          <w:szCs w:val="20"/>
        </w:rPr>
        <w:t xml:space="preserve">spoke </w:t>
      </w:r>
      <w:r w:rsidR="003A496C" w:rsidRPr="009A54A8">
        <w:rPr>
          <w:rFonts w:ascii="Arial" w:hAnsi="Arial" w:cs="Arial"/>
          <w:sz w:val="20"/>
          <w:szCs w:val="20"/>
        </w:rPr>
        <w:t>on the</w:t>
      </w:r>
      <w:r w:rsidR="008C3D92">
        <w:rPr>
          <w:rFonts w:ascii="Arial" w:hAnsi="Arial" w:cs="Arial"/>
          <w:sz w:val="20"/>
          <w:szCs w:val="20"/>
        </w:rPr>
        <w:t xml:space="preserve"> intellectual property chapter. D</w:t>
      </w:r>
      <w:r w:rsidR="009A54A8" w:rsidRPr="009A54A8">
        <w:rPr>
          <w:rFonts w:ascii="Arial" w:hAnsi="Arial" w:cs="Arial"/>
          <w:sz w:val="20"/>
          <w:szCs w:val="20"/>
        </w:rPr>
        <w:t>uring the meeting</w:t>
      </w:r>
      <w:r w:rsidR="008C3D92">
        <w:rPr>
          <w:rFonts w:ascii="Arial" w:hAnsi="Arial" w:cs="Arial"/>
          <w:sz w:val="20"/>
          <w:szCs w:val="20"/>
        </w:rPr>
        <w:t>, questions were raised</w:t>
      </w:r>
      <w:r w:rsidR="009A54A8" w:rsidRPr="009A54A8">
        <w:rPr>
          <w:rFonts w:ascii="Arial" w:hAnsi="Arial" w:cs="Arial"/>
          <w:sz w:val="20"/>
          <w:szCs w:val="20"/>
        </w:rPr>
        <w:t xml:space="preserve"> </w:t>
      </w:r>
      <w:r w:rsidR="008C3D92">
        <w:rPr>
          <w:rFonts w:ascii="Arial" w:hAnsi="Arial" w:cs="Arial"/>
          <w:sz w:val="20"/>
          <w:szCs w:val="20"/>
        </w:rPr>
        <w:t xml:space="preserve">over </w:t>
      </w:r>
      <w:r w:rsidR="009A54A8" w:rsidRPr="009A54A8">
        <w:rPr>
          <w:rFonts w:ascii="Arial" w:hAnsi="Arial" w:cs="Arial"/>
          <w:sz w:val="20"/>
          <w:szCs w:val="20"/>
        </w:rPr>
        <w:t>the lack of transparency of free trade negotiations</w:t>
      </w:r>
      <w:r w:rsidR="003A496C">
        <w:rPr>
          <w:rFonts w:ascii="Arial" w:hAnsi="Arial" w:cs="Arial"/>
          <w:sz w:val="20"/>
          <w:szCs w:val="20"/>
        </w:rPr>
        <w:t xml:space="preserve"> and to not</w:t>
      </w:r>
      <w:r w:rsidR="00651678">
        <w:rPr>
          <w:rFonts w:ascii="Arial" w:hAnsi="Arial" w:cs="Arial"/>
          <w:sz w:val="20"/>
          <w:szCs w:val="20"/>
        </w:rPr>
        <w:t xml:space="preserve"> repeat the mistakes of the a</w:t>
      </w:r>
      <w:r w:rsidR="003A496C">
        <w:rPr>
          <w:rFonts w:ascii="Arial" w:hAnsi="Arial" w:cs="Arial"/>
          <w:sz w:val="20"/>
          <w:szCs w:val="20"/>
        </w:rPr>
        <w:t>nti-counterfeiting trade agreement</w:t>
      </w:r>
      <w:r w:rsidR="003A496C">
        <w:rPr>
          <w:rStyle w:val="FootnoteReference"/>
          <w:rFonts w:ascii="Arial" w:hAnsi="Arial" w:cs="Arial"/>
          <w:sz w:val="20"/>
          <w:szCs w:val="20"/>
        </w:rPr>
        <w:footnoteReference w:id="21"/>
      </w:r>
      <w:r w:rsidR="009A54A8" w:rsidRPr="009A54A8">
        <w:rPr>
          <w:rFonts w:ascii="Arial" w:hAnsi="Arial" w:cs="Arial"/>
          <w:sz w:val="20"/>
          <w:szCs w:val="20"/>
        </w:rPr>
        <w:t>.</w:t>
      </w:r>
      <w:r w:rsidR="000F3211">
        <w:rPr>
          <w:rFonts w:ascii="Arial" w:hAnsi="Arial" w:cs="Arial"/>
          <w:sz w:val="20"/>
          <w:szCs w:val="20"/>
        </w:rPr>
        <w:t xml:space="preserve">  </w:t>
      </w:r>
    </w:p>
    <w:p w:rsidR="00B42F1F" w:rsidRDefault="000F3211" w:rsidP="003031F0">
      <w:pPr>
        <w:spacing w:after="0" w:line="480" w:lineRule="auto"/>
        <w:jc w:val="both"/>
        <w:rPr>
          <w:rFonts w:ascii="Arial" w:hAnsi="Arial" w:cs="Arial"/>
          <w:sz w:val="20"/>
          <w:szCs w:val="20"/>
        </w:rPr>
      </w:pPr>
      <w:r>
        <w:rPr>
          <w:rFonts w:ascii="Arial" w:hAnsi="Arial" w:cs="Arial"/>
          <w:sz w:val="20"/>
          <w:szCs w:val="20"/>
        </w:rPr>
        <w:t>The main furore against an intellectual property chapter in the TTIP is due to the fears that the TTIP could place more extensive</w:t>
      </w:r>
      <w:r w:rsidRPr="000F3211">
        <w:rPr>
          <w:rFonts w:ascii="Arial" w:hAnsi="Arial" w:cs="Arial"/>
          <w:sz w:val="20"/>
          <w:szCs w:val="20"/>
        </w:rPr>
        <w:t xml:space="preserve"> legal powers in the h</w:t>
      </w:r>
      <w:r>
        <w:rPr>
          <w:rFonts w:ascii="Arial" w:hAnsi="Arial" w:cs="Arial"/>
          <w:sz w:val="20"/>
          <w:szCs w:val="20"/>
        </w:rPr>
        <w:t xml:space="preserve">ands of big business which in turn </w:t>
      </w:r>
      <w:r w:rsidR="00691DBB">
        <w:rPr>
          <w:rFonts w:ascii="Arial" w:hAnsi="Arial" w:cs="Arial"/>
          <w:sz w:val="20"/>
          <w:szCs w:val="20"/>
        </w:rPr>
        <w:t>has been perceived as</w:t>
      </w:r>
      <w:r>
        <w:rPr>
          <w:rFonts w:ascii="Arial" w:hAnsi="Arial" w:cs="Arial"/>
          <w:sz w:val="20"/>
          <w:szCs w:val="20"/>
        </w:rPr>
        <w:t xml:space="preserve"> </w:t>
      </w:r>
      <w:r w:rsidRPr="000F3211">
        <w:rPr>
          <w:rFonts w:ascii="Arial" w:hAnsi="Arial" w:cs="Arial"/>
          <w:sz w:val="20"/>
          <w:szCs w:val="20"/>
        </w:rPr>
        <w:t>an attemp</w:t>
      </w:r>
      <w:r>
        <w:rPr>
          <w:rFonts w:ascii="Arial" w:hAnsi="Arial" w:cs="Arial"/>
          <w:sz w:val="20"/>
          <w:szCs w:val="20"/>
        </w:rPr>
        <w:t xml:space="preserve">t by both the US and EU corporations to </w:t>
      </w:r>
      <w:r w:rsidRPr="000F3211">
        <w:rPr>
          <w:rFonts w:ascii="Arial" w:hAnsi="Arial" w:cs="Arial"/>
          <w:sz w:val="20"/>
          <w:szCs w:val="20"/>
        </w:rPr>
        <w:t>revive the spirit of t</w:t>
      </w:r>
      <w:r>
        <w:rPr>
          <w:rFonts w:ascii="Arial" w:hAnsi="Arial" w:cs="Arial"/>
          <w:sz w:val="20"/>
          <w:szCs w:val="20"/>
        </w:rPr>
        <w:t>he defunct anti-counterfeiting trade a</w:t>
      </w:r>
      <w:r w:rsidRPr="000F3211">
        <w:rPr>
          <w:rFonts w:ascii="Arial" w:hAnsi="Arial" w:cs="Arial"/>
          <w:sz w:val="20"/>
          <w:szCs w:val="20"/>
        </w:rPr>
        <w:t>greement</w:t>
      </w:r>
      <w:r>
        <w:rPr>
          <w:rFonts w:ascii="Arial" w:hAnsi="Arial" w:cs="Arial"/>
          <w:sz w:val="20"/>
          <w:szCs w:val="20"/>
        </w:rPr>
        <w:t xml:space="preserve"> (ACTA). </w:t>
      </w:r>
      <w:r w:rsidR="007651DB">
        <w:rPr>
          <w:rFonts w:ascii="Arial" w:hAnsi="Arial" w:cs="Arial"/>
          <w:sz w:val="20"/>
          <w:szCs w:val="20"/>
        </w:rPr>
        <w:t xml:space="preserve">It seems remnants of </w:t>
      </w:r>
      <w:r>
        <w:rPr>
          <w:rFonts w:ascii="Arial" w:hAnsi="Arial" w:cs="Arial"/>
          <w:sz w:val="20"/>
          <w:szCs w:val="20"/>
        </w:rPr>
        <w:t>ACTA</w:t>
      </w:r>
      <w:r w:rsidR="007651DB">
        <w:rPr>
          <w:rFonts w:ascii="Arial" w:hAnsi="Arial" w:cs="Arial"/>
          <w:sz w:val="20"/>
          <w:szCs w:val="20"/>
        </w:rPr>
        <w:t>,</w:t>
      </w:r>
      <w:r w:rsidRPr="000F3211">
        <w:rPr>
          <w:rFonts w:ascii="Arial" w:hAnsi="Arial" w:cs="Arial"/>
          <w:sz w:val="20"/>
          <w:szCs w:val="20"/>
        </w:rPr>
        <w:t xml:space="preserve"> </w:t>
      </w:r>
      <w:r>
        <w:rPr>
          <w:rFonts w:ascii="Arial" w:hAnsi="Arial" w:cs="Arial"/>
          <w:sz w:val="20"/>
          <w:szCs w:val="20"/>
        </w:rPr>
        <w:t xml:space="preserve">which was successfully </w:t>
      </w:r>
      <w:r w:rsidRPr="000F3211">
        <w:rPr>
          <w:rFonts w:ascii="Arial" w:hAnsi="Arial" w:cs="Arial"/>
          <w:sz w:val="20"/>
          <w:szCs w:val="20"/>
        </w:rPr>
        <w:t>defeated</w:t>
      </w:r>
      <w:r w:rsidR="007651DB">
        <w:rPr>
          <w:rFonts w:ascii="Arial" w:hAnsi="Arial" w:cs="Arial"/>
          <w:sz w:val="20"/>
          <w:szCs w:val="20"/>
        </w:rPr>
        <w:t xml:space="preserve"> in the European Parliament in 2012</w:t>
      </w:r>
      <w:r w:rsidR="00691DBB">
        <w:rPr>
          <w:rStyle w:val="FootnoteReference"/>
          <w:rFonts w:ascii="Arial" w:hAnsi="Arial" w:cs="Arial"/>
          <w:sz w:val="20"/>
          <w:szCs w:val="20"/>
        </w:rPr>
        <w:footnoteReference w:id="22"/>
      </w:r>
      <w:r w:rsidR="007651DB">
        <w:rPr>
          <w:rFonts w:ascii="Arial" w:hAnsi="Arial" w:cs="Arial"/>
          <w:sz w:val="20"/>
          <w:szCs w:val="20"/>
        </w:rPr>
        <w:t>, are creeping back in through the intellectual property chapter</w:t>
      </w:r>
      <w:r w:rsidRPr="000F3211">
        <w:rPr>
          <w:rFonts w:ascii="Arial" w:hAnsi="Arial" w:cs="Arial"/>
          <w:sz w:val="20"/>
          <w:szCs w:val="20"/>
        </w:rPr>
        <w:t xml:space="preserve">. </w:t>
      </w:r>
      <w:r w:rsidR="007651DB">
        <w:rPr>
          <w:rFonts w:ascii="Arial" w:hAnsi="Arial" w:cs="Arial"/>
          <w:sz w:val="20"/>
          <w:szCs w:val="20"/>
        </w:rPr>
        <w:t xml:space="preserve">The intellectual property chapter in the TTIP is controversial at </w:t>
      </w:r>
      <w:r w:rsidR="003031F0">
        <w:rPr>
          <w:rFonts w:ascii="Arial" w:hAnsi="Arial" w:cs="Arial"/>
          <w:sz w:val="20"/>
          <w:szCs w:val="20"/>
        </w:rPr>
        <w:t>best;</w:t>
      </w:r>
      <w:r w:rsidR="007651DB">
        <w:rPr>
          <w:rFonts w:ascii="Arial" w:hAnsi="Arial" w:cs="Arial"/>
          <w:sz w:val="20"/>
          <w:szCs w:val="20"/>
        </w:rPr>
        <w:t xml:space="preserve"> some argue </w:t>
      </w:r>
      <w:r w:rsidRPr="000F3211">
        <w:rPr>
          <w:rFonts w:ascii="Arial" w:hAnsi="Arial" w:cs="Arial"/>
          <w:sz w:val="20"/>
          <w:szCs w:val="20"/>
        </w:rPr>
        <w:t>that the incl</w:t>
      </w:r>
      <w:r w:rsidR="00691DBB">
        <w:rPr>
          <w:rFonts w:ascii="Arial" w:hAnsi="Arial" w:cs="Arial"/>
          <w:sz w:val="20"/>
          <w:szCs w:val="20"/>
        </w:rPr>
        <w:t>usion of</w:t>
      </w:r>
      <w:r w:rsidR="003031F0">
        <w:rPr>
          <w:rFonts w:ascii="Arial" w:hAnsi="Arial" w:cs="Arial"/>
          <w:sz w:val="20"/>
          <w:szCs w:val="20"/>
        </w:rPr>
        <w:t xml:space="preserve"> </w:t>
      </w:r>
      <w:r w:rsidR="007651DB">
        <w:rPr>
          <w:rFonts w:ascii="Arial" w:hAnsi="Arial" w:cs="Arial"/>
          <w:sz w:val="20"/>
          <w:szCs w:val="20"/>
        </w:rPr>
        <w:t>such a</w:t>
      </w:r>
      <w:r>
        <w:rPr>
          <w:rFonts w:ascii="Arial" w:hAnsi="Arial" w:cs="Arial"/>
          <w:sz w:val="20"/>
          <w:szCs w:val="20"/>
        </w:rPr>
        <w:t xml:space="preserve"> chapter in </w:t>
      </w:r>
      <w:r w:rsidR="007651DB">
        <w:rPr>
          <w:rFonts w:ascii="Arial" w:hAnsi="Arial" w:cs="Arial"/>
          <w:sz w:val="20"/>
          <w:szCs w:val="20"/>
        </w:rPr>
        <w:t xml:space="preserve">the </w:t>
      </w:r>
      <w:r>
        <w:rPr>
          <w:rFonts w:ascii="Arial" w:hAnsi="Arial" w:cs="Arial"/>
          <w:sz w:val="20"/>
          <w:szCs w:val="20"/>
        </w:rPr>
        <w:t xml:space="preserve">TTIP </w:t>
      </w:r>
      <w:r w:rsidR="007651DB">
        <w:rPr>
          <w:rFonts w:ascii="Arial" w:hAnsi="Arial" w:cs="Arial"/>
          <w:sz w:val="20"/>
          <w:szCs w:val="20"/>
        </w:rPr>
        <w:t xml:space="preserve">will </w:t>
      </w:r>
      <w:r w:rsidR="00855016">
        <w:rPr>
          <w:rFonts w:ascii="Arial" w:hAnsi="Arial" w:cs="Arial"/>
          <w:sz w:val="20"/>
          <w:szCs w:val="20"/>
        </w:rPr>
        <w:t>drive the economy and investment</w:t>
      </w:r>
      <w:r w:rsidR="00855016">
        <w:rPr>
          <w:rStyle w:val="FootnoteReference"/>
          <w:rFonts w:ascii="Arial" w:hAnsi="Arial" w:cs="Arial"/>
          <w:sz w:val="20"/>
          <w:szCs w:val="20"/>
        </w:rPr>
        <w:footnoteReference w:id="23"/>
      </w:r>
      <w:r w:rsidR="00855016">
        <w:rPr>
          <w:rFonts w:ascii="Arial" w:hAnsi="Arial" w:cs="Arial"/>
          <w:sz w:val="20"/>
          <w:szCs w:val="20"/>
        </w:rPr>
        <w:t xml:space="preserve"> whereas others argue it will </w:t>
      </w:r>
      <w:r w:rsidR="007651DB">
        <w:rPr>
          <w:rFonts w:ascii="Arial" w:hAnsi="Arial" w:cs="Arial"/>
          <w:sz w:val="20"/>
          <w:szCs w:val="20"/>
        </w:rPr>
        <w:t>do very little by way of advancing public interest and the overall</w:t>
      </w:r>
      <w:r w:rsidRPr="000F3211">
        <w:rPr>
          <w:rFonts w:ascii="Arial" w:hAnsi="Arial" w:cs="Arial"/>
          <w:sz w:val="20"/>
          <w:szCs w:val="20"/>
        </w:rPr>
        <w:t xml:space="preserve"> </w:t>
      </w:r>
      <w:r>
        <w:rPr>
          <w:rFonts w:ascii="Arial" w:hAnsi="Arial" w:cs="Arial"/>
          <w:sz w:val="20"/>
          <w:szCs w:val="20"/>
        </w:rPr>
        <w:t>good of the economy</w:t>
      </w:r>
      <w:r w:rsidR="008B64C1">
        <w:rPr>
          <w:rStyle w:val="FootnoteReference"/>
          <w:rFonts w:ascii="Arial" w:hAnsi="Arial" w:cs="Arial"/>
          <w:sz w:val="20"/>
          <w:szCs w:val="20"/>
        </w:rPr>
        <w:footnoteReference w:id="24"/>
      </w:r>
      <w:r>
        <w:rPr>
          <w:rFonts w:ascii="Arial" w:hAnsi="Arial" w:cs="Arial"/>
          <w:sz w:val="20"/>
          <w:szCs w:val="20"/>
        </w:rPr>
        <w:t>.</w:t>
      </w:r>
    </w:p>
    <w:p w:rsidR="00AD1AEF" w:rsidRPr="0059200D" w:rsidRDefault="00AD1AEF" w:rsidP="003031F0">
      <w:pPr>
        <w:spacing w:after="0" w:line="480" w:lineRule="auto"/>
        <w:jc w:val="both"/>
        <w:rPr>
          <w:rFonts w:ascii="Arial" w:hAnsi="Arial" w:cs="Arial"/>
          <w:sz w:val="20"/>
          <w:szCs w:val="20"/>
        </w:rPr>
      </w:pPr>
    </w:p>
    <w:p w:rsidR="00100EE0" w:rsidRPr="00100EE0" w:rsidRDefault="00100EE0" w:rsidP="00100EE0">
      <w:pPr>
        <w:spacing w:after="100" w:afterAutospacing="1" w:line="480" w:lineRule="auto"/>
        <w:jc w:val="both"/>
        <w:rPr>
          <w:rFonts w:ascii="Arial" w:hAnsi="Arial" w:cs="Arial"/>
          <w:sz w:val="20"/>
          <w:szCs w:val="20"/>
          <w:u w:val="single"/>
        </w:rPr>
      </w:pPr>
      <w:r w:rsidRPr="00100EE0">
        <w:rPr>
          <w:rFonts w:ascii="Arial" w:hAnsi="Arial" w:cs="Arial"/>
          <w:sz w:val="20"/>
          <w:szCs w:val="20"/>
          <w:u w:val="single"/>
        </w:rPr>
        <w:t>The benefits/pitfalls of the TTIP on intellectual property and international trade</w:t>
      </w:r>
    </w:p>
    <w:p w:rsidR="001E055B" w:rsidRDefault="00651678" w:rsidP="00B71D37">
      <w:pPr>
        <w:spacing w:after="100" w:afterAutospacing="1" w:line="480" w:lineRule="auto"/>
        <w:jc w:val="both"/>
        <w:rPr>
          <w:rFonts w:ascii="Arial" w:hAnsi="Arial" w:cs="Arial"/>
          <w:sz w:val="20"/>
          <w:szCs w:val="20"/>
        </w:rPr>
      </w:pPr>
      <w:r>
        <w:rPr>
          <w:rFonts w:ascii="Arial" w:hAnsi="Arial" w:cs="Arial"/>
          <w:sz w:val="20"/>
          <w:szCs w:val="20"/>
        </w:rPr>
        <w:t>The TTIP promises a great deal. There is the very obvious positive correlation between the increase of trade and the increase in revenues.</w:t>
      </w:r>
      <w:r w:rsidR="00891A84">
        <w:rPr>
          <w:rFonts w:ascii="Arial" w:hAnsi="Arial" w:cs="Arial"/>
          <w:sz w:val="20"/>
          <w:szCs w:val="20"/>
        </w:rPr>
        <w:t xml:space="preserve"> Positive ramifications of the TTIP are to reduce regulations and tariffs to drive market access. The EU and the US want to make their regulations more compatible or </w:t>
      </w:r>
      <w:r w:rsidR="006903BA">
        <w:rPr>
          <w:rFonts w:ascii="Arial" w:hAnsi="Arial" w:cs="Arial"/>
          <w:sz w:val="20"/>
          <w:szCs w:val="20"/>
        </w:rPr>
        <w:t>amend</w:t>
      </w:r>
      <w:r w:rsidR="00891A84">
        <w:rPr>
          <w:rFonts w:ascii="Arial" w:hAnsi="Arial" w:cs="Arial"/>
          <w:sz w:val="20"/>
          <w:szCs w:val="20"/>
        </w:rPr>
        <w:t xml:space="preserve"> existing regulations.</w:t>
      </w:r>
      <w:r w:rsidR="00AD3065">
        <w:rPr>
          <w:rFonts w:ascii="Arial" w:hAnsi="Arial" w:cs="Arial"/>
          <w:sz w:val="20"/>
          <w:szCs w:val="20"/>
        </w:rPr>
        <w:t xml:space="preserve"> Cutting costs in the trade tariffs or eliminating them between the two entities proposes to increase GDP in both the EU and the US</w:t>
      </w:r>
      <w:r w:rsidR="00F57384">
        <w:rPr>
          <w:rFonts w:ascii="Arial" w:hAnsi="Arial" w:cs="Arial"/>
          <w:sz w:val="20"/>
          <w:szCs w:val="20"/>
        </w:rPr>
        <w:t xml:space="preserve">. The </w:t>
      </w:r>
      <w:r w:rsidR="00F7508A">
        <w:rPr>
          <w:rFonts w:ascii="Arial" w:hAnsi="Arial" w:cs="Arial"/>
          <w:sz w:val="20"/>
          <w:szCs w:val="20"/>
        </w:rPr>
        <w:t xml:space="preserve">previous </w:t>
      </w:r>
      <w:r w:rsidR="00F57384">
        <w:rPr>
          <w:rFonts w:ascii="Arial" w:hAnsi="Arial" w:cs="Arial"/>
          <w:sz w:val="20"/>
          <w:szCs w:val="20"/>
        </w:rPr>
        <w:t xml:space="preserve">EU </w:t>
      </w:r>
      <w:r w:rsidR="004177E4">
        <w:rPr>
          <w:rFonts w:ascii="Arial" w:hAnsi="Arial" w:cs="Arial"/>
          <w:sz w:val="20"/>
          <w:szCs w:val="20"/>
        </w:rPr>
        <w:t>Commissioner</w:t>
      </w:r>
      <w:r w:rsidR="00F57384">
        <w:rPr>
          <w:rFonts w:ascii="Arial" w:hAnsi="Arial" w:cs="Arial"/>
          <w:sz w:val="20"/>
          <w:szCs w:val="20"/>
        </w:rPr>
        <w:t xml:space="preserve"> of Trade, Karel de Gucht, has given several speeches on the </w:t>
      </w:r>
      <w:r w:rsidR="004F444D">
        <w:rPr>
          <w:rFonts w:ascii="Arial" w:hAnsi="Arial" w:cs="Arial"/>
          <w:sz w:val="20"/>
          <w:szCs w:val="20"/>
        </w:rPr>
        <w:t>positive benefits of the TTIP</w:t>
      </w:r>
      <w:r w:rsidR="00F57384">
        <w:rPr>
          <w:rStyle w:val="FootnoteReference"/>
          <w:rFonts w:ascii="Arial" w:hAnsi="Arial" w:cs="Arial"/>
          <w:sz w:val="20"/>
          <w:szCs w:val="20"/>
        </w:rPr>
        <w:footnoteReference w:id="25"/>
      </w:r>
      <w:r w:rsidR="00AD3065">
        <w:rPr>
          <w:rFonts w:ascii="Arial" w:hAnsi="Arial" w:cs="Arial"/>
          <w:sz w:val="20"/>
          <w:szCs w:val="20"/>
        </w:rPr>
        <w:t>.</w:t>
      </w:r>
      <w:r w:rsidR="006903BA">
        <w:rPr>
          <w:rFonts w:ascii="Arial" w:hAnsi="Arial" w:cs="Arial"/>
          <w:sz w:val="20"/>
          <w:szCs w:val="20"/>
        </w:rPr>
        <w:t xml:space="preserve"> </w:t>
      </w:r>
      <w:r w:rsidR="00F7508A">
        <w:rPr>
          <w:rFonts w:ascii="Arial" w:hAnsi="Arial" w:cs="Arial"/>
          <w:sz w:val="20"/>
          <w:szCs w:val="20"/>
        </w:rPr>
        <w:t xml:space="preserve">Cecilia </w:t>
      </w:r>
      <w:r w:rsidR="00F7508A" w:rsidRPr="00F7508A">
        <w:rPr>
          <w:rFonts w:ascii="Arial" w:hAnsi="Arial" w:cs="Arial"/>
          <w:sz w:val="20"/>
          <w:szCs w:val="20"/>
        </w:rPr>
        <w:t>Malmström</w:t>
      </w:r>
      <w:r w:rsidR="00F7508A">
        <w:rPr>
          <w:rFonts w:ascii="Arial" w:hAnsi="Arial" w:cs="Arial"/>
          <w:sz w:val="20"/>
          <w:szCs w:val="20"/>
        </w:rPr>
        <w:t>, the newly appointed EU Commissioner of Trade has called for a modified version of the investment chapter in the TTIP</w:t>
      </w:r>
      <w:r w:rsidR="00F7508A">
        <w:rPr>
          <w:rStyle w:val="FootnoteReference"/>
          <w:rFonts w:ascii="Arial" w:hAnsi="Arial" w:cs="Arial"/>
          <w:sz w:val="20"/>
          <w:szCs w:val="20"/>
        </w:rPr>
        <w:footnoteReference w:id="26"/>
      </w:r>
      <w:r w:rsidR="00F7508A">
        <w:rPr>
          <w:rFonts w:ascii="Arial" w:hAnsi="Arial" w:cs="Arial"/>
          <w:sz w:val="20"/>
          <w:szCs w:val="20"/>
        </w:rPr>
        <w:t>.</w:t>
      </w:r>
      <w:r w:rsidR="00957AC9">
        <w:rPr>
          <w:rFonts w:ascii="Arial" w:hAnsi="Arial" w:cs="Arial"/>
          <w:sz w:val="20"/>
          <w:szCs w:val="20"/>
        </w:rPr>
        <w:t xml:space="preserve"> D</w:t>
      </w:r>
      <w:r w:rsidR="00957AC9" w:rsidRPr="00957AC9">
        <w:rPr>
          <w:rFonts w:ascii="Arial" w:hAnsi="Arial" w:cs="Arial"/>
          <w:sz w:val="20"/>
          <w:szCs w:val="20"/>
        </w:rPr>
        <w:t>uring her hearing by the European Parliament‘s Committee on Internation</w:t>
      </w:r>
      <w:r w:rsidR="00957AC9">
        <w:rPr>
          <w:rFonts w:ascii="Arial" w:hAnsi="Arial" w:cs="Arial"/>
          <w:sz w:val="20"/>
          <w:szCs w:val="20"/>
        </w:rPr>
        <w:t>al Trade (INTA) on 29 September 2014, Malmström spok</w:t>
      </w:r>
      <w:r w:rsidR="00B32C08">
        <w:rPr>
          <w:rFonts w:ascii="Arial" w:hAnsi="Arial" w:cs="Arial"/>
          <w:sz w:val="20"/>
          <w:szCs w:val="20"/>
        </w:rPr>
        <w:t>e of limiting the scope of ISDS, reducing the risk of abuse and increasing transparency</w:t>
      </w:r>
      <w:r w:rsidR="00B32C08">
        <w:rPr>
          <w:rStyle w:val="FootnoteReference"/>
          <w:rFonts w:ascii="Arial" w:hAnsi="Arial" w:cs="Arial"/>
          <w:sz w:val="20"/>
          <w:szCs w:val="20"/>
        </w:rPr>
        <w:footnoteReference w:id="27"/>
      </w:r>
      <w:r w:rsidR="00B32C08">
        <w:rPr>
          <w:rFonts w:ascii="Arial" w:hAnsi="Arial" w:cs="Arial"/>
          <w:sz w:val="20"/>
          <w:szCs w:val="20"/>
        </w:rPr>
        <w:t>.</w:t>
      </w:r>
    </w:p>
    <w:p w:rsidR="00B71D37" w:rsidRDefault="001E055B" w:rsidP="000E661D">
      <w:pPr>
        <w:spacing w:after="100" w:afterAutospacing="1" w:line="480" w:lineRule="auto"/>
        <w:jc w:val="both"/>
        <w:rPr>
          <w:rFonts w:ascii="Arial" w:hAnsi="Arial" w:cs="Arial"/>
          <w:sz w:val="20"/>
          <w:szCs w:val="20"/>
        </w:rPr>
      </w:pPr>
      <w:r>
        <w:rPr>
          <w:rFonts w:ascii="Arial" w:hAnsi="Arial" w:cs="Arial"/>
          <w:sz w:val="20"/>
          <w:szCs w:val="20"/>
        </w:rPr>
        <w:t xml:space="preserve">According to a study carried out by the </w:t>
      </w:r>
      <w:r w:rsidR="00B71D37" w:rsidRPr="00B71D37">
        <w:rPr>
          <w:rFonts w:ascii="Arial" w:hAnsi="Arial" w:cs="Arial"/>
          <w:sz w:val="20"/>
          <w:szCs w:val="20"/>
        </w:rPr>
        <w:t>Cent</w:t>
      </w:r>
      <w:r>
        <w:rPr>
          <w:rFonts w:ascii="Arial" w:hAnsi="Arial" w:cs="Arial"/>
          <w:sz w:val="20"/>
          <w:szCs w:val="20"/>
        </w:rPr>
        <w:t>re for Economic Policy Research,</w:t>
      </w:r>
      <w:r w:rsidR="00B71D37" w:rsidRPr="00B71D37">
        <w:rPr>
          <w:rFonts w:ascii="Arial" w:hAnsi="Arial" w:cs="Arial"/>
          <w:sz w:val="20"/>
          <w:szCs w:val="20"/>
        </w:rPr>
        <w:t xml:space="preserve"> </w:t>
      </w:r>
      <w:r>
        <w:rPr>
          <w:rFonts w:ascii="Arial" w:hAnsi="Arial" w:cs="Arial"/>
          <w:sz w:val="20"/>
          <w:szCs w:val="20"/>
        </w:rPr>
        <w:t>export volume is estimated to increase by 6% for</w:t>
      </w:r>
      <w:r w:rsidR="00B71D37" w:rsidRPr="00B71D37">
        <w:rPr>
          <w:rFonts w:ascii="Arial" w:hAnsi="Arial" w:cs="Arial"/>
          <w:sz w:val="20"/>
          <w:szCs w:val="20"/>
        </w:rPr>
        <w:t xml:space="preserve"> </w:t>
      </w:r>
      <w:r>
        <w:rPr>
          <w:rFonts w:ascii="Arial" w:hAnsi="Arial" w:cs="Arial"/>
          <w:sz w:val="20"/>
          <w:szCs w:val="20"/>
        </w:rPr>
        <w:t xml:space="preserve">the EU and </w:t>
      </w:r>
      <w:r w:rsidR="00B71D37" w:rsidRPr="00B71D37">
        <w:rPr>
          <w:rFonts w:ascii="Arial" w:hAnsi="Arial" w:cs="Arial"/>
          <w:sz w:val="20"/>
          <w:szCs w:val="20"/>
        </w:rPr>
        <w:t>up to 8%</w:t>
      </w:r>
      <w:r w:rsidR="004D6B18">
        <w:rPr>
          <w:rFonts w:ascii="Arial" w:hAnsi="Arial" w:cs="Arial"/>
          <w:sz w:val="20"/>
          <w:szCs w:val="20"/>
        </w:rPr>
        <w:t xml:space="preserve"> for the US. A</w:t>
      </w:r>
      <w:r>
        <w:rPr>
          <w:rFonts w:ascii="Arial" w:hAnsi="Arial" w:cs="Arial"/>
          <w:sz w:val="20"/>
          <w:szCs w:val="20"/>
        </w:rPr>
        <w:t xml:space="preserve">dditional profit </w:t>
      </w:r>
      <w:r w:rsidR="004D6B18">
        <w:rPr>
          <w:rFonts w:ascii="Arial" w:hAnsi="Arial" w:cs="Arial"/>
          <w:sz w:val="20"/>
          <w:szCs w:val="20"/>
        </w:rPr>
        <w:t xml:space="preserve">is </w:t>
      </w:r>
      <w:r>
        <w:rPr>
          <w:rFonts w:ascii="Arial" w:hAnsi="Arial" w:cs="Arial"/>
          <w:sz w:val="20"/>
          <w:szCs w:val="20"/>
        </w:rPr>
        <w:t>esti</w:t>
      </w:r>
      <w:r w:rsidR="004D6B18">
        <w:rPr>
          <w:rFonts w:ascii="Arial" w:hAnsi="Arial" w:cs="Arial"/>
          <w:sz w:val="20"/>
          <w:szCs w:val="20"/>
        </w:rPr>
        <w:t xml:space="preserve">mated from 68 up to </w:t>
      </w:r>
      <w:r w:rsidR="00B71D37" w:rsidRPr="00B71D37">
        <w:rPr>
          <w:rFonts w:ascii="Arial" w:hAnsi="Arial" w:cs="Arial"/>
          <w:sz w:val="20"/>
          <w:szCs w:val="20"/>
        </w:rPr>
        <w:t>119 billion for the EU</w:t>
      </w:r>
      <w:r w:rsidR="004D6B18">
        <w:rPr>
          <w:rFonts w:ascii="Arial" w:hAnsi="Arial" w:cs="Arial"/>
          <w:sz w:val="20"/>
          <w:szCs w:val="20"/>
        </w:rPr>
        <w:t xml:space="preserve"> and up to 95 billion for the US</w:t>
      </w:r>
      <w:r w:rsidR="0067685A">
        <w:rPr>
          <w:rStyle w:val="FootnoteReference"/>
          <w:rFonts w:ascii="Arial" w:hAnsi="Arial" w:cs="Arial"/>
          <w:sz w:val="20"/>
          <w:szCs w:val="20"/>
        </w:rPr>
        <w:footnoteReference w:id="28"/>
      </w:r>
      <w:r w:rsidR="00B71D37" w:rsidRPr="00B71D37">
        <w:rPr>
          <w:rFonts w:ascii="Arial" w:hAnsi="Arial" w:cs="Arial"/>
          <w:sz w:val="20"/>
          <w:szCs w:val="20"/>
        </w:rPr>
        <w:t>.</w:t>
      </w:r>
      <w:r w:rsidR="00D560F5">
        <w:rPr>
          <w:rFonts w:ascii="Arial" w:hAnsi="Arial" w:cs="Arial"/>
          <w:sz w:val="20"/>
          <w:szCs w:val="20"/>
        </w:rPr>
        <w:t xml:space="preserve"> </w:t>
      </w:r>
      <w:r w:rsidR="00B71D37" w:rsidRPr="00B71D37">
        <w:rPr>
          <w:rFonts w:ascii="Arial" w:hAnsi="Arial" w:cs="Arial"/>
          <w:sz w:val="20"/>
          <w:szCs w:val="20"/>
        </w:rPr>
        <w:t>A study by the Bertelsmann Foundation in collaboratio</w:t>
      </w:r>
      <w:r w:rsidR="000E661D">
        <w:rPr>
          <w:rFonts w:ascii="Arial" w:hAnsi="Arial" w:cs="Arial"/>
          <w:sz w:val="20"/>
          <w:szCs w:val="20"/>
        </w:rPr>
        <w:t>n with t</w:t>
      </w:r>
      <w:r w:rsidR="00587E9F">
        <w:rPr>
          <w:rFonts w:ascii="Arial" w:hAnsi="Arial" w:cs="Arial"/>
          <w:sz w:val="20"/>
          <w:szCs w:val="20"/>
        </w:rPr>
        <w:t>he IFO Institute uses statistic</w:t>
      </w:r>
      <w:r w:rsidR="000E661D">
        <w:rPr>
          <w:rFonts w:ascii="Arial" w:hAnsi="Arial" w:cs="Arial"/>
          <w:sz w:val="20"/>
          <w:szCs w:val="20"/>
        </w:rPr>
        <w:t xml:space="preserve"> based evidence to show that</w:t>
      </w:r>
      <w:r w:rsidR="00B71D37" w:rsidRPr="00B71D37">
        <w:rPr>
          <w:rFonts w:ascii="Arial" w:hAnsi="Arial" w:cs="Arial"/>
          <w:sz w:val="20"/>
          <w:szCs w:val="20"/>
        </w:rPr>
        <w:t xml:space="preserve"> an increase in the volume of trade betwee</w:t>
      </w:r>
      <w:r w:rsidR="00587E9F">
        <w:rPr>
          <w:rFonts w:ascii="Arial" w:hAnsi="Arial" w:cs="Arial"/>
          <w:sz w:val="20"/>
          <w:szCs w:val="20"/>
        </w:rPr>
        <w:t>n the EU and US would increase growth for EU countries and the US</w:t>
      </w:r>
      <w:r w:rsidR="000E661D">
        <w:rPr>
          <w:rFonts w:ascii="Arial" w:hAnsi="Arial" w:cs="Arial"/>
          <w:sz w:val="20"/>
          <w:szCs w:val="20"/>
        </w:rPr>
        <w:t xml:space="preserve">. </w:t>
      </w:r>
      <w:r w:rsidR="000E661D" w:rsidRPr="000E661D">
        <w:rPr>
          <w:rFonts w:ascii="Arial" w:hAnsi="Arial" w:cs="Arial"/>
          <w:sz w:val="20"/>
          <w:szCs w:val="20"/>
        </w:rPr>
        <w:t>Reducing non-tariff barriers has clearly greater effects on re</w:t>
      </w:r>
      <w:r w:rsidR="000E661D">
        <w:rPr>
          <w:rFonts w:ascii="Arial" w:hAnsi="Arial" w:cs="Arial"/>
          <w:sz w:val="20"/>
          <w:szCs w:val="20"/>
        </w:rPr>
        <w:t xml:space="preserve">al per capita incomes in Europe </w:t>
      </w:r>
      <w:r w:rsidR="000E661D" w:rsidRPr="000E661D">
        <w:rPr>
          <w:rFonts w:ascii="Arial" w:hAnsi="Arial" w:cs="Arial"/>
          <w:sz w:val="20"/>
          <w:szCs w:val="20"/>
        </w:rPr>
        <w:t>than just elimina</w:t>
      </w:r>
      <w:r w:rsidR="000E661D">
        <w:rPr>
          <w:rFonts w:ascii="Arial" w:hAnsi="Arial" w:cs="Arial"/>
          <w:sz w:val="20"/>
          <w:szCs w:val="20"/>
        </w:rPr>
        <w:t xml:space="preserve">ting tariffs. It predicts that the UK would </w:t>
      </w:r>
      <w:r w:rsidR="00AA71EF">
        <w:rPr>
          <w:rFonts w:ascii="Arial" w:hAnsi="Arial" w:cs="Arial"/>
          <w:sz w:val="20"/>
          <w:szCs w:val="20"/>
        </w:rPr>
        <w:t>principally</w:t>
      </w:r>
      <w:r w:rsidR="000E661D">
        <w:rPr>
          <w:rFonts w:ascii="Arial" w:hAnsi="Arial" w:cs="Arial"/>
          <w:sz w:val="20"/>
          <w:szCs w:val="20"/>
        </w:rPr>
        <w:t xml:space="preserve"> benefit from the initiative with a growth of 9.7%</w:t>
      </w:r>
      <w:r w:rsidR="000E661D" w:rsidRPr="000E661D">
        <w:rPr>
          <w:rFonts w:ascii="Arial" w:hAnsi="Arial" w:cs="Arial"/>
          <w:sz w:val="20"/>
          <w:szCs w:val="20"/>
        </w:rPr>
        <w:t>.</w:t>
      </w:r>
      <w:r w:rsidR="00587E9F">
        <w:rPr>
          <w:rFonts w:ascii="Arial" w:hAnsi="Arial" w:cs="Arial"/>
          <w:sz w:val="20"/>
          <w:szCs w:val="20"/>
        </w:rPr>
        <w:t xml:space="preserve"> Other </w:t>
      </w:r>
      <w:r w:rsidR="00AA71EF">
        <w:rPr>
          <w:rFonts w:ascii="Arial" w:hAnsi="Arial" w:cs="Arial"/>
          <w:sz w:val="20"/>
          <w:szCs w:val="20"/>
        </w:rPr>
        <w:t>findings</w:t>
      </w:r>
      <w:r w:rsidR="00587E9F">
        <w:rPr>
          <w:rFonts w:ascii="Arial" w:hAnsi="Arial" w:cs="Arial"/>
          <w:sz w:val="20"/>
          <w:szCs w:val="20"/>
        </w:rPr>
        <w:t xml:space="preserve"> include the creation of </w:t>
      </w:r>
      <w:r w:rsidR="000E661D">
        <w:rPr>
          <w:rFonts w:ascii="Arial" w:hAnsi="Arial" w:cs="Arial"/>
          <w:sz w:val="20"/>
          <w:szCs w:val="20"/>
        </w:rPr>
        <w:t>2</w:t>
      </w:r>
      <w:r w:rsidR="00587E9F">
        <w:rPr>
          <w:rFonts w:ascii="Arial" w:hAnsi="Arial" w:cs="Arial"/>
          <w:sz w:val="20"/>
          <w:szCs w:val="20"/>
        </w:rPr>
        <w:t>,000,000 new jobs</w:t>
      </w:r>
      <w:r w:rsidR="00D560F5">
        <w:rPr>
          <w:rFonts w:ascii="Arial" w:hAnsi="Arial" w:cs="Arial"/>
          <w:sz w:val="20"/>
          <w:szCs w:val="20"/>
        </w:rPr>
        <w:t xml:space="preserve"> in the OECD countries</w:t>
      </w:r>
      <w:r w:rsidR="00587E9F">
        <w:rPr>
          <w:rFonts w:ascii="Arial" w:hAnsi="Arial" w:cs="Arial"/>
          <w:sz w:val="20"/>
          <w:szCs w:val="20"/>
        </w:rPr>
        <w:t xml:space="preserve"> and </w:t>
      </w:r>
      <w:r w:rsidR="005342F6">
        <w:rPr>
          <w:rFonts w:ascii="Arial" w:hAnsi="Arial" w:cs="Arial"/>
          <w:sz w:val="20"/>
          <w:szCs w:val="20"/>
        </w:rPr>
        <w:t>trade growth up to 90%</w:t>
      </w:r>
      <w:r w:rsidR="009A277C">
        <w:rPr>
          <w:rStyle w:val="FootnoteReference"/>
          <w:rFonts w:ascii="Arial" w:hAnsi="Arial" w:cs="Arial"/>
          <w:sz w:val="20"/>
          <w:szCs w:val="20"/>
        </w:rPr>
        <w:footnoteReference w:id="29"/>
      </w:r>
      <w:r w:rsidR="00D560F5">
        <w:rPr>
          <w:rFonts w:ascii="Arial" w:hAnsi="Arial" w:cs="Arial"/>
          <w:sz w:val="20"/>
          <w:szCs w:val="20"/>
        </w:rPr>
        <w:t>.</w:t>
      </w:r>
    </w:p>
    <w:p w:rsidR="00886A48" w:rsidRDefault="006903BA" w:rsidP="00FF7A28">
      <w:pPr>
        <w:spacing w:after="100" w:afterAutospacing="1" w:line="480" w:lineRule="auto"/>
        <w:jc w:val="both"/>
        <w:rPr>
          <w:rStyle w:val="apple-converted-space"/>
          <w:rFonts w:ascii="Arial" w:hAnsi="Arial" w:cs="Arial"/>
          <w:sz w:val="20"/>
          <w:szCs w:val="20"/>
          <w:shd w:val="clear" w:color="auto" w:fill="FFFFFF"/>
        </w:rPr>
      </w:pPr>
      <w:r w:rsidRPr="00B066BA">
        <w:rPr>
          <w:rFonts w:ascii="Arial" w:hAnsi="Arial" w:cs="Arial"/>
          <w:sz w:val="20"/>
          <w:szCs w:val="20"/>
        </w:rPr>
        <w:lastRenderedPageBreak/>
        <w:t xml:space="preserve">The issue therefore is </w:t>
      </w:r>
      <w:r w:rsidR="00BA387E" w:rsidRPr="00B066BA">
        <w:rPr>
          <w:rFonts w:ascii="Arial" w:hAnsi="Arial" w:cs="Arial"/>
          <w:sz w:val="20"/>
          <w:szCs w:val="20"/>
        </w:rPr>
        <w:t xml:space="preserve">how </w:t>
      </w:r>
      <w:r w:rsidR="00BA387E" w:rsidRPr="00B066BA">
        <w:rPr>
          <w:rFonts w:ascii="Arial" w:hAnsi="Arial" w:cs="Arial"/>
          <w:sz w:val="20"/>
          <w:szCs w:val="20"/>
          <w:shd w:val="clear" w:color="auto" w:fill="FFFFFF"/>
        </w:rPr>
        <w:t>multilateral rules and legislation cooperation</w:t>
      </w:r>
      <w:r w:rsidR="00BA387E" w:rsidRPr="00B066BA">
        <w:rPr>
          <w:rStyle w:val="apple-converted-space"/>
          <w:rFonts w:ascii="Arial" w:hAnsi="Arial" w:cs="Arial"/>
          <w:sz w:val="20"/>
          <w:szCs w:val="20"/>
          <w:shd w:val="clear" w:color="auto" w:fill="FFFFFF"/>
        </w:rPr>
        <w:t> will be established as it is far too naïve to assume that regulations and tariffs can be agreed to a level that is satisfactory to both</w:t>
      </w:r>
      <w:r w:rsidR="00AA71EF" w:rsidRPr="00B066BA">
        <w:rPr>
          <w:rStyle w:val="apple-converted-space"/>
          <w:rFonts w:ascii="Arial" w:hAnsi="Arial" w:cs="Arial"/>
          <w:sz w:val="20"/>
          <w:szCs w:val="20"/>
          <w:shd w:val="clear" w:color="auto" w:fill="FFFFFF"/>
        </w:rPr>
        <w:t xml:space="preserve"> sides</w:t>
      </w:r>
      <w:r w:rsidR="00BA387E" w:rsidRPr="00B066BA">
        <w:rPr>
          <w:rStyle w:val="apple-converted-space"/>
          <w:rFonts w:ascii="Arial" w:hAnsi="Arial" w:cs="Arial"/>
          <w:sz w:val="20"/>
          <w:szCs w:val="20"/>
          <w:shd w:val="clear" w:color="auto" w:fill="FFFFFF"/>
        </w:rPr>
        <w:t>.</w:t>
      </w:r>
      <w:r w:rsidR="00B71D37" w:rsidRPr="00B066BA">
        <w:rPr>
          <w:rStyle w:val="apple-converted-space"/>
          <w:rFonts w:ascii="Arial" w:hAnsi="Arial" w:cs="Arial"/>
          <w:sz w:val="20"/>
          <w:szCs w:val="20"/>
          <w:shd w:val="clear" w:color="auto" w:fill="FFFFFF"/>
        </w:rPr>
        <w:t xml:space="preserve"> </w:t>
      </w:r>
      <w:r w:rsidR="00E77AE9" w:rsidRPr="00B066BA">
        <w:rPr>
          <w:rStyle w:val="apple-converted-space"/>
          <w:rFonts w:ascii="Arial" w:hAnsi="Arial" w:cs="Arial"/>
          <w:sz w:val="20"/>
          <w:szCs w:val="20"/>
          <w:shd w:val="clear" w:color="auto" w:fill="FFFFFF"/>
        </w:rPr>
        <w:t>There are many critics of th</w:t>
      </w:r>
      <w:r w:rsidR="00EF1F21" w:rsidRPr="00B066BA">
        <w:rPr>
          <w:rStyle w:val="apple-converted-space"/>
          <w:rFonts w:ascii="Arial" w:hAnsi="Arial" w:cs="Arial"/>
          <w:sz w:val="20"/>
          <w:szCs w:val="20"/>
          <w:shd w:val="clear" w:color="auto" w:fill="FFFFFF"/>
        </w:rPr>
        <w:t>e TTIP, most recently critics</w:t>
      </w:r>
      <w:r w:rsidR="00E77AE9" w:rsidRPr="00B066BA">
        <w:rPr>
          <w:rStyle w:val="apple-converted-space"/>
          <w:rFonts w:ascii="Arial" w:hAnsi="Arial" w:cs="Arial"/>
          <w:sz w:val="20"/>
          <w:szCs w:val="20"/>
          <w:shd w:val="clear" w:color="auto" w:fill="FFFFFF"/>
        </w:rPr>
        <w:t xml:space="preserve"> have accused the European Commission of overstating the potential increases in revenue the agreement will bring</w:t>
      </w:r>
      <w:r w:rsidR="00FD751F" w:rsidRPr="00B066BA">
        <w:rPr>
          <w:rStyle w:val="FootnoteReference"/>
          <w:rFonts w:ascii="Arial" w:hAnsi="Arial" w:cs="Arial"/>
          <w:sz w:val="20"/>
          <w:szCs w:val="20"/>
          <w:shd w:val="clear" w:color="auto" w:fill="FFFFFF"/>
        </w:rPr>
        <w:footnoteReference w:id="30"/>
      </w:r>
      <w:r w:rsidR="00D66EC1" w:rsidRPr="00B066BA">
        <w:rPr>
          <w:rStyle w:val="apple-converted-space"/>
          <w:rFonts w:ascii="Arial" w:hAnsi="Arial" w:cs="Arial"/>
          <w:sz w:val="20"/>
          <w:szCs w:val="20"/>
          <w:shd w:val="clear" w:color="auto" w:fill="FFFFFF"/>
        </w:rPr>
        <w:t xml:space="preserve"> and overlooking the impact on domestic sovereignty</w:t>
      </w:r>
      <w:r w:rsidR="00D66EC1" w:rsidRPr="00B066BA">
        <w:rPr>
          <w:rStyle w:val="FootnoteReference"/>
          <w:rFonts w:ascii="Arial" w:hAnsi="Arial" w:cs="Arial"/>
          <w:sz w:val="20"/>
          <w:szCs w:val="20"/>
          <w:shd w:val="clear" w:color="auto" w:fill="FFFFFF"/>
        </w:rPr>
        <w:footnoteReference w:id="31"/>
      </w:r>
      <w:r w:rsidR="00E77AE9" w:rsidRPr="00B066BA">
        <w:rPr>
          <w:rStyle w:val="apple-converted-space"/>
          <w:rFonts w:ascii="Arial" w:hAnsi="Arial" w:cs="Arial"/>
          <w:sz w:val="20"/>
          <w:szCs w:val="20"/>
          <w:shd w:val="clear" w:color="auto" w:fill="FFFFFF"/>
        </w:rPr>
        <w:t>.</w:t>
      </w:r>
      <w:r w:rsidR="00B72463" w:rsidRPr="00B066BA">
        <w:rPr>
          <w:rStyle w:val="apple-converted-space"/>
          <w:rFonts w:ascii="Arial" w:hAnsi="Arial" w:cs="Arial"/>
          <w:sz w:val="20"/>
          <w:szCs w:val="20"/>
          <w:shd w:val="clear" w:color="auto" w:fill="FFFFFF"/>
        </w:rPr>
        <w:t xml:space="preserve"> </w:t>
      </w:r>
      <w:r w:rsidR="00EE6CA5" w:rsidRPr="00B066BA">
        <w:rPr>
          <w:rStyle w:val="apple-converted-space"/>
          <w:rFonts w:ascii="Arial" w:hAnsi="Arial" w:cs="Arial"/>
          <w:sz w:val="20"/>
          <w:szCs w:val="20"/>
          <w:shd w:val="clear" w:color="auto" w:fill="FFFFFF"/>
        </w:rPr>
        <w:t>Specific to this paper is the safeguarding intellectual property rights and the inclusion of higher standard of commitments protection. Patents, trademarks, copyrights and trade secrets power the advanced economies of the United State and Europe. Each are working to improve trade secrets protections. Through the TTIP, there is an opportunity to define the standards necessary to facilitate innovation and strike a balance with individual state sovereignty</w:t>
      </w:r>
      <w:r w:rsidR="00EE6CA5" w:rsidRPr="00B066BA">
        <w:rPr>
          <w:rStyle w:val="FootnoteReference"/>
          <w:rFonts w:ascii="Arial" w:hAnsi="Arial" w:cs="Arial"/>
          <w:sz w:val="20"/>
          <w:szCs w:val="20"/>
          <w:shd w:val="clear" w:color="auto" w:fill="FFFFFF"/>
        </w:rPr>
        <w:footnoteReference w:id="32"/>
      </w:r>
      <w:r w:rsidR="00EE6CA5" w:rsidRPr="00B066BA">
        <w:rPr>
          <w:rStyle w:val="apple-converted-space"/>
          <w:rFonts w:ascii="Arial" w:hAnsi="Arial" w:cs="Arial"/>
          <w:sz w:val="20"/>
          <w:szCs w:val="20"/>
          <w:shd w:val="clear" w:color="auto" w:fill="FFFFFF"/>
        </w:rPr>
        <w:t xml:space="preserve">. </w:t>
      </w:r>
    </w:p>
    <w:p w:rsidR="00FF7A28" w:rsidRPr="00886A48" w:rsidRDefault="004A3286" w:rsidP="00FF7A28">
      <w:pPr>
        <w:spacing w:after="100" w:afterAutospacing="1" w:line="480" w:lineRule="auto"/>
        <w:jc w:val="both"/>
        <w:rPr>
          <w:rStyle w:val="apple-converted-space"/>
          <w:rFonts w:ascii="Arial" w:hAnsi="Arial" w:cs="Arial"/>
          <w:sz w:val="20"/>
          <w:szCs w:val="20"/>
          <w:shd w:val="clear" w:color="auto" w:fill="FFFFFF"/>
        </w:rPr>
      </w:pPr>
      <w:r w:rsidRPr="00886A48">
        <w:rPr>
          <w:rStyle w:val="apple-converted-space"/>
          <w:rFonts w:ascii="Arial" w:hAnsi="Arial" w:cs="Arial"/>
          <w:sz w:val="20"/>
          <w:szCs w:val="20"/>
          <w:shd w:val="clear" w:color="auto" w:fill="FFFFFF"/>
        </w:rPr>
        <w:t>This is where the intellectual property chapter in the TTIP comes into play as well as ISDS. The contentious dispute settlement in the TTIP is akin to existing agreements such as the Comprehensive Economic and Trade Agreement (CETA) between the EU and the Canadian and North American Free Trade Ag</w:t>
      </w:r>
      <w:r w:rsidR="00FF7A28" w:rsidRPr="00886A48">
        <w:rPr>
          <w:rStyle w:val="apple-converted-space"/>
          <w:rFonts w:ascii="Arial" w:hAnsi="Arial" w:cs="Arial"/>
          <w:sz w:val="20"/>
          <w:szCs w:val="20"/>
          <w:shd w:val="clear" w:color="auto" w:fill="FFFFFF"/>
        </w:rPr>
        <w:t xml:space="preserve">reement (NAFTA). </w:t>
      </w:r>
      <w:r w:rsidR="0080719A" w:rsidRPr="00886A48">
        <w:rPr>
          <w:rStyle w:val="apple-converted-space"/>
          <w:rFonts w:ascii="Arial" w:hAnsi="Arial" w:cs="Arial"/>
          <w:sz w:val="20"/>
          <w:szCs w:val="20"/>
          <w:shd w:val="clear" w:color="auto" w:fill="FFFFFF"/>
        </w:rPr>
        <w:t xml:space="preserve">In terms of the opposition to the TTIP, this has gained momentum. </w:t>
      </w:r>
      <w:r w:rsidR="0080719A" w:rsidRPr="00886A48">
        <w:rPr>
          <w:rFonts w:ascii="Arial" w:hAnsi="Arial" w:cs="Arial"/>
          <w:sz w:val="20"/>
          <w:szCs w:val="20"/>
        </w:rPr>
        <w:t xml:space="preserve">A petition calling for EU-US trade talks to be halted </w:t>
      </w:r>
      <w:r w:rsidR="00B5447E" w:rsidRPr="00886A48">
        <w:rPr>
          <w:rFonts w:ascii="Arial" w:hAnsi="Arial" w:cs="Arial"/>
          <w:sz w:val="20"/>
          <w:szCs w:val="20"/>
        </w:rPr>
        <w:t xml:space="preserve">was rejected by the European Commission in September 2014, on the basis that the </w:t>
      </w:r>
      <w:proofErr w:type="gramStart"/>
      <w:r w:rsidR="00B5447E" w:rsidRPr="00886A48">
        <w:rPr>
          <w:rFonts w:ascii="Arial" w:hAnsi="Arial" w:cs="Arial"/>
          <w:sz w:val="20"/>
          <w:szCs w:val="20"/>
        </w:rPr>
        <w:t>citizens</w:t>
      </w:r>
      <w:proofErr w:type="gramEnd"/>
      <w:r w:rsidR="00B5447E" w:rsidRPr="00886A48">
        <w:rPr>
          <w:rFonts w:ascii="Arial" w:hAnsi="Arial" w:cs="Arial"/>
          <w:sz w:val="20"/>
          <w:szCs w:val="20"/>
        </w:rPr>
        <w:t xml:space="preserve"> initiative was invalid because it fell outside of the Commission’s powers</w:t>
      </w:r>
      <w:r w:rsidR="00A606CF" w:rsidRPr="00886A48">
        <w:rPr>
          <w:rStyle w:val="FootnoteReference"/>
          <w:rFonts w:ascii="Arial" w:hAnsi="Arial" w:cs="Arial"/>
          <w:sz w:val="20"/>
          <w:szCs w:val="20"/>
        </w:rPr>
        <w:footnoteReference w:id="33"/>
      </w:r>
      <w:r w:rsidR="00B5447E" w:rsidRPr="00886A48">
        <w:rPr>
          <w:rFonts w:ascii="Arial" w:hAnsi="Arial" w:cs="Arial"/>
          <w:sz w:val="20"/>
          <w:szCs w:val="20"/>
        </w:rPr>
        <w:t xml:space="preserve">. The petition has since </w:t>
      </w:r>
      <w:r w:rsidR="0080719A" w:rsidRPr="00886A48">
        <w:rPr>
          <w:rFonts w:ascii="Arial" w:hAnsi="Arial" w:cs="Arial"/>
          <w:sz w:val="20"/>
          <w:szCs w:val="20"/>
        </w:rPr>
        <w:t xml:space="preserve">surpassed the one million signatures mark by European citizens. In accordance with EU rules, a citizens' initiative </w:t>
      </w:r>
      <w:r w:rsidR="00C07365" w:rsidRPr="00886A48">
        <w:rPr>
          <w:rFonts w:ascii="Arial" w:hAnsi="Arial" w:cs="Arial"/>
          <w:sz w:val="20"/>
          <w:szCs w:val="20"/>
        </w:rPr>
        <w:t>requires</w:t>
      </w:r>
      <w:r w:rsidR="0080719A" w:rsidRPr="00886A48">
        <w:rPr>
          <w:rFonts w:ascii="Arial" w:hAnsi="Arial" w:cs="Arial"/>
          <w:sz w:val="20"/>
          <w:szCs w:val="20"/>
        </w:rPr>
        <w:t xml:space="preserve"> a formal response from the European Commission once it has reached the one million mark</w:t>
      </w:r>
      <w:r w:rsidR="004833C0" w:rsidRPr="00886A48">
        <w:rPr>
          <w:rStyle w:val="FootnoteReference"/>
          <w:rFonts w:ascii="Arial" w:hAnsi="Arial" w:cs="Arial"/>
          <w:sz w:val="20"/>
          <w:szCs w:val="20"/>
        </w:rPr>
        <w:footnoteReference w:id="34"/>
      </w:r>
      <w:r w:rsidR="004728BE" w:rsidRPr="00886A48">
        <w:rPr>
          <w:rFonts w:ascii="Arial" w:hAnsi="Arial" w:cs="Arial"/>
          <w:sz w:val="20"/>
          <w:szCs w:val="20"/>
        </w:rPr>
        <w:t xml:space="preserve"> and has now been delivered to the EU </w:t>
      </w:r>
      <w:r w:rsidR="004728BE" w:rsidRPr="00886A48">
        <w:rPr>
          <w:rFonts w:ascii="Arial" w:hAnsi="Arial" w:cs="Arial"/>
          <w:sz w:val="20"/>
          <w:szCs w:val="20"/>
        </w:rPr>
        <w:lastRenderedPageBreak/>
        <w:t xml:space="preserve">Commission to hold a </w:t>
      </w:r>
      <w:r w:rsidR="004833C0" w:rsidRPr="00886A48">
        <w:rPr>
          <w:rFonts w:ascii="Arial" w:hAnsi="Arial" w:cs="Arial"/>
          <w:sz w:val="20"/>
          <w:szCs w:val="20"/>
        </w:rPr>
        <w:t>public hearing in the European Parliament</w:t>
      </w:r>
      <w:r w:rsidR="00436E1A" w:rsidRPr="00886A48">
        <w:rPr>
          <w:rStyle w:val="FootnoteReference"/>
          <w:rFonts w:ascii="Arial" w:hAnsi="Arial" w:cs="Arial"/>
          <w:sz w:val="20"/>
          <w:szCs w:val="20"/>
        </w:rPr>
        <w:footnoteReference w:id="35"/>
      </w:r>
      <w:r w:rsidR="0080719A" w:rsidRPr="00886A48">
        <w:rPr>
          <w:rFonts w:ascii="Arial" w:hAnsi="Arial" w:cs="Arial"/>
          <w:sz w:val="20"/>
          <w:szCs w:val="20"/>
        </w:rPr>
        <w:t>.</w:t>
      </w:r>
      <w:r w:rsidR="00C07365" w:rsidRPr="00886A48">
        <w:rPr>
          <w:rFonts w:ascii="Arial" w:hAnsi="Arial" w:cs="Arial"/>
          <w:sz w:val="20"/>
          <w:szCs w:val="20"/>
        </w:rPr>
        <w:t xml:space="preserve"> </w:t>
      </w:r>
      <w:r w:rsidR="00886A48">
        <w:rPr>
          <w:rFonts w:ascii="Arial" w:hAnsi="Arial" w:cs="Arial"/>
          <w:sz w:val="20"/>
          <w:szCs w:val="20"/>
        </w:rPr>
        <w:t>At the core of the criticisms is the l</w:t>
      </w:r>
      <w:r w:rsidR="00886A48" w:rsidRPr="00886A48">
        <w:rPr>
          <w:rFonts w:ascii="Arial" w:hAnsi="Arial" w:cs="Arial"/>
          <w:sz w:val="20"/>
          <w:szCs w:val="20"/>
        </w:rPr>
        <w:t>ack of transparency regarding the negotiations surrounding TTIP</w:t>
      </w:r>
      <w:r w:rsidR="00886A48">
        <w:rPr>
          <w:rStyle w:val="FootnoteReference"/>
          <w:rFonts w:ascii="Arial" w:hAnsi="Arial" w:cs="Arial"/>
          <w:sz w:val="20"/>
          <w:szCs w:val="20"/>
        </w:rPr>
        <w:footnoteReference w:id="36"/>
      </w:r>
      <w:r w:rsidR="00886A48">
        <w:rPr>
          <w:rFonts w:ascii="Arial" w:hAnsi="Arial" w:cs="Arial"/>
          <w:sz w:val="20"/>
          <w:szCs w:val="20"/>
        </w:rPr>
        <w:t>.</w:t>
      </w:r>
    </w:p>
    <w:p w:rsidR="00C06A4E" w:rsidRPr="00C20176" w:rsidRDefault="00FF7A28" w:rsidP="00C20176">
      <w:pPr>
        <w:spacing w:after="0" w:line="480" w:lineRule="auto"/>
        <w:jc w:val="both"/>
        <w:rPr>
          <w:rFonts w:ascii="Arial" w:hAnsi="Arial" w:cs="Arial"/>
          <w:sz w:val="20"/>
          <w:szCs w:val="20"/>
          <w:shd w:val="clear" w:color="auto" w:fill="FFFFFF"/>
        </w:rPr>
      </w:pPr>
      <w:r w:rsidRPr="00B066BA">
        <w:rPr>
          <w:rStyle w:val="apple-converted-space"/>
          <w:rFonts w:ascii="Arial" w:hAnsi="Arial" w:cs="Arial"/>
          <w:sz w:val="20"/>
          <w:szCs w:val="20"/>
          <w:shd w:val="clear" w:color="auto" w:fill="FFFFFF"/>
        </w:rPr>
        <w:t xml:space="preserve">The EU commission has not ruled out the intellectual property chapter in the TTIP or ISDS. Therefore the issue at stake is not whether the chapter should be included but how it should be included. The EU and US can negotiate and agree a number of risk mitigation strategies to sift potential ISDS claims and to safeguard states from frivolous litigation, ensuring that the system works effectively. </w:t>
      </w:r>
      <w:r w:rsidR="008C7852" w:rsidRPr="00B066BA">
        <w:rPr>
          <w:rStyle w:val="apple-converted-space"/>
          <w:rFonts w:ascii="Arial" w:hAnsi="Arial" w:cs="Arial"/>
          <w:sz w:val="20"/>
          <w:szCs w:val="20"/>
          <w:shd w:val="clear" w:color="auto" w:fill="FFFFFF"/>
        </w:rPr>
        <w:t>In a report carried out for the Minister for Foreign Trade and Development Cooperation, Ministry of Foreign Affairs, The Netherlands, the key findings were that the risk of ISDS were overrated and that a controlled application was required</w:t>
      </w:r>
      <w:r w:rsidR="008C7852" w:rsidRPr="00B066BA">
        <w:rPr>
          <w:rStyle w:val="FootnoteReference"/>
          <w:rFonts w:ascii="Arial" w:hAnsi="Arial" w:cs="Arial"/>
          <w:sz w:val="20"/>
          <w:szCs w:val="20"/>
          <w:shd w:val="clear" w:color="auto" w:fill="FFFFFF"/>
        </w:rPr>
        <w:footnoteReference w:id="37"/>
      </w:r>
      <w:r w:rsidR="008C7852" w:rsidRPr="00B066BA">
        <w:rPr>
          <w:rStyle w:val="apple-converted-space"/>
          <w:rFonts w:ascii="Arial" w:hAnsi="Arial" w:cs="Arial"/>
          <w:sz w:val="20"/>
          <w:szCs w:val="20"/>
          <w:shd w:val="clear" w:color="auto" w:fill="FFFFFF"/>
        </w:rPr>
        <w:t>. The report, although deals with Danish legislation and impact on the Netherlands of the dispute mechanism, it has crossover value for other EU countries and the US. The recommendations to</w:t>
      </w:r>
      <w:r w:rsidRPr="00B066BA">
        <w:rPr>
          <w:rStyle w:val="apple-converted-space"/>
          <w:rFonts w:ascii="Arial" w:hAnsi="Arial" w:cs="Arial"/>
          <w:sz w:val="20"/>
          <w:szCs w:val="20"/>
          <w:shd w:val="clear" w:color="auto" w:fill="FFFFFF"/>
        </w:rPr>
        <w:t xml:space="preserve"> limiting which claims proceed to arbitration through rules of access</w:t>
      </w:r>
      <w:r w:rsidR="008C7852" w:rsidRPr="00B066BA">
        <w:rPr>
          <w:rStyle w:val="apple-converted-space"/>
          <w:rFonts w:ascii="Arial" w:hAnsi="Arial" w:cs="Arial"/>
          <w:sz w:val="20"/>
          <w:szCs w:val="20"/>
          <w:shd w:val="clear" w:color="auto" w:fill="FFFFFF"/>
        </w:rPr>
        <w:t xml:space="preserve"> </w:t>
      </w:r>
      <w:r w:rsidRPr="00B066BA">
        <w:rPr>
          <w:rStyle w:val="apple-converted-space"/>
          <w:rFonts w:ascii="Arial" w:hAnsi="Arial" w:cs="Arial"/>
          <w:sz w:val="20"/>
          <w:szCs w:val="20"/>
          <w:shd w:val="clear" w:color="auto" w:fill="FFFFFF"/>
        </w:rPr>
        <w:t>to arbitration, filtering frivolous and obviously unmeritorious claims, and laying down</w:t>
      </w:r>
      <w:r w:rsidR="008C7852" w:rsidRPr="00B066BA">
        <w:rPr>
          <w:rStyle w:val="apple-converted-space"/>
          <w:rFonts w:ascii="Arial" w:hAnsi="Arial" w:cs="Arial"/>
          <w:sz w:val="20"/>
          <w:szCs w:val="20"/>
          <w:shd w:val="clear" w:color="auto" w:fill="FFFFFF"/>
        </w:rPr>
        <w:t xml:space="preserve"> </w:t>
      </w:r>
      <w:r w:rsidRPr="00B066BA">
        <w:rPr>
          <w:rStyle w:val="apple-converted-space"/>
          <w:rFonts w:ascii="Arial" w:hAnsi="Arial" w:cs="Arial"/>
          <w:sz w:val="20"/>
          <w:szCs w:val="20"/>
          <w:shd w:val="clear" w:color="auto" w:fill="FFFFFF"/>
        </w:rPr>
        <w:t>certain mandatory steps before resort</w:t>
      </w:r>
      <w:r w:rsidR="008C7852" w:rsidRPr="00B066BA">
        <w:rPr>
          <w:rStyle w:val="apple-converted-space"/>
          <w:rFonts w:ascii="Arial" w:hAnsi="Arial" w:cs="Arial"/>
          <w:sz w:val="20"/>
          <w:szCs w:val="20"/>
          <w:shd w:val="clear" w:color="auto" w:fill="FFFFFF"/>
        </w:rPr>
        <w:t>ing</w:t>
      </w:r>
      <w:r w:rsidRPr="00B066BA">
        <w:rPr>
          <w:rStyle w:val="apple-converted-space"/>
          <w:rFonts w:ascii="Arial" w:hAnsi="Arial" w:cs="Arial"/>
          <w:sz w:val="20"/>
          <w:szCs w:val="20"/>
          <w:shd w:val="clear" w:color="auto" w:fill="FFFFFF"/>
        </w:rPr>
        <w:t xml:space="preserve"> to ISDS</w:t>
      </w:r>
      <w:r w:rsidR="008C7852" w:rsidRPr="00B066BA">
        <w:rPr>
          <w:rStyle w:val="apple-converted-space"/>
          <w:rFonts w:ascii="Arial" w:hAnsi="Arial" w:cs="Arial"/>
          <w:sz w:val="20"/>
          <w:szCs w:val="20"/>
          <w:shd w:val="clear" w:color="auto" w:fill="FFFFFF"/>
        </w:rPr>
        <w:t xml:space="preserve"> can be applied </w:t>
      </w:r>
      <w:r w:rsidR="009A5344" w:rsidRPr="00B066BA">
        <w:rPr>
          <w:rStyle w:val="apple-converted-space"/>
          <w:rFonts w:ascii="Arial" w:hAnsi="Arial" w:cs="Arial"/>
          <w:sz w:val="20"/>
          <w:szCs w:val="20"/>
          <w:shd w:val="clear" w:color="auto" w:fill="FFFFFF"/>
        </w:rPr>
        <w:t>uniformly</w:t>
      </w:r>
      <w:r w:rsidRPr="00B066BA">
        <w:rPr>
          <w:rStyle w:val="apple-converted-space"/>
          <w:rFonts w:ascii="Arial" w:hAnsi="Arial" w:cs="Arial"/>
          <w:sz w:val="20"/>
          <w:szCs w:val="20"/>
          <w:shd w:val="clear" w:color="auto" w:fill="FFFFFF"/>
        </w:rPr>
        <w:t xml:space="preserve">. </w:t>
      </w:r>
      <w:r w:rsidR="00FE1211" w:rsidRPr="00B066BA">
        <w:rPr>
          <w:rStyle w:val="apple-converted-space"/>
          <w:rFonts w:ascii="Arial" w:hAnsi="Arial" w:cs="Arial"/>
          <w:sz w:val="20"/>
          <w:szCs w:val="20"/>
          <w:shd w:val="clear" w:color="auto" w:fill="FFFFFF"/>
        </w:rPr>
        <w:t>These include carefully drafting definitions such as; who can be defined as an investor, what constitutes fair and equitable treatment, the remit of national treatment, direct and indirect expropriation, umbrella clauses and public policy exceptions.</w:t>
      </w:r>
      <w:r w:rsidRPr="00B066BA">
        <w:rPr>
          <w:rStyle w:val="apple-converted-space"/>
          <w:rFonts w:ascii="Arial" w:hAnsi="Arial" w:cs="Arial"/>
          <w:sz w:val="20"/>
          <w:szCs w:val="20"/>
          <w:shd w:val="clear" w:color="auto" w:fill="FFFFFF"/>
        </w:rPr>
        <w:t xml:space="preserve"> </w:t>
      </w:r>
      <w:r w:rsidR="00C06A4E" w:rsidRPr="007A2AF3">
        <w:rPr>
          <w:rFonts w:ascii="Arial" w:hAnsi="Arial" w:cs="Arial"/>
          <w:color w:val="000000"/>
          <w:sz w:val="20"/>
          <w:szCs w:val="20"/>
          <w:u w:val="single"/>
          <w:shd w:val="clear" w:color="auto" w:fill="FFFFFF"/>
        </w:rPr>
        <w:t>Intellectual Property and the GCC</w:t>
      </w:r>
    </w:p>
    <w:p w:rsidR="00C06A4E" w:rsidRDefault="00C06A4E" w:rsidP="00C20176">
      <w:pPr>
        <w:widowControl w:val="0"/>
        <w:overflowPunct w:val="0"/>
        <w:autoSpaceDE w:val="0"/>
        <w:autoSpaceDN w:val="0"/>
        <w:adjustRightInd w:val="0"/>
        <w:spacing w:after="0" w:line="480" w:lineRule="auto"/>
        <w:ind w:right="-472"/>
        <w:jc w:val="both"/>
        <w:rPr>
          <w:rFonts w:ascii="Arial" w:eastAsia="Times New Roman" w:hAnsi="Arial" w:cs="Arial"/>
          <w:kern w:val="28"/>
          <w:sz w:val="20"/>
          <w:szCs w:val="20"/>
        </w:rPr>
      </w:pPr>
      <w:r>
        <w:rPr>
          <w:rFonts w:ascii="Arial" w:hAnsi="Arial" w:cs="Arial"/>
          <w:color w:val="000000"/>
          <w:sz w:val="20"/>
          <w:szCs w:val="20"/>
          <w:shd w:val="clear" w:color="auto" w:fill="FFFFFF"/>
        </w:rPr>
        <w:t xml:space="preserve">Intellectual property case law in the GCC is few and far between. This means doctrines such as the </w:t>
      </w:r>
      <w:r w:rsidRPr="00630960">
        <w:rPr>
          <w:rFonts w:ascii="Arial" w:hAnsi="Arial" w:cs="Arial"/>
          <w:color w:val="000000"/>
          <w:sz w:val="20"/>
          <w:szCs w:val="20"/>
          <w:shd w:val="clear" w:color="auto" w:fill="FFFFFF"/>
        </w:rPr>
        <w:t>doctrine of legitimate expectations</w:t>
      </w:r>
      <w:r>
        <w:rPr>
          <w:rFonts w:ascii="Arial" w:hAnsi="Arial" w:cs="Arial"/>
          <w:color w:val="000000"/>
          <w:sz w:val="20"/>
          <w:szCs w:val="20"/>
          <w:shd w:val="clear" w:color="auto" w:fill="FFFFFF"/>
        </w:rPr>
        <w:t xml:space="preserve"> and </w:t>
      </w:r>
      <w:r w:rsidRPr="003F1117">
        <w:rPr>
          <w:rFonts w:ascii="Arial" w:hAnsi="Arial" w:cs="Arial"/>
          <w:color w:val="000000"/>
          <w:sz w:val="20"/>
          <w:szCs w:val="20"/>
          <w:shd w:val="clear" w:color="auto" w:fill="FFFFFF"/>
        </w:rPr>
        <w:t>minimum standard of treatmen</w:t>
      </w:r>
      <w:r>
        <w:rPr>
          <w:rFonts w:ascii="Arial" w:hAnsi="Arial" w:cs="Arial"/>
          <w:color w:val="000000"/>
          <w:sz w:val="20"/>
          <w:szCs w:val="20"/>
          <w:shd w:val="clear" w:color="auto" w:fill="FFFFFF"/>
        </w:rPr>
        <w:t xml:space="preserve">t have not been put to the test. </w:t>
      </w:r>
      <w:r>
        <w:rPr>
          <w:rFonts w:ascii="Arial" w:hAnsi="Arial" w:cs="Arial"/>
          <w:sz w:val="20"/>
          <w:szCs w:val="20"/>
        </w:rPr>
        <w:t>The GCC states are historically Islamic s</w:t>
      </w:r>
      <w:r w:rsidRPr="00FE6759">
        <w:rPr>
          <w:rFonts w:ascii="Arial" w:hAnsi="Arial" w:cs="Arial"/>
          <w:sz w:val="20"/>
          <w:szCs w:val="20"/>
        </w:rPr>
        <w:t xml:space="preserve">tates </w:t>
      </w:r>
      <w:r>
        <w:rPr>
          <w:rFonts w:ascii="Arial" w:hAnsi="Arial" w:cs="Arial"/>
          <w:sz w:val="20"/>
          <w:szCs w:val="20"/>
        </w:rPr>
        <w:t>and they have all incorporated s</w:t>
      </w:r>
      <w:r w:rsidRPr="00FE6759">
        <w:rPr>
          <w:rFonts w:ascii="Arial" w:hAnsi="Arial" w:cs="Arial"/>
          <w:sz w:val="20"/>
          <w:szCs w:val="20"/>
        </w:rPr>
        <w:t>haria law into their c</w:t>
      </w:r>
      <w:r>
        <w:rPr>
          <w:rFonts w:ascii="Arial" w:hAnsi="Arial" w:cs="Arial"/>
          <w:sz w:val="20"/>
          <w:szCs w:val="20"/>
        </w:rPr>
        <w:t>onstitutions. The influence of s</w:t>
      </w:r>
      <w:r w:rsidRPr="00FE6759">
        <w:rPr>
          <w:rFonts w:ascii="Arial" w:hAnsi="Arial" w:cs="Arial"/>
          <w:sz w:val="20"/>
          <w:szCs w:val="20"/>
        </w:rPr>
        <w:t xml:space="preserve">haria law principles is not ubiquitous among all six of </w:t>
      </w:r>
      <w:r>
        <w:rPr>
          <w:rFonts w:ascii="Arial" w:hAnsi="Arial" w:cs="Arial"/>
          <w:sz w:val="20"/>
          <w:szCs w:val="20"/>
        </w:rPr>
        <w:t xml:space="preserve">the GCC States. Within the GCC states, sharia and the Quran as a source of </w:t>
      </w:r>
      <w:r w:rsidR="005419BB">
        <w:rPr>
          <w:rFonts w:ascii="Arial" w:hAnsi="Arial" w:cs="Arial"/>
          <w:sz w:val="20"/>
          <w:szCs w:val="20"/>
        </w:rPr>
        <w:t>law</w:t>
      </w:r>
      <w:r>
        <w:rPr>
          <w:rFonts w:ascii="Arial" w:hAnsi="Arial" w:cs="Arial"/>
          <w:sz w:val="20"/>
          <w:szCs w:val="20"/>
        </w:rPr>
        <w:t xml:space="preserve"> are weighted differently. Saudi Arabia has sharia as</w:t>
      </w:r>
      <w:r w:rsidRPr="00FE6759">
        <w:rPr>
          <w:rFonts w:ascii="Arial" w:hAnsi="Arial" w:cs="Arial"/>
          <w:sz w:val="20"/>
          <w:szCs w:val="20"/>
        </w:rPr>
        <w:t xml:space="preserve"> the source of law</w:t>
      </w:r>
      <w:r w:rsidRPr="00FE6759">
        <w:rPr>
          <w:rStyle w:val="FootnoteReference"/>
          <w:rFonts w:ascii="Arial" w:hAnsi="Arial" w:cs="Arial"/>
          <w:sz w:val="20"/>
          <w:szCs w:val="20"/>
        </w:rPr>
        <w:footnoteReference w:id="38"/>
      </w:r>
      <w:r w:rsidRPr="00FE6759">
        <w:rPr>
          <w:rFonts w:ascii="Arial" w:hAnsi="Arial" w:cs="Arial"/>
          <w:sz w:val="20"/>
          <w:szCs w:val="20"/>
        </w:rPr>
        <w:t xml:space="preserve">, </w:t>
      </w:r>
      <w:r>
        <w:rPr>
          <w:rFonts w:ascii="Arial" w:hAnsi="Arial" w:cs="Arial"/>
          <w:sz w:val="20"/>
          <w:szCs w:val="20"/>
        </w:rPr>
        <w:t xml:space="preserve">for </w:t>
      </w:r>
      <w:r>
        <w:rPr>
          <w:rFonts w:ascii="Arial" w:hAnsi="Arial" w:cs="Arial"/>
          <w:sz w:val="20"/>
          <w:szCs w:val="20"/>
        </w:rPr>
        <w:lastRenderedPageBreak/>
        <w:t xml:space="preserve">Oman it is </w:t>
      </w:r>
      <w:r w:rsidRPr="00FE6759">
        <w:rPr>
          <w:rFonts w:ascii="Arial" w:hAnsi="Arial" w:cs="Arial"/>
          <w:sz w:val="20"/>
          <w:szCs w:val="20"/>
        </w:rPr>
        <w:t>the basis of legislation</w:t>
      </w:r>
      <w:r w:rsidRPr="00FE6759">
        <w:rPr>
          <w:rStyle w:val="FootnoteReference"/>
          <w:rFonts w:ascii="Arial" w:hAnsi="Arial" w:cs="Arial"/>
          <w:sz w:val="20"/>
          <w:szCs w:val="20"/>
        </w:rPr>
        <w:footnoteReference w:id="39"/>
      </w:r>
      <w:r>
        <w:rPr>
          <w:rFonts w:ascii="Arial" w:hAnsi="Arial" w:cs="Arial"/>
          <w:sz w:val="20"/>
          <w:szCs w:val="20"/>
        </w:rPr>
        <w:t xml:space="preserve"> and for Qatar, UAE and Kuwait it is</w:t>
      </w:r>
      <w:r w:rsidRPr="00FE6759">
        <w:rPr>
          <w:rFonts w:ascii="Arial" w:hAnsi="Arial" w:cs="Arial"/>
          <w:sz w:val="20"/>
          <w:szCs w:val="20"/>
        </w:rPr>
        <w:t xml:space="preserve"> a main source of law</w:t>
      </w:r>
      <w:r w:rsidRPr="00FE6759">
        <w:rPr>
          <w:rStyle w:val="FootnoteReference"/>
          <w:rFonts w:ascii="Arial" w:hAnsi="Arial" w:cs="Arial"/>
          <w:sz w:val="20"/>
          <w:szCs w:val="20"/>
        </w:rPr>
        <w:footnoteReference w:id="40"/>
      </w:r>
      <w:r>
        <w:rPr>
          <w:rFonts w:ascii="Arial" w:hAnsi="Arial" w:cs="Arial"/>
          <w:sz w:val="20"/>
          <w:szCs w:val="20"/>
        </w:rPr>
        <w:t>.  Lastly it leaves Bahrain with sharia as</w:t>
      </w:r>
      <w:r w:rsidRPr="00FE6759">
        <w:rPr>
          <w:rFonts w:ascii="Arial" w:hAnsi="Arial" w:cs="Arial"/>
          <w:sz w:val="20"/>
          <w:szCs w:val="20"/>
        </w:rPr>
        <w:t xml:space="preserve"> a principle source of law</w:t>
      </w:r>
      <w:r w:rsidRPr="00FE6759">
        <w:rPr>
          <w:rStyle w:val="FootnoteReference"/>
          <w:rFonts w:ascii="Arial" w:hAnsi="Arial" w:cs="Arial"/>
          <w:sz w:val="20"/>
          <w:szCs w:val="20"/>
        </w:rPr>
        <w:footnoteReference w:id="41"/>
      </w:r>
      <w:r w:rsidRPr="00FE6759">
        <w:rPr>
          <w:rFonts w:ascii="Arial" w:hAnsi="Arial" w:cs="Arial"/>
          <w:sz w:val="20"/>
          <w:szCs w:val="20"/>
        </w:rPr>
        <w:t xml:space="preserve">. </w:t>
      </w:r>
      <w:r w:rsidRPr="00FE6759">
        <w:rPr>
          <w:rFonts w:ascii="Arial" w:eastAsia="Times New Roman" w:hAnsi="Arial" w:cs="Arial"/>
          <w:kern w:val="28"/>
          <w:sz w:val="20"/>
          <w:szCs w:val="20"/>
        </w:rPr>
        <w:t xml:space="preserve">Despite the uniform banner of the GCC, how individual GCC countries observe </w:t>
      </w:r>
      <w:r>
        <w:rPr>
          <w:rFonts w:ascii="Arial" w:eastAsia="Times New Roman" w:hAnsi="Arial" w:cs="Arial"/>
          <w:kern w:val="28"/>
          <w:sz w:val="20"/>
          <w:szCs w:val="20"/>
        </w:rPr>
        <w:t xml:space="preserve">sharia laws and incorporate religion </w:t>
      </w:r>
      <w:r w:rsidRPr="00FE6759">
        <w:rPr>
          <w:rFonts w:ascii="Arial" w:eastAsia="Times New Roman" w:hAnsi="Arial" w:cs="Arial"/>
          <w:kern w:val="28"/>
          <w:sz w:val="20"/>
          <w:szCs w:val="20"/>
        </w:rPr>
        <w:t>in to their intellectual property law devel</w:t>
      </w:r>
      <w:r>
        <w:rPr>
          <w:rFonts w:ascii="Arial" w:eastAsia="Times New Roman" w:hAnsi="Arial" w:cs="Arial"/>
          <w:kern w:val="28"/>
          <w:sz w:val="20"/>
          <w:szCs w:val="20"/>
        </w:rPr>
        <w:t>opment differs from state to state</w:t>
      </w:r>
      <w:r w:rsidRPr="00FE6759">
        <w:rPr>
          <w:rFonts w:ascii="Arial" w:eastAsia="Times New Roman" w:hAnsi="Arial" w:cs="Arial"/>
          <w:kern w:val="28"/>
          <w:sz w:val="20"/>
          <w:szCs w:val="20"/>
        </w:rPr>
        <w:t>. Intelle</w:t>
      </w:r>
      <w:r>
        <w:rPr>
          <w:rFonts w:ascii="Arial" w:eastAsia="Times New Roman" w:hAnsi="Arial" w:cs="Arial"/>
          <w:kern w:val="28"/>
          <w:sz w:val="20"/>
          <w:szCs w:val="20"/>
        </w:rPr>
        <w:t>ctual property law, in the GCC s</w:t>
      </w:r>
      <w:r w:rsidRPr="00FE6759">
        <w:rPr>
          <w:rFonts w:ascii="Arial" w:eastAsia="Times New Roman" w:hAnsi="Arial" w:cs="Arial"/>
          <w:kern w:val="28"/>
          <w:sz w:val="20"/>
          <w:szCs w:val="20"/>
        </w:rPr>
        <w:t xml:space="preserve">tates, has developed in line with </w:t>
      </w:r>
      <w:r>
        <w:rPr>
          <w:rFonts w:ascii="Arial" w:eastAsia="Times New Roman" w:hAnsi="Arial" w:cs="Arial"/>
          <w:kern w:val="28"/>
          <w:sz w:val="20"/>
          <w:szCs w:val="20"/>
        </w:rPr>
        <w:t xml:space="preserve">the </w:t>
      </w:r>
      <w:r w:rsidRPr="00FE6759">
        <w:rPr>
          <w:rFonts w:ascii="Arial" w:eastAsia="Times New Roman" w:hAnsi="Arial" w:cs="Arial"/>
          <w:kern w:val="28"/>
          <w:sz w:val="20"/>
          <w:szCs w:val="20"/>
        </w:rPr>
        <w:t>WIPO and TRIPS standards and ther</w:t>
      </w:r>
      <w:r>
        <w:rPr>
          <w:rFonts w:ascii="Arial" w:eastAsia="Times New Roman" w:hAnsi="Arial" w:cs="Arial"/>
          <w:kern w:val="28"/>
          <w:sz w:val="20"/>
          <w:szCs w:val="20"/>
        </w:rPr>
        <w:t>efore the s</w:t>
      </w:r>
      <w:r w:rsidRPr="00FE6759">
        <w:rPr>
          <w:rFonts w:ascii="Arial" w:eastAsia="Times New Roman" w:hAnsi="Arial" w:cs="Arial"/>
          <w:kern w:val="28"/>
          <w:sz w:val="20"/>
          <w:szCs w:val="20"/>
        </w:rPr>
        <w:t>tates have adopted a number of Western style intellectual property laws</w:t>
      </w:r>
      <w:r w:rsidRPr="00FE6759">
        <w:rPr>
          <w:rStyle w:val="FootnoteReference"/>
          <w:rFonts w:ascii="Arial" w:eastAsia="Times New Roman" w:hAnsi="Arial" w:cs="Arial"/>
          <w:kern w:val="28"/>
          <w:sz w:val="20"/>
          <w:szCs w:val="20"/>
        </w:rPr>
        <w:footnoteReference w:id="42"/>
      </w:r>
      <w:r w:rsidRPr="00FE6759">
        <w:rPr>
          <w:rFonts w:ascii="Arial" w:eastAsia="Times New Roman" w:hAnsi="Arial" w:cs="Arial"/>
          <w:kern w:val="28"/>
          <w:sz w:val="20"/>
          <w:szCs w:val="20"/>
        </w:rPr>
        <w:t>.</w:t>
      </w:r>
    </w:p>
    <w:p w:rsidR="009E0E5E" w:rsidRDefault="009E0E5E" w:rsidP="00C06A4E">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9E0E5E">
        <w:rPr>
          <w:rFonts w:ascii="Arial" w:eastAsia="Times New Roman" w:hAnsi="Arial" w:cs="Arial"/>
          <w:kern w:val="28"/>
          <w:sz w:val="20"/>
          <w:szCs w:val="20"/>
        </w:rPr>
        <w:t>Although there are no primary sharia law sources to justify intellectual property law, th</w:t>
      </w:r>
      <w:r>
        <w:rPr>
          <w:rFonts w:ascii="Arial" w:eastAsia="Times New Roman" w:hAnsi="Arial" w:cs="Arial"/>
          <w:kern w:val="28"/>
          <w:sz w:val="20"/>
          <w:szCs w:val="20"/>
        </w:rPr>
        <w:t>ere are relevant principles of s</w:t>
      </w:r>
      <w:r w:rsidRPr="009E0E5E">
        <w:rPr>
          <w:rFonts w:ascii="Arial" w:eastAsia="Times New Roman" w:hAnsi="Arial" w:cs="Arial"/>
          <w:kern w:val="28"/>
          <w:sz w:val="20"/>
          <w:szCs w:val="20"/>
        </w:rPr>
        <w:t>haria law that can be f</w:t>
      </w:r>
      <w:r>
        <w:rPr>
          <w:rFonts w:ascii="Arial" w:eastAsia="Times New Roman" w:hAnsi="Arial" w:cs="Arial"/>
          <w:kern w:val="28"/>
          <w:sz w:val="20"/>
          <w:szCs w:val="20"/>
        </w:rPr>
        <w:t>ound in secondary sources</w:t>
      </w:r>
      <w:r w:rsidR="00F54D87">
        <w:rPr>
          <w:rStyle w:val="FootnoteReference"/>
          <w:rFonts w:ascii="Arial" w:eastAsia="Times New Roman" w:hAnsi="Arial" w:cs="Arial"/>
          <w:kern w:val="28"/>
          <w:sz w:val="20"/>
          <w:szCs w:val="20"/>
        </w:rPr>
        <w:footnoteReference w:id="43"/>
      </w:r>
      <w:r>
        <w:rPr>
          <w:rFonts w:ascii="Arial" w:eastAsia="Times New Roman" w:hAnsi="Arial" w:cs="Arial"/>
          <w:kern w:val="28"/>
          <w:sz w:val="20"/>
          <w:szCs w:val="20"/>
        </w:rPr>
        <w:t>. The s</w:t>
      </w:r>
      <w:r w:rsidRPr="009E0E5E">
        <w:rPr>
          <w:rFonts w:ascii="Arial" w:eastAsia="Times New Roman" w:hAnsi="Arial" w:cs="Arial"/>
          <w:kern w:val="28"/>
          <w:sz w:val="20"/>
          <w:szCs w:val="20"/>
        </w:rPr>
        <w:t>haria principles on ownership of property, obligations on property right holders, remedies for property right holders and appropriation of property can justify the same rights to exist in intellectual property</w:t>
      </w:r>
      <w:r w:rsidR="003D3DC1">
        <w:rPr>
          <w:rStyle w:val="FootnoteReference"/>
          <w:rFonts w:ascii="Arial" w:eastAsia="Times New Roman" w:hAnsi="Arial" w:cs="Arial"/>
          <w:kern w:val="28"/>
          <w:sz w:val="20"/>
          <w:szCs w:val="20"/>
        </w:rPr>
        <w:footnoteReference w:id="44"/>
      </w:r>
      <w:r w:rsidRPr="009E0E5E">
        <w:rPr>
          <w:rFonts w:ascii="Arial" w:eastAsia="Times New Roman" w:hAnsi="Arial" w:cs="Arial"/>
          <w:kern w:val="28"/>
          <w:sz w:val="20"/>
          <w:szCs w:val="20"/>
        </w:rPr>
        <w:t>. The Islamic concept of contract law strengthens the argument for intellectual property protection through contractual agreements licensing the use of knowledge based assets and granting monopolies for a giv</w:t>
      </w:r>
      <w:r>
        <w:rPr>
          <w:rFonts w:ascii="Arial" w:eastAsia="Times New Roman" w:hAnsi="Arial" w:cs="Arial"/>
          <w:kern w:val="28"/>
          <w:sz w:val="20"/>
          <w:szCs w:val="20"/>
        </w:rPr>
        <w:t>en time period</w:t>
      </w:r>
      <w:r w:rsidR="003D3DC1">
        <w:rPr>
          <w:rStyle w:val="FootnoteReference"/>
          <w:rFonts w:ascii="Arial" w:eastAsia="Times New Roman" w:hAnsi="Arial" w:cs="Arial"/>
          <w:kern w:val="28"/>
          <w:sz w:val="20"/>
          <w:szCs w:val="20"/>
        </w:rPr>
        <w:footnoteReference w:id="45"/>
      </w:r>
      <w:r>
        <w:rPr>
          <w:rFonts w:ascii="Arial" w:eastAsia="Times New Roman" w:hAnsi="Arial" w:cs="Arial"/>
          <w:kern w:val="28"/>
          <w:sz w:val="20"/>
          <w:szCs w:val="20"/>
        </w:rPr>
        <w:t>. Other areas of s</w:t>
      </w:r>
      <w:r w:rsidRPr="009E0E5E">
        <w:rPr>
          <w:rFonts w:ascii="Arial" w:eastAsia="Times New Roman" w:hAnsi="Arial" w:cs="Arial"/>
          <w:kern w:val="28"/>
          <w:sz w:val="20"/>
          <w:szCs w:val="20"/>
        </w:rPr>
        <w:t>haria law that have been considered namely; public interest, moral rights, financial rights, business, trade and economic ga</w:t>
      </w:r>
      <w:r w:rsidR="001458BC">
        <w:rPr>
          <w:rFonts w:ascii="Arial" w:eastAsia="Times New Roman" w:hAnsi="Arial" w:cs="Arial"/>
          <w:kern w:val="28"/>
          <w:sz w:val="20"/>
          <w:szCs w:val="20"/>
        </w:rPr>
        <w:t>in, create a vacuum within the s</w:t>
      </w:r>
      <w:r w:rsidRPr="009E0E5E">
        <w:rPr>
          <w:rFonts w:ascii="Arial" w:eastAsia="Times New Roman" w:hAnsi="Arial" w:cs="Arial"/>
          <w:kern w:val="28"/>
          <w:sz w:val="20"/>
          <w:szCs w:val="20"/>
        </w:rPr>
        <w:t>haria law in which intellectual property can exist and develop</w:t>
      </w:r>
      <w:r w:rsidR="001458BC">
        <w:rPr>
          <w:rStyle w:val="FootnoteReference"/>
          <w:rFonts w:ascii="Arial" w:eastAsia="Times New Roman" w:hAnsi="Arial" w:cs="Arial"/>
          <w:kern w:val="28"/>
          <w:sz w:val="20"/>
          <w:szCs w:val="20"/>
        </w:rPr>
        <w:footnoteReference w:id="46"/>
      </w:r>
      <w:r w:rsidRPr="009E0E5E">
        <w:rPr>
          <w:rFonts w:ascii="Arial" w:eastAsia="Times New Roman" w:hAnsi="Arial" w:cs="Arial"/>
          <w:kern w:val="28"/>
          <w:sz w:val="20"/>
          <w:szCs w:val="20"/>
        </w:rPr>
        <w:t>.</w:t>
      </w:r>
    </w:p>
    <w:p w:rsidR="007E0675" w:rsidRPr="007E0675" w:rsidRDefault="007E0675" w:rsidP="007E0675">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Pr>
          <w:rFonts w:ascii="Arial" w:eastAsia="Times New Roman" w:hAnsi="Arial" w:cs="Arial"/>
          <w:kern w:val="28"/>
          <w:sz w:val="20"/>
          <w:szCs w:val="20"/>
        </w:rPr>
        <w:t>In terms of s</w:t>
      </w:r>
      <w:r w:rsidRPr="007E0675">
        <w:rPr>
          <w:rFonts w:ascii="Arial" w:eastAsia="Times New Roman" w:hAnsi="Arial" w:cs="Arial"/>
          <w:kern w:val="28"/>
          <w:sz w:val="20"/>
          <w:szCs w:val="20"/>
        </w:rPr>
        <w:t>haria references to international transactions and conducting business, the Quran has clear statements regarding honouring agreements and the need for certainty wh</w:t>
      </w:r>
      <w:r w:rsidR="0059200D">
        <w:rPr>
          <w:rFonts w:ascii="Arial" w:eastAsia="Times New Roman" w:hAnsi="Arial" w:cs="Arial"/>
          <w:kern w:val="28"/>
          <w:sz w:val="20"/>
          <w:szCs w:val="20"/>
        </w:rPr>
        <w:t xml:space="preserve">ilst forbidding </w:t>
      </w:r>
      <w:proofErr w:type="spellStart"/>
      <w:r w:rsidR="0059200D">
        <w:rPr>
          <w:rFonts w:ascii="Arial" w:eastAsia="Times New Roman" w:hAnsi="Arial" w:cs="Arial"/>
          <w:kern w:val="28"/>
          <w:sz w:val="20"/>
          <w:szCs w:val="20"/>
        </w:rPr>
        <w:t>riba</w:t>
      </w:r>
      <w:proofErr w:type="spellEnd"/>
      <w:r w:rsidR="0059200D">
        <w:rPr>
          <w:rFonts w:ascii="Arial" w:eastAsia="Times New Roman" w:hAnsi="Arial" w:cs="Arial"/>
          <w:kern w:val="28"/>
          <w:sz w:val="20"/>
          <w:szCs w:val="20"/>
        </w:rPr>
        <w:t xml:space="preserve"> and </w:t>
      </w:r>
      <w:proofErr w:type="spellStart"/>
      <w:r w:rsidR="0059200D">
        <w:rPr>
          <w:rFonts w:ascii="Arial" w:eastAsia="Times New Roman" w:hAnsi="Arial" w:cs="Arial"/>
          <w:kern w:val="28"/>
          <w:sz w:val="20"/>
          <w:szCs w:val="20"/>
        </w:rPr>
        <w:t>gharar</w:t>
      </w:r>
      <w:proofErr w:type="spellEnd"/>
      <w:r w:rsidRPr="007E0675">
        <w:rPr>
          <w:rFonts w:ascii="Arial" w:eastAsia="Times New Roman" w:hAnsi="Arial" w:cs="Arial"/>
          <w:kern w:val="28"/>
          <w:sz w:val="20"/>
          <w:szCs w:val="20"/>
        </w:rPr>
        <w:t xml:space="preserve">. The clearest reference can be found in Surah Al </w:t>
      </w:r>
      <w:proofErr w:type="spellStart"/>
      <w:r w:rsidRPr="007E0675">
        <w:rPr>
          <w:rFonts w:ascii="Arial" w:eastAsia="Times New Roman" w:hAnsi="Arial" w:cs="Arial"/>
          <w:kern w:val="28"/>
          <w:sz w:val="20"/>
          <w:szCs w:val="20"/>
        </w:rPr>
        <w:t>Baqarah</w:t>
      </w:r>
      <w:proofErr w:type="spellEnd"/>
      <w:r w:rsidRPr="007E0675">
        <w:rPr>
          <w:rFonts w:ascii="Arial" w:eastAsia="Times New Roman" w:hAnsi="Arial" w:cs="Arial"/>
          <w:kern w:val="28"/>
          <w:sz w:val="20"/>
          <w:szCs w:val="20"/>
        </w:rPr>
        <w:t xml:space="preserve"> at Verse 275; “Those who consume interest cannot stand [on the Day of Resurrection] except as one stands who is being beaten by Satan into insanity. That is because they say, "Trade is [just] like interest." But Allah has permitted trade and has forbidden interest. So whoever has received an admonition from his Lord and desists may have what is past, and his affair rests with Allah. But whoever returns to [dealing in interest or usury] - those are the companions of the Fire; they </w:t>
      </w:r>
      <w:r w:rsidRPr="007E0675">
        <w:rPr>
          <w:rFonts w:ascii="Arial" w:eastAsia="Times New Roman" w:hAnsi="Arial" w:cs="Arial"/>
          <w:kern w:val="28"/>
          <w:sz w:val="20"/>
          <w:szCs w:val="20"/>
        </w:rPr>
        <w:lastRenderedPageBreak/>
        <w:t xml:space="preserve">will abide eternally </w:t>
      </w:r>
      <w:r w:rsidR="007B02C0" w:rsidRPr="007E0675">
        <w:rPr>
          <w:rFonts w:ascii="Arial" w:eastAsia="Times New Roman" w:hAnsi="Arial" w:cs="Arial"/>
          <w:kern w:val="28"/>
          <w:sz w:val="20"/>
          <w:szCs w:val="20"/>
        </w:rPr>
        <w:t>therein”</w:t>
      </w:r>
      <w:r w:rsidRPr="007E0675">
        <w:rPr>
          <w:rFonts w:ascii="Arial" w:eastAsia="Times New Roman" w:hAnsi="Arial" w:cs="Arial"/>
          <w:kern w:val="28"/>
          <w:sz w:val="20"/>
          <w:szCs w:val="20"/>
        </w:rPr>
        <w:t>. Through trade, different models of contractual arrangements have emerged which although are Sharia compliant, allow a trader or investor to earn some return on the capital that has been invested without breaching the prohibition on interest. It is the distinction between return on investment and interest that has been the cornerstone of the Islamic finance industry.</w:t>
      </w:r>
    </w:p>
    <w:p w:rsidR="007E0675" w:rsidRDefault="007E0675" w:rsidP="007E0675">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7E0675">
        <w:rPr>
          <w:rFonts w:ascii="Arial" w:eastAsia="Times New Roman" w:hAnsi="Arial" w:cs="Arial"/>
          <w:kern w:val="28"/>
          <w:sz w:val="20"/>
          <w:szCs w:val="20"/>
        </w:rPr>
        <w:t>Therefore, the key to a successful application of intellectu</w:t>
      </w:r>
      <w:r w:rsidR="007B02C0">
        <w:rPr>
          <w:rFonts w:ascii="Arial" w:eastAsia="Times New Roman" w:hAnsi="Arial" w:cs="Arial"/>
          <w:kern w:val="28"/>
          <w:sz w:val="20"/>
          <w:szCs w:val="20"/>
        </w:rPr>
        <w:t>al property rights in the Gulf s</w:t>
      </w:r>
      <w:r w:rsidRPr="007E0675">
        <w:rPr>
          <w:rFonts w:ascii="Arial" w:eastAsia="Times New Roman" w:hAnsi="Arial" w:cs="Arial"/>
          <w:kern w:val="28"/>
          <w:sz w:val="20"/>
          <w:szCs w:val="20"/>
        </w:rPr>
        <w:t xml:space="preserve">tates is striking a balance between permissible trade and circumventing </w:t>
      </w:r>
      <w:proofErr w:type="spellStart"/>
      <w:r w:rsidR="007B02C0">
        <w:rPr>
          <w:rFonts w:ascii="Arial" w:eastAsia="Times New Roman" w:hAnsi="Arial" w:cs="Arial"/>
          <w:kern w:val="28"/>
          <w:sz w:val="20"/>
          <w:szCs w:val="20"/>
        </w:rPr>
        <w:t>riba</w:t>
      </w:r>
      <w:proofErr w:type="spellEnd"/>
      <w:r w:rsidR="007B02C0">
        <w:rPr>
          <w:rFonts w:ascii="Arial" w:eastAsia="Times New Roman" w:hAnsi="Arial" w:cs="Arial"/>
          <w:kern w:val="28"/>
          <w:sz w:val="20"/>
          <w:szCs w:val="20"/>
        </w:rPr>
        <w:t xml:space="preserve"> and </w:t>
      </w:r>
      <w:proofErr w:type="spellStart"/>
      <w:r w:rsidR="007B02C0">
        <w:rPr>
          <w:rFonts w:ascii="Arial" w:eastAsia="Times New Roman" w:hAnsi="Arial" w:cs="Arial"/>
          <w:kern w:val="28"/>
          <w:sz w:val="20"/>
          <w:szCs w:val="20"/>
        </w:rPr>
        <w:t>gharar</w:t>
      </w:r>
      <w:proofErr w:type="spellEnd"/>
      <w:r w:rsidR="007B02C0">
        <w:rPr>
          <w:rFonts w:ascii="Arial" w:eastAsia="Times New Roman" w:hAnsi="Arial" w:cs="Arial"/>
          <w:kern w:val="28"/>
          <w:sz w:val="20"/>
          <w:szCs w:val="20"/>
        </w:rPr>
        <w:t xml:space="preserve"> similar to how s</w:t>
      </w:r>
      <w:r w:rsidRPr="007E0675">
        <w:rPr>
          <w:rFonts w:ascii="Arial" w:eastAsia="Times New Roman" w:hAnsi="Arial" w:cs="Arial"/>
          <w:kern w:val="28"/>
          <w:sz w:val="20"/>
          <w:szCs w:val="20"/>
        </w:rPr>
        <w:t xml:space="preserve">haria compliant models have evolved in Islamic Finance.  In an international context, intellectual property protection is at the heart of all trade agreements and the greater the protection, the more trade takes place through foreign direct investment. Stronger intellectual property protection has its obvious advantages as through providing a legal remedy for intellectual property infringement, there is more willingness by developed countries to expand their markets into new territories. This then has a direct impact on tax revenues and transaction costs as there is evidence of a viable legal structure to protect intellectual property and associated knowledge based assets. </w:t>
      </w:r>
    </w:p>
    <w:p w:rsidR="00CF4B55" w:rsidRPr="00B066BA" w:rsidRDefault="00CF4B55" w:rsidP="00CF4B55">
      <w:pPr>
        <w:spacing w:after="100" w:afterAutospacing="1" w:line="480" w:lineRule="auto"/>
        <w:jc w:val="both"/>
        <w:rPr>
          <w:rFonts w:ascii="Arial" w:hAnsi="Arial" w:cs="Arial"/>
          <w:sz w:val="20"/>
          <w:szCs w:val="20"/>
          <w:u w:val="single"/>
        </w:rPr>
      </w:pPr>
      <w:r w:rsidRPr="00B066BA">
        <w:rPr>
          <w:rFonts w:ascii="Arial" w:hAnsi="Arial" w:cs="Arial"/>
          <w:sz w:val="20"/>
          <w:szCs w:val="20"/>
          <w:u w:val="single"/>
        </w:rPr>
        <w:t>Impact of ISDS on intellectual property rights in the GCC</w:t>
      </w:r>
    </w:p>
    <w:p w:rsidR="00D0060C" w:rsidRDefault="00DF3621" w:rsidP="002C6C70">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sidRPr="00B066BA">
        <w:rPr>
          <w:rFonts w:ascii="Arial" w:eastAsia="Times New Roman" w:hAnsi="Arial" w:cs="Arial"/>
          <w:kern w:val="28"/>
          <w:sz w:val="20"/>
          <w:szCs w:val="20"/>
        </w:rPr>
        <w:t xml:space="preserve">The ISDS has at its core a rigid dichotomy between the critical view that </w:t>
      </w:r>
      <w:r>
        <w:rPr>
          <w:rFonts w:ascii="Arial" w:eastAsia="Times New Roman" w:hAnsi="Arial" w:cs="Arial"/>
          <w:kern w:val="28"/>
          <w:sz w:val="20"/>
          <w:szCs w:val="20"/>
        </w:rPr>
        <w:t xml:space="preserve">investor </w:t>
      </w:r>
      <w:r w:rsidRPr="00296FF8">
        <w:rPr>
          <w:rFonts w:ascii="Arial" w:eastAsia="Times New Roman" w:hAnsi="Arial" w:cs="Arial"/>
          <w:kern w:val="28"/>
          <w:sz w:val="20"/>
          <w:szCs w:val="20"/>
        </w:rPr>
        <w:t>state dispute clauses give</w:t>
      </w:r>
      <w:r w:rsidR="005E7488">
        <w:rPr>
          <w:rFonts w:ascii="Arial" w:eastAsia="Times New Roman" w:hAnsi="Arial" w:cs="Arial"/>
          <w:kern w:val="28"/>
          <w:sz w:val="20"/>
          <w:szCs w:val="20"/>
        </w:rPr>
        <w:t>s</w:t>
      </w:r>
      <w:r w:rsidRPr="00296FF8">
        <w:rPr>
          <w:rFonts w:ascii="Arial" w:eastAsia="Times New Roman" w:hAnsi="Arial" w:cs="Arial"/>
          <w:kern w:val="28"/>
          <w:sz w:val="20"/>
          <w:szCs w:val="20"/>
        </w:rPr>
        <w:t xml:space="preserve"> corporations and foreign investors </w:t>
      </w:r>
      <w:r>
        <w:rPr>
          <w:rFonts w:ascii="Arial" w:eastAsia="Times New Roman" w:hAnsi="Arial" w:cs="Arial"/>
          <w:kern w:val="28"/>
          <w:sz w:val="20"/>
          <w:szCs w:val="20"/>
        </w:rPr>
        <w:t xml:space="preserve">corporate sovereignty against the business standpoint that the clauses </w:t>
      </w:r>
      <w:r w:rsidRPr="00296FF8">
        <w:rPr>
          <w:rFonts w:ascii="Arial" w:eastAsia="Times New Roman" w:hAnsi="Arial" w:cs="Arial"/>
          <w:kern w:val="28"/>
          <w:sz w:val="20"/>
          <w:szCs w:val="20"/>
        </w:rPr>
        <w:t xml:space="preserve">are vital to protecting foreign investment, </w:t>
      </w:r>
      <w:r>
        <w:rPr>
          <w:rFonts w:ascii="Arial" w:eastAsia="Times New Roman" w:hAnsi="Arial" w:cs="Arial"/>
          <w:kern w:val="28"/>
          <w:sz w:val="20"/>
          <w:szCs w:val="20"/>
        </w:rPr>
        <w:t>in countries where judicial systems are unpredictable</w:t>
      </w:r>
      <w:r>
        <w:rPr>
          <w:rStyle w:val="FootnoteReference"/>
          <w:rFonts w:ascii="Arial" w:eastAsia="Times New Roman" w:hAnsi="Arial" w:cs="Arial"/>
          <w:kern w:val="28"/>
          <w:sz w:val="20"/>
          <w:szCs w:val="20"/>
        </w:rPr>
        <w:footnoteReference w:id="47"/>
      </w:r>
      <w:r>
        <w:rPr>
          <w:rFonts w:ascii="Arial" w:eastAsia="Times New Roman" w:hAnsi="Arial" w:cs="Arial"/>
          <w:kern w:val="28"/>
          <w:sz w:val="20"/>
          <w:szCs w:val="20"/>
        </w:rPr>
        <w:t>.</w:t>
      </w:r>
      <w:r w:rsidR="00FE183D">
        <w:rPr>
          <w:rFonts w:ascii="Arial" w:eastAsia="Times New Roman" w:hAnsi="Arial" w:cs="Arial"/>
          <w:kern w:val="28"/>
          <w:sz w:val="20"/>
          <w:szCs w:val="20"/>
        </w:rPr>
        <w:t xml:space="preserve"> The main fear of ISDS</w:t>
      </w:r>
      <w:r w:rsidR="00FE183D" w:rsidRPr="00FE183D">
        <w:rPr>
          <w:rFonts w:ascii="Arial" w:eastAsia="Times New Roman" w:hAnsi="Arial" w:cs="Arial"/>
          <w:kern w:val="28"/>
          <w:sz w:val="20"/>
          <w:szCs w:val="20"/>
        </w:rPr>
        <w:t xml:space="preserve"> clause</w:t>
      </w:r>
      <w:r w:rsidR="00FE183D">
        <w:rPr>
          <w:rFonts w:ascii="Arial" w:eastAsia="Times New Roman" w:hAnsi="Arial" w:cs="Arial"/>
          <w:kern w:val="28"/>
          <w:sz w:val="20"/>
          <w:szCs w:val="20"/>
        </w:rPr>
        <w:t>s</w:t>
      </w:r>
      <w:r w:rsidR="00FE183D" w:rsidRPr="00FE183D">
        <w:rPr>
          <w:rFonts w:ascii="Arial" w:eastAsia="Times New Roman" w:hAnsi="Arial" w:cs="Arial"/>
          <w:kern w:val="28"/>
          <w:sz w:val="20"/>
          <w:szCs w:val="20"/>
        </w:rPr>
        <w:t xml:space="preserve"> </w:t>
      </w:r>
      <w:r w:rsidR="00FE183D">
        <w:rPr>
          <w:rFonts w:ascii="Arial" w:eastAsia="Times New Roman" w:hAnsi="Arial" w:cs="Arial"/>
          <w:kern w:val="28"/>
          <w:sz w:val="20"/>
          <w:szCs w:val="20"/>
        </w:rPr>
        <w:t xml:space="preserve">is that it </w:t>
      </w:r>
      <w:r w:rsidR="00FE183D" w:rsidRPr="00FE183D">
        <w:rPr>
          <w:rFonts w:ascii="Arial" w:eastAsia="Times New Roman" w:hAnsi="Arial" w:cs="Arial"/>
          <w:kern w:val="28"/>
          <w:sz w:val="20"/>
          <w:szCs w:val="20"/>
        </w:rPr>
        <w:t xml:space="preserve">could lead to governments being </w:t>
      </w:r>
      <w:r w:rsidR="00FE183D">
        <w:rPr>
          <w:rFonts w:ascii="Arial" w:eastAsia="Times New Roman" w:hAnsi="Arial" w:cs="Arial"/>
          <w:kern w:val="28"/>
          <w:sz w:val="20"/>
          <w:szCs w:val="20"/>
        </w:rPr>
        <w:t>held to ransom by</w:t>
      </w:r>
      <w:r w:rsidR="00FE183D" w:rsidRPr="00FE183D">
        <w:rPr>
          <w:rFonts w:ascii="Arial" w:eastAsia="Times New Roman" w:hAnsi="Arial" w:cs="Arial"/>
          <w:kern w:val="28"/>
          <w:sz w:val="20"/>
          <w:szCs w:val="20"/>
        </w:rPr>
        <w:t xml:space="preserve"> wealthy corporations, as </w:t>
      </w:r>
      <w:r w:rsidR="00FE183D">
        <w:rPr>
          <w:rFonts w:ascii="Arial" w:eastAsia="Times New Roman" w:hAnsi="Arial" w:cs="Arial"/>
          <w:kern w:val="28"/>
          <w:sz w:val="20"/>
          <w:szCs w:val="20"/>
        </w:rPr>
        <w:t xml:space="preserve">ISDS would allow </w:t>
      </w:r>
      <w:r w:rsidR="00FE183D" w:rsidRPr="00FE183D">
        <w:rPr>
          <w:rFonts w:ascii="Arial" w:eastAsia="Times New Roman" w:hAnsi="Arial" w:cs="Arial"/>
          <w:kern w:val="28"/>
          <w:sz w:val="20"/>
          <w:szCs w:val="20"/>
        </w:rPr>
        <w:t>firms to sue authorities for compensation over policies that adversely affect them</w:t>
      </w:r>
      <w:r w:rsidR="001E4D87">
        <w:rPr>
          <w:rStyle w:val="FootnoteReference"/>
          <w:rFonts w:ascii="Arial" w:eastAsia="Times New Roman" w:hAnsi="Arial" w:cs="Arial"/>
          <w:kern w:val="28"/>
          <w:sz w:val="20"/>
          <w:szCs w:val="20"/>
        </w:rPr>
        <w:footnoteReference w:id="48"/>
      </w:r>
      <w:r w:rsidR="00FE183D" w:rsidRPr="00FE183D">
        <w:rPr>
          <w:rFonts w:ascii="Arial" w:eastAsia="Times New Roman" w:hAnsi="Arial" w:cs="Arial"/>
          <w:kern w:val="28"/>
          <w:sz w:val="20"/>
          <w:szCs w:val="20"/>
        </w:rPr>
        <w:t>.</w:t>
      </w:r>
      <w:r w:rsidR="00FE183D">
        <w:rPr>
          <w:rFonts w:ascii="Arial" w:eastAsia="Times New Roman" w:hAnsi="Arial" w:cs="Arial"/>
          <w:kern w:val="28"/>
          <w:sz w:val="20"/>
          <w:szCs w:val="20"/>
        </w:rPr>
        <w:t xml:space="preserve"> This has serious ramifications for domestic sovereignty and rule of law. In an international context, both for the contracting states and non-contracting states, the impact of ISDS on the ability of states to make laws challenges fundamental principles of constitutional law and democracy</w:t>
      </w:r>
      <w:r w:rsidR="003E46A4">
        <w:rPr>
          <w:rStyle w:val="FootnoteReference"/>
          <w:rFonts w:ascii="Arial" w:eastAsia="Times New Roman" w:hAnsi="Arial" w:cs="Arial"/>
          <w:kern w:val="28"/>
          <w:sz w:val="20"/>
          <w:szCs w:val="20"/>
        </w:rPr>
        <w:footnoteReference w:id="49"/>
      </w:r>
      <w:r w:rsidR="00FE183D">
        <w:rPr>
          <w:rFonts w:ascii="Arial" w:eastAsia="Times New Roman" w:hAnsi="Arial" w:cs="Arial"/>
          <w:kern w:val="28"/>
          <w:sz w:val="20"/>
          <w:szCs w:val="20"/>
        </w:rPr>
        <w:t>.</w:t>
      </w:r>
      <w:r w:rsidR="0096598A">
        <w:rPr>
          <w:rFonts w:ascii="Arial" w:eastAsia="Times New Roman" w:hAnsi="Arial" w:cs="Arial"/>
          <w:kern w:val="28"/>
          <w:sz w:val="20"/>
          <w:szCs w:val="20"/>
        </w:rPr>
        <w:t xml:space="preserve"> </w:t>
      </w:r>
      <w:r w:rsidR="00FE183D" w:rsidRPr="00FE183D">
        <w:rPr>
          <w:rFonts w:ascii="Arial" w:eastAsia="Times New Roman" w:hAnsi="Arial" w:cs="Arial"/>
          <w:kern w:val="28"/>
          <w:sz w:val="20"/>
          <w:szCs w:val="20"/>
        </w:rPr>
        <w:t>Accord</w:t>
      </w:r>
      <w:r w:rsidR="002C6C70">
        <w:rPr>
          <w:rFonts w:ascii="Arial" w:eastAsia="Times New Roman" w:hAnsi="Arial" w:cs="Arial"/>
          <w:kern w:val="28"/>
          <w:sz w:val="20"/>
          <w:szCs w:val="20"/>
        </w:rPr>
        <w:t>ing to Friends of the Earth investigative research findings</w:t>
      </w:r>
      <w:r w:rsidR="00FE183D" w:rsidRPr="00FE183D">
        <w:rPr>
          <w:rFonts w:ascii="Arial" w:eastAsia="Times New Roman" w:hAnsi="Arial" w:cs="Arial"/>
          <w:kern w:val="28"/>
          <w:sz w:val="20"/>
          <w:szCs w:val="20"/>
        </w:rPr>
        <w:t xml:space="preserve">, </w:t>
      </w:r>
      <w:r w:rsidR="002C6C70" w:rsidRPr="002C6C70">
        <w:rPr>
          <w:rFonts w:ascii="Arial" w:eastAsia="Times New Roman" w:hAnsi="Arial" w:cs="Arial"/>
          <w:kern w:val="28"/>
          <w:sz w:val="20"/>
          <w:szCs w:val="20"/>
        </w:rPr>
        <w:t xml:space="preserve">127 known ISDS cases </w:t>
      </w:r>
      <w:r w:rsidR="002C6C70">
        <w:rPr>
          <w:rFonts w:ascii="Arial" w:eastAsia="Times New Roman" w:hAnsi="Arial" w:cs="Arial"/>
          <w:kern w:val="28"/>
          <w:sz w:val="20"/>
          <w:szCs w:val="20"/>
        </w:rPr>
        <w:t xml:space="preserve">have been brought against 20 EU member states </w:t>
      </w:r>
      <w:r w:rsidR="002C6C70">
        <w:rPr>
          <w:rFonts w:ascii="Arial" w:eastAsia="Times New Roman" w:hAnsi="Arial" w:cs="Arial"/>
          <w:kern w:val="28"/>
          <w:sz w:val="20"/>
          <w:szCs w:val="20"/>
        </w:rPr>
        <w:lastRenderedPageBreak/>
        <w:t xml:space="preserve">since 1994. </w:t>
      </w:r>
      <w:r w:rsidR="002C6C70" w:rsidRPr="002C6C70">
        <w:rPr>
          <w:rFonts w:ascii="Arial" w:eastAsia="Times New Roman" w:hAnsi="Arial" w:cs="Arial"/>
          <w:kern w:val="28"/>
          <w:sz w:val="20"/>
          <w:szCs w:val="20"/>
        </w:rPr>
        <w:t xml:space="preserve">Details of the compensation </w:t>
      </w:r>
      <w:r w:rsidR="002C6C70">
        <w:rPr>
          <w:rFonts w:ascii="Arial" w:eastAsia="Times New Roman" w:hAnsi="Arial" w:cs="Arial"/>
          <w:kern w:val="28"/>
          <w:sz w:val="20"/>
          <w:szCs w:val="20"/>
        </w:rPr>
        <w:t xml:space="preserve">sought by foreign investors were no </w:t>
      </w:r>
      <w:r w:rsidR="002C6C70" w:rsidRPr="002C6C70">
        <w:rPr>
          <w:rFonts w:ascii="Arial" w:eastAsia="Times New Roman" w:hAnsi="Arial" w:cs="Arial"/>
          <w:kern w:val="28"/>
          <w:sz w:val="20"/>
          <w:szCs w:val="20"/>
        </w:rPr>
        <w:t xml:space="preserve">publicly available for </w:t>
      </w:r>
      <w:r w:rsidR="002C6C70">
        <w:rPr>
          <w:rFonts w:ascii="Arial" w:eastAsia="Times New Roman" w:hAnsi="Arial" w:cs="Arial"/>
          <w:kern w:val="28"/>
          <w:sz w:val="20"/>
          <w:szCs w:val="20"/>
        </w:rPr>
        <w:t>all reported cases, of the 127 cases, 62 were public.</w:t>
      </w:r>
      <w:r w:rsidR="002C6C70" w:rsidRPr="002C6C70">
        <w:rPr>
          <w:rFonts w:ascii="Arial" w:eastAsia="Times New Roman" w:hAnsi="Arial" w:cs="Arial"/>
          <w:kern w:val="28"/>
          <w:sz w:val="20"/>
          <w:szCs w:val="20"/>
        </w:rPr>
        <w:t xml:space="preserve"> Th</w:t>
      </w:r>
      <w:r w:rsidR="002C6C70">
        <w:rPr>
          <w:rFonts w:ascii="Arial" w:eastAsia="Times New Roman" w:hAnsi="Arial" w:cs="Arial"/>
          <w:kern w:val="28"/>
          <w:sz w:val="20"/>
          <w:szCs w:val="20"/>
        </w:rPr>
        <w:t xml:space="preserve">e </w:t>
      </w:r>
      <w:r w:rsidR="002C6C70" w:rsidRPr="002C6C70">
        <w:rPr>
          <w:rFonts w:ascii="Arial" w:eastAsia="Times New Roman" w:hAnsi="Arial" w:cs="Arial"/>
          <w:kern w:val="28"/>
          <w:sz w:val="20"/>
          <w:szCs w:val="20"/>
        </w:rPr>
        <w:t xml:space="preserve">compensation sought </w:t>
      </w:r>
      <w:r w:rsidR="007A3953">
        <w:rPr>
          <w:rFonts w:ascii="Arial" w:eastAsia="Times New Roman" w:hAnsi="Arial" w:cs="Arial"/>
          <w:kern w:val="28"/>
          <w:sz w:val="20"/>
          <w:szCs w:val="20"/>
        </w:rPr>
        <w:t xml:space="preserve">in </w:t>
      </w:r>
      <w:r w:rsidR="008D3303">
        <w:rPr>
          <w:rFonts w:ascii="Arial" w:eastAsia="Times New Roman" w:hAnsi="Arial" w:cs="Arial"/>
          <w:kern w:val="28"/>
          <w:sz w:val="20"/>
          <w:szCs w:val="20"/>
        </w:rPr>
        <w:t>the 62</w:t>
      </w:r>
      <w:r w:rsidR="002C6C70">
        <w:rPr>
          <w:rFonts w:ascii="Arial" w:eastAsia="Times New Roman" w:hAnsi="Arial" w:cs="Arial"/>
          <w:kern w:val="28"/>
          <w:sz w:val="20"/>
          <w:szCs w:val="20"/>
        </w:rPr>
        <w:t xml:space="preserve"> </w:t>
      </w:r>
      <w:r w:rsidR="007A3953">
        <w:rPr>
          <w:rFonts w:ascii="Arial" w:eastAsia="Times New Roman" w:hAnsi="Arial" w:cs="Arial"/>
          <w:kern w:val="28"/>
          <w:sz w:val="20"/>
          <w:szCs w:val="20"/>
        </w:rPr>
        <w:t xml:space="preserve">public </w:t>
      </w:r>
      <w:r w:rsidR="002C6C70">
        <w:rPr>
          <w:rFonts w:ascii="Arial" w:eastAsia="Times New Roman" w:hAnsi="Arial" w:cs="Arial"/>
          <w:kern w:val="28"/>
          <w:sz w:val="20"/>
          <w:szCs w:val="20"/>
        </w:rPr>
        <w:t xml:space="preserve">cases </w:t>
      </w:r>
      <w:r w:rsidR="007A3953">
        <w:rPr>
          <w:rFonts w:ascii="Arial" w:eastAsia="Times New Roman" w:hAnsi="Arial" w:cs="Arial"/>
          <w:kern w:val="28"/>
          <w:sz w:val="20"/>
          <w:szCs w:val="20"/>
        </w:rPr>
        <w:t>is in excess of</w:t>
      </w:r>
      <w:r w:rsidR="002C6C70">
        <w:rPr>
          <w:rFonts w:ascii="Arial" w:eastAsia="Times New Roman" w:hAnsi="Arial" w:cs="Arial"/>
          <w:kern w:val="28"/>
          <w:sz w:val="20"/>
          <w:szCs w:val="20"/>
        </w:rPr>
        <w:t xml:space="preserve"> €30 billion</w:t>
      </w:r>
      <w:r w:rsidR="007A3953">
        <w:rPr>
          <w:rStyle w:val="FootnoteReference"/>
          <w:rFonts w:ascii="Arial" w:eastAsia="Times New Roman" w:hAnsi="Arial" w:cs="Arial"/>
          <w:kern w:val="28"/>
          <w:sz w:val="20"/>
          <w:szCs w:val="20"/>
        </w:rPr>
        <w:footnoteReference w:id="50"/>
      </w:r>
      <w:r w:rsidR="002C6C70">
        <w:rPr>
          <w:rFonts w:ascii="Arial" w:eastAsia="Times New Roman" w:hAnsi="Arial" w:cs="Arial"/>
          <w:kern w:val="28"/>
          <w:sz w:val="20"/>
          <w:szCs w:val="20"/>
        </w:rPr>
        <w:t xml:space="preserve">. </w:t>
      </w:r>
      <w:r w:rsidR="008D3303">
        <w:rPr>
          <w:rFonts w:ascii="Arial" w:eastAsia="Times New Roman" w:hAnsi="Arial" w:cs="Arial"/>
          <w:kern w:val="28"/>
          <w:sz w:val="20"/>
          <w:szCs w:val="20"/>
        </w:rPr>
        <w:t>The crux of the fears is that the number of ISDS cases will</w:t>
      </w:r>
      <w:r w:rsidR="00FE183D" w:rsidRPr="00FE183D">
        <w:rPr>
          <w:rFonts w:ascii="Arial" w:eastAsia="Times New Roman" w:hAnsi="Arial" w:cs="Arial"/>
          <w:kern w:val="28"/>
          <w:sz w:val="20"/>
          <w:szCs w:val="20"/>
        </w:rPr>
        <w:t xml:space="preserve"> rise further if the TTIP deal is </w:t>
      </w:r>
      <w:r w:rsidR="00096BFA" w:rsidRPr="00FE183D">
        <w:rPr>
          <w:rFonts w:ascii="Arial" w:eastAsia="Times New Roman" w:hAnsi="Arial" w:cs="Arial"/>
          <w:kern w:val="28"/>
          <w:sz w:val="20"/>
          <w:szCs w:val="20"/>
        </w:rPr>
        <w:t>concluded</w:t>
      </w:r>
      <w:r w:rsidR="00FE183D" w:rsidRPr="00FE183D">
        <w:rPr>
          <w:rFonts w:ascii="Arial" w:eastAsia="Times New Roman" w:hAnsi="Arial" w:cs="Arial"/>
          <w:kern w:val="28"/>
          <w:sz w:val="20"/>
          <w:szCs w:val="20"/>
        </w:rPr>
        <w:t>.</w:t>
      </w:r>
      <w:r w:rsidR="0096598A">
        <w:rPr>
          <w:rFonts w:ascii="Arial" w:eastAsia="Times New Roman" w:hAnsi="Arial" w:cs="Arial"/>
          <w:kern w:val="28"/>
          <w:sz w:val="20"/>
          <w:szCs w:val="20"/>
        </w:rPr>
        <w:t xml:space="preserve"> </w:t>
      </w:r>
      <w:r w:rsidR="00CF6D3E">
        <w:rPr>
          <w:rFonts w:ascii="Arial" w:eastAsia="Times New Roman" w:hAnsi="Arial" w:cs="Arial"/>
          <w:kern w:val="28"/>
          <w:sz w:val="20"/>
          <w:szCs w:val="20"/>
        </w:rPr>
        <w:t>For example in the UK, one of the biggest criticisms has been the perceived impact of the TTIP on the</w:t>
      </w:r>
      <w:r w:rsidR="00FE183D" w:rsidRPr="00FE183D">
        <w:rPr>
          <w:rFonts w:ascii="Arial" w:eastAsia="Times New Roman" w:hAnsi="Arial" w:cs="Arial"/>
          <w:kern w:val="28"/>
          <w:sz w:val="20"/>
          <w:szCs w:val="20"/>
        </w:rPr>
        <w:t xml:space="preserve"> NHS</w:t>
      </w:r>
      <w:r w:rsidR="00CF6D3E">
        <w:rPr>
          <w:rFonts w:ascii="Arial" w:eastAsia="Times New Roman" w:hAnsi="Arial" w:cs="Arial"/>
          <w:kern w:val="28"/>
          <w:sz w:val="20"/>
          <w:szCs w:val="20"/>
        </w:rPr>
        <w:t>, specifically that there is a risk it will be sold off to foreign companies</w:t>
      </w:r>
      <w:r w:rsidR="00FE183D" w:rsidRPr="00FE183D">
        <w:rPr>
          <w:rFonts w:ascii="Arial" w:eastAsia="Times New Roman" w:hAnsi="Arial" w:cs="Arial"/>
          <w:kern w:val="28"/>
          <w:sz w:val="20"/>
          <w:szCs w:val="20"/>
        </w:rPr>
        <w:t xml:space="preserve"> and </w:t>
      </w:r>
      <w:r w:rsidR="00CF6D3E">
        <w:rPr>
          <w:rFonts w:ascii="Arial" w:eastAsia="Times New Roman" w:hAnsi="Arial" w:cs="Arial"/>
          <w:kern w:val="28"/>
          <w:sz w:val="20"/>
          <w:szCs w:val="20"/>
        </w:rPr>
        <w:t>subject to demands from</w:t>
      </w:r>
      <w:r w:rsidR="00FE183D" w:rsidRPr="00FE183D">
        <w:rPr>
          <w:rFonts w:ascii="Arial" w:eastAsia="Times New Roman" w:hAnsi="Arial" w:cs="Arial"/>
          <w:kern w:val="28"/>
          <w:sz w:val="20"/>
          <w:szCs w:val="20"/>
        </w:rPr>
        <w:t xml:space="preserve"> pharmaceutical companies</w:t>
      </w:r>
      <w:r w:rsidR="00EC187D">
        <w:rPr>
          <w:rStyle w:val="FootnoteReference"/>
          <w:rFonts w:ascii="Arial" w:eastAsia="Times New Roman" w:hAnsi="Arial" w:cs="Arial"/>
          <w:kern w:val="28"/>
          <w:sz w:val="20"/>
          <w:szCs w:val="20"/>
        </w:rPr>
        <w:footnoteReference w:id="51"/>
      </w:r>
      <w:r w:rsidR="00FE183D" w:rsidRPr="00FE183D">
        <w:rPr>
          <w:rFonts w:ascii="Arial" w:eastAsia="Times New Roman" w:hAnsi="Arial" w:cs="Arial"/>
          <w:kern w:val="28"/>
          <w:sz w:val="20"/>
          <w:szCs w:val="20"/>
        </w:rPr>
        <w:t>.</w:t>
      </w:r>
    </w:p>
    <w:p w:rsidR="00DF3621" w:rsidRDefault="00DF3621" w:rsidP="00440936">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Pr>
          <w:rFonts w:ascii="Arial" w:eastAsia="Times New Roman" w:hAnsi="Arial" w:cs="Arial"/>
          <w:kern w:val="28"/>
          <w:sz w:val="20"/>
          <w:szCs w:val="20"/>
        </w:rPr>
        <w:t xml:space="preserve">2012 saw the highest number of </w:t>
      </w:r>
      <w:r w:rsidRPr="00A72420">
        <w:rPr>
          <w:rFonts w:ascii="Arial" w:eastAsia="Times New Roman" w:hAnsi="Arial" w:cs="Arial"/>
          <w:kern w:val="28"/>
          <w:sz w:val="20"/>
          <w:szCs w:val="20"/>
        </w:rPr>
        <w:t xml:space="preserve">treaty-based </w:t>
      </w:r>
      <w:r>
        <w:rPr>
          <w:rFonts w:ascii="Arial" w:eastAsia="Times New Roman" w:hAnsi="Arial" w:cs="Arial"/>
          <w:kern w:val="28"/>
          <w:sz w:val="20"/>
          <w:szCs w:val="20"/>
        </w:rPr>
        <w:t xml:space="preserve">investor state </w:t>
      </w:r>
      <w:r w:rsidRPr="00A72420">
        <w:rPr>
          <w:rFonts w:ascii="Arial" w:eastAsia="Times New Roman" w:hAnsi="Arial" w:cs="Arial"/>
          <w:kern w:val="28"/>
          <w:sz w:val="20"/>
          <w:szCs w:val="20"/>
        </w:rPr>
        <w:t>disputes</w:t>
      </w:r>
      <w:r>
        <w:rPr>
          <w:rFonts w:ascii="Arial" w:eastAsia="Times New Roman" w:hAnsi="Arial" w:cs="Arial"/>
          <w:kern w:val="28"/>
          <w:sz w:val="20"/>
          <w:szCs w:val="20"/>
        </w:rPr>
        <w:t xml:space="preserve"> with 58 new cases </w:t>
      </w:r>
      <w:r w:rsidRPr="00A72420">
        <w:rPr>
          <w:rFonts w:ascii="Arial" w:eastAsia="Times New Roman" w:hAnsi="Arial" w:cs="Arial"/>
          <w:kern w:val="28"/>
          <w:sz w:val="20"/>
          <w:szCs w:val="20"/>
        </w:rPr>
        <w:t xml:space="preserve">initiated, </w:t>
      </w:r>
      <w:r>
        <w:rPr>
          <w:rFonts w:ascii="Arial" w:eastAsia="Times New Roman" w:hAnsi="Arial" w:cs="Arial"/>
          <w:kern w:val="28"/>
          <w:sz w:val="20"/>
          <w:szCs w:val="20"/>
        </w:rPr>
        <w:t xml:space="preserve">highlighting how foreign investors are </w:t>
      </w:r>
      <w:r w:rsidRPr="00A72420">
        <w:rPr>
          <w:rFonts w:ascii="Arial" w:eastAsia="Times New Roman" w:hAnsi="Arial" w:cs="Arial"/>
          <w:kern w:val="28"/>
          <w:sz w:val="20"/>
          <w:szCs w:val="20"/>
        </w:rPr>
        <w:t>increasingly re</w:t>
      </w:r>
      <w:r>
        <w:rPr>
          <w:rFonts w:ascii="Arial" w:eastAsia="Times New Roman" w:hAnsi="Arial" w:cs="Arial"/>
          <w:kern w:val="28"/>
          <w:sz w:val="20"/>
          <w:szCs w:val="20"/>
        </w:rPr>
        <w:t>lying on ISDS mechanisms against countries</w:t>
      </w:r>
      <w:r>
        <w:rPr>
          <w:rStyle w:val="FootnoteReference"/>
          <w:rFonts w:ascii="Arial" w:eastAsia="Times New Roman" w:hAnsi="Arial" w:cs="Arial"/>
          <w:kern w:val="28"/>
          <w:sz w:val="20"/>
          <w:szCs w:val="20"/>
        </w:rPr>
        <w:footnoteReference w:id="52"/>
      </w:r>
      <w:r>
        <w:rPr>
          <w:rFonts w:ascii="Arial" w:eastAsia="Times New Roman" w:hAnsi="Arial" w:cs="Arial"/>
          <w:kern w:val="28"/>
          <w:sz w:val="20"/>
          <w:szCs w:val="20"/>
        </w:rPr>
        <w:t>. Similarly, in 2013</w:t>
      </w:r>
      <w:r w:rsidR="0069554F">
        <w:rPr>
          <w:rFonts w:ascii="Arial" w:eastAsia="Times New Roman" w:hAnsi="Arial" w:cs="Arial"/>
          <w:kern w:val="28"/>
          <w:sz w:val="20"/>
          <w:szCs w:val="20"/>
        </w:rPr>
        <w:t>,</w:t>
      </w:r>
      <w:r>
        <w:rPr>
          <w:rFonts w:ascii="Arial" w:eastAsia="Times New Roman" w:hAnsi="Arial" w:cs="Arial"/>
          <w:kern w:val="28"/>
          <w:sz w:val="20"/>
          <w:szCs w:val="20"/>
        </w:rPr>
        <w:t xml:space="preserve"> 57 new cases were initiated. </w:t>
      </w:r>
      <w:r w:rsidRPr="009B49BC">
        <w:rPr>
          <w:rFonts w:ascii="Arial" w:eastAsia="Times New Roman" w:hAnsi="Arial" w:cs="Arial"/>
          <w:kern w:val="28"/>
          <w:sz w:val="20"/>
          <w:szCs w:val="20"/>
        </w:rPr>
        <w:t xml:space="preserve">By </w:t>
      </w:r>
      <w:r>
        <w:rPr>
          <w:rFonts w:ascii="Arial" w:eastAsia="Times New Roman" w:hAnsi="Arial" w:cs="Arial"/>
          <w:kern w:val="28"/>
          <w:sz w:val="20"/>
          <w:szCs w:val="20"/>
        </w:rPr>
        <w:t>the end of 2013, 98 states</w:t>
      </w:r>
      <w:r w:rsidRPr="009B49BC">
        <w:rPr>
          <w:rFonts w:ascii="Arial" w:eastAsia="Times New Roman" w:hAnsi="Arial" w:cs="Arial"/>
          <w:kern w:val="28"/>
          <w:sz w:val="20"/>
          <w:szCs w:val="20"/>
        </w:rPr>
        <w:t xml:space="preserve"> have been respondents in a total of 568 known treaty-based </w:t>
      </w:r>
      <w:r>
        <w:rPr>
          <w:rFonts w:ascii="Arial" w:eastAsia="Times New Roman" w:hAnsi="Arial" w:cs="Arial"/>
          <w:kern w:val="28"/>
          <w:sz w:val="20"/>
          <w:szCs w:val="20"/>
        </w:rPr>
        <w:t xml:space="preserve">claims. What is most striking is that three quarters of the cases have been brought against </w:t>
      </w:r>
      <w:r w:rsidRPr="009B49BC">
        <w:rPr>
          <w:rFonts w:ascii="Arial" w:eastAsia="Times New Roman" w:hAnsi="Arial" w:cs="Arial"/>
          <w:kern w:val="28"/>
          <w:sz w:val="20"/>
          <w:szCs w:val="20"/>
        </w:rPr>
        <w:t>EU</w:t>
      </w:r>
      <w:r>
        <w:rPr>
          <w:rFonts w:ascii="Arial" w:eastAsia="Times New Roman" w:hAnsi="Arial" w:cs="Arial"/>
          <w:kern w:val="28"/>
          <w:sz w:val="20"/>
          <w:szCs w:val="20"/>
        </w:rPr>
        <w:t xml:space="preserve"> countries</w:t>
      </w:r>
      <w:r w:rsidRPr="009B49BC">
        <w:rPr>
          <w:rFonts w:ascii="Arial" w:eastAsia="Times New Roman" w:hAnsi="Arial" w:cs="Arial"/>
          <w:kern w:val="28"/>
          <w:sz w:val="20"/>
          <w:szCs w:val="20"/>
        </w:rPr>
        <w:t xml:space="preserve"> and the </w:t>
      </w:r>
      <w:r>
        <w:rPr>
          <w:rFonts w:ascii="Arial" w:eastAsia="Times New Roman" w:hAnsi="Arial" w:cs="Arial"/>
          <w:kern w:val="28"/>
          <w:sz w:val="20"/>
          <w:szCs w:val="20"/>
        </w:rPr>
        <w:t>US</w:t>
      </w:r>
      <w:r>
        <w:rPr>
          <w:rStyle w:val="FootnoteReference"/>
          <w:rFonts w:ascii="Arial" w:eastAsia="Times New Roman" w:hAnsi="Arial" w:cs="Arial"/>
          <w:kern w:val="28"/>
          <w:sz w:val="20"/>
          <w:szCs w:val="20"/>
        </w:rPr>
        <w:footnoteReference w:id="53"/>
      </w:r>
      <w:r>
        <w:rPr>
          <w:rFonts w:ascii="Arial" w:eastAsia="Times New Roman" w:hAnsi="Arial" w:cs="Arial"/>
          <w:kern w:val="28"/>
          <w:sz w:val="20"/>
          <w:szCs w:val="20"/>
        </w:rPr>
        <w:t>.</w:t>
      </w:r>
      <w:r w:rsidRPr="009B49BC">
        <w:rPr>
          <w:rFonts w:ascii="Arial" w:eastAsia="Times New Roman" w:hAnsi="Arial" w:cs="Arial"/>
          <w:kern w:val="28"/>
          <w:sz w:val="20"/>
          <w:szCs w:val="20"/>
        </w:rPr>
        <w:t xml:space="preserve"> </w:t>
      </w:r>
      <w:r>
        <w:rPr>
          <w:rFonts w:ascii="Arial" w:eastAsia="Times New Roman" w:hAnsi="Arial" w:cs="Arial"/>
          <w:kern w:val="28"/>
          <w:sz w:val="20"/>
          <w:szCs w:val="20"/>
        </w:rPr>
        <w:t xml:space="preserve">How ISDS works essentially is to hold states to account based on ISDS clauses in bilateral trade agreements. The first application of ISDS by a GCC state has been made by the Qatari based broadcaster, </w:t>
      </w:r>
      <w:r w:rsidRPr="00405E75">
        <w:rPr>
          <w:rFonts w:ascii="Arial" w:eastAsia="Times New Roman" w:hAnsi="Arial" w:cs="Arial"/>
          <w:kern w:val="28"/>
          <w:sz w:val="20"/>
          <w:szCs w:val="20"/>
        </w:rPr>
        <w:t>Al Jazeera</w:t>
      </w:r>
      <w:r>
        <w:rPr>
          <w:rFonts w:ascii="Arial" w:eastAsia="Times New Roman" w:hAnsi="Arial" w:cs="Arial"/>
          <w:kern w:val="28"/>
          <w:sz w:val="20"/>
          <w:szCs w:val="20"/>
        </w:rPr>
        <w:t>. It has</w:t>
      </w:r>
      <w:r w:rsidRPr="00405E75">
        <w:rPr>
          <w:rFonts w:ascii="Arial" w:eastAsia="Times New Roman" w:hAnsi="Arial" w:cs="Arial"/>
          <w:kern w:val="28"/>
          <w:sz w:val="20"/>
          <w:szCs w:val="20"/>
        </w:rPr>
        <w:t xml:space="preserve"> lodged a $150m claim for compensation against Egypt, turning to an international investor arbitration tribunal</w:t>
      </w:r>
      <w:r>
        <w:rPr>
          <w:rFonts w:ascii="Arial" w:eastAsia="Times New Roman" w:hAnsi="Arial" w:cs="Arial"/>
          <w:kern w:val="28"/>
          <w:sz w:val="20"/>
          <w:szCs w:val="20"/>
        </w:rPr>
        <w:t>. Al Jazeera is s</w:t>
      </w:r>
      <w:r w:rsidRPr="00405E75">
        <w:rPr>
          <w:rFonts w:ascii="Arial" w:eastAsia="Times New Roman" w:hAnsi="Arial" w:cs="Arial"/>
          <w:kern w:val="28"/>
          <w:sz w:val="20"/>
          <w:szCs w:val="20"/>
        </w:rPr>
        <w:t>eeking compensation under the investor/state dispute mechanism included in a 1999 investment treaty between Egypt and Qatar</w:t>
      </w:r>
      <w:r>
        <w:rPr>
          <w:rStyle w:val="FootnoteReference"/>
          <w:rFonts w:ascii="Arial" w:eastAsia="Times New Roman" w:hAnsi="Arial" w:cs="Arial"/>
          <w:kern w:val="28"/>
          <w:sz w:val="20"/>
          <w:szCs w:val="20"/>
        </w:rPr>
        <w:footnoteReference w:id="54"/>
      </w:r>
      <w:r>
        <w:rPr>
          <w:rFonts w:ascii="Arial" w:eastAsia="Times New Roman" w:hAnsi="Arial" w:cs="Arial"/>
          <w:kern w:val="28"/>
          <w:sz w:val="20"/>
          <w:szCs w:val="20"/>
        </w:rPr>
        <w:t xml:space="preserve">. </w:t>
      </w:r>
    </w:p>
    <w:p w:rsidR="001D3CB7" w:rsidRDefault="00DF3621" w:rsidP="00D0060C">
      <w:pPr>
        <w:widowControl w:val="0"/>
        <w:overflowPunct w:val="0"/>
        <w:autoSpaceDE w:val="0"/>
        <w:autoSpaceDN w:val="0"/>
        <w:adjustRightInd w:val="0"/>
        <w:spacing w:line="480" w:lineRule="auto"/>
        <w:ind w:right="-472"/>
        <w:jc w:val="both"/>
        <w:rPr>
          <w:rFonts w:ascii="Arial" w:hAnsi="Arial" w:cs="Arial"/>
          <w:color w:val="000000"/>
          <w:sz w:val="20"/>
          <w:szCs w:val="20"/>
          <w:shd w:val="clear" w:color="auto" w:fill="FFFFFF"/>
        </w:rPr>
      </w:pPr>
      <w:r>
        <w:rPr>
          <w:rFonts w:ascii="Arial" w:eastAsia="Times New Roman" w:hAnsi="Arial" w:cs="Arial"/>
          <w:kern w:val="28"/>
          <w:sz w:val="20"/>
          <w:szCs w:val="20"/>
        </w:rPr>
        <w:t xml:space="preserve">In relation to intellectual property, lessons can be learnt from existing intellectual property based ISDS cases. </w:t>
      </w:r>
      <w:r>
        <w:rPr>
          <w:rFonts w:ascii="Arial" w:eastAsia="Times New Roman" w:hAnsi="Arial" w:cs="Arial"/>
          <w:kern w:val="28"/>
          <w:sz w:val="20"/>
          <w:szCs w:val="20"/>
        </w:rPr>
        <w:lastRenderedPageBreak/>
        <w:t>Take for example Eli Lilly v Canada. I</w:t>
      </w:r>
      <w:r w:rsidRPr="00CA4D69">
        <w:rPr>
          <w:rFonts w:ascii="Arial" w:eastAsia="Times New Roman" w:hAnsi="Arial" w:cs="Arial"/>
          <w:kern w:val="28"/>
          <w:sz w:val="20"/>
          <w:szCs w:val="20"/>
        </w:rPr>
        <w:t xml:space="preserve">n </w:t>
      </w:r>
      <w:r>
        <w:rPr>
          <w:rFonts w:ascii="Arial" w:eastAsia="Times New Roman" w:hAnsi="Arial" w:cs="Arial"/>
          <w:kern w:val="28"/>
          <w:sz w:val="20"/>
          <w:szCs w:val="20"/>
        </w:rPr>
        <w:t xml:space="preserve">November 2012, Eli Lilly &amp; Co started proceedings against the Canadian government’s law on </w:t>
      </w:r>
      <w:r w:rsidRPr="00CA4D69">
        <w:rPr>
          <w:rFonts w:ascii="Arial" w:eastAsia="Times New Roman" w:hAnsi="Arial" w:cs="Arial"/>
          <w:kern w:val="28"/>
          <w:sz w:val="20"/>
          <w:szCs w:val="20"/>
        </w:rPr>
        <w:t>granting drug patents, claiming that the invalidation of a patent undermined the comp</w:t>
      </w:r>
      <w:r>
        <w:rPr>
          <w:rFonts w:ascii="Arial" w:eastAsia="Times New Roman" w:hAnsi="Arial" w:cs="Arial"/>
          <w:kern w:val="28"/>
          <w:sz w:val="20"/>
          <w:szCs w:val="20"/>
        </w:rPr>
        <w:t xml:space="preserve">any’s future profits and are asking for </w:t>
      </w:r>
      <w:r w:rsidRPr="00CA4D69">
        <w:rPr>
          <w:rFonts w:ascii="Arial" w:eastAsia="Times New Roman" w:hAnsi="Arial" w:cs="Arial"/>
          <w:kern w:val="28"/>
          <w:sz w:val="20"/>
          <w:szCs w:val="20"/>
        </w:rPr>
        <w:t xml:space="preserve">$500 million </w:t>
      </w:r>
      <w:r>
        <w:rPr>
          <w:rFonts w:ascii="Arial" w:eastAsia="Times New Roman" w:hAnsi="Arial" w:cs="Arial"/>
          <w:kern w:val="28"/>
          <w:sz w:val="20"/>
          <w:szCs w:val="20"/>
        </w:rPr>
        <w:t>in compensation</w:t>
      </w:r>
      <w:r>
        <w:rPr>
          <w:rStyle w:val="FootnoteReference"/>
          <w:rFonts w:ascii="Arial" w:eastAsia="Times New Roman" w:hAnsi="Arial" w:cs="Arial"/>
          <w:kern w:val="28"/>
          <w:sz w:val="20"/>
          <w:szCs w:val="20"/>
        </w:rPr>
        <w:footnoteReference w:id="55"/>
      </w:r>
      <w:r>
        <w:rPr>
          <w:rFonts w:ascii="Arial" w:eastAsia="Times New Roman" w:hAnsi="Arial" w:cs="Arial"/>
          <w:kern w:val="28"/>
          <w:sz w:val="20"/>
          <w:szCs w:val="20"/>
        </w:rPr>
        <w:t xml:space="preserve">. </w:t>
      </w:r>
      <w:r w:rsidRPr="00CA4D69">
        <w:rPr>
          <w:rFonts w:ascii="Arial" w:eastAsia="Times New Roman" w:hAnsi="Arial" w:cs="Arial"/>
          <w:kern w:val="28"/>
          <w:sz w:val="20"/>
          <w:szCs w:val="20"/>
        </w:rPr>
        <w:t>While the resolution of this dispute is yet to be known</w:t>
      </w:r>
      <w:r>
        <w:rPr>
          <w:rFonts w:ascii="Arial" w:eastAsia="Times New Roman" w:hAnsi="Arial" w:cs="Arial"/>
          <w:kern w:val="28"/>
          <w:sz w:val="20"/>
          <w:szCs w:val="20"/>
        </w:rPr>
        <w:t xml:space="preserve">, it highlights three key concerns for GCC states; lack of expertise and knowledge of how to deal with ISDS’s, identifying Islamic sources through which ISDS can be Sharia compliant and what impact it has on the states </w:t>
      </w:r>
      <w:r>
        <w:rPr>
          <w:rFonts w:ascii="Arial" w:hAnsi="Arial" w:cs="Arial"/>
          <w:color w:val="000000"/>
          <w:sz w:val="20"/>
          <w:szCs w:val="20"/>
          <w:shd w:val="clear" w:color="auto" w:fill="FFFFFF"/>
        </w:rPr>
        <w:t>abilities to determine their own patent standards.</w:t>
      </w:r>
      <w:r>
        <w:rPr>
          <w:rFonts w:ascii="Arial" w:eastAsia="Times New Roman" w:hAnsi="Arial" w:cs="Arial"/>
          <w:kern w:val="28"/>
          <w:sz w:val="20"/>
          <w:szCs w:val="20"/>
        </w:rPr>
        <w:t xml:space="preserve">  F</w:t>
      </w:r>
      <w:r>
        <w:rPr>
          <w:rFonts w:ascii="Arial" w:hAnsi="Arial" w:cs="Arial"/>
          <w:color w:val="000000"/>
          <w:sz w:val="20"/>
          <w:szCs w:val="20"/>
          <w:shd w:val="clear" w:color="auto" w:fill="FFFFFF"/>
        </w:rPr>
        <w:t>oreign corporations having the same level of power as governments through ISDS clauses in trade agreements is currently a hypothetical situation in the GCC however it is only a matter of time before t</w:t>
      </w:r>
      <w:r w:rsidRPr="0061442C">
        <w:rPr>
          <w:rFonts w:ascii="Arial" w:hAnsi="Arial" w:cs="Arial"/>
          <w:color w:val="000000"/>
          <w:sz w:val="20"/>
          <w:szCs w:val="20"/>
          <w:shd w:val="clear" w:color="auto" w:fill="FFFFFF"/>
        </w:rPr>
        <w:t>he hypothetical risks of investor-state claims</w:t>
      </w:r>
      <w:r>
        <w:rPr>
          <w:rFonts w:ascii="Arial" w:hAnsi="Arial" w:cs="Arial"/>
          <w:color w:val="000000"/>
          <w:sz w:val="20"/>
          <w:szCs w:val="20"/>
          <w:shd w:val="clear" w:color="auto" w:fill="FFFFFF"/>
        </w:rPr>
        <w:t xml:space="preserve"> becomes a reality. How equipped are the GCC judiciaries to deal with an ISDS claim? </w:t>
      </w:r>
    </w:p>
    <w:p w:rsidR="007E0675" w:rsidRPr="00440936" w:rsidRDefault="00440936" w:rsidP="00D0060C">
      <w:pPr>
        <w:widowControl w:val="0"/>
        <w:overflowPunct w:val="0"/>
        <w:autoSpaceDE w:val="0"/>
        <w:autoSpaceDN w:val="0"/>
        <w:adjustRightInd w:val="0"/>
        <w:spacing w:line="480" w:lineRule="auto"/>
        <w:ind w:right="-472"/>
        <w:jc w:val="both"/>
        <w:rPr>
          <w:rFonts w:ascii="Arial" w:eastAsia="Times New Roman" w:hAnsi="Arial" w:cs="Arial"/>
          <w:kern w:val="28"/>
          <w:sz w:val="20"/>
          <w:szCs w:val="20"/>
        </w:rPr>
      </w:pPr>
      <w:r>
        <w:rPr>
          <w:rFonts w:ascii="Arial" w:hAnsi="Arial" w:cs="Arial"/>
          <w:sz w:val="20"/>
          <w:szCs w:val="20"/>
        </w:rPr>
        <w:t xml:space="preserve">ISDS has an added layer of issues with the GCC states as a question arises as to whether ISDS is compatible with sharia law. </w:t>
      </w:r>
      <w:r w:rsidR="0069554F">
        <w:rPr>
          <w:rFonts w:ascii="Arial" w:hAnsi="Arial" w:cs="Arial"/>
          <w:sz w:val="20"/>
          <w:szCs w:val="20"/>
        </w:rPr>
        <w:t xml:space="preserve">The GCC states </w:t>
      </w:r>
      <w:r>
        <w:rPr>
          <w:rFonts w:ascii="Arial" w:hAnsi="Arial" w:cs="Arial"/>
          <w:sz w:val="20"/>
          <w:szCs w:val="20"/>
        </w:rPr>
        <w:t>have accepted ISDS as an acceptable dispute settlement mechanism</w:t>
      </w:r>
      <w:r w:rsidR="0069554F">
        <w:rPr>
          <w:rFonts w:ascii="Arial" w:hAnsi="Arial" w:cs="Arial"/>
          <w:sz w:val="20"/>
          <w:szCs w:val="20"/>
        </w:rPr>
        <w:t xml:space="preserve"> in existing agreements</w:t>
      </w:r>
      <w:r>
        <w:rPr>
          <w:rStyle w:val="FootnoteReference"/>
          <w:rFonts w:ascii="Arial" w:hAnsi="Arial" w:cs="Arial"/>
        </w:rPr>
        <w:footnoteReference w:id="56"/>
      </w:r>
      <w:r>
        <w:rPr>
          <w:rFonts w:ascii="Arial" w:hAnsi="Arial" w:cs="Arial"/>
          <w:sz w:val="20"/>
          <w:szCs w:val="20"/>
        </w:rPr>
        <w:t>. Investment carries with it risk, foreign investment would in turn carry higher risks as investors would be acting in markets with different political and legal structures. If the risk is too speculative then it potentially falls under the Islamic principle of gharar</w:t>
      </w:r>
      <w:r>
        <w:rPr>
          <w:rStyle w:val="FootnoteReference"/>
          <w:rFonts w:ascii="Arial" w:hAnsi="Arial" w:cs="Arial"/>
        </w:rPr>
        <w:footnoteReference w:id="57"/>
      </w:r>
      <w:r>
        <w:rPr>
          <w:rFonts w:ascii="Arial" w:hAnsi="Arial" w:cs="Arial"/>
          <w:sz w:val="20"/>
          <w:szCs w:val="20"/>
        </w:rPr>
        <w:t xml:space="preserve">. </w:t>
      </w:r>
      <w:r w:rsidR="007A2AF3">
        <w:rPr>
          <w:rFonts w:ascii="Arial" w:hAnsi="Arial" w:cs="Arial"/>
          <w:color w:val="000000"/>
          <w:sz w:val="20"/>
          <w:szCs w:val="20"/>
          <w:shd w:val="clear" w:color="auto" w:fill="FFFFFF"/>
        </w:rPr>
        <w:t xml:space="preserve">The outcome of the </w:t>
      </w:r>
      <w:r w:rsidR="007A2AF3">
        <w:rPr>
          <w:rFonts w:ascii="Arial" w:eastAsia="Times New Roman" w:hAnsi="Arial" w:cs="Arial"/>
          <w:kern w:val="28"/>
          <w:sz w:val="20"/>
          <w:szCs w:val="20"/>
        </w:rPr>
        <w:t xml:space="preserve">Al Jazeera and Egypt ISDS case will set new ground for international disputes in the region as both states have Sharia as part of their constitution therefore </w:t>
      </w:r>
      <w:r w:rsidR="00071568">
        <w:rPr>
          <w:rFonts w:ascii="Arial" w:eastAsia="Times New Roman" w:hAnsi="Arial" w:cs="Arial"/>
          <w:kern w:val="28"/>
          <w:sz w:val="20"/>
          <w:szCs w:val="20"/>
        </w:rPr>
        <w:t>how the arbitration process deals with</w:t>
      </w:r>
      <w:r w:rsidR="007A2AF3">
        <w:rPr>
          <w:rFonts w:ascii="Arial" w:eastAsia="Times New Roman" w:hAnsi="Arial" w:cs="Arial"/>
          <w:kern w:val="28"/>
          <w:sz w:val="20"/>
          <w:szCs w:val="20"/>
        </w:rPr>
        <w:t xml:space="preserve"> principles of </w:t>
      </w:r>
      <w:proofErr w:type="spellStart"/>
      <w:r w:rsidR="007A2AF3">
        <w:rPr>
          <w:rFonts w:ascii="Arial" w:eastAsia="Times New Roman" w:hAnsi="Arial" w:cs="Arial"/>
          <w:kern w:val="28"/>
          <w:sz w:val="20"/>
          <w:szCs w:val="20"/>
        </w:rPr>
        <w:t>gharar</w:t>
      </w:r>
      <w:proofErr w:type="spellEnd"/>
      <w:r w:rsidR="007A2AF3">
        <w:rPr>
          <w:rFonts w:ascii="Arial" w:eastAsia="Times New Roman" w:hAnsi="Arial" w:cs="Arial"/>
          <w:kern w:val="28"/>
          <w:sz w:val="20"/>
          <w:szCs w:val="20"/>
        </w:rPr>
        <w:t xml:space="preserve"> and </w:t>
      </w:r>
      <w:proofErr w:type="spellStart"/>
      <w:r w:rsidR="007A2AF3">
        <w:rPr>
          <w:rFonts w:ascii="Arial" w:eastAsia="Times New Roman" w:hAnsi="Arial" w:cs="Arial"/>
          <w:kern w:val="28"/>
          <w:sz w:val="20"/>
          <w:szCs w:val="20"/>
        </w:rPr>
        <w:t>riba</w:t>
      </w:r>
      <w:proofErr w:type="spellEnd"/>
      <w:r w:rsidR="007A2AF3">
        <w:rPr>
          <w:rFonts w:ascii="Arial" w:eastAsia="Times New Roman" w:hAnsi="Arial" w:cs="Arial"/>
          <w:kern w:val="28"/>
          <w:sz w:val="20"/>
          <w:szCs w:val="20"/>
        </w:rPr>
        <w:t xml:space="preserve"> </w:t>
      </w:r>
      <w:r w:rsidR="00071568">
        <w:rPr>
          <w:rFonts w:ascii="Arial" w:eastAsia="Times New Roman" w:hAnsi="Arial" w:cs="Arial"/>
          <w:kern w:val="28"/>
          <w:sz w:val="20"/>
          <w:szCs w:val="20"/>
        </w:rPr>
        <w:t>will be relevant to the GCC.</w:t>
      </w:r>
    </w:p>
    <w:p w:rsidR="00345178" w:rsidRDefault="000008C5" w:rsidP="0028230E">
      <w:pPr>
        <w:spacing w:after="0" w:line="360" w:lineRule="auto"/>
        <w:rPr>
          <w:rFonts w:ascii="Arial" w:hAnsi="Arial" w:cs="Arial"/>
          <w:sz w:val="20"/>
          <w:szCs w:val="20"/>
          <w:u w:val="single"/>
        </w:rPr>
      </w:pPr>
      <w:r w:rsidRPr="007E0675">
        <w:rPr>
          <w:rFonts w:ascii="Arial" w:hAnsi="Arial" w:cs="Arial"/>
          <w:sz w:val="20"/>
          <w:szCs w:val="20"/>
          <w:u w:val="single"/>
        </w:rPr>
        <w:t>The Trojan</w:t>
      </w:r>
      <w:r w:rsidR="007E0675" w:rsidRPr="007E0675">
        <w:rPr>
          <w:rFonts w:ascii="Arial" w:hAnsi="Arial" w:cs="Arial"/>
          <w:sz w:val="20"/>
          <w:szCs w:val="20"/>
          <w:u w:val="single"/>
        </w:rPr>
        <w:t xml:space="preserve"> horse - </w:t>
      </w:r>
      <w:r w:rsidR="00726CD6" w:rsidRPr="007E0675">
        <w:rPr>
          <w:rFonts w:ascii="Arial" w:hAnsi="Arial" w:cs="Arial"/>
          <w:sz w:val="20"/>
          <w:szCs w:val="20"/>
          <w:u w:val="single"/>
        </w:rPr>
        <w:t>Corporate sovereignty</w:t>
      </w:r>
      <w:r>
        <w:rPr>
          <w:rFonts w:ascii="Arial" w:hAnsi="Arial" w:cs="Arial"/>
          <w:sz w:val="20"/>
          <w:szCs w:val="20"/>
          <w:u w:val="single"/>
        </w:rPr>
        <w:t xml:space="preserve"> impact on the GCC</w:t>
      </w:r>
    </w:p>
    <w:p w:rsidR="0028230E" w:rsidRPr="0028230E" w:rsidRDefault="0028230E" w:rsidP="0028230E">
      <w:pPr>
        <w:spacing w:after="0" w:line="360" w:lineRule="auto"/>
        <w:rPr>
          <w:rFonts w:ascii="Arial" w:hAnsi="Arial" w:cs="Arial"/>
          <w:sz w:val="20"/>
          <w:szCs w:val="20"/>
          <w:u w:val="single"/>
        </w:rPr>
      </w:pPr>
    </w:p>
    <w:p w:rsidR="00345178" w:rsidRDefault="00345178" w:rsidP="00345178">
      <w:pPr>
        <w:spacing w:line="480" w:lineRule="auto"/>
        <w:jc w:val="both"/>
        <w:rPr>
          <w:rFonts w:ascii="Arial" w:hAnsi="Arial" w:cs="Arial"/>
          <w:sz w:val="20"/>
          <w:szCs w:val="20"/>
        </w:rPr>
      </w:pPr>
      <w:r>
        <w:rPr>
          <w:rFonts w:ascii="Arial" w:hAnsi="Arial" w:cs="Arial"/>
          <w:sz w:val="20"/>
          <w:szCs w:val="20"/>
        </w:rPr>
        <w:t>The GCC is a collection of r</w:t>
      </w:r>
      <w:r w:rsidRPr="00345178">
        <w:rPr>
          <w:rFonts w:ascii="Arial" w:hAnsi="Arial" w:cs="Arial"/>
          <w:sz w:val="20"/>
          <w:szCs w:val="20"/>
        </w:rPr>
        <w:t xml:space="preserve">entier </w:t>
      </w:r>
      <w:r>
        <w:rPr>
          <w:rFonts w:ascii="Arial" w:hAnsi="Arial" w:cs="Arial"/>
          <w:sz w:val="20"/>
          <w:szCs w:val="20"/>
        </w:rPr>
        <w:t>s</w:t>
      </w:r>
      <w:r w:rsidRPr="00345178">
        <w:rPr>
          <w:rFonts w:ascii="Arial" w:hAnsi="Arial" w:cs="Arial"/>
          <w:sz w:val="20"/>
          <w:szCs w:val="20"/>
        </w:rPr>
        <w:t>tates</w:t>
      </w:r>
      <w:r>
        <w:rPr>
          <w:rFonts w:ascii="Arial" w:hAnsi="Arial" w:cs="Arial"/>
          <w:sz w:val="20"/>
          <w:szCs w:val="20"/>
        </w:rPr>
        <w:t xml:space="preserve">. </w:t>
      </w:r>
      <w:r w:rsidRPr="006E4240">
        <w:rPr>
          <w:rFonts w:ascii="Arial" w:hAnsi="Arial" w:cs="Arial"/>
          <w:sz w:val="20"/>
          <w:szCs w:val="20"/>
        </w:rPr>
        <w:t>The</w:t>
      </w:r>
      <w:r>
        <w:rPr>
          <w:rFonts w:ascii="Arial" w:hAnsi="Arial" w:cs="Arial"/>
          <w:sz w:val="20"/>
          <w:szCs w:val="20"/>
        </w:rPr>
        <w:t>y</w:t>
      </w:r>
      <w:r w:rsidRPr="006E4240">
        <w:rPr>
          <w:rFonts w:ascii="Arial" w:hAnsi="Arial" w:cs="Arial"/>
          <w:sz w:val="20"/>
          <w:szCs w:val="20"/>
        </w:rPr>
        <w:t xml:space="preserve"> have similar autocratic monarchies, political and cultural identities, which are historically rooted in Islamic beliefs</w:t>
      </w:r>
      <w:r w:rsidRPr="006E4240">
        <w:rPr>
          <w:rStyle w:val="FootnoteReference"/>
          <w:rFonts w:ascii="Arial" w:hAnsi="Arial" w:cs="Arial"/>
          <w:sz w:val="20"/>
          <w:szCs w:val="20"/>
        </w:rPr>
        <w:footnoteReference w:id="58"/>
      </w:r>
      <w:r w:rsidRPr="006E4240">
        <w:rPr>
          <w:rFonts w:ascii="Arial" w:hAnsi="Arial" w:cs="Arial"/>
          <w:sz w:val="20"/>
          <w:szCs w:val="20"/>
        </w:rPr>
        <w:t xml:space="preserve">. Unlike other international bodies, the GCC is </w:t>
      </w:r>
      <w:r w:rsidRPr="006E4240">
        <w:rPr>
          <w:rFonts w:ascii="Arial" w:hAnsi="Arial" w:cs="Arial"/>
          <w:sz w:val="20"/>
          <w:szCs w:val="20"/>
        </w:rPr>
        <w:lastRenderedPageBreak/>
        <w:t>unique in that all its member states are Islamic states</w:t>
      </w:r>
      <w:r w:rsidRPr="006E4240">
        <w:rPr>
          <w:rStyle w:val="FootnoteReference"/>
          <w:rFonts w:ascii="Arial" w:hAnsi="Arial" w:cs="Arial"/>
          <w:sz w:val="20"/>
          <w:szCs w:val="20"/>
        </w:rPr>
        <w:footnoteReference w:id="59"/>
      </w:r>
      <w:r w:rsidRPr="006E4240">
        <w:rPr>
          <w:rFonts w:ascii="Arial" w:hAnsi="Arial" w:cs="Arial"/>
          <w:sz w:val="20"/>
          <w:szCs w:val="20"/>
        </w:rPr>
        <w:t>. Each individual state has varying degree</w:t>
      </w:r>
      <w:r>
        <w:rPr>
          <w:rFonts w:ascii="Arial" w:hAnsi="Arial" w:cs="Arial"/>
          <w:sz w:val="20"/>
          <w:szCs w:val="20"/>
        </w:rPr>
        <w:t>s</w:t>
      </w:r>
      <w:r w:rsidRPr="006E4240">
        <w:rPr>
          <w:rFonts w:ascii="Arial" w:hAnsi="Arial" w:cs="Arial"/>
          <w:sz w:val="20"/>
          <w:szCs w:val="20"/>
        </w:rPr>
        <w:t xml:space="preserve"> of Sharia law incorporated in their constitutions as </w:t>
      </w:r>
      <w:r>
        <w:rPr>
          <w:rFonts w:ascii="Arial" w:hAnsi="Arial" w:cs="Arial"/>
          <w:sz w:val="20"/>
          <w:szCs w:val="20"/>
        </w:rPr>
        <w:t>discussed above.</w:t>
      </w:r>
    </w:p>
    <w:p w:rsidR="00345178" w:rsidRPr="006E4240" w:rsidRDefault="00345178" w:rsidP="00345178">
      <w:pPr>
        <w:spacing w:line="480" w:lineRule="auto"/>
        <w:jc w:val="both"/>
        <w:rPr>
          <w:rFonts w:ascii="Arial" w:hAnsi="Arial" w:cs="Arial"/>
          <w:sz w:val="20"/>
          <w:szCs w:val="20"/>
        </w:rPr>
      </w:pPr>
      <w:r w:rsidRPr="006E4240">
        <w:rPr>
          <w:rFonts w:ascii="Arial" w:hAnsi="Arial" w:cs="Arial"/>
          <w:sz w:val="20"/>
          <w:szCs w:val="20"/>
        </w:rPr>
        <w:t xml:space="preserve">There are other unique features associated with the Gulf </w:t>
      </w:r>
      <w:proofErr w:type="gramStart"/>
      <w:r>
        <w:rPr>
          <w:rFonts w:ascii="Arial" w:hAnsi="Arial" w:cs="Arial"/>
          <w:sz w:val="20"/>
          <w:szCs w:val="20"/>
        </w:rPr>
        <w:t>s</w:t>
      </w:r>
      <w:r w:rsidRPr="006E4240">
        <w:rPr>
          <w:rFonts w:ascii="Arial" w:hAnsi="Arial" w:cs="Arial"/>
          <w:sz w:val="20"/>
          <w:szCs w:val="20"/>
        </w:rPr>
        <w:t>tates</w:t>
      </w:r>
      <w:proofErr w:type="gramEnd"/>
      <w:r w:rsidRPr="006E4240">
        <w:rPr>
          <w:rFonts w:ascii="Arial" w:hAnsi="Arial" w:cs="Arial"/>
          <w:sz w:val="20"/>
          <w:szCs w:val="20"/>
        </w:rPr>
        <w:t>, for example they are essentially small populations with large oil reserves</w:t>
      </w:r>
      <w:r w:rsidRPr="006E4240">
        <w:rPr>
          <w:rStyle w:val="FootnoteReference"/>
          <w:rFonts w:ascii="Arial" w:hAnsi="Arial" w:cs="Arial"/>
          <w:sz w:val="20"/>
          <w:szCs w:val="20"/>
        </w:rPr>
        <w:footnoteReference w:id="60"/>
      </w:r>
      <w:r>
        <w:rPr>
          <w:rFonts w:ascii="Arial" w:hAnsi="Arial" w:cs="Arial"/>
          <w:sz w:val="20"/>
          <w:szCs w:val="20"/>
        </w:rPr>
        <w:t>. Thus the</w:t>
      </w:r>
      <w:r w:rsidRPr="006E4240">
        <w:rPr>
          <w:rFonts w:ascii="Arial" w:hAnsi="Arial" w:cs="Arial"/>
          <w:sz w:val="20"/>
          <w:szCs w:val="20"/>
        </w:rPr>
        <w:t xml:space="preserve"> GCC </w:t>
      </w:r>
      <w:r>
        <w:rPr>
          <w:rFonts w:ascii="Arial" w:hAnsi="Arial" w:cs="Arial"/>
          <w:sz w:val="20"/>
          <w:szCs w:val="20"/>
        </w:rPr>
        <w:t>s</w:t>
      </w:r>
      <w:r w:rsidRPr="006E4240">
        <w:rPr>
          <w:rFonts w:ascii="Arial" w:hAnsi="Arial" w:cs="Arial"/>
          <w:sz w:val="20"/>
          <w:szCs w:val="20"/>
        </w:rPr>
        <w:t>tates are often referred to as rentier states given they share certain commonalities such as; providing economic necessities for citizens, no state tax and large populations of foreign labour in the private sector</w:t>
      </w:r>
      <w:r w:rsidRPr="006E4240">
        <w:rPr>
          <w:rStyle w:val="FootnoteReference"/>
          <w:rFonts w:ascii="Arial" w:hAnsi="Arial" w:cs="Arial"/>
          <w:sz w:val="20"/>
          <w:szCs w:val="20"/>
        </w:rPr>
        <w:footnoteReference w:id="61"/>
      </w:r>
      <w:r w:rsidRPr="006E4240">
        <w:rPr>
          <w:rFonts w:ascii="Arial" w:hAnsi="Arial" w:cs="Arial"/>
          <w:sz w:val="20"/>
          <w:szCs w:val="20"/>
        </w:rPr>
        <w:t>.</w:t>
      </w:r>
    </w:p>
    <w:p w:rsidR="00345178" w:rsidRDefault="00345178" w:rsidP="00345178">
      <w:pPr>
        <w:spacing w:line="480" w:lineRule="auto"/>
        <w:jc w:val="both"/>
        <w:rPr>
          <w:rFonts w:ascii="Arial" w:hAnsi="Arial" w:cs="Arial"/>
          <w:sz w:val="20"/>
          <w:szCs w:val="20"/>
        </w:rPr>
      </w:pPr>
      <w:r w:rsidRPr="006E4240">
        <w:rPr>
          <w:rFonts w:ascii="Arial" w:hAnsi="Arial" w:cs="Arial"/>
          <w:sz w:val="20"/>
          <w:szCs w:val="20"/>
        </w:rPr>
        <w:t>Each of the rentier states have undergone significant development since the early 1980’s and continue to develop</w:t>
      </w:r>
      <w:r w:rsidRPr="006E4240">
        <w:rPr>
          <w:rStyle w:val="FootnoteReference"/>
          <w:rFonts w:ascii="Arial" w:hAnsi="Arial" w:cs="Arial"/>
          <w:sz w:val="20"/>
          <w:szCs w:val="20"/>
        </w:rPr>
        <w:footnoteReference w:id="62"/>
      </w:r>
      <w:r w:rsidRPr="006E4240">
        <w:rPr>
          <w:rFonts w:ascii="Arial" w:hAnsi="Arial" w:cs="Arial"/>
          <w:sz w:val="20"/>
          <w:szCs w:val="20"/>
        </w:rPr>
        <w:t>.  However each state differs in terms of governance, religious influence, intellectual property development and economic progression. Specific to intellectual property,</w:t>
      </w:r>
      <w:r w:rsidRPr="006C4849">
        <w:rPr>
          <w:rFonts w:ascii="Arial" w:hAnsi="Arial" w:cs="Arial"/>
          <w:sz w:val="20"/>
          <w:szCs w:val="20"/>
        </w:rPr>
        <w:t xml:space="preserve"> all six states</w:t>
      </w:r>
      <w:r>
        <w:rPr>
          <w:rFonts w:ascii="Arial" w:hAnsi="Arial" w:cs="Arial"/>
          <w:sz w:val="20"/>
          <w:szCs w:val="20"/>
        </w:rPr>
        <w:t xml:space="preserve"> ascended</w:t>
      </w:r>
      <w:r w:rsidRPr="006C4849">
        <w:rPr>
          <w:rFonts w:ascii="Arial" w:hAnsi="Arial" w:cs="Arial"/>
          <w:sz w:val="20"/>
          <w:szCs w:val="20"/>
        </w:rPr>
        <w:t xml:space="preserve"> to the WTO between</w:t>
      </w:r>
      <w:r>
        <w:rPr>
          <w:rFonts w:ascii="Arial" w:hAnsi="Arial" w:cs="Arial"/>
          <w:sz w:val="20"/>
          <w:szCs w:val="20"/>
        </w:rPr>
        <w:t xml:space="preserve"> a ten year span, from 1995 and 2005. W</w:t>
      </w:r>
      <w:r w:rsidRPr="006C4849">
        <w:rPr>
          <w:rFonts w:ascii="Arial" w:hAnsi="Arial" w:cs="Arial"/>
          <w:sz w:val="20"/>
          <w:szCs w:val="20"/>
        </w:rPr>
        <w:t xml:space="preserve">hereas most of the GCC States became WTO members in close proximity of each other, Saudi Arabia lagged significantly behind by nearly a decade. Given Saudi Arabia has prominence within the GCC and several decision making seats, the time Saudi Arabia takes to reach a decision can be linked to the </w:t>
      </w:r>
      <w:r w:rsidR="00B069DA">
        <w:rPr>
          <w:rFonts w:ascii="Arial" w:hAnsi="Arial" w:cs="Arial"/>
          <w:sz w:val="20"/>
          <w:szCs w:val="20"/>
        </w:rPr>
        <w:t>constitutional significance of s</w:t>
      </w:r>
      <w:r w:rsidRPr="006C4849">
        <w:rPr>
          <w:rFonts w:ascii="Arial" w:hAnsi="Arial" w:cs="Arial"/>
          <w:sz w:val="20"/>
          <w:szCs w:val="20"/>
        </w:rPr>
        <w:t>haria law.</w:t>
      </w:r>
      <w:r>
        <w:rPr>
          <w:rFonts w:ascii="Arial" w:hAnsi="Arial" w:cs="Arial"/>
          <w:sz w:val="20"/>
          <w:szCs w:val="20"/>
        </w:rPr>
        <w:t xml:space="preserve"> Further, how the GCC states will marry corporate sovereignty with their individual sovereignty and rule of law has not been examined.</w:t>
      </w:r>
    </w:p>
    <w:p w:rsidR="005C68AF" w:rsidRPr="006C4849" w:rsidRDefault="00E36D99" w:rsidP="005C68AF">
      <w:pPr>
        <w:spacing w:line="480" w:lineRule="auto"/>
        <w:jc w:val="both"/>
        <w:rPr>
          <w:rFonts w:ascii="Arial" w:hAnsi="Arial" w:cs="Arial"/>
          <w:sz w:val="20"/>
          <w:szCs w:val="20"/>
        </w:rPr>
      </w:pPr>
      <w:r>
        <w:rPr>
          <w:rFonts w:ascii="Arial" w:hAnsi="Arial" w:cs="Arial"/>
          <w:sz w:val="20"/>
          <w:szCs w:val="20"/>
        </w:rPr>
        <w:t xml:space="preserve">Take for example </w:t>
      </w:r>
      <w:r w:rsidR="00B069DA">
        <w:rPr>
          <w:rFonts w:ascii="Arial" w:hAnsi="Arial" w:cs="Arial"/>
          <w:sz w:val="20"/>
          <w:szCs w:val="20"/>
        </w:rPr>
        <w:t>Saudi</w:t>
      </w:r>
      <w:r>
        <w:rPr>
          <w:rFonts w:ascii="Arial" w:hAnsi="Arial" w:cs="Arial"/>
          <w:sz w:val="20"/>
          <w:szCs w:val="20"/>
        </w:rPr>
        <w:t xml:space="preserve"> Arabia, it is an absolute monarchy.</w:t>
      </w:r>
      <w:r w:rsidR="00976AB1">
        <w:rPr>
          <w:rFonts w:ascii="Arial" w:hAnsi="Arial" w:cs="Arial"/>
          <w:sz w:val="20"/>
          <w:szCs w:val="20"/>
        </w:rPr>
        <w:t xml:space="preserve"> It is</w:t>
      </w:r>
      <w:r w:rsidR="00976AB1" w:rsidRPr="00976AB1">
        <w:rPr>
          <w:rFonts w:ascii="Arial" w:hAnsi="Arial" w:cs="Arial"/>
          <w:sz w:val="20"/>
          <w:szCs w:val="20"/>
        </w:rPr>
        <w:t xml:space="preserve"> </w:t>
      </w:r>
      <w:r w:rsidR="00976AB1" w:rsidRPr="006C4849">
        <w:rPr>
          <w:rFonts w:ascii="Arial" w:hAnsi="Arial" w:cs="Arial"/>
          <w:sz w:val="20"/>
          <w:szCs w:val="20"/>
        </w:rPr>
        <w:t>ruled by King Abdullah bin Abdul Aziz Al Saud. Al Saud is the head of state and Prime Minister of Saudi Arabia</w:t>
      </w:r>
      <w:r w:rsidR="00976AB1" w:rsidRPr="006C4849">
        <w:rPr>
          <w:rStyle w:val="FootnoteReference"/>
          <w:rFonts w:ascii="Arial" w:hAnsi="Arial" w:cs="Arial"/>
          <w:sz w:val="20"/>
          <w:szCs w:val="20"/>
        </w:rPr>
        <w:footnoteReference w:id="63"/>
      </w:r>
      <w:r w:rsidR="00976AB1" w:rsidRPr="006C4849">
        <w:rPr>
          <w:rFonts w:ascii="Arial" w:hAnsi="Arial" w:cs="Arial"/>
          <w:sz w:val="20"/>
          <w:szCs w:val="20"/>
        </w:rPr>
        <w:t>. Article 1 of its Basic Law of Government states the Holy Qur'an is the constitution</w:t>
      </w:r>
      <w:r w:rsidR="00976AB1" w:rsidRPr="006C4849">
        <w:rPr>
          <w:rStyle w:val="FootnoteReference"/>
          <w:rFonts w:ascii="Arial" w:hAnsi="Arial" w:cs="Arial"/>
          <w:sz w:val="20"/>
          <w:szCs w:val="20"/>
        </w:rPr>
        <w:footnoteReference w:id="64"/>
      </w:r>
      <w:r w:rsidR="00976AB1" w:rsidRPr="006C4849">
        <w:rPr>
          <w:rFonts w:ascii="Arial" w:hAnsi="Arial" w:cs="Arial"/>
          <w:sz w:val="20"/>
          <w:szCs w:val="20"/>
        </w:rPr>
        <w:t xml:space="preserve"> while governance is according to Islamic law</w:t>
      </w:r>
      <w:r w:rsidR="00976AB1" w:rsidRPr="006C4849">
        <w:rPr>
          <w:rStyle w:val="FootnoteReference"/>
          <w:rFonts w:ascii="Arial" w:hAnsi="Arial" w:cs="Arial"/>
          <w:sz w:val="20"/>
          <w:szCs w:val="20"/>
        </w:rPr>
        <w:footnoteReference w:id="65"/>
      </w:r>
      <w:r w:rsidR="00976AB1">
        <w:rPr>
          <w:rFonts w:ascii="Arial" w:hAnsi="Arial" w:cs="Arial"/>
          <w:sz w:val="20"/>
          <w:szCs w:val="20"/>
        </w:rPr>
        <w:t xml:space="preserve">. </w:t>
      </w:r>
      <w:r w:rsidR="00976AB1" w:rsidRPr="006C4849">
        <w:rPr>
          <w:rFonts w:ascii="Arial" w:hAnsi="Arial" w:cs="Arial"/>
          <w:sz w:val="20"/>
          <w:szCs w:val="20"/>
        </w:rPr>
        <w:t>Out of all the GCC states, Saudi Arabia’s judicial system is the most reliant on Sharia principles</w:t>
      </w:r>
      <w:r w:rsidR="00976AB1" w:rsidRPr="006C4849">
        <w:rPr>
          <w:rStyle w:val="FootnoteReference"/>
          <w:rFonts w:ascii="Arial" w:hAnsi="Arial" w:cs="Arial"/>
          <w:sz w:val="20"/>
          <w:szCs w:val="20"/>
        </w:rPr>
        <w:footnoteReference w:id="66"/>
      </w:r>
      <w:r w:rsidR="00976AB1" w:rsidRPr="006C4849">
        <w:rPr>
          <w:rFonts w:ascii="Arial" w:hAnsi="Arial" w:cs="Arial"/>
          <w:sz w:val="20"/>
          <w:szCs w:val="20"/>
        </w:rPr>
        <w:t xml:space="preserve"> in </w:t>
      </w:r>
      <w:r w:rsidR="00976AB1" w:rsidRPr="006C4849">
        <w:rPr>
          <w:rFonts w:ascii="Arial" w:hAnsi="Arial" w:cs="Arial"/>
          <w:sz w:val="20"/>
          <w:szCs w:val="20"/>
        </w:rPr>
        <w:lastRenderedPageBreak/>
        <w:t>relation to decision making in its criminal and civil courts, as compared to other GCC states</w:t>
      </w:r>
      <w:r w:rsidR="00976AB1" w:rsidRPr="006C4849">
        <w:rPr>
          <w:rStyle w:val="FootnoteReference"/>
          <w:rFonts w:ascii="Arial" w:hAnsi="Arial" w:cs="Arial"/>
          <w:sz w:val="20"/>
          <w:szCs w:val="20"/>
        </w:rPr>
        <w:footnoteReference w:id="67"/>
      </w:r>
      <w:r w:rsidR="00976AB1" w:rsidRPr="006C4849">
        <w:rPr>
          <w:rFonts w:ascii="Arial" w:hAnsi="Arial" w:cs="Arial"/>
          <w:sz w:val="20"/>
          <w:szCs w:val="20"/>
        </w:rPr>
        <w:t xml:space="preserve">.  </w:t>
      </w:r>
      <w:r w:rsidR="005C68AF" w:rsidRPr="006C4849">
        <w:rPr>
          <w:rFonts w:ascii="Arial" w:hAnsi="Arial" w:cs="Arial"/>
          <w:sz w:val="20"/>
          <w:szCs w:val="20"/>
        </w:rPr>
        <w:t>Saudi Arabia has a dual court system; the Sharia Courts and the Board of Grievances.</w:t>
      </w:r>
      <w:r w:rsidR="005C68AF">
        <w:rPr>
          <w:rFonts w:ascii="Arial" w:hAnsi="Arial" w:cs="Arial"/>
          <w:sz w:val="20"/>
          <w:szCs w:val="20"/>
        </w:rPr>
        <w:t xml:space="preserve"> </w:t>
      </w:r>
      <w:r w:rsidR="005C68AF" w:rsidRPr="006C4849">
        <w:rPr>
          <w:rFonts w:ascii="Arial" w:hAnsi="Arial" w:cs="Arial"/>
          <w:sz w:val="20"/>
          <w:szCs w:val="20"/>
        </w:rPr>
        <w:t>Under the Basic Law of Governance in Saudi Arabia, the King has ultimate authority over all branches of the State</w:t>
      </w:r>
      <w:r w:rsidR="005C68AF" w:rsidRPr="006C4849">
        <w:rPr>
          <w:rStyle w:val="FootnoteReference"/>
          <w:rFonts w:ascii="Arial" w:hAnsi="Arial" w:cs="Arial"/>
          <w:sz w:val="20"/>
          <w:szCs w:val="20"/>
        </w:rPr>
        <w:footnoteReference w:id="68"/>
      </w:r>
      <w:r w:rsidR="005C68AF" w:rsidRPr="006C4849">
        <w:rPr>
          <w:rFonts w:ascii="Arial" w:hAnsi="Arial" w:cs="Arial"/>
          <w:sz w:val="20"/>
          <w:szCs w:val="20"/>
        </w:rPr>
        <w:t>.  The executive branch</w:t>
      </w:r>
      <w:r w:rsidR="005C68AF">
        <w:rPr>
          <w:rFonts w:ascii="Arial" w:hAnsi="Arial" w:cs="Arial"/>
          <w:sz w:val="20"/>
          <w:szCs w:val="20"/>
        </w:rPr>
        <w:t xml:space="preserve"> has the King as the</w:t>
      </w:r>
      <w:r w:rsidR="005C68AF" w:rsidRPr="006C4849">
        <w:rPr>
          <w:rFonts w:ascii="Arial" w:hAnsi="Arial" w:cs="Arial"/>
          <w:sz w:val="20"/>
          <w:szCs w:val="20"/>
        </w:rPr>
        <w:t xml:space="preserve"> chief of state and head of government. The cabinet consists of a council of Ministers appointed by the monarch every four years and includes many royal family members</w:t>
      </w:r>
      <w:r w:rsidR="005C68AF" w:rsidRPr="006C4849">
        <w:rPr>
          <w:rStyle w:val="FootnoteReference"/>
          <w:rFonts w:ascii="Arial" w:hAnsi="Arial" w:cs="Arial"/>
          <w:sz w:val="20"/>
          <w:szCs w:val="20"/>
        </w:rPr>
        <w:footnoteReference w:id="69"/>
      </w:r>
      <w:r w:rsidR="005C68AF">
        <w:rPr>
          <w:rFonts w:ascii="Arial" w:hAnsi="Arial" w:cs="Arial"/>
          <w:sz w:val="20"/>
          <w:szCs w:val="20"/>
        </w:rPr>
        <w:t>.</w:t>
      </w:r>
    </w:p>
    <w:p w:rsidR="00C83C6E" w:rsidRDefault="00B069DA" w:rsidP="00C83C6E">
      <w:pPr>
        <w:spacing w:after="100" w:afterAutospacing="1" w:line="480" w:lineRule="auto"/>
        <w:jc w:val="both"/>
        <w:rPr>
          <w:rFonts w:ascii="Arial" w:hAnsi="Arial" w:cs="Arial"/>
          <w:color w:val="000000"/>
          <w:sz w:val="20"/>
          <w:szCs w:val="20"/>
        </w:rPr>
      </w:pPr>
      <w:r>
        <w:rPr>
          <w:rFonts w:ascii="Arial" w:hAnsi="Arial" w:cs="Arial"/>
          <w:sz w:val="20"/>
          <w:szCs w:val="20"/>
        </w:rPr>
        <w:t xml:space="preserve">Oman on the other hand, </w:t>
      </w:r>
      <w:r w:rsidR="00405CCC">
        <w:rPr>
          <w:rFonts w:ascii="Arial" w:hAnsi="Arial" w:cs="Arial"/>
          <w:sz w:val="20"/>
          <w:szCs w:val="20"/>
        </w:rPr>
        <w:t xml:space="preserve">has a </w:t>
      </w:r>
      <w:r w:rsidR="00405CCC" w:rsidRPr="006C4849">
        <w:rPr>
          <w:rFonts w:ascii="Arial" w:hAnsi="Arial" w:cs="Arial"/>
          <w:sz w:val="20"/>
          <w:szCs w:val="20"/>
        </w:rPr>
        <w:t>civil law system, heavily influenced by Egyptian and French law</w:t>
      </w:r>
      <w:r w:rsidR="00405CCC" w:rsidRPr="006C4849">
        <w:rPr>
          <w:rStyle w:val="FootnoteReference"/>
          <w:rFonts w:ascii="Arial" w:hAnsi="Arial" w:cs="Arial"/>
          <w:sz w:val="20"/>
          <w:szCs w:val="20"/>
        </w:rPr>
        <w:footnoteReference w:id="70"/>
      </w:r>
      <w:r w:rsidR="00405CCC" w:rsidRPr="006C4849">
        <w:rPr>
          <w:rFonts w:ascii="Arial" w:hAnsi="Arial" w:cs="Arial"/>
          <w:sz w:val="20"/>
          <w:szCs w:val="20"/>
        </w:rPr>
        <w:t>.</w:t>
      </w:r>
      <w:r w:rsidR="00882130">
        <w:rPr>
          <w:rFonts w:ascii="Arial" w:hAnsi="Arial" w:cs="Arial"/>
          <w:sz w:val="20"/>
          <w:szCs w:val="20"/>
        </w:rPr>
        <w:t xml:space="preserve"> </w:t>
      </w:r>
      <w:r w:rsidR="00882130" w:rsidRPr="006C4849">
        <w:rPr>
          <w:rFonts w:ascii="Arial" w:hAnsi="Arial" w:cs="Arial"/>
          <w:sz w:val="20"/>
          <w:szCs w:val="20"/>
        </w:rPr>
        <w:t>The legislative branch of the Omani Government consists of a bicameral body</w:t>
      </w:r>
      <w:r w:rsidR="00882130" w:rsidRPr="006C4849">
        <w:rPr>
          <w:rStyle w:val="FootnoteReference"/>
          <w:rFonts w:ascii="Arial" w:hAnsi="Arial" w:cs="Arial"/>
          <w:sz w:val="20"/>
          <w:szCs w:val="20"/>
        </w:rPr>
        <w:footnoteReference w:id="71"/>
      </w:r>
      <w:r w:rsidR="00882130" w:rsidRPr="006C4849">
        <w:rPr>
          <w:rFonts w:ascii="Arial" w:hAnsi="Arial" w:cs="Arial"/>
          <w:sz w:val="20"/>
          <w:szCs w:val="20"/>
        </w:rPr>
        <w:t xml:space="preserve"> and is composed of two chambers. The upper house has 70 members </w:t>
      </w:r>
      <w:r w:rsidR="00882130">
        <w:rPr>
          <w:rFonts w:ascii="Arial" w:hAnsi="Arial" w:cs="Arial"/>
          <w:sz w:val="20"/>
          <w:szCs w:val="20"/>
        </w:rPr>
        <w:t>appointed by the monarch and has</w:t>
      </w:r>
      <w:r w:rsidR="00882130" w:rsidRPr="006C4849">
        <w:rPr>
          <w:rFonts w:ascii="Arial" w:hAnsi="Arial" w:cs="Arial"/>
          <w:sz w:val="20"/>
          <w:szCs w:val="20"/>
        </w:rPr>
        <w:t xml:space="preserve"> advisory powers only</w:t>
      </w:r>
      <w:r w:rsidR="00882130" w:rsidRPr="006C4849">
        <w:rPr>
          <w:rStyle w:val="FootnoteReference"/>
          <w:rFonts w:ascii="Arial" w:hAnsi="Arial" w:cs="Arial"/>
          <w:sz w:val="20"/>
          <w:szCs w:val="20"/>
        </w:rPr>
        <w:footnoteReference w:id="72"/>
      </w:r>
      <w:r w:rsidR="00882130" w:rsidRPr="006C4849">
        <w:rPr>
          <w:rFonts w:ascii="Arial" w:hAnsi="Arial" w:cs="Arial"/>
          <w:sz w:val="20"/>
          <w:szCs w:val="20"/>
        </w:rPr>
        <w:t>. The lower chamber of 84 members is elected by popular vote</w:t>
      </w:r>
      <w:r w:rsidR="00882130" w:rsidRPr="006C4849">
        <w:rPr>
          <w:rStyle w:val="FootnoteReference"/>
          <w:rFonts w:ascii="Arial" w:hAnsi="Arial" w:cs="Arial"/>
          <w:sz w:val="20"/>
          <w:szCs w:val="20"/>
        </w:rPr>
        <w:footnoteReference w:id="73"/>
      </w:r>
      <w:r w:rsidR="00882130" w:rsidRPr="006C4849">
        <w:rPr>
          <w:rFonts w:ascii="Arial" w:hAnsi="Arial" w:cs="Arial"/>
          <w:sz w:val="20"/>
          <w:szCs w:val="20"/>
        </w:rPr>
        <w:t>.</w:t>
      </w:r>
      <w:r w:rsidR="00882130">
        <w:rPr>
          <w:rFonts w:ascii="Arial" w:hAnsi="Arial" w:cs="Arial"/>
          <w:sz w:val="20"/>
          <w:szCs w:val="20"/>
        </w:rPr>
        <w:t xml:space="preserve"> Bahrain, </w:t>
      </w:r>
      <w:r w:rsidR="00882130" w:rsidRPr="00431865">
        <w:rPr>
          <w:rFonts w:ascii="Arial" w:hAnsi="Arial" w:cs="Arial"/>
          <w:sz w:val="20"/>
          <w:szCs w:val="20"/>
          <w:shd w:val="clear" w:color="auto" w:fill="FFFFFF"/>
        </w:rPr>
        <w:t>given the historical presence of Britain</w:t>
      </w:r>
      <w:r w:rsidR="00882130">
        <w:rPr>
          <w:rFonts w:ascii="Arial" w:hAnsi="Arial" w:cs="Arial"/>
          <w:sz w:val="20"/>
          <w:szCs w:val="20"/>
          <w:shd w:val="clear" w:color="auto" w:fill="FFFFFF"/>
        </w:rPr>
        <w:t>, has a</w:t>
      </w:r>
      <w:r w:rsidR="00882130" w:rsidRPr="00431865">
        <w:rPr>
          <w:rFonts w:ascii="Arial" w:hAnsi="Arial" w:cs="Arial"/>
          <w:sz w:val="20"/>
          <w:szCs w:val="20"/>
          <w:shd w:val="clear" w:color="auto" w:fill="FFFFFF"/>
        </w:rPr>
        <w:t xml:space="preserve"> legal system </w:t>
      </w:r>
      <w:r w:rsidR="00882130">
        <w:rPr>
          <w:rFonts w:ascii="Arial" w:hAnsi="Arial" w:cs="Arial"/>
          <w:sz w:val="20"/>
          <w:szCs w:val="20"/>
          <w:shd w:val="clear" w:color="auto" w:fill="FFFFFF"/>
        </w:rPr>
        <w:t xml:space="preserve">that </w:t>
      </w:r>
      <w:r w:rsidR="00882130" w:rsidRPr="00431865">
        <w:rPr>
          <w:rFonts w:ascii="Arial" w:hAnsi="Arial" w:cs="Arial"/>
          <w:sz w:val="20"/>
          <w:szCs w:val="20"/>
          <w:shd w:val="clear" w:color="auto" w:fill="FFFFFF"/>
        </w:rPr>
        <w:t>reflects traditional English law principles</w:t>
      </w:r>
      <w:r w:rsidR="00882130" w:rsidRPr="00431865">
        <w:rPr>
          <w:rStyle w:val="FootnoteReference"/>
          <w:rFonts w:ascii="Arial" w:hAnsi="Arial" w:cs="Arial"/>
          <w:sz w:val="20"/>
          <w:szCs w:val="20"/>
          <w:shd w:val="clear" w:color="auto" w:fill="FFFFFF"/>
        </w:rPr>
        <w:footnoteReference w:id="74"/>
      </w:r>
      <w:r w:rsidR="00882130" w:rsidRPr="00431865">
        <w:rPr>
          <w:rFonts w:ascii="Arial" w:hAnsi="Arial" w:cs="Arial"/>
          <w:sz w:val="20"/>
          <w:szCs w:val="20"/>
          <w:shd w:val="clear" w:color="auto" w:fill="FFFFFF"/>
        </w:rPr>
        <w:t>.</w:t>
      </w:r>
      <w:r w:rsidR="004A2B40" w:rsidRPr="004A2B40">
        <w:rPr>
          <w:rFonts w:ascii="Arial" w:hAnsi="Arial" w:cs="Arial"/>
          <w:color w:val="000000"/>
          <w:sz w:val="20"/>
          <w:szCs w:val="20"/>
        </w:rPr>
        <w:t xml:space="preserve"> </w:t>
      </w:r>
      <w:r w:rsidR="004A2B40">
        <w:rPr>
          <w:rFonts w:ascii="Arial" w:hAnsi="Arial" w:cs="Arial"/>
          <w:color w:val="000000"/>
          <w:sz w:val="20"/>
          <w:szCs w:val="20"/>
        </w:rPr>
        <w:t xml:space="preserve">Bahrain </w:t>
      </w:r>
      <w:r w:rsidR="004A2B40" w:rsidRPr="006C4849">
        <w:rPr>
          <w:rFonts w:ascii="Arial" w:hAnsi="Arial" w:cs="Arial"/>
          <w:color w:val="000000"/>
          <w:sz w:val="20"/>
          <w:szCs w:val="20"/>
        </w:rPr>
        <w:t xml:space="preserve">has developed a doctrine of separation of powers with the formation of the National Assembly as it is responsible for regulating legislative powers through an </w:t>
      </w:r>
      <w:r w:rsidR="004A2B40" w:rsidRPr="006C4849">
        <w:rPr>
          <w:rFonts w:ascii="Arial" w:hAnsi="Arial" w:cs="Arial"/>
          <w:color w:val="000000"/>
          <w:sz w:val="20"/>
          <w:szCs w:val="20"/>
          <w:shd w:val="clear" w:color="auto" w:fill="FFFFFF"/>
        </w:rPr>
        <w:t>elected lower chamber of parliament and an independent judiciary</w:t>
      </w:r>
      <w:r w:rsidR="004A2B40" w:rsidRPr="006C4849">
        <w:rPr>
          <w:rStyle w:val="FootnoteReference"/>
          <w:rFonts w:ascii="Arial" w:hAnsi="Arial" w:cs="Arial"/>
          <w:color w:val="000000"/>
          <w:sz w:val="20"/>
          <w:szCs w:val="20"/>
          <w:shd w:val="clear" w:color="auto" w:fill="FFFFFF"/>
        </w:rPr>
        <w:footnoteReference w:id="75"/>
      </w:r>
      <w:r w:rsidR="004A2B40" w:rsidRPr="006C4849">
        <w:rPr>
          <w:rFonts w:ascii="Arial" w:hAnsi="Arial" w:cs="Arial"/>
          <w:color w:val="000000"/>
          <w:sz w:val="20"/>
          <w:szCs w:val="20"/>
          <w:shd w:val="clear" w:color="auto" w:fill="FFFFFF"/>
        </w:rPr>
        <w:t xml:space="preserve">. </w:t>
      </w:r>
      <w:r w:rsidR="003E5EDF" w:rsidRPr="00DE05B6">
        <w:rPr>
          <w:rFonts w:ascii="Arial" w:hAnsi="Arial" w:cs="Arial"/>
          <w:color w:val="000000" w:themeColor="text1"/>
          <w:sz w:val="20"/>
          <w:szCs w:val="20"/>
          <w:shd w:val="clear" w:color="auto" w:fill="FFFFFF"/>
        </w:rPr>
        <w:t xml:space="preserve">The legislative authority in Qatar is </w:t>
      </w:r>
      <w:r w:rsidR="003E5EDF">
        <w:rPr>
          <w:rFonts w:ascii="Arial" w:hAnsi="Arial" w:cs="Arial"/>
          <w:color w:val="000000" w:themeColor="text1"/>
          <w:sz w:val="20"/>
          <w:szCs w:val="20"/>
          <w:shd w:val="clear" w:color="auto" w:fill="FFFFFF"/>
        </w:rPr>
        <w:t>developing towards a more semi-democratic model. The legislative branch of Qatar is established in the Advisory Council, which</w:t>
      </w:r>
      <w:r w:rsidR="003E5EDF" w:rsidRPr="00DE05B6">
        <w:rPr>
          <w:rFonts w:ascii="Arial" w:hAnsi="Arial" w:cs="Arial"/>
          <w:color w:val="000000" w:themeColor="text1"/>
          <w:sz w:val="20"/>
          <w:szCs w:val="20"/>
          <w:shd w:val="clear" w:color="auto" w:fill="FFFFFF"/>
        </w:rPr>
        <w:t xml:space="preserve"> approves the general policy of the government and exercises control over the executive authority</w:t>
      </w:r>
      <w:r w:rsidR="003E5EDF" w:rsidRPr="00DE05B6">
        <w:rPr>
          <w:rStyle w:val="FootnoteReference"/>
          <w:rFonts w:ascii="Arial" w:hAnsi="Arial" w:cs="Arial"/>
          <w:color w:val="000000" w:themeColor="text1"/>
          <w:sz w:val="20"/>
          <w:szCs w:val="20"/>
          <w:shd w:val="clear" w:color="auto" w:fill="FFFFFF"/>
        </w:rPr>
        <w:footnoteReference w:id="76"/>
      </w:r>
      <w:r w:rsidR="003E5EDF" w:rsidRPr="00DE05B6">
        <w:rPr>
          <w:rFonts w:ascii="Arial" w:hAnsi="Arial" w:cs="Arial"/>
          <w:color w:val="000000" w:themeColor="text1"/>
          <w:sz w:val="20"/>
          <w:szCs w:val="20"/>
          <w:shd w:val="clear" w:color="auto" w:fill="FFFFFF"/>
        </w:rPr>
        <w:t xml:space="preserve">.  </w:t>
      </w:r>
      <w:r w:rsidR="00C70900">
        <w:rPr>
          <w:rFonts w:ascii="Arial" w:hAnsi="Arial" w:cs="Arial"/>
          <w:color w:val="000000" w:themeColor="text1"/>
          <w:sz w:val="20"/>
          <w:szCs w:val="20"/>
          <w:shd w:val="clear" w:color="auto" w:fill="FFFFFF"/>
        </w:rPr>
        <w:t xml:space="preserve">In the UAE, </w:t>
      </w:r>
      <w:r w:rsidR="00C70900">
        <w:rPr>
          <w:rFonts w:ascii="Arial" w:hAnsi="Arial" w:cs="Arial"/>
          <w:color w:val="000000"/>
          <w:sz w:val="20"/>
          <w:szCs w:val="20"/>
          <w:shd w:val="clear" w:color="auto" w:fill="FFFFFF"/>
        </w:rPr>
        <w:t>t</w:t>
      </w:r>
      <w:r w:rsidR="00C70900" w:rsidRPr="006C4849">
        <w:rPr>
          <w:rFonts w:ascii="Arial" w:hAnsi="Arial" w:cs="Arial"/>
          <w:color w:val="000000"/>
          <w:sz w:val="20"/>
          <w:szCs w:val="20"/>
          <w:shd w:val="clear" w:color="auto" w:fill="FFFFFF"/>
        </w:rPr>
        <w:t xml:space="preserve">he </w:t>
      </w:r>
      <w:r w:rsidR="00C70900" w:rsidRPr="006C4849">
        <w:rPr>
          <w:rFonts w:ascii="Arial" w:hAnsi="Arial" w:cs="Arial"/>
          <w:color w:val="000000"/>
          <w:sz w:val="20"/>
          <w:szCs w:val="20"/>
          <w:shd w:val="clear" w:color="auto" w:fill="FFFFFF"/>
        </w:rPr>
        <w:lastRenderedPageBreak/>
        <w:t>system of governance is monarchic with the exception that there is a federal head</w:t>
      </w:r>
      <w:r w:rsidR="00C70900" w:rsidRPr="006C4849">
        <w:rPr>
          <w:rStyle w:val="FootnoteReference"/>
          <w:rFonts w:ascii="Arial" w:hAnsi="Arial" w:cs="Arial"/>
          <w:color w:val="000000"/>
          <w:sz w:val="20"/>
          <w:szCs w:val="20"/>
          <w:shd w:val="clear" w:color="auto" w:fill="FFFFFF"/>
        </w:rPr>
        <w:footnoteReference w:id="77"/>
      </w:r>
      <w:r w:rsidR="00C70900" w:rsidRPr="006C4849">
        <w:rPr>
          <w:rFonts w:ascii="Arial" w:hAnsi="Arial" w:cs="Arial"/>
          <w:color w:val="000000"/>
          <w:sz w:val="20"/>
          <w:szCs w:val="20"/>
          <w:shd w:val="clear" w:color="auto" w:fill="FFFFFF"/>
        </w:rPr>
        <w:t>.</w:t>
      </w:r>
      <w:r w:rsidR="000C168B">
        <w:rPr>
          <w:rFonts w:ascii="Arial" w:hAnsi="Arial" w:cs="Arial"/>
          <w:color w:val="000000"/>
          <w:sz w:val="20"/>
          <w:szCs w:val="20"/>
          <w:shd w:val="clear" w:color="auto" w:fill="FFFFFF"/>
        </w:rPr>
        <w:t xml:space="preserve"> Finally, </w:t>
      </w:r>
      <w:r w:rsidR="000C168B" w:rsidRPr="006C4849">
        <w:rPr>
          <w:rFonts w:ascii="Arial" w:hAnsi="Arial" w:cs="Arial"/>
          <w:color w:val="000000"/>
          <w:sz w:val="20"/>
          <w:szCs w:val="20"/>
        </w:rPr>
        <w:t>Kuwait is a hereditary Emirate, with all rulers chosen from the Al Sabah family.</w:t>
      </w:r>
    </w:p>
    <w:p w:rsidR="00C83C6E" w:rsidRDefault="00C83C6E" w:rsidP="00C83C6E">
      <w:pPr>
        <w:spacing w:after="100" w:afterAutospacing="1" w:line="480" w:lineRule="auto"/>
        <w:jc w:val="both"/>
        <w:rPr>
          <w:rFonts w:ascii="Arial" w:hAnsi="Arial" w:cs="Arial"/>
          <w:sz w:val="20"/>
          <w:szCs w:val="20"/>
        </w:rPr>
      </w:pPr>
      <w:r>
        <w:rPr>
          <w:rFonts w:ascii="Arial" w:hAnsi="Arial" w:cs="Arial"/>
          <w:sz w:val="20"/>
          <w:szCs w:val="20"/>
        </w:rPr>
        <w:t xml:space="preserve">The TTIP will have spill over effects for the GCC as it </w:t>
      </w:r>
      <w:r w:rsidR="00071568">
        <w:rPr>
          <w:rFonts w:ascii="Arial" w:hAnsi="Arial" w:cs="Arial"/>
          <w:sz w:val="20"/>
          <w:szCs w:val="20"/>
        </w:rPr>
        <w:t>has yet to finalise</w:t>
      </w:r>
      <w:r>
        <w:rPr>
          <w:rFonts w:ascii="Arial" w:hAnsi="Arial" w:cs="Arial"/>
          <w:sz w:val="20"/>
          <w:szCs w:val="20"/>
        </w:rPr>
        <w:t xml:space="preserve"> the EU-GCC FTA and US-GCC framework agreement</w:t>
      </w:r>
      <w:r>
        <w:rPr>
          <w:rStyle w:val="FootnoteReference"/>
          <w:rFonts w:ascii="Arial" w:hAnsi="Arial" w:cs="Arial"/>
        </w:rPr>
        <w:footnoteReference w:id="78"/>
      </w:r>
      <w:r w:rsidR="00071568">
        <w:rPr>
          <w:rFonts w:ascii="Arial" w:hAnsi="Arial" w:cs="Arial"/>
          <w:sz w:val="20"/>
          <w:szCs w:val="20"/>
        </w:rPr>
        <w:t>. T</w:t>
      </w:r>
      <w:r>
        <w:rPr>
          <w:rFonts w:ascii="Arial" w:hAnsi="Arial" w:cs="Arial"/>
          <w:sz w:val="20"/>
          <w:szCs w:val="20"/>
        </w:rPr>
        <w:t>he</w:t>
      </w:r>
      <w:r w:rsidR="00071568">
        <w:rPr>
          <w:rFonts w:ascii="Arial" w:hAnsi="Arial" w:cs="Arial"/>
          <w:sz w:val="20"/>
          <w:szCs w:val="20"/>
        </w:rPr>
        <w:t xml:space="preserve"> power dynamics between the</w:t>
      </w:r>
      <w:r>
        <w:rPr>
          <w:rFonts w:ascii="Arial" w:hAnsi="Arial" w:cs="Arial"/>
          <w:sz w:val="20"/>
          <w:szCs w:val="20"/>
        </w:rPr>
        <w:t xml:space="preserve"> US and EU </w:t>
      </w:r>
      <w:r w:rsidR="00071568">
        <w:rPr>
          <w:rFonts w:ascii="Arial" w:hAnsi="Arial" w:cs="Arial"/>
          <w:sz w:val="20"/>
          <w:szCs w:val="20"/>
        </w:rPr>
        <w:t>will be a deciding factor on the intellectual property chapter in the TTIP in terms of what the provisions for intellectual property will look like and what powers will be available to investors to bring ISDS claims against foreign countries.</w:t>
      </w:r>
      <w:r w:rsidR="008A2F10">
        <w:rPr>
          <w:rFonts w:ascii="Arial" w:hAnsi="Arial" w:cs="Arial"/>
          <w:sz w:val="20"/>
          <w:szCs w:val="20"/>
        </w:rPr>
        <w:t xml:space="preserve"> </w:t>
      </w:r>
    </w:p>
    <w:p w:rsidR="0057107A" w:rsidRDefault="0057107A" w:rsidP="0057107A">
      <w:pPr>
        <w:spacing w:after="100" w:afterAutospacing="1" w:line="480" w:lineRule="auto"/>
        <w:jc w:val="both"/>
        <w:rPr>
          <w:rFonts w:ascii="Arial" w:hAnsi="Arial" w:cs="Arial"/>
          <w:sz w:val="20"/>
          <w:szCs w:val="20"/>
        </w:rPr>
      </w:pPr>
      <w:r>
        <w:rPr>
          <w:rFonts w:ascii="Arial" w:hAnsi="Arial" w:cs="Arial"/>
          <w:sz w:val="20"/>
          <w:szCs w:val="20"/>
        </w:rPr>
        <w:t>According to Hill and Knowlton Strategies, the TTIP</w:t>
      </w:r>
      <w:r w:rsidRPr="0057107A">
        <w:rPr>
          <w:rFonts w:ascii="Arial" w:hAnsi="Arial" w:cs="Arial"/>
          <w:sz w:val="20"/>
          <w:szCs w:val="20"/>
        </w:rPr>
        <w:t xml:space="preserve"> will become globally binding with </w:t>
      </w:r>
      <w:r>
        <w:rPr>
          <w:rFonts w:ascii="Arial" w:hAnsi="Arial" w:cs="Arial"/>
          <w:sz w:val="20"/>
          <w:szCs w:val="20"/>
        </w:rPr>
        <w:t xml:space="preserve">the GCC states and it </w:t>
      </w:r>
      <w:r w:rsidRPr="0057107A">
        <w:rPr>
          <w:rFonts w:ascii="Arial" w:hAnsi="Arial" w:cs="Arial"/>
          <w:sz w:val="20"/>
          <w:szCs w:val="20"/>
        </w:rPr>
        <w:t>will have</w:t>
      </w:r>
      <w:r>
        <w:rPr>
          <w:rFonts w:ascii="Arial" w:hAnsi="Arial" w:cs="Arial"/>
          <w:sz w:val="20"/>
          <w:szCs w:val="20"/>
        </w:rPr>
        <w:t xml:space="preserve"> a</w:t>
      </w:r>
      <w:r w:rsidRPr="0057107A">
        <w:rPr>
          <w:rFonts w:ascii="Arial" w:hAnsi="Arial" w:cs="Arial"/>
          <w:sz w:val="20"/>
          <w:szCs w:val="20"/>
        </w:rPr>
        <w:t xml:space="preserve"> significant impact on</w:t>
      </w:r>
      <w:r>
        <w:rPr>
          <w:rFonts w:ascii="Arial" w:hAnsi="Arial" w:cs="Arial"/>
          <w:sz w:val="20"/>
          <w:szCs w:val="20"/>
        </w:rPr>
        <w:t xml:space="preserve"> a number of sectors including </w:t>
      </w:r>
      <w:r w:rsidRPr="0057107A">
        <w:rPr>
          <w:rFonts w:ascii="Arial" w:hAnsi="Arial" w:cs="Arial"/>
          <w:sz w:val="20"/>
          <w:szCs w:val="20"/>
        </w:rPr>
        <w:t xml:space="preserve">financial services </w:t>
      </w:r>
      <w:r>
        <w:rPr>
          <w:rFonts w:ascii="Arial" w:hAnsi="Arial" w:cs="Arial"/>
          <w:sz w:val="20"/>
          <w:szCs w:val="20"/>
        </w:rPr>
        <w:t xml:space="preserve">and the energy </w:t>
      </w:r>
      <w:r w:rsidRPr="0057107A">
        <w:rPr>
          <w:rFonts w:ascii="Arial" w:hAnsi="Arial" w:cs="Arial"/>
          <w:sz w:val="20"/>
          <w:szCs w:val="20"/>
        </w:rPr>
        <w:t>sec</w:t>
      </w:r>
      <w:r>
        <w:rPr>
          <w:rFonts w:ascii="Arial" w:hAnsi="Arial" w:cs="Arial"/>
          <w:sz w:val="20"/>
          <w:szCs w:val="20"/>
        </w:rPr>
        <w:t>tor</w:t>
      </w:r>
      <w:r w:rsidRPr="0057107A">
        <w:rPr>
          <w:rFonts w:ascii="Arial" w:hAnsi="Arial" w:cs="Arial"/>
          <w:sz w:val="20"/>
          <w:szCs w:val="20"/>
        </w:rPr>
        <w:t>.</w:t>
      </w:r>
      <w:r>
        <w:rPr>
          <w:rFonts w:ascii="Arial" w:hAnsi="Arial" w:cs="Arial"/>
          <w:sz w:val="20"/>
          <w:szCs w:val="20"/>
        </w:rPr>
        <w:t xml:space="preserve"> Intellectual property rights would require </w:t>
      </w:r>
      <w:r w:rsidRPr="0057107A">
        <w:rPr>
          <w:rFonts w:ascii="Arial" w:hAnsi="Arial" w:cs="Arial"/>
          <w:sz w:val="20"/>
          <w:szCs w:val="20"/>
        </w:rPr>
        <w:t>a new regulatory environment of corporate governance, accountability and transparency</w:t>
      </w:r>
      <w:r w:rsidR="00E41D6E">
        <w:rPr>
          <w:rStyle w:val="FootnoteReference"/>
          <w:rFonts w:ascii="Arial" w:hAnsi="Arial" w:cs="Arial"/>
          <w:sz w:val="20"/>
          <w:szCs w:val="20"/>
        </w:rPr>
        <w:footnoteReference w:id="79"/>
      </w:r>
      <w:r w:rsidRPr="0057107A">
        <w:rPr>
          <w:rFonts w:ascii="Arial" w:hAnsi="Arial" w:cs="Arial"/>
          <w:sz w:val="20"/>
          <w:szCs w:val="20"/>
        </w:rPr>
        <w:t>.</w:t>
      </w:r>
      <w:r w:rsidR="005820B9">
        <w:rPr>
          <w:rFonts w:ascii="Arial" w:hAnsi="Arial" w:cs="Arial"/>
          <w:sz w:val="20"/>
          <w:szCs w:val="20"/>
        </w:rPr>
        <w:t xml:space="preserve"> The report highlighted that sovereign wealth funds which acquire EU and US</w:t>
      </w:r>
      <w:r w:rsidR="005820B9" w:rsidRPr="005820B9">
        <w:rPr>
          <w:rFonts w:ascii="Arial" w:hAnsi="Arial" w:cs="Arial"/>
          <w:sz w:val="20"/>
          <w:szCs w:val="20"/>
        </w:rPr>
        <w:t xml:space="preserve"> assets will be impacted by the TTIP</w:t>
      </w:r>
      <w:r w:rsidR="005820B9">
        <w:rPr>
          <w:rFonts w:ascii="Arial" w:hAnsi="Arial" w:cs="Arial"/>
          <w:sz w:val="20"/>
          <w:szCs w:val="20"/>
        </w:rPr>
        <w:t xml:space="preserve">. These include </w:t>
      </w:r>
      <w:r w:rsidR="005820B9" w:rsidRPr="005820B9">
        <w:rPr>
          <w:rFonts w:ascii="Arial" w:hAnsi="Arial" w:cs="Arial"/>
          <w:sz w:val="20"/>
          <w:szCs w:val="20"/>
        </w:rPr>
        <w:t xml:space="preserve">Abu Dhabi Investment Authority, Saudi Arabia’s SAMA Foreign Holdings and the Kuwait Investment </w:t>
      </w:r>
      <w:r w:rsidR="00CB02B6" w:rsidRPr="005820B9">
        <w:rPr>
          <w:rFonts w:ascii="Arial" w:hAnsi="Arial" w:cs="Arial"/>
          <w:sz w:val="20"/>
          <w:szCs w:val="20"/>
        </w:rPr>
        <w:t>Authority</w:t>
      </w:r>
      <w:r w:rsidR="00CB02B6">
        <w:rPr>
          <w:rFonts w:ascii="Arial" w:hAnsi="Arial" w:cs="Arial"/>
          <w:sz w:val="20"/>
          <w:szCs w:val="20"/>
        </w:rPr>
        <w:t>. This leaves the GCC in quite the conundrum. Neither of its FTA’s with the US or EU have reached a conclusion, what negotiating power the GCC will have once the TTIP is finalised in relation to its own FTA’s is something that requires the GCC states to be proactive</w:t>
      </w:r>
      <w:r w:rsidR="007C0F61">
        <w:rPr>
          <w:rFonts w:ascii="Arial" w:hAnsi="Arial" w:cs="Arial"/>
          <w:sz w:val="20"/>
          <w:szCs w:val="20"/>
        </w:rPr>
        <w:t xml:space="preserve"> and mitigate ahead of the deal.</w:t>
      </w:r>
    </w:p>
    <w:p w:rsidR="00692414" w:rsidRDefault="00780FFE" w:rsidP="004A2B40">
      <w:pPr>
        <w:spacing w:line="480" w:lineRule="auto"/>
        <w:jc w:val="both"/>
        <w:rPr>
          <w:rFonts w:ascii="Helvetica" w:hAnsi="Helvetica" w:cs="Helvetica"/>
          <w:color w:val="000000"/>
          <w:sz w:val="20"/>
          <w:szCs w:val="20"/>
          <w:lang w:val="en-US"/>
        </w:rPr>
      </w:pPr>
      <w:r>
        <w:rPr>
          <w:rFonts w:ascii="Arial" w:hAnsi="Arial" w:cs="Arial"/>
          <w:sz w:val="20"/>
          <w:szCs w:val="20"/>
        </w:rPr>
        <w:t>The main issues with ISDS and subsequently the threat to corporate sov</w:t>
      </w:r>
      <w:r w:rsidR="0082345F">
        <w:rPr>
          <w:rFonts w:ascii="Arial" w:hAnsi="Arial" w:cs="Arial"/>
          <w:sz w:val="20"/>
          <w:szCs w:val="20"/>
        </w:rPr>
        <w:t>ereignty are three fold. The first issue is the lack of clar</w:t>
      </w:r>
      <w:r w:rsidR="00AF60A8">
        <w:rPr>
          <w:rFonts w:ascii="Arial" w:hAnsi="Arial" w:cs="Arial"/>
          <w:sz w:val="20"/>
          <w:szCs w:val="20"/>
        </w:rPr>
        <w:t xml:space="preserve">ity on arbitrator powers which in essence is because of the </w:t>
      </w:r>
      <w:r w:rsidR="00AF60A8" w:rsidRPr="00AF60A8">
        <w:rPr>
          <w:rFonts w:ascii="Arial" w:hAnsi="Arial" w:cs="Arial"/>
          <w:sz w:val="20"/>
          <w:szCs w:val="20"/>
        </w:rPr>
        <w:t>vague formulation of major treaty provisions</w:t>
      </w:r>
      <w:r w:rsidR="00AF60A8">
        <w:rPr>
          <w:rFonts w:ascii="Arial" w:hAnsi="Arial" w:cs="Arial"/>
          <w:sz w:val="20"/>
          <w:szCs w:val="20"/>
        </w:rPr>
        <w:t>. The lack of clarity on arbitrator powers has given arbitrators a pandora’s box to allow a wide range of interpretations.</w:t>
      </w:r>
      <w:r w:rsidR="00E5455F">
        <w:rPr>
          <w:rFonts w:ascii="Arial" w:hAnsi="Arial" w:cs="Arial"/>
          <w:sz w:val="20"/>
          <w:szCs w:val="20"/>
        </w:rPr>
        <w:t xml:space="preserve"> Following on from this is the arbitration process, many are in secret therefore the risk of inconsiste</w:t>
      </w:r>
      <w:r w:rsidR="005C298F">
        <w:rPr>
          <w:rFonts w:ascii="Arial" w:hAnsi="Arial" w:cs="Arial"/>
          <w:sz w:val="20"/>
          <w:szCs w:val="20"/>
        </w:rPr>
        <w:t>ncies in similar cases is heightened</w:t>
      </w:r>
      <w:r w:rsidR="00E5455F">
        <w:rPr>
          <w:rFonts w:ascii="Arial" w:hAnsi="Arial" w:cs="Arial"/>
          <w:sz w:val="20"/>
          <w:szCs w:val="20"/>
        </w:rPr>
        <w:t xml:space="preserve">. </w:t>
      </w:r>
      <w:r w:rsidR="000D24D6">
        <w:rPr>
          <w:rFonts w:ascii="Arial" w:hAnsi="Arial" w:cs="Arial"/>
          <w:sz w:val="20"/>
          <w:szCs w:val="20"/>
        </w:rPr>
        <w:t xml:space="preserve">There is an </w:t>
      </w:r>
      <w:r w:rsidR="000D24D6" w:rsidRPr="000D24D6">
        <w:rPr>
          <w:rFonts w:ascii="Arial" w:hAnsi="Arial" w:cs="Arial"/>
          <w:sz w:val="20"/>
          <w:szCs w:val="20"/>
        </w:rPr>
        <w:t xml:space="preserve">absence of effective review </w:t>
      </w:r>
      <w:r w:rsidR="00166868">
        <w:rPr>
          <w:rFonts w:ascii="Arial" w:hAnsi="Arial" w:cs="Arial"/>
          <w:sz w:val="20"/>
          <w:szCs w:val="20"/>
        </w:rPr>
        <w:t>f</w:t>
      </w:r>
      <w:r w:rsidR="000D24D6" w:rsidRPr="000D24D6">
        <w:rPr>
          <w:rFonts w:ascii="Arial" w:hAnsi="Arial" w:cs="Arial"/>
          <w:sz w:val="20"/>
          <w:szCs w:val="20"/>
        </w:rPr>
        <w:t>or appeal processes</w:t>
      </w:r>
      <w:r w:rsidR="00166868">
        <w:rPr>
          <w:rFonts w:ascii="Arial" w:hAnsi="Arial" w:cs="Arial"/>
          <w:sz w:val="20"/>
          <w:szCs w:val="20"/>
        </w:rPr>
        <w:t xml:space="preserve">, there is an </w:t>
      </w:r>
      <w:r w:rsidR="00166868" w:rsidRPr="00166868">
        <w:rPr>
          <w:rFonts w:ascii="Arial" w:hAnsi="Arial" w:cs="Arial"/>
          <w:sz w:val="20"/>
          <w:szCs w:val="20"/>
        </w:rPr>
        <w:t xml:space="preserve">annulment committee procedure available for arbitrations conducted </w:t>
      </w:r>
      <w:r w:rsidR="00166868">
        <w:rPr>
          <w:rFonts w:ascii="Arial" w:hAnsi="Arial" w:cs="Arial"/>
          <w:sz w:val="20"/>
          <w:szCs w:val="20"/>
        </w:rPr>
        <w:t>by</w:t>
      </w:r>
      <w:r w:rsidR="00166868" w:rsidRPr="00166868">
        <w:rPr>
          <w:rFonts w:ascii="Arial" w:hAnsi="Arial" w:cs="Arial"/>
          <w:sz w:val="20"/>
          <w:szCs w:val="20"/>
        </w:rPr>
        <w:t xml:space="preserve"> the International Centre for the Settlement of Investment Disputes</w:t>
      </w:r>
      <w:r w:rsidR="00166868">
        <w:rPr>
          <w:rStyle w:val="FootnoteReference"/>
          <w:rFonts w:ascii="Arial" w:hAnsi="Arial" w:cs="Arial"/>
          <w:sz w:val="20"/>
          <w:szCs w:val="20"/>
        </w:rPr>
        <w:footnoteReference w:id="80"/>
      </w:r>
      <w:r w:rsidR="00166868">
        <w:rPr>
          <w:rFonts w:ascii="Arial" w:hAnsi="Arial" w:cs="Arial"/>
          <w:sz w:val="20"/>
          <w:szCs w:val="20"/>
        </w:rPr>
        <w:t>.</w:t>
      </w:r>
      <w:r w:rsidR="00B21830">
        <w:rPr>
          <w:rFonts w:ascii="Arial" w:hAnsi="Arial" w:cs="Arial"/>
          <w:sz w:val="20"/>
          <w:szCs w:val="20"/>
        </w:rPr>
        <w:t xml:space="preserve"> However this is limited to </w:t>
      </w:r>
      <w:r w:rsidR="008B2239">
        <w:rPr>
          <w:rFonts w:ascii="Arial" w:hAnsi="Arial" w:cs="Arial"/>
          <w:sz w:val="20"/>
          <w:szCs w:val="20"/>
        </w:rPr>
        <w:t>challenging the validit</w:t>
      </w:r>
      <w:r w:rsidR="005C298F">
        <w:rPr>
          <w:rFonts w:ascii="Arial" w:hAnsi="Arial" w:cs="Arial"/>
          <w:sz w:val="20"/>
          <w:szCs w:val="20"/>
        </w:rPr>
        <w:t xml:space="preserve">y of an award and whether the challenge can lead to the annulment of </w:t>
      </w:r>
      <w:r w:rsidR="005C298F">
        <w:rPr>
          <w:rFonts w:ascii="Arial" w:hAnsi="Arial" w:cs="Arial"/>
          <w:sz w:val="20"/>
          <w:szCs w:val="20"/>
        </w:rPr>
        <w:lastRenderedPageBreak/>
        <w:t>the award</w:t>
      </w:r>
      <w:r w:rsidR="005C298F" w:rsidRPr="00692414">
        <w:rPr>
          <w:rStyle w:val="FootnoteReference"/>
          <w:rFonts w:ascii="Arial" w:hAnsi="Arial" w:cs="Arial"/>
          <w:sz w:val="20"/>
          <w:szCs w:val="20"/>
        </w:rPr>
        <w:footnoteReference w:id="81"/>
      </w:r>
      <w:r w:rsidR="005C298F" w:rsidRPr="00692414">
        <w:rPr>
          <w:rFonts w:ascii="Arial" w:hAnsi="Arial" w:cs="Arial"/>
          <w:sz w:val="20"/>
          <w:szCs w:val="20"/>
        </w:rPr>
        <w:t>.</w:t>
      </w:r>
      <w:r w:rsidR="00B65CEB" w:rsidRPr="00692414">
        <w:rPr>
          <w:rFonts w:ascii="Arial" w:hAnsi="Arial" w:cs="Arial"/>
          <w:sz w:val="20"/>
          <w:szCs w:val="20"/>
        </w:rPr>
        <w:t xml:space="preserve"> Thirdly, as a result of how ISDS is incorporated into trade agreements and is dealt with by the arbitration process, there are serious </w:t>
      </w:r>
      <w:r w:rsidR="00B65CEB" w:rsidRPr="00692414">
        <w:rPr>
          <w:rFonts w:ascii="Helvetica" w:hAnsi="Helvetica" w:cs="Helvetica"/>
          <w:color w:val="000000"/>
          <w:sz w:val="20"/>
          <w:szCs w:val="20"/>
          <w:lang w:val="en-US"/>
        </w:rPr>
        <w:t>implications for national sovereignty</w:t>
      </w:r>
      <w:r w:rsidR="00947927">
        <w:rPr>
          <w:rFonts w:ascii="Helvetica" w:hAnsi="Helvetica" w:cs="Helvetica"/>
          <w:color w:val="000000"/>
          <w:sz w:val="20"/>
          <w:szCs w:val="20"/>
          <w:lang w:val="en-US"/>
        </w:rPr>
        <w:t xml:space="preserve"> within each GCC state</w:t>
      </w:r>
      <w:r w:rsidR="00B65CEB" w:rsidRPr="00692414">
        <w:rPr>
          <w:rFonts w:ascii="Helvetica" w:hAnsi="Helvetica" w:cs="Helvetica"/>
          <w:color w:val="000000"/>
          <w:sz w:val="20"/>
          <w:szCs w:val="20"/>
          <w:lang w:val="en-US"/>
        </w:rPr>
        <w:t xml:space="preserve">, </w:t>
      </w:r>
      <w:r w:rsidR="00947927">
        <w:rPr>
          <w:rFonts w:ascii="Helvetica" w:hAnsi="Helvetica" w:cs="Helvetica"/>
          <w:color w:val="000000"/>
          <w:sz w:val="20"/>
          <w:szCs w:val="20"/>
          <w:lang w:val="en-US"/>
        </w:rPr>
        <w:t xml:space="preserve">their </w:t>
      </w:r>
      <w:r w:rsidR="00B65CEB" w:rsidRPr="00692414">
        <w:rPr>
          <w:rFonts w:ascii="Helvetica" w:hAnsi="Helvetica" w:cs="Helvetica"/>
          <w:color w:val="000000"/>
          <w:sz w:val="20"/>
          <w:szCs w:val="20"/>
          <w:lang w:val="en-US"/>
        </w:rPr>
        <w:t xml:space="preserve">democratic governance and the rule of law within </w:t>
      </w:r>
      <w:r w:rsidR="00947927">
        <w:rPr>
          <w:rFonts w:ascii="Helvetica" w:hAnsi="Helvetica" w:cs="Helvetica"/>
          <w:color w:val="000000"/>
          <w:sz w:val="20"/>
          <w:szCs w:val="20"/>
          <w:lang w:val="en-US"/>
        </w:rPr>
        <w:t>national</w:t>
      </w:r>
      <w:r w:rsidR="00B65CEB" w:rsidRPr="00692414">
        <w:rPr>
          <w:rFonts w:ascii="Helvetica" w:hAnsi="Helvetica" w:cs="Helvetica"/>
          <w:color w:val="000000"/>
          <w:sz w:val="20"/>
          <w:szCs w:val="20"/>
          <w:lang w:val="en-US"/>
        </w:rPr>
        <w:t xml:space="preserve"> legal systems</w:t>
      </w:r>
      <w:r w:rsidR="00B65CEB" w:rsidRPr="00692414">
        <w:rPr>
          <w:rStyle w:val="FootnoteReference"/>
          <w:rFonts w:ascii="Helvetica" w:hAnsi="Helvetica" w:cs="Helvetica"/>
          <w:color w:val="000000"/>
          <w:sz w:val="20"/>
          <w:szCs w:val="20"/>
          <w:lang w:val="en-US"/>
        </w:rPr>
        <w:footnoteReference w:id="82"/>
      </w:r>
      <w:r w:rsidR="00B65CEB" w:rsidRPr="00692414">
        <w:rPr>
          <w:rFonts w:ascii="Helvetica" w:hAnsi="Helvetica" w:cs="Helvetica"/>
          <w:color w:val="000000"/>
          <w:sz w:val="20"/>
          <w:szCs w:val="20"/>
          <w:lang w:val="en-US"/>
        </w:rPr>
        <w:t>.</w:t>
      </w:r>
      <w:r w:rsidR="00947927">
        <w:rPr>
          <w:rFonts w:ascii="Helvetica" w:hAnsi="Helvetica" w:cs="Helvetica"/>
          <w:color w:val="000000"/>
          <w:sz w:val="20"/>
          <w:szCs w:val="20"/>
          <w:lang w:val="en-US"/>
        </w:rPr>
        <w:t xml:space="preserve"> </w:t>
      </w:r>
    </w:p>
    <w:p w:rsidR="0028230E" w:rsidRDefault="005B3FAC" w:rsidP="0028230E">
      <w:pPr>
        <w:spacing w:line="480" w:lineRule="auto"/>
        <w:jc w:val="both"/>
        <w:rPr>
          <w:rFonts w:ascii="Arial" w:hAnsi="Arial" w:cs="Arial"/>
          <w:iCs/>
          <w:sz w:val="20"/>
          <w:szCs w:val="20"/>
          <w:lang w:val="en-US"/>
        </w:rPr>
      </w:pPr>
      <w:r>
        <w:rPr>
          <w:rFonts w:ascii="Arial" w:hAnsi="Arial" w:cs="Arial"/>
          <w:sz w:val="20"/>
          <w:szCs w:val="20"/>
        </w:rPr>
        <w:t xml:space="preserve">It is not all doom and gloom. </w:t>
      </w:r>
      <w:r w:rsidRPr="00A945D3">
        <w:rPr>
          <w:rFonts w:ascii="Arial" w:hAnsi="Arial" w:cs="Arial"/>
          <w:sz w:val="20"/>
          <w:szCs w:val="20"/>
        </w:rPr>
        <w:t>According to a study developed by Dubai Chamber of Commerce and Industry</w:t>
      </w:r>
      <w:r>
        <w:rPr>
          <w:rFonts w:ascii="Arial" w:hAnsi="Arial" w:cs="Arial"/>
          <w:sz w:val="20"/>
          <w:szCs w:val="20"/>
        </w:rPr>
        <w:t>, Dubai could benefit from the potential change the TTIP will bring to the</w:t>
      </w:r>
      <w:r w:rsidRPr="00464C03">
        <w:rPr>
          <w:rFonts w:ascii="Arial" w:hAnsi="Arial" w:cs="Arial"/>
          <w:sz w:val="20"/>
          <w:szCs w:val="20"/>
        </w:rPr>
        <w:t xml:space="preserve"> global trade structure by redirecting excess trade flows towards new, fast growing markets, </w:t>
      </w:r>
      <w:r>
        <w:rPr>
          <w:rFonts w:ascii="Arial" w:hAnsi="Arial" w:cs="Arial"/>
          <w:sz w:val="20"/>
          <w:szCs w:val="20"/>
        </w:rPr>
        <w:t>namely Asia, Sub-Saharan Africa and</w:t>
      </w:r>
      <w:r w:rsidRPr="00464C03">
        <w:rPr>
          <w:rFonts w:ascii="Arial" w:hAnsi="Arial" w:cs="Arial"/>
          <w:sz w:val="20"/>
          <w:szCs w:val="20"/>
        </w:rPr>
        <w:t xml:space="preserve"> North African markets, which may see drops in tra</w:t>
      </w:r>
      <w:r>
        <w:rPr>
          <w:rFonts w:ascii="Arial" w:hAnsi="Arial" w:cs="Arial"/>
          <w:sz w:val="20"/>
          <w:szCs w:val="20"/>
        </w:rPr>
        <w:t>de with the EU as a result of TTIP</w:t>
      </w:r>
      <w:r w:rsidR="00C62B0E" w:rsidRPr="00BE111F">
        <w:rPr>
          <w:rStyle w:val="FootnoteReference"/>
          <w:rFonts w:ascii="Arial" w:hAnsi="Arial" w:cs="Arial"/>
          <w:sz w:val="20"/>
          <w:szCs w:val="20"/>
        </w:rPr>
        <w:footnoteReference w:id="83"/>
      </w:r>
      <w:r w:rsidRPr="00BE111F">
        <w:rPr>
          <w:rFonts w:ascii="Arial" w:hAnsi="Arial" w:cs="Arial"/>
          <w:sz w:val="20"/>
          <w:szCs w:val="20"/>
        </w:rPr>
        <w:t>.</w:t>
      </w:r>
      <w:r w:rsidR="00BE111F" w:rsidRPr="00BE111F">
        <w:rPr>
          <w:rFonts w:ascii="Arial" w:eastAsia="Times New Roman" w:hAnsi="Arial" w:cs="Arial"/>
          <w:color w:val="000000"/>
          <w:kern w:val="28"/>
          <w:sz w:val="24"/>
          <w:szCs w:val="24"/>
          <w:lang w:eastAsia="zh-CN"/>
        </w:rPr>
        <w:t xml:space="preserve"> </w:t>
      </w:r>
      <w:r w:rsidR="00BE111F" w:rsidRPr="00BE111F">
        <w:rPr>
          <w:rFonts w:ascii="Arial" w:hAnsi="Arial" w:cs="Arial"/>
          <w:sz w:val="20"/>
          <w:szCs w:val="20"/>
        </w:rPr>
        <w:t xml:space="preserve">As such, </w:t>
      </w:r>
      <w:r w:rsidR="00BE111F">
        <w:rPr>
          <w:rFonts w:ascii="Arial" w:hAnsi="Arial" w:cs="Arial"/>
          <w:sz w:val="20"/>
          <w:szCs w:val="20"/>
        </w:rPr>
        <w:t xml:space="preserve">there is scope for GCC states to diversify its </w:t>
      </w:r>
      <w:r w:rsidR="00BE111F" w:rsidRPr="00BE111F">
        <w:rPr>
          <w:rFonts w:ascii="Arial" w:hAnsi="Arial" w:cs="Arial"/>
          <w:sz w:val="20"/>
          <w:szCs w:val="20"/>
        </w:rPr>
        <w:t>trading partners</w:t>
      </w:r>
      <w:r w:rsidR="00BE111F">
        <w:rPr>
          <w:rFonts w:ascii="Arial" w:hAnsi="Arial" w:cs="Arial"/>
          <w:sz w:val="20"/>
          <w:szCs w:val="20"/>
        </w:rPr>
        <w:t xml:space="preserve"> further</w:t>
      </w:r>
      <w:r w:rsidR="00BE111F" w:rsidRPr="00BE111F">
        <w:rPr>
          <w:rFonts w:ascii="Arial" w:hAnsi="Arial" w:cs="Arial"/>
          <w:sz w:val="20"/>
          <w:szCs w:val="20"/>
        </w:rPr>
        <w:t xml:space="preserve">. Through </w:t>
      </w:r>
      <w:r w:rsidR="00BE111F">
        <w:rPr>
          <w:rFonts w:ascii="Arial" w:hAnsi="Arial" w:cs="Arial"/>
          <w:sz w:val="20"/>
          <w:szCs w:val="20"/>
        </w:rPr>
        <w:t xml:space="preserve">improvements in </w:t>
      </w:r>
      <w:r w:rsidR="00BE111F" w:rsidRPr="00BE111F">
        <w:rPr>
          <w:rFonts w:ascii="Arial" w:hAnsi="Arial" w:cs="Arial"/>
          <w:sz w:val="20"/>
          <w:szCs w:val="20"/>
        </w:rPr>
        <w:t xml:space="preserve">intellectual property </w:t>
      </w:r>
      <w:r w:rsidR="00BE111F">
        <w:rPr>
          <w:rFonts w:ascii="Arial" w:hAnsi="Arial" w:cs="Arial"/>
          <w:sz w:val="20"/>
          <w:szCs w:val="20"/>
        </w:rPr>
        <w:t xml:space="preserve">rights and international trade agreements, </w:t>
      </w:r>
      <w:r w:rsidR="00BE111F" w:rsidRPr="00BE111F">
        <w:rPr>
          <w:rFonts w:ascii="Arial" w:hAnsi="Arial" w:cs="Arial"/>
          <w:sz w:val="20"/>
          <w:szCs w:val="20"/>
        </w:rPr>
        <w:t>the region is opening itself up to further foreign investment</w:t>
      </w:r>
      <w:r w:rsidR="00BE111F">
        <w:rPr>
          <w:rFonts w:ascii="Arial" w:hAnsi="Arial" w:cs="Arial"/>
          <w:sz w:val="20"/>
          <w:szCs w:val="20"/>
        </w:rPr>
        <w:t xml:space="preserve"> from the EU and US that</w:t>
      </w:r>
      <w:r w:rsidR="00BE111F" w:rsidRPr="00BE111F">
        <w:rPr>
          <w:rFonts w:ascii="Arial" w:hAnsi="Arial" w:cs="Arial"/>
          <w:sz w:val="20"/>
          <w:szCs w:val="20"/>
        </w:rPr>
        <w:t xml:space="preserve"> can have a positive impact on the economy. The </w:t>
      </w:r>
      <w:r w:rsidR="00BE111F">
        <w:rPr>
          <w:rFonts w:ascii="Arial" w:hAnsi="Arial" w:cs="Arial"/>
          <w:sz w:val="20"/>
          <w:szCs w:val="20"/>
        </w:rPr>
        <w:t>TTIP will change</w:t>
      </w:r>
      <w:r w:rsidR="00BE111F" w:rsidRPr="00BE111F">
        <w:rPr>
          <w:rFonts w:ascii="Arial" w:hAnsi="Arial" w:cs="Arial"/>
          <w:sz w:val="20"/>
          <w:szCs w:val="20"/>
        </w:rPr>
        <w:t xml:space="preserve"> the dynamics between financial market leaders, namely the US and EU, and emerging markets. The Gulf States are in an enviable position; the development of international trade and services via multilateral and bilateral trade agreements allows them to act as a hub between Eastern and Western markets</w:t>
      </w:r>
      <w:r w:rsidR="002814C7">
        <w:rPr>
          <w:rStyle w:val="FootnoteReference"/>
          <w:rFonts w:ascii="Arial" w:hAnsi="Arial" w:cs="Arial"/>
          <w:sz w:val="20"/>
          <w:szCs w:val="20"/>
        </w:rPr>
        <w:footnoteReference w:id="84"/>
      </w:r>
      <w:r w:rsidR="00BE111F" w:rsidRPr="00BE111F">
        <w:rPr>
          <w:rFonts w:ascii="Arial" w:hAnsi="Arial" w:cs="Arial"/>
          <w:sz w:val="20"/>
          <w:szCs w:val="20"/>
        </w:rPr>
        <w:t xml:space="preserve">. </w:t>
      </w:r>
      <w:r w:rsidR="007A61D3">
        <w:rPr>
          <w:rFonts w:ascii="Arial" w:hAnsi="Arial" w:cs="Arial"/>
          <w:iCs/>
          <w:sz w:val="20"/>
          <w:szCs w:val="20"/>
          <w:lang w:val="en-US"/>
        </w:rPr>
        <w:t>By completing</w:t>
      </w:r>
      <w:r w:rsidR="00656132">
        <w:rPr>
          <w:rFonts w:ascii="Arial" w:hAnsi="Arial" w:cs="Arial"/>
          <w:iCs/>
          <w:sz w:val="20"/>
          <w:szCs w:val="20"/>
          <w:lang w:val="en-US"/>
        </w:rPr>
        <w:t xml:space="preserve"> trade agreements with the EU and US, the GCC states can increase trade with the Western markets while simultaneously increase trade with developing countries that </w:t>
      </w:r>
      <w:r w:rsidR="00AE7542">
        <w:rPr>
          <w:rFonts w:ascii="Arial" w:hAnsi="Arial" w:cs="Arial"/>
          <w:iCs/>
          <w:sz w:val="20"/>
          <w:szCs w:val="20"/>
          <w:lang w:val="en-US"/>
        </w:rPr>
        <w:t xml:space="preserve">can’t meet the demands of trading under the TTIP. It is imperative that the GCC states develop the requisite knowledge and expertise in ISDS and intellectual property </w:t>
      </w:r>
      <w:r w:rsidR="00AE7542">
        <w:rPr>
          <w:rFonts w:ascii="Helvetica" w:hAnsi="Helvetica" w:cs="Helvetica"/>
          <w:color w:val="000000"/>
          <w:sz w:val="21"/>
          <w:szCs w:val="21"/>
          <w:lang w:val="en-US"/>
        </w:rPr>
        <w:t xml:space="preserve">when dealing with developing countries where local courts and substantive rights may not meet widely accepted global standards. </w:t>
      </w:r>
      <w:r w:rsidR="00AE7542">
        <w:rPr>
          <w:rFonts w:ascii="Arial" w:hAnsi="Arial" w:cs="Arial"/>
          <w:iCs/>
          <w:sz w:val="20"/>
          <w:szCs w:val="20"/>
          <w:lang w:val="en-US"/>
        </w:rPr>
        <w:t xml:space="preserve">This means developing clear parameters for ISDS, in relation to </w:t>
      </w:r>
      <w:proofErr w:type="spellStart"/>
      <w:r w:rsidR="00AE7542">
        <w:rPr>
          <w:rFonts w:ascii="Arial" w:hAnsi="Arial" w:cs="Arial"/>
          <w:iCs/>
          <w:sz w:val="20"/>
          <w:szCs w:val="20"/>
          <w:lang w:val="en-US"/>
        </w:rPr>
        <w:t>riba</w:t>
      </w:r>
      <w:proofErr w:type="spellEnd"/>
      <w:r w:rsidR="00AE7542">
        <w:rPr>
          <w:rFonts w:ascii="Arial" w:hAnsi="Arial" w:cs="Arial"/>
          <w:iCs/>
          <w:sz w:val="20"/>
          <w:szCs w:val="20"/>
          <w:lang w:val="en-US"/>
        </w:rPr>
        <w:t xml:space="preserve"> and </w:t>
      </w:r>
      <w:proofErr w:type="spellStart"/>
      <w:r w:rsidR="00AE7542">
        <w:rPr>
          <w:rFonts w:ascii="Arial" w:hAnsi="Arial" w:cs="Arial"/>
          <w:iCs/>
          <w:sz w:val="20"/>
          <w:szCs w:val="20"/>
          <w:lang w:val="en-US"/>
        </w:rPr>
        <w:t>gharar</w:t>
      </w:r>
      <w:proofErr w:type="spellEnd"/>
      <w:r w:rsidR="00AE7542">
        <w:rPr>
          <w:rFonts w:ascii="Arial" w:hAnsi="Arial" w:cs="Arial"/>
          <w:iCs/>
          <w:sz w:val="20"/>
          <w:szCs w:val="20"/>
          <w:lang w:val="en-US"/>
        </w:rPr>
        <w:t>, as well as intellectual property</w:t>
      </w:r>
      <w:r w:rsidR="00EE4E88">
        <w:rPr>
          <w:rFonts w:ascii="Arial" w:hAnsi="Arial" w:cs="Arial"/>
          <w:iCs/>
          <w:sz w:val="20"/>
          <w:szCs w:val="20"/>
          <w:lang w:val="en-US"/>
        </w:rPr>
        <w:t>.</w:t>
      </w:r>
      <w:r w:rsidR="0028230E">
        <w:rPr>
          <w:rFonts w:ascii="Arial" w:hAnsi="Arial" w:cs="Arial"/>
          <w:iCs/>
          <w:sz w:val="20"/>
          <w:szCs w:val="20"/>
          <w:lang w:val="en-US"/>
        </w:rPr>
        <w:t xml:space="preserve">         </w:t>
      </w:r>
    </w:p>
    <w:p w:rsidR="0028230E" w:rsidRPr="001E476F" w:rsidRDefault="0028230E" w:rsidP="0028230E">
      <w:pPr>
        <w:spacing w:line="480" w:lineRule="auto"/>
        <w:jc w:val="both"/>
        <w:rPr>
          <w:rFonts w:ascii="Arial" w:hAnsi="Arial" w:cs="Arial"/>
          <w:sz w:val="20"/>
          <w:szCs w:val="20"/>
          <w:u w:val="single"/>
        </w:rPr>
      </w:pPr>
      <w:r>
        <w:rPr>
          <w:rFonts w:ascii="Arial" w:hAnsi="Arial" w:cs="Arial"/>
          <w:iCs/>
          <w:sz w:val="20"/>
          <w:szCs w:val="20"/>
          <w:lang w:val="en-US"/>
        </w:rPr>
        <w:t xml:space="preserve"> </w:t>
      </w:r>
      <w:r w:rsidRPr="001E476F">
        <w:rPr>
          <w:rFonts w:ascii="Arial" w:hAnsi="Arial" w:cs="Arial"/>
          <w:sz w:val="20"/>
          <w:szCs w:val="20"/>
          <w:u w:val="single"/>
        </w:rPr>
        <w:t>Conclusion</w:t>
      </w:r>
    </w:p>
    <w:p w:rsidR="0028230E" w:rsidRDefault="0028230E" w:rsidP="0028230E">
      <w:pPr>
        <w:spacing w:after="100" w:afterAutospacing="1" w:line="480" w:lineRule="auto"/>
        <w:jc w:val="both"/>
        <w:rPr>
          <w:rFonts w:ascii="Arial" w:hAnsi="Arial" w:cs="Arial"/>
          <w:sz w:val="20"/>
          <w:szCs w:val="20"/>
        </w:rPr>
      </w:pPr>
      <w:r>
        <w:rPr>
          <w:rFonts w:ascii="Arial" w:hAnsi="Arial" w:cs="Arial"/>
          <w:sz w:val="20"/>
          <w:szCs w:val="20"/>
        </w:rPr>
        <w:lastRenderedPageBreak/>
        <w:t>The key objectives were to analyse t</w:t>
      </w:r>
      <w:r w:rsidRPr="00815C2B">
        <w:rPr>
          <w:rFonts w:ascii="Arial" w:hAnsi="Arial" w:cs="Arial"/>
          <w:sz w:val="20"/>
          <w:szCs w:val="20"/>
        </w:rPr>
        <w:t>he benefits/pitfalls of the TTIP on intellectual property and international trade</w:t>
      </w:r>
      <w:r>
        <w:rPr>
          <w:rFonts w:ascii="Arial" w:hAnsi="Arial" w:cs="Arial"/>
          <w:sz w:val="20"/>
          <w:szCs w:val="20"/>
        </w:rPr>
        <w:t xml:space="preserve">, the </w:t>
      </w:r>
      <w:r w:rsidRPr="00815C2B">
        <w:rPr>
          <w:rFonts w:ascii="Arial" w:hAnsi="Arial" w:cs="Arial"/>
          <w:sz w:val="20"/>
          <w:szCs w:val="20"/>
        </w:rPr>
        <w:t>impact ISDS could have on intellectual property rights in the GCC given that all GCC states follow Sharia law at a constitutional level</w:t>
      </w:r>
      <w:r>
        <w:rPr>
          <w:rFonts w:ascii="Arial" w:hAnsi="Arial" w:cs="Arial"/>
          <w:sz w:val="20"/>
          <w:szCs w:val="20"/>
        </w:rPr>
        <w:t xml:space="preserve"> and what corporate sovereignty means for</w:t>
      </w:r>
      <w:r w:rsidRPr="00815C2B">
        <w:rPr>
          <w:rFonts w:ascii="Arial" w:hAnsi="Arial" w:cs="Arial"/>
          <w:sz w:val="20"/>
          <w:szCs w:val="20"/>
        </w:rPr>
        <w:t xml:space="preserve"> </w:t>
      </w:r>
      <w:r>
        <w:rPr>
          <w:rFonts w:ascii="Arial" w:hAnsi="Arial" w:cs="Arial"/>
          <w:sz w:val="20"/>
          <w:szCs w:val="20"/>
        </w:rPr>
        <w:t>the GCC monarchies. There will be both benefits and pitfalls of the TTIP. By strengthening ties between the EU and US, there are ramifications for third parties like the GCC. What remains to be seen is if following on from the TTIP, the EU and US make joint international agreements as off shoots of the TTIP. The issue remains on whether the GCC states have the capacity to abide by stricter intellectual property laws and ISDS clauses.</w:t>
      </w:r>
    </w:p>
    <w:p w:rsidR="0028230E" w:rsidRDefault="0028230E" w:rsidP="0028230E">
      <w:pPr>
        <w:spacing w:after="100" w:afterAutospacing="1" w:line="480" w:lineRule="auto"/>
        <w:jc w:val="both"/>
        <w:rPr>
          <w:rFonts w:ascii="Arial" w:hAnsi="Arial" w:cs="Arial"/>
          <w:sz w:val="20"/>
          <w:szCs w:val="20"/>
        </w:rPr>
      </w:pPr>
      <w:r>
        <w:rPr>
          <w:rFonts w:ascii="Arial" w:hAnsi="Arial" w:cs="Arial"/>
          <w:sz w:val="20"/>
          <w:szCs w:val="20"/>
        </w:rPr>
        <w:t xml:space="preserve">An added dimension to the GCC states is their common religious beliefs at a constitutional level. </w:t>
      </w:r>
      <w:r w:rsidRPr="00757336">
        <w:rPr>
          <w:rFonts w:ascii="Arial" w:hAnsi="Arial" w:cs="Arial"/>
          <w:sz w:val="20"/>
          <w:szCs w:val="20"/>
        </w:rPr>
        <w:t>The research to date on the relationship between sharia law and inte</w:t>
      </w:r>
      <w:r>
        <w:rPr>
          <w:rFonts w:ascii="Arial" w:hAnsi="Arial" w:cs="Arial"/>
          <w:sz w:val="20"/>
          <w:szCs w:val="20"/>
        </w:rPr>
        <w:t>llectual property has favoured s</w:t>
      </w:r>
      <w:r w:rsidRPr="00757336">
        <w:rPr>
          <w:rFonts w:ascii="Arial" w:hAnsi="Arial" w:cs="Arial"/>
          <w:sz w:val="20"/>
          <w:szCs w:val="20"/>
        </w:rPr>
        <w:t>haria approval for the existence and protection of intellectual property rights. However at the heart of intellectual property protection, is acceptance by the public at large of intellectual property a</w:t>
      </w:r>
      <w:r>
        <w:rPr>
          <w:rFonts w:ascii="Arial" w:hAnsi="Arial" w:cs="Arial"/>
          <w:sz w:val="20"/>
          <w:szCs w:val="20"/>
        </w:rPr>
        <w:t>s predicated with Islamic law</w:t>
      </w:r>
      <w:r>
        <w:rPr>
          <w:rStyle w:val="FootnoteReference"/>
          <w:rFonts w:ascii="Arial" w:hAnsi="Arial" w:cs="Arial"/>
          <w:sz w:val="20"/>
          <w:szCs w:val="20"/>
        </w:rPr>
        <w:footnoteReference w:id="85"/>
      </w:r>
      <w:r w:rsidRPr="00757336">
        <w:rPr>
          <w:rFonts w:ascii="Arial" w:hAnsi="Arial" w:cs="Arial"/>
          <w:sz w:val="20"/>
          <w:szCs w:val="20"/>
        </w:rPr>
        <w:t>. At present, laws exist without the necessary understanding or awareness for their existence. This leaves the relationship between sharia and intellectual property law at a developmental stage. The foundational stage has been met through the GCC states acceptance of the use of secondary sharia sources to permit intellectual property rights</w:t>
      </w:r>
      <w:r>
        <w:rPr>
          <w:rFonts w:ascii="Arial" w:hAnsi="Arial" w:cs="Arial"/>
          <w:sz w:val="20"/>
          <w:szCs w:val="20"/>
        </w:rPr>
        <w:t xml:space="preserve"> as discussed in this paper</w:t>
      </w:r>
      <w:r w:rsidRPr="00757336">
        <w:rPr>
          <w:rFonts w:ascii="Arial" w:hAnsi="Arial" w:cs="Arial"/>
          <w:sz w:val="20"/>
          <w:szCs w:val="20"/>
        </w:rPr>
        <w:t>. However the development stage requires an integrated intellectual property approach to enforcement</w:t>
      </w:r>
      <w:r>
        <w:rPr>
          <w:rFonts w:ascii="Arial" w:hAnsi="Arial" w:cs="Arial"/>
          <w:sz w:val="20"/>
          <w:szCs w:val="20"/>
        </w:rPr>
        <w:t>,</w:t>
      </w:r>
      <w:r w:rsidRPr="00757336">
        <w:rPr>
          <w:rFonts w:ascii="Arial" w:hAnsi="Arial" w:cs="Arial"/>
          <w:sz w:val="20"/>
          <w:szCs w:val="20"/>
        </w:rPr>
        <w:t xml:space="preserve"> which is a hybrid of clear and un</w:t>
      </w:r>
      <w:r>
        <w:rPr>
          <w:rFonts w:ascii="Arial" w:hAnsi="Arial" w:cs="Arial"/>
          <w:sz w:val="20"/>
          <w:szCs w:val="20"/>
        </w:rPr>
        <w:t xml:space="preserve">ambiguous sharia principles, </w:t>
      </w:r>
      <w:r w:rsidRPr="00757336">
        <w:rPr>
          <w:rFonts w:ascii="Arial" w:hAnsi="Arial" w:cs="Arial"/>
          <w:sz w:val="20"/>
          <w:szCs w:val="20"/>
        </w:rPr>
        <w:t xml:space="preserve">international intellectual property </w:t>
      </w:r>
      <w:r>
        <w:rPr>
          <w:rFonts w:ascii="Arial" w:hAnsi="Arial" w:cs="Arial"/>
          <w:sz w:val="20"/>
          <w:szCs w:val="20"/>
        </w:rPr>
        <w:t xml:space="preserve">laws and ISDS which currently do not exist in the GCC. As the financial settlements in ISDS cases can amount to millions of pounds, how the more stricter GCC states, such as Saudi Arabia, can justify ISDS clauses as sharia compliant with principles of </w:t>
      </w:r>
      <w:proofErr w:type="spellStart"/>
      <w:r>
        <w:rPr>
          <w:rFonts w:ascii="Arial" w:hAnsi="Arial" w:cs="Arial"/>
          <w:sz w:val="20"/>
          <w:szCs w:val="20"/>
        </w:rPr>
        <w:t>riba</w:t>
      </w:r>
      <w:proofErr w:type="spellEnd"/>
      <w:r>
        <w:rPr>
          <w:rFonts w:ascii="Arial" w:hAnsi="Arial" w:cs="Arial"/>
          <w:sz w:val="20"/>
          <w:szCs w:val="20"/>
        </w:rPr>
        <w:t xml:space="preserve"> and </w:t>
      </w:r>
      <w:proofErr w:type="spellStart"/>
      <w:r>
        <w:rPr>
          <w:rFonts w:ascii="Arial" w:hAnsi="Arial" w:cs="Arial"/>
          <w:sz w:val="20"/>
          <w:szCs w:val="20"/>
        </w:rPr>
        <w:t>gharar</w:t>
      </w:r>
      <w:proofErr w:type="spellEnd"/>
      <w:r>
        <w:rPr>
          <w:rFonts w:ascii="Arial" w:hAnsi="Arial" w:cs="Arial"/>
          <w:sz w:val="20"/>
          <w:szCs w:val="20"/>
        </w:rPr>
        <w:t xml:space="preserve">? GCC states require </w:t>
      </w:r>
      <w:r w:rsidRPr="00C47BCD">
        <w:rPr>
          <w:rFonts w:ascii="Arial" w:hAnsi="Arial" w:cs="Arial"/>
          <w:sz w:val="20"/>
          <w:szCs w:val="20"/>
        </w:rPr>
        <w:t xml:space="preserve">an integrated approach to </w:t>
      </w:r>
      <w:r>
        <w:rPr>
          <w:rFonts w:ascii="Arial" w:hAnsi="Arial" w:cs="Arial"/>
          <w:sz w:val="20"/>
          <w:szCs w:val="20"/>
        </w:rPr>
        <w:t xml:space="preserve">ISDS and </w:t>
      </w:r>
      <w:r w:rsidRPr="00C47BCD">
        <w:rPr>
          <w:rFonts w:ascii="Arial" w:hAnsi="Arial" w:cs="Arial"/>
          <w:sz w:val="20"/>
          <w:szCs w:val="20"/>
        </w:rPr>
        <w:t>intellectual property rights which takes into acc</w:t>
      </w:r>
      <w:r>
        <w:rPr>
          <w:rFonts w:ascii="Arial" w:hAnsi="Arial" w:cs="Arial"/>
          <w:sz w:val="20"/>
          <w:szCs w:val="20"/>
        </w:rPr>
        <w:t>ount; the structure of the GCC s</w:t>
      </w:r>
      <w:r w:rsidRPr="00C47BCD">
        <w:rPr>
          <w:rFonts w:ascii="Arial" w:hAnsi="Arial" w:cs="Arial"/>
          <w:sz w:val="20"/>
          <w:szCs w:val="20"/>
        </w:rPr>
        <w:t xml:space="preserve">tates, international agreements and pressures, the international institutions and both societal and religious views. </w:t>
      </w:r>
    </w:p>
    <w:p w:rsidR="00BE111F" w:rsidRPr="008414C5" w:rsidRDefault="0028230E" w:rsidP="008414C5">
      <w:pPr>
        <w:spacing w:after="100" w:afterAutospacing="1" w:line="480" w:lineRule="auto"/>
        <w:jc w:val="both"/>
        <w:rPr>
          <w:rFonts w:ascii="Arial" w:hAnsi="Arial" w:cs="Arial"/>
          <w:sz w:val="20"/>
          <w:szCs w:val="20"/>
        </w:rPr>
        <w:sectPr w:rsidR="00BE111F" w:rsidRPr="008414C5" w:rsidSect="00BE111F">
          <w:endnotePr>
            <w:numFmt w:val="decimal"/>
          </w:endnotePr>
          <w:pgSz w:w="11906" w:h="16838"/>
          <w:pgMar w:top="1440" w:right="1418" w:bottom="1440" w:left="1418" w:header="709" w:footer="709" w:gutter="0"/>
          <w:cols w:space="708"/>
          <w:docGrid w:linePitch="360"/>
        </w:sectPr>
      </w:pPr>
      <w:r>
        <w:rPr>
          <w:rFonts w:ascii="Arial" w:hAnsi="Arial" w:cs="Arial"/>
          <w:sz w:val="20"/>
          <w:szCs w:val="20"/>
        </w:rPr>
        <w:t xml:space="preserve">The most concerning issue for the GCC states is corporate sovereignty and how they plan to marry corporate sovereignty to their existing law making powers. Egypt is the first Middle Eastern country to have proceedings brought against it and developments in the case are slow. As more and more ISDS cases occur, the theoretical implication of corporate sovereignty may become a reality in the near future </w:t>
      </w:r>
      <w:r>
        <w:rPr>
          <w:rFonts w:ascii="Arial" w:hAnsi="Arial" w:cs="Arial"/>
          <w:sz w:val="20"/>
          <w:szCs w:val="20"/>
        </w:rPr>
        <w:lastRenderedPageBreak/>
        <w:t>for the GCC states and steps need to be taken to clearly def</w:t>
      </w:r>
      <w:r w:rsidR="008414C5">
        <w:rPr>
          <w:rFonts w:ascii="Arial" w:hAnsi="Arial" w:cs="Arial"/>
          <w:sz w:val="20"/>
          <w:szCs w:val="20"/>
        </w:rPr>
        <w:t>ine ISDS and the implications on</w:t>
      </w:r>
      <w:r>
        <w:rPr>
          <w:rFonts w:ascii="Arial" w:hAnsi="Arial" w:cs="Arial"/>
          <w:sz w:val="20"/>
          <w:szCs w:val="20"/>
        </w:rPr>
        <w:t xml:space="preserve"> sovereignty. </w:t>
      </w:r>
    </w:p>
    <w:p w:rsidR="0028230E" w:rsidRDefault="0028230E">
      <w:pPr>
        <w:spacing w:line="480" w:lineRule="auto"/>
        <w:jc w:val="both"/>
        <w:rPr>
          <w:rFonts w:ascii="Arial" w:hAnsi="Arial" w:cs="Arial"/>
          <w:sz w:val="20"/>
          <w:szCs w:val="20"/>
        </w:rPr>
      </w:pPr>
    </w:p>
    <w:sectPr w:rsidR="0028230E" w:rsidSect="00BA4E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9DD" w:rsidRDefault="00E179DD" w:rsidP="00DF3621">
      <w:pPr>
        <w:spacing w:after="0" w:line="240" w:lineRule="auto"/>
      </w:pPr>
      <w:r>
        <w:separator/>
      </w:r>
    </w:p>
  </w:endnote>
  <w:endnote w:type="continuationSeparator" w:id="0">
    <w:p w:rsidR="00E179DD" w:rsidRDefault="00E179DD" w:rsidP="00DF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9DD" w:rsidRDefault="00E179DD" w:rsidP="00DF3621">
      <w:pPr>
        <w:spacing w:after="0" w:line="240" w:lineRule="auto"/>
      </w:pPr>
      <w:r>
        <w:separator/>
      </w:r>
    </w:p>
  </w:footnote>
  <w:footnote w:type="continuationSeparator" w:id="0">
    <w:p w:rsidR="00E179DD" w:rsidRDefault="00E179DD" w:rsidP="00DF3621">
      <w:pPr>
        <w:spacing w:after="0" w:line="240" w:lineRule="auto"/>
      </w:pPr>
      <w:r>
        <w:continuationSeparator/>
      </w:r>
    </w:p>
  </w:footnote>
  <w:footnote w:id="1">
    <w:p w:rsidR="00395F1A" w:rsidRPr="008414C5" w:rsidRDefault="00395F1A" w:rsidP="00395F1A">
      <w:pPr>
        <w:pStyle w:val="FootnoteText"/>
        <w:rPr>
          <w:sz w:val="18"/>
          <w:szCs w:val="18"/>
        </w:rPr>
      </w:pPr>
      <w:r w:rsidRPr="008414C5">
        <w:rPr>
          <w:rStyle w:val="FootnoteReference"/>
          <w:sz w:val="18"/>
          <w:szCs w:val="18"/>
        </w:rPr>
        <w:footnoteRef/>
      </w:r>
      <w:r w:rsidRPr="008414C5">
        <w:rPr>
          <w:sz w:val="18"/>
          <w:szCs w:val="18"/>
        </w:rPr>
        <w:t xml:space="preserve"> See </w:t>
      </w:r>
      <w:hyperlink r:id="rId1" w:history="1">
        <w:r w:rsidRPr="008414C5">
          <w:rPr>
            <w:rStyle w:val="Hyperlink"/>
            <w:sz w:val="18"/>
            <w:szCs w:val="18"/>
          </w:rPr>
          <w:t>http://trade.ec.europa.eu/doclib/docs/2013/march/tradoc_150737.pdf</w:t>
        </w:r>
      </w:hyperlink>
      <w:r w:rsidR="003031F0" w:rsidRPr="008414C5">
        <w:rPr>
          <w:sz w:val="18"/>
          <w:szCs w:val="18"/>
        </w:rPr>
        <w:t>. Accessed on 20.04.2015</w:t>
      </w:r>
      <w:r w:rsidRPr="008414C5">
        <w:rPr>
          <w:sz w:val="18"/>
          <w:szCs w:val="18"/>
        </w:rPr>
        <w:t>.</w:t>
      </w:r>
    </w:p>
  </w:footnote>
  <w:footnote w:id="2">
    <w:p w:rsidR="00395F1A" w:rsidRPr="008414C5" w:rsidRDefault="00395F1A" w:rsidP="00395F1A">
      <w:pPr>
        <w:pStyle w:val="FootnoteText"/>
        <w:rPr>
          <w:sz w:val="18"/>
          <w:szCs w:val="18"/>
        </w:rPr>
      </w:pPr>
      <w:r w:rsidRPr="008414C5">
        <w:rPr>
          <w:rStyle w:val="FootnoteReference"/>
          <w:sz w:val="18"/>
          <w:szCs w:val="18"/>
        </w:rPr>
        <w:footnoteRef/>
      </w:r>
      <w:r w:rsidRPr="008414C5">
        <w:rPr>
          <w:sz w:val="18"/>
          <w:szCs w:val="18"/>
        </w:rPr>
        <w:t xml:space="preserve"> See </w:t>
      </w:r>
      <w:proofErr w:type="spellStart"/>
      <w:r w:rsidRPr="008414C5">
        <w:rPr>
          <w:sz w:val="18"/>
          <w:szCs w:val="18"/>
        </w:rPr>
        <w:t>Pratap</w:t>
      </w:r>
      <w:proofErr w:type="spellEnd"/>
      <w:r w:rsidRPr="008414C5">
        <w:rPr>
          <w:sz w:val="18"/>
          <w:szCs w:val="18"/>
        </w:rPr>
        <w:t xml:space="preserve">, J. (2013), </w:t>
      </w:r>
      <w:proofErr w:type="gramStart"/>
      <w:r w:rsidRPr="008414C5">
        <w:rPr>
          <w:sz w:val="18"/>
          <w:szCs w:val="18"/>
        </w:rPr>
        <w:t>Proposed</w:t>
      </w:r>
      <w:proofErr w:type="gramEnd"/>
      <w:r w:rsidRPr="008414C5">
        <w:rPr>
          <w:sz w:val="18"/>
          <w:szCs w:val="18"/>
        </w:rPr>
        <w:t xml:space="preserve"> US-EU trade deal may impact business in GCC: report. Available at </w:t>
      </w:r>
      <w:hyperlink r:id="rId2" w:anchor="sthash.aXZVR17g.dpuf" w:history="1">
        <w:r w:rsidRPr="008414C5">
          <w:rPr>
            <w:rStyle w:val="Hyperlink"/>
            <w:sz w:val="18"/>
            <w:szCs w:val="18"/>
          </w:rPr>
          <w:t>http://www.bilaterals.org/?proposed-us-eu-trade-deal-may#sthash.aXZVR17g.dpuf</w:t>
        </w:r>
      </w:hyperlink>
      <w:r w:rsidR="003031F0" w:rsidRPr="008414C5">
        <w:rPr>
          <w:sz w:val="18"/>
          <w:szCs w:val="18"/>
        </w:rPr>
        <w:t>. Accessed on 21.04.2015</w:t>
      </w:r>
      <w:r w:rsidRPr="008414C5">
        <w:rPr>
          <w:sz w:val="18"/>
          <w:szCs w:val="18"/>
        </w:rPr>
        <w:t>.</w:t>
      </w:r>
    </w:p>
  </w:footnote>
  <w:footnote w:id="3">
    <w:p w:rsidR="00395F1A" w:rsidRPr="008414C5" w:rsidRDefault="00395F1A" w:rsidP="00395F1A">
      <w:pPr>
        <w:pStyle w:val="FootnoteText"/>
        <w:rPr>
          <w:sz w:val="18"/>
          <w:szCs w:val="18"/>
        </w:rPr>
      </w:pPr>
      <w:r w:rsidRPr="008414C5">
        <w:rPr>
          <w:rStyle w:val="FootnoteReference"/>
          <w:sz w:val="18"/>
          <w:szCs w:val="18"/>
        </w:rPr>
        <w:footnoteRef/>
      </w:r>
      <w:r w:rsidRPr="008414C5">
        <w:rPr>
          <w:sz w:val="18"/>
          <w:szCs w:val="18"/>
        </w:rPr>
        <w:t xml:space="preserve"> Friends of the Earth Europe, (2013), The TTIP of the anti-democracy iceberg. Available at </w:t>
      </w:r>
      <w:hyperlink r:id="rId3" w:history="1">
        <w:r w:rsidRPr="008414C5">
          <w:rPr>
            <w:rStyle w:val="Hyperlink"/>
            <w:sz w:val="18"/>
            <w:szCs w:val="18"/>
          </w:rPr>
          <w:t>http://www.foeeurope.org/sites/default/files/foee_factsheet_isds_oct13.pdf</w:t>
        </w:r>
      </w:hyperlink>
      <w:r w:rsidR="003031F0" w:rsidRPr="008414C5">
        <w:rPr>
          <w:sz w:val="18"/>
          <w:szCs w:val="18"/>
        </w:rPr>
        <w:t>. Accessed on 10.04.2015</w:t>
      </w:r>
      <w:r w:rsidRPr="008414C5">
        <w:rPr>
          <w:sz w:val="18"/>
          <w:szCs w:val="18"/>
        </w:rPr>
        <w:t>.</w:t>
      </w:r>
    </w:p>
  </w:footnote>
  <w:footnote w:id="4">
    <w:p w:rsidR="00395F1A" w:rsidRPr="008414C5" w:rsidRDefault="00395F1A" w:rsidP="00395F1A">
      <w:pPr>
        <w:pStyle w:val="FootnoteText"/>
        <w:rPr>
          <w:sz w:val="18"/>
          <w:szCs w:val="18"/>
        </w:rPr>
      </w:pPr>
      <w:r w:rsidRPr="008414C5">
        <w:rPr>
          <w:rStyle w:val="FootnoteReference"/>
          <w:sz w:val="18"/>
          <w:szCs w:val="18"/>
        </w:rPr>
        <w:footnoteRef/>
      </w:r>
      <w:r w:rsidRPr="008414C5">
        <w:rPr>
          <w:sz w:val="18"/>
          <w:szCs w:val="18"/>
        </w:rPr>
        <w:t xml:space="preserve"> United Nations Conference </w:t>
      </w:r>
      <w:proofErr w:type="gramStart"/>
      <w:r w:rsidRPr="008414C5">
        <w:rPr>
          <w:sz w:val="18"/>
          <w:szCs w:val="18"/>
        </w:rPr>
        <w:t>On Trade And</w:t>
      </w:r>
      <w:proofErr w:type="gramEnd"/>
      <w:r w:rsidRPr="008414C5">
        <w:rPr>
          <w:sz w:val="18"/>
          <w:szCs w:val="18"/>
        </w:rPr>
        <w:t xml:space="preserve"> Development, World Investment Report, 2013, Global Value Chains: Investment and Trade for Development, Chapter 3, page 110. Available at </w:t>
      </w:r>
      <w:hyperlink r:id="rId4" w:history="1">
        <w:r w:rsidRPr="008414C5">
          <w:rPr>
            <w:rStyle w:val="Hyperlink"/>
            <w:sz w:val="18"/>
            <w:szCs w:val="18"/>
          </w:rPr>
          <w:t>http://unctad.org/en/publicationslibrary/wir2013_en.pdf</w:t>
        </w:r>
      </w:hyperlink>
      <w:r w:rsidR="003031F0" w:rsidRPr="008414C5">
        <w:rPr>
          <w:sz w:val="18"/>
          <w:szCs w:val="18"/>
        </w:rPr>
        <w:t>. Accessed on 13.04.2015</w:t>
      </w:r>
      <w:r w:rsidRPr="008414C5">
        <w:rPr>
          <w:sz w:val="18"/>
          <w:szCs w:val="18"/>
        </w:rPr>
        <w:t>.</w:t>
      </w:r>
    </w:p>
  </w:footnote>
  <w:footnote w:id="5">
    <w:p w:rsidR="008F111E" w:rsidRPr="005D7CDE" w:rsidRDefault="008F111E">
      <w:pPr>
        <w:pStyle w:val="FootnoteText"/>
        <w:rPr>
          <w:sz w:val="18"/>
          <w:szCs w:val="18"/>
        </w:rPr>
      </w:pPr>
      <w:r w:rsidRPr="005D7CDE">
        <w:rPr>
          <w:rStyle w:val="FootnoteReference"/>
          <w:sz w:val="18"/>
          <w:szCs w:val="18"/>
        </w:rPr>
        <w:footnoteRef/>
      </w:r>
      <w:r w:rsidRPr="005D7CDE">
        <w:rPr>
          <w:sz w:val="18"/>
          <w:szCs w:val="18"/>
        </w:rPr>
        <w:t xml:space="preserve"> Strauss, A &amp; Corbin, J. (1998), </w:t>
      </w:r>
      <w:r w:rsidRPr="005D7CDE">
        <w:rPr>
          <w:iCs/>
          <w:sz w:val="18"/>
          <w:szCs w:val="18"/>
        </w:rPr>
        <w:t>Basics of qualitative research: Grounded theory procedures and techniques</w:t>
      </w:r>
      <w:r w:rsidRPr="005D7CDE">
        <w:rPr>
          <w:i/>
          <w:iCs/>
          <w:sz w:val="18"/>
          <w:szCs w:val="18"/>
        </w:rPr>
        <w:t xml:space="preserve">, </w:t>
      </w:r>
      <w:r w:rsidRPr="005D7CDE">
        <w:rPr>
          <w:sz w:val="18"/>
          <w:szCs w:val="18"/>
        </w:rPr>
        <w:t>Thousand Oaks, CA: Sage.</w:t>
      </w:r>
    </w:p>
  </w:footnote>
  <w:footnote w:id="6">
    <w:p w:rsidR="001A536F" w:rsidRPr="005D7CDE" w:rsidRDefault="001A536F" w:rsidP="001A536F">
      <w:pPr>
        <w:pStyle w:val="FootnoteText"/>
        <w:rPr>
          <w:sz w:val="18"/>
          <w:szCs w:val="18"/>
        </w:rPr>
      </w:pPr>
      <w:r w:rsidRPr="005D7CDE">
        <w:rPr>
          <w:rStyle w:val="FootnoteReference"/>
          <w:sz w:val="18"/>
          <w:szCs w:val="18"/>
        </w:rPr>
        <w:footnoteRef/>
      </w:r>
      <w:r w:rsidR="00AA2348" w:rsidRPr="005D7CDE">
        <w:rPr>
          <w:sz w:val="18"/>
          <w:szCs w:val="18"/>
        </w:rPr>
        <w:t xml:space="preserve"> Deere, C. (2009), </w:t>
      </w:r>
      <w:r w:rsidRPr="005D7CDE">
        <w:rPr>
          <w:sz w:val="18"/>
          <w:szCs w:val="18"/>
        </w:rPr>
        <w:t>D</w:t>
      </w:r>
      <w:r w:rsidR="00AA2348" w:rsidRPr="005D7CDE">
        <w:rPr>
          <w:sz w:val="18"/>
          <w:szCs w:val="18"/>
        </w:rPr>
        <w:t>eveloping Country Perspectives o</w:t>
      </w:r>
      <w:r w:rsidRPr="005D7CDE">
        <w:rPr>
          <w:sz w:val="18"/>
          <w:szCs w:val="18"/>
        </w:rPr>
        <w:t xml:space="preserve">n </w:t>
      </w:r>
      <w:r w:rsidR="00AA2348" w:rsidRPr="005D7CDE">
        <w:rPr>
          <w:sz w:val="18"/>
          <w:szCs w:val="18"/>
        </w:rPr>
        <w:t xml:space="preserve">Intellectual Property </w:t>
      </w:r>
      <w:proofErr w:type="gramStart"/>
      <w:r w:rsidR="00AA2348" w:rsidRPr="005D7CDE">
        <w:rPr>
          <w:sz w:val="18"/>
          <w:szCs w:val="18"/>
        </w:rPr>
        <w:t>In</w:t>
      </w:r>
      <w:proofErr w:type="gramEnd"/>
      <w:r w:rsidR="00AA2348" w:rsidRPr="005D7CDE">
        <w:rPr>
          <w:sz w:val="18"/>
          <w:szCs w:val="18"/>
        </w:rPr>
        <w:t xml:space="preserve"> The WTO</w:t>
      </w:r>
      <w:r w:rsidRPr="005D7CDE">
        <w:rPr>
          <w:sz w:val="18"/>
          <w:szCs w:val="18"/>
        </w:rPr>
        <w:t xml:space="preserve">: Setting The Pre-Trips Context." See more at </w:t>
      </w:r>
      <w:hyperlink r:id="rId5" w:history="1">
        <w:r w:rsidRPr="005D7CDE">
          <w:rPr>
            <w:rStyle w:val="Hyperlink"/>
            <w:sz w:val="18"/>
            <w:szCs w:val="18"/>
          </w:rPr>
          <w:t>http://ssrn.com/abstract=1405430</w:t>
        </w:r>
      </w:hyperlink>
      <w:r w:rsidR="003031F0" w:rsidRPr="005D7CDE">
        <w:rPr>
          <w:sz w:val="18"/>
          <w:szCs w:val="18"/>
        </w:rPr>
        <w:t>. Accessed on</w:t>
      </w:r>
      <w:r w:rsidRPr="005D7CDE">
        <w:rPr>
          <w:sz w:val="18"/>
          <w:szCs w:val="18"/>
        </w:rPr>
        <w:t xml:space="preserve"> </w:t>
      </w:r>
      <w:r w:rsidR="003031F0" w:rsidRPr="005D7CDE">
        <w:rPr>
          <w:sz w:val="18"/>
          <w:szCs w:val="18"/>
        </w:rPr>
        <w:t>30.04.2015</w:t>
      </w:r>
      <w:r w:rsidR="00812D54" w:rsidRPr="005D7CDE">
        <w:rPr>
          <w:sz w:val="18"/>
          <w:szCs w:val="18"/>
        </w:rPr>
        <w:t>.</w:t>
      </w:r>
    </w:p>
  </w:footnote>
  <w:footnote w:id="7">
    <w:p w:rsidR="007A2407" w:rsidRPr="005D7CDE" w:rsidRDefault="007A2407" w:rsidP="007A2407">
      <w:pPr>
        <w:pStyle w:val="FootnoteText"/>
        <w:rPr>
          <w:sz w:val="18"/>
          <w:szCs w:val="18"/>
        </w:rPr>
      </w:pPr>
      <w:r w:rsidRPr="005D7CDE">
        <w:rPr>
          <w:rStyle w:val="FootnoteReference"/>
          <w:sz w:val="18"/>
          <w:szCs w:val="18"/>
        </w:rPr>
        <w:footnoteRef/>
      </w:r>
      <w:proofErr w:type="spellStart"/>
      <w:r w:rsidR="00AA2348" w:rsidRPr="005D7CDE">
        <w:rPr>
          <w:sz w:val="18"/>
          <w:szCs w:val="18"/>
        </w:rPr>
        <w:t>Khoury</w:t>
      </w:r>
      <w:proofErr w:type="spellEnd"/>
      <w:r w:rsidR="00AA2348" w:rsidRPr="005D7CDE">
        <w:rPr>
          <w:sz w:val="18"/>
          <w:szCs w:val="18"/>
        </w:rPr>
        <w:t xml:space="preserve">, A. (2003), </w:t>
      </w:r>
      <w:r w:rsidRPr="005D7CDE">
        <w:rPr>
          <w:rStyle w:val="Emphasis"/>
          <w:sz w:val="18"/>
          <w:szCs w:val="18"/>
        </w:rPr>
        <w:t>Ancient and Islamic Source of Intellectual Property protection in the Mid</w:t>
      </w:r>
      <w:r w:rsidR="00AA2348" w:rsidRPr="005D7CDE">
        <w:rPr>
          <w:rStyle w:val="Emphasis"/>
          <w:sz w:val="18"/>
          <w:szCs w:val="18"/>
        </w:rPr>
        <w:t xml:space="preserve">dle East: A focus on Trademarks, </w:t>
      </w:r>
      <w:r w:rsidRPr="005D7CDE">
        <w:rPr>
          <w:sz w:val="18"/>
          <w:szCs w:val="18"/>
        </w:rPr>
        <w:t xml:space="preserve"> IDEA: The Journal of Law and Tec</w:t>
      </w:r>
      <w:r w:rsidR="00AA2348" w:rsidRPr="005D7CDE">
        <w:rPr>
          <w:sz w:val="18"/>
          <w:szCs w:val="18"/>
        </w:rPr>
        <w:t xml:space="preserve">hnology, </w:t>
      </w:r>
      <w:proofErr w:type="spellStart"/>
      <w:r w:rsidR="00AA2348" w:rsidRPr="005D7CDE">
        <w:rPr>
          <w:sz w:val="18"/>
          <w:szCs w:val="18"/>
        </w:rPr>
        <w:t>Raslan</w:t>
      </w:r>
      <w:proofErr w:type="spellEnd"/>
      <w:r w:rsidR="00AA2348" w:rsidRPr="005D7CDE">
        <w:rPr>
          <w:sz w:val="18"/>
          <w:szCs w:val="18"/>
        </w:rPr>
        <w:t xml:space="preserve">, H. (2009), </w:t>
      </w:r>
      <w:proofErr w:type="spellStart"/>
      <w:r w:rsidR="00AA2348" w:rsidRPr="005D7CDE">
        <w:rPr>
          <w:i/>
          <w:sz w:val="18"/>
          <w:szCs w:val="18"/>
        </w:rPr>
        <w:t>Shari’a</w:t>
      </w:r>
      <w:proofErr w:type="spellEnd"/>
      <w:r w:rsidR="00AA2348" w:rsidRPr="005D7CDE">
        <w:rPr>
          <w:i/>
          <w:sz w:val="18"/>
          <w:szCs w:val="18"/>
        </w:rPr>
        <w:t xml:space="preserve"> and the protection of intellectual property—the example of Egypt</w:t>
      </w:r>
      <w:r w:rsidR="00AA2348" w:rsidRPr="005D7CDE">
        <w:rPr>
          <w:sz w:val="18"/>
          <w:szCs w:val="18"/>
        </w:rPr>
        <w:t xml:space="preserve">." the intellectual property law review, pages 497-559, </w:t>
      </w:r>
      <w:proofErr w:type="spellStart"/>
      <w:r w:rsidR="00AA2348" w:rsidRPr="005D7CDE">
        <w:rPr>
          <w:sz w:val="18"/>
          <w:szCs w:val="18"/>
        </w:rPr>
        <w:t>Mahafzah</w:t>
      </w:r>
      <w:proofErr w:type="spellEnd"/>
      <w:r w:rsidR="00AA2348" w:rsidRPr="005D7CDE">
        <w:rPr>
          <w:sz w:val="18"/>
          <w:szCs w:val="18"/>
        </w:rPr>
        <w:t xml:space="preserve"> Q. </w:t>
      </w:r>
      <w:r w:rsidRPr="005D7CDE">
        <w:rPr>
          <w:sz w:val="18"/>
          <w:szCs w:val="18"/>
        </w:rPr>
        <w:t>(2009), The Perspective of Moral and Financial Rights of Intellectual Property in Islam, Arab Law Quarterly, Vol</w:t>
      </w:r>
      <w:r w:rsidR="00AA2348" w:rsidRPr="005D7CDE">
        <w:rPr>
          <w:sz w:val="18"/>
          <w:szCs w:val="18"/>
        </w:rPr>
        <w:t>ume 23, Issue Number 4, pages 457-468, Mohamed, H.</w:t>
      </w:r>
      <w:r w:rsidRPr="005D7CDE">
        <w:rPr>
          <w:sz w:val="18"/>
          <w:szCs w:val="18"/>
        </w:rPr>
        <w:t xml:space="preserve"> </w:t>
      </w:r>
      <w:r w:rsidR="00AA2348" w:rsidRPr="005D7CDE">
        <w:rPr>
          <w:sz w:val="18"/>
          <w:szCs w:val="18"/>
        </w:rPr>
        <w:t xml:space="preserve">(2003), </w:t>
      </w:r>
      <w:r w:rsidRPr="005D7CDE">
        <w:rPr>
          <w:sz w:val="18"/>
          <w:szCs w:val="18"/>
        </w:rPr>
        <w:t xml:space="preserve">The Protection of Intellectual Property Rights: The views of the Pharos, Islamic Jurisprudence and Masters of Poetry and Literature, </w:t>
      </w:r>
      <w:r w:rsidR="00AA2348" w:rsidRPr="005D7CDE">
        <w:rPr>
          <w:sz w:val="18"/>
          <w:szCs w:val="18"/>
        </w:rPr>
        <w:t xml:space="preserve">pages </w:t>
      </w:r>
      <w:r w:rsidRPr="005D7CDE">
        <w:rPr>
          <w:sz w:val="18"/>
          <w:szCs w:val="18"/>
        </w:rPr>
        <w:t xml:space="preserve">232–233 </w:t>
      </w:r>
      <w:r w:rsidR="00AA2348" w:rsidRPr="005D7CDE">
        <w:rPr>
          <w:sz w:val="18"/>
          <w:szCs w:val="18"/>
        </w:rPr>
        <w:t xml:space="preserve">and </w:t>
      </w:r>
      <w:proofErr w:type="spellStart"/>
      <w:r w:rsidR="00AA2348" w:rsidRPr="005D7CDE">
        <w:rPr>
          <w:sz w:val="18"/>
          <w:szCs w:val="18"/>
        </w:rPr>
        <w:t>Beltrametti</w:t>
      </w:r>
      <w:proofErr w:type="spellEnd"/>
      <w:r w:rsidRPr="005D7CDE">
        <w:rPr>
          <w:sz w:val="18"/>
          <w:szCs w:val="18"/>
        </w:rPr>
        <w:t>,</w:t>
      </w:r>
      <w:r w:rsidR="00AA2348" w:rsidRPr="005D7CDE">
        <w:rPr>
          <w:sz w:val="18"/>
          <w:szCs w:val="18"/>
        </w:rPr>
        <w:t xml:space="preserve"> S. (2010), </w:t>
      </w:r>
      <w:r w:rsidRPr="005D7CDE">
        <w:rPr>
          <w:sz w:val="18"/>
          <w:szCs w:val="18"/>
        </w:rPr>
        <w:t>The Legality of Intellectual Pro</w:t>
      </w:r>
      <w:r w:rsidR="00AA2348" w:rsidRPr="005D7CDE">
        <w:rPr>
          <w:sz w:val="18"/>
          <w:szCs w:val="18"/>
        </w:rPr>
        <w:t>perty Rights under Islamic Law,</w:t>
      </w:r>
      <w:r w:rsidRPr="005D7CDE">
        <w:rPr>
          <w:sz w:val="18"/>
          <w:szCs w:val="18"/>
        </w:rPr>
        <w:t xml:space="preserve"> The Prague Yearbook of Comparative L</w:t>
      </w:r>
      <w:r w:rsidR="00AA2348" w:rsidRPr="005D7CDE">
        <w:rPr>
          <w:sz w:val="18"/>
          <w:szCs w:val="18"/>
        </w:rPr>
        <w:t xml:space="preserve">aw 2009, pages </w:t>
      </w:r>
      <w:r w:rsidRPr="005D7CDE">
        <w:rPr>
          <w:sz w:val="18"/>
          <w:szCs w:val="18"/>
        </w:rPr>
        <w:t xml:space="preserve">55-94 and Jamar, </w:t>
      </w:r>
      <w:r w:rsidR="00AA2348" w:rsidRPr="005D7CDE">
        <w:rPr>
          <w:sz w:val="18"/>
          <w:szCs w:val="18"/>
        </w:rPr>
        <w:t xml:space="preserve">  S.(1992), </w:t>
      </w:r>
      <w:r w:rsidRPr="005D7CDE">
        <w:rPr>
          <w:sz w:val="18"/>
          <w:szCs w:val="18"/>
        </w:rPr>
        <w:t>The Protection of Intellec</w:t>
      </w:r>
      <w:r w:rsidR="00AA2348" w:rsidRPr="005D7CDE">
        <w:rPr>
          <w:sz w:val="18"/>
          <w:szCs w:val="18"/>
        </w:rPr>
        <w:t xml:space="preserve">tual Property under Islamic Law, </w:t>
      </w:r>
      <w:r w:rsidRPr="005D7CDE">
        <w:rPr>
          <w:sz w:val="18"/>
          <w:szCs w:val="18"/>
        </w:rPr>
        <w:t xml:space="preserve"> Capital Un</w:t>
      </w:r>
      <w:r w:rsidR="00AA2348" w:rsidRPr="005D7CDE">
        <w:rPr>
          <w:sz w:val="18"/>
          <w:szCs w:val="18"/>
        </w:rPr>
        <w:t>iversity Law Review.</w:t>
      </w:r>
      <w:r w:rsidRPr="005D7CDE">
        <w:rPr>
          <w:sz w:val="18"/>
          <w:szCs w:val="18"/>
        </w:rPr>
        <w:tab/>
      </w:r>
      <w:r w:rsidRPr="005D7CDE">
        <w:rPr>
          <w:sz w:val="18"/>
          <w:szCs w:val="18"/>
        </w:rPr>
        <w:tab/>
      </w:r>
    </w:p>
  </w:footnote>
  <w:footnote w:id="8">
    <w:p w:rsidR="007A2407" w:rsidRPr="005D7CDE" w:rsidRDefault="007A2407" w:rsidP="007A2407">
      <w:pPr>
        <w:pStyle w:val="FootnoteText"/>
        <w:rPr>
          <w:sz w:val="18"/>
          <w:szCs w:val="18"/>
        </w:rPr>
      </w:pPr>
      <w:r w:rsidRPr="005D7CDE">
        <w:rPr>
          <w:rStyle w:val="FootnoteReference"/>
          <w:sz w:val="18"/>
          <w:szCs w:val="18"/>
        </w:rPr>
        <w:footnoteRef/>
      </w:r>
      <w:r w:rsidR="00AA2348" w:rsidRPr="005D7CDE">
        <w:rPr>
          <w:sz w:val="18"/>
          <w:szCs w:val="18"/>
        </w:rPr>
        <w:t xml:space="preserve"> Price, D. (</w:t>
      </w:r>
      <w:r w:rsidRPr="005D7CDE">
        <w:rPr>
          <w:sz w:val="18"/>
          <w:szCs w:val="18"/>
        </w:rPr>
        <w:t>2009</w:t>
      </w:r>
      <w:r w:rsidR="00AA2348" w:rsidRPr="005D7CDE">
        <w:rPr>
          <w:sz w:val="18"/>
          <w:szCs w:val="18"/>
        </w:rPr>
        <w:t>)</w:t>
      </w:r>
      <w:r w:rsidRPr="005D7CDE">
        <w:rPr>
          <w:sz w:val="18"/>
          <w:szCs w:val="18"/>
        </w:rPr>
        <w:t>,</w:t>
      </w:r>
      <w:r w:rsidRPr="005D7CDE">
        <w:rPr>
          <w:i/>
          <w:sz w:val="18"/>
          <w:szCs w:val="18"/>
        </w:rPr>
        <w:t xml:space="preserve"> </w:t>
      </w:r>
      <w:proofErr w:type="gramStart"/>
      <w:r w:rsidRPr="005D7CDE">
        <w:rPr>
          <w:sz w:val="18"/>
          <w:szCs w:val="18"/>
        </w:rPr>
        <w:t>The</w:t>
      </w:r>
      <w:proofErr w:type="gramEnd"/>
      <w:r w:rsidRPr="005D7CDE">
        <w:rPr>
          <w:sz w:val="18"/>
          <w:szCs w:val="18"/>
        </w:rPr>
        <w:t xml:space="preserve"> Development of Intellectual Property Regimes in the Arabian Gulf States: Infidels at the Gates, Routledge Research in Intellectual Property</w:t>
      </w:r>
      <w:r w:rsidR="00AA2348" w:rsidRPr="005D7CDE">
        <w:rPr>
          <w:sz w:val="18"/>
          <w:szCs w:val="18"/>
        </w:rPr>
        <w:t>.</w:t>
      </w:r>
    </w:p>
  </w:footnote>
  <w:footnote w:id="9">
    <w:p w:rsidR="007A2407" w:rsidRPr="005D7CDE" w:rsidRDefault="007A2407" w:rsidP="007A2407">
      <w:pPr>
        <w:pStyle w:val="FootnoteText"/>
        <w:rPr>
          <w:i/>
          <w:sz w:val="18"/>
          <w:szCs w:val="18"/>
        </w:rPr>
      </w:pPr>
      <w:r w:rsidRPr="005D7CDE">
        <w:rPr>
          <w:rStyle w:val="FootnoteReference"/>
          <w:sz w:val="18"/>
          <w:szCs w:val="18"/>
        </w:rPr>
        <w:footnoteRef/>
      </w:r>
      <w:r w:rsidR="00AA2348" w:rsidRPr="005D7CDE">
        <w:rPr>
          <w:sz w:val="18"/>
          <w:szCs w:val="18"/>
        </w:rPr>
        <w:t xml:space="preserve"> </w:t>
      </w:r>
      <w:proofErr w:type="spellStart"/>
      <w:r w:rsidR="00AA2348" w:rsidRPr="005D7CDE">
        <w:rPr>
          <w:sz w:val="18"/>
          <w:szCs w:val="18"/>
        </w:rPr>
        <w:t>Beltrametti</w:t>
      </w:r>
      <w:proofErr w:type="spellEnd"/>
      <w:r w:rsidR="00AA2348" w:rsidRPr="005D7CDE">
        <w:rPr>
          <w:sz w:val="18"/>
          <w:szCs w:val="18"/>
        </w:rPr>
        <w:t xml:space="preserve">, S. (2010), </w:t>
      </w:r>
      <w:r w:rsidRPr="005D7CDE">
        <w:rPr>
          <w:sz w:val="18"/>
          <w:szCs w:val="18"/>
        </w:rPr>
        <w:t>The Legality of Intellectual Property Rights under Islamic Law. In: The Prague Yearbook of Comparative L</w:t>
      </w:r>
      <w:r w:rsidR="00AA2348" w:rsidRPr="005D7CDE">
        <w:rPr>
          <w:sz w:val="18"/>
          <w:szCs w:val="18"/>
        </w:rPr>
        <w:t>aw states</w:t>
      </w:r>
      <w:r w:rsidRPr="005D7CDE">
        <w:rPr>
          <w:sz w:val="18"/>
          <w:szCs w:val="18"/>
        </w:rPr>
        <w:t>; “</w:t>
      </w:r>
      <w:r w:rsidRPr="005D7CDE">
        <w:rPr>
          <w:i/>
          <w:sz w:val="18"/>
          <w:szCs w:val="18"/>
        </w:rPr>
        <w:t xml:space="preserve">At the end of the day the effectiveness of a law is ultimately dependent on it being recognized by society. A state may implement laws that can be wholly or partially </w:t>
      </w:r>
      <w:proofErr w:type="spellStart"/>
      <w:r w:rsidRPr="005D7CDE">
        <w:rPr>
          <w:i/>
          <w:sz w:val="18"/>
          <w:szCs w:val="18"/>
        </w:rPr>
        <w:t>Sharī'a</w:t>
      </w:r>
      <w:proofErr w:type="spellEnd"/>
      <w:r w:rsidRPr="005D7CDE">
        <w:rPr>
          <w:i/>
          <w:sz w:val="18"/>
          <w:szCs w:val="18"/>
        </w:rPr>
        <w:t xml:space="preserve"> compliant, but the ultimate judge on the acceptance and effectiveness of such laws is the public at large.”</w:t>
      </w:r>
    </w:p>
  </w:footnote>
  <w:footnote w:id="10">
    <w:p w:rsidR="009F564B" w:rsidRPr="005D7CDE" w:rsidRDefault="009F564B" w:rsidP="009F564B">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Pr="005D7CDE">
        <w:rPr>
          <w:sz w:val="18"/>
          <w:szCs w:val="18"/>
        </w:rPr>
        <w:t>Thirwall</w:t>
      </w:r>
      <w:proofErr w:type="spellEnd"/>
      <w:r w:rsidRPr="005D7CDE">
        <w:rPr>
          <w:sz w:val="18"/>
          <w:szCs w:val="18"/>
        </w:rPr>
        <w:t>, A</w:t>
      </w:r>
      <w:r w:rsidR="00AA2348" w:rsidRPr="005D7CDE">
        <w:rPr>
          <w:sz w:val="18"/>
          <w:szCs w:val="18"/>
        </w:rPr>
        <w:t xml:space="preserve">. (2000), </w:t>
      </w:r>
      <w:r w:rsidRPr="005D7CDE">
        <w:rPr>
          <w:sz w:val="18"/>
          <w:szCs w:val="18"/>
        </w:rPr>
        <w:t>Trade, Trade Liberalisation and Economi</w:t>
      </w:r>
      <w:r w:rsidR="00AA2348" w:rsidRPr="005D7CDE">
        <w:rPr>
          <w:sz w:val="18"/>
          <w:szCs w:val="18"/>
        </w:rPr>
        <w:t xml:space="preserve">c Growth: Theory and Evidence, </w:t>
      </w:r>
      <w:r w:rsidRPr="005D7CDE">
        <w:rPr>
          <w:sz w:val="18"/>
          <w:szCs w:val="18"/>
        </w:rPr>
        <w:t>E</w:t>
      </w:r>
      <w:r w:rsidR="00AA2348" w:rsidRPr="005D7CDE">
        <w:rPr>
          <w:sz w:val="18"/>
          <w:szCs w:val="18"/>
        </w:rPr>
        <w:t>conomic Research Papers.</w:t>
      </w:r>
    </w:p>
  </w:footnote>
  <w:footnote w:id="11">
    <w:p w:rsidR="009F564B" w:rsidRPr="005D7CDE" w:rsidRDefault="009F564B" w:rsidP="009F564B">
      <w:pPr>
        <w:autoSpaceDE w:val="0"/>
        <w:autoSpaceDN w:val="0"/>
        <w:adjustRightInd w:val="0"/>
        <w:spacing w:after="0" w:line="240" w:lineRule="auto"/>
        <w:rPr>
          <w:rFonts w:cs="Arial"/>
          <w:sz w:val="18"/>
          <w:szCs w:val="18"/>
        </w:rPr>
      </w:pPr>
      <w:r w:rsidRPr="005D7CDE">
        <w:rPr>
          <w:rStyle w:val="FootnoteReference"/>
          <w:sz w:val="18"/>
          <w:szCs w:val="18"/>
        </w:rPr>
        <w:footnoteRef/>
      </w:r>
      <w:r w:rsidRPr="005D7CDE">
        <w:rPr>
          <w:sz w:val="18"/>
          <w:szCs w:val="18"/>
        </w:rPr>
        <w:t xml:space="preserve"> Berg and </w:t>
      </w:r>
      <w:proofErr w:type="spellStart"/>
      <w:r w:rsidRPr="005D7CDE">
        <w:rPr>
          <w:rFonts w:cs="Arial"/>
          <w:sz w:val="18"/>
          <w:szCs w:val="18"/>
        </w:rPr>
        <w:t>Lewer</w:t>
      </w:r>
      <w:proofErr w:type="spellEnd"/>
      <w:r w:rsidRPr="005D7CDE">
        <w:rPr>
          <w:rFonts w:cs="Arial"/>
          <w:sz w:val="18"/>
          <w:szCs w:val="18"/>
        </w:rPr>
        <w:t>, (2007),"International trade and economic growth", M E Sharpe Incorporated</w:t>
      </w:r>
    </w:p>
  </w:footnote>
  <w:footnote w:id="12">
    <w:p w:rsidR="009F564B" w:rsidRPr="005D7CDE" w:rsidRDefault="009F564B" w:rsidP="009F564B">
      <w:pPr>
        <w:pStyle w:val="FootnoteText"/>
        <w:rPr>
          <w:sz w:val="18"/>
          <w:szCs w:val="18"/>
        </w:rPr>
      </w:pPr>
      <w:r w:rsidRPr="005D7CDE">
        <w:rPr>
          <w:rStyle w:val="FootnoteReference"/>
          <w:sz w:val="18"/>
          <w:szCs w:val="18"/>
        </w:rPr>
        <w:footnoteRef/>
      </w:r>
      <w:r w:rsidRPr="005D7CDE">
        <w:rPr>
          <w:sz w:val="18"/>
          <w:szCs w:val="18"/>
        </w:rPr>
        <w:t xml:space="preserve"> International Institutions and Global Governance Program 2012, </w:t>
      </w:r>
      <w:hyperlink r:id="rId6" w:history="1">
        <w:r w:rsidRPr="005D7CDE">
          <w:rPr>
            <w:rStyle w:val="Hyperlink"/>
            <w:sz w:val="18"/>
            <w:szCs w:val="18"/>
          </w:rPr>
          <w:t>http://www.cfr.org/us-strategy-and-politics/global-finance-regime/p20177</w:t>
        </w:r>
      </w:hyperlink>
      <w:r w:rsidR="003031F0" w:rsidRPr="005D7CDE">
        <w:rPr>
          <w:rStyle w:val="Hyperlink"/>
          <w:sz w:val="18"/>
          <w:szCs w:val="18"/>
        </w:rPr>
        <w:t>.</w:t>
      </w:r>
      <w:r w:rsidR="003031F0" w:rsidRPr="005D7CDE">
        <w:rPr>
          <w:sz w:val="18"/>
          <w:szCs w:val="18"/>
        </w:rPr>
        <w:t xml:space="preserve"> Accessed on 24.04.2015</w:t>
      </w:r>
      <w:r w:rsidR="00AA2348" w:rsidRPr="005D7CDE">
        <w:rPr>
          <w:sz w:val="18"/>
          <w:szCs w:val="18"/>
        </w:rPr>
        <w:t>.</w:t>
      </w:r>
    </w:p>
  </w:footnote>
  <w:footnote w:id="13">
    <w:p w:rsidR="009F564B" w:rsidRPr="005D7CDE" w:rsidRDefault="009F564B" w:rsidP="009F564B">
      <w:pPr>
        <w:pStyle w:val="FootnoteText"/>
        <w:rPr>
          <w:sz w:val="18"/>
          <w:szCs w:val="18"/>
        </w:rPr>
      </w:pPr>
      <w:r w:rsidRPr="005D7CDE">
        <w:rPr>
          <w:rStyle w:val="FootnoteReference"/>
          <w:sz w:val="18"/>
          <w:szCs w:val="18"/>
        </w:rPr>
        <w:footnoteRef/>
      </w:r>
      <w:r w:rsidRPr="005D7CDE">
        <w:rPr>
          <w:sz w:val="18"/>
          <w:szCs w:val="18"/>
        </w:rPr>
        <w:t xml:space="preserve"> Kuwait is still on the United States Trade Representative (USTR) Special 301 Watch List whereas Saudi Arabia has been removed from the list in February 2010.</w:t>
      </w:r>
    </w:p>
  </w:footnote>
  <w:footnote w:id="14">
    <w:p w:rsidR="009F564B" w:rsidRPr="005D7CDE" w:rsidRDefault="009F564B" w:rsidP="009F564B">
      <w:pPr>
        <w:autoSpaceDE w:val="0"/>
        <w:autoSpaceDN w:val="0"/>
        <w:adjustRightInd w:val="0"/>
        <w:spacing w:after="0" w:line="240" w:lineRule="auto"/>
        <w:rPr>
          <w:rFonts w:cs="Arial"/>
          <w:sz w:val="18"/>
          <w:szCs w:val="18"/>
        </w:rPr>
      </w:pPr>
      <w:r w:rsidRPr="005D7CDE">
        <w:rPr>
          <w:rStyle w:val="FootnoteReference"/>
          <w:sz w:val="18"/>
          <w:szCs w:val="18"/>
        </w:rPr>
        <w:footnoteRef/>
      </w:r>
      <w:r w:rsidRPr="005D7CDE">
        <w:rPr>
          <w:sz w:val="18"/>
          <w:szCs w:val="18"/>
        </w:rPr>
        <w:t xml:space="preserve"> </w:t>
      </w:r>
      <w:proofErr w:type="spellStart"/>
      <w:r w:rsidR="00E61822" w:rsidRPr="005D7CDE">
        <w:rPr>
          <w:rFonts w:cs="Arial"/>
          <w:sz w:val="18"/>
          <w:szCs w:val="18"/>
        </w:rPr>
        <w:t>Drahos</w:t>
      </w:r>
      <w:proofErr w:type="spellEnd"/>
      <w:r w:rsidR="00E61822" w:rsidRPr="005D7CDE">
        <w:rPr>
          <w:rFonts w:cs="Arial"/>
          <w:sz w:val="18"/>
          <w:szCs w:val="18"/>
        </w:rPr>
        <w:t xml:space="preserve">, P. (2003), </w:t>
      </w:r>
      <w:r w:rsidRPr="005D7CDE">
        <w:rPr>
          <w:rFonts w:cs="Arial"/>
          <w:sz w:val="18"/>
          <w:szCs w:val="18"/>
        </w:rPr>
        <w:t>When th</w:t>
      </w:r>
      <w:r w:rsidR="00E61822" w:rsidRPr="005D7CDE">
        <w:rPr>
          <w:rFonts w:cs="Arial"/>
          <w:sz w:val="18"/>
          <w:szCs w:val="18"/>
        </w:rPr>
        <w:t>e Weak Bargain win the Strong, Kluwer Law</w:t>
      </w:r>
      <w:r w:rsidRPr="005D7CDE">
        <w:rPr>
          <w:rFonts w:cs="Arial"/>
          <w:sz w:val="18"/>
          <w:szCs w:val="18"/>
        </w:rPr>
        <w:t>.</w:t>
      </w:r>
    </w:p>
  </w:footnote>
  <w:footnote w:id="15">
    <w:p w:rsidR="009F564B" w:rsidRPr="005D7CDE" w:rsidRDefault="009F564B" w:rsidP="009F564B">
      <w:pPr>
        <w:pStyle w:val="FootnoteText"/>
        <w:rPr>
          <w:sz w:val="18"/>
          <w:szCs w:val="18"/>
        </w:rPr>
      </w:pPr>
      <w:r w:rsidRPr="005D7CDE">
        <w:rPr>
          <w:rStyle w:val="FootnoteReference"/>
          <w:sz w:val="18"/>
          <w:szCs w:val="18"/>
        </w:rPr>
        <w:footnoteRef/>
      </w:r>
      <w:r w:rsidR="00E61822" w:rsidRPr="005D7CDE">
        <w:rPr>
          <w:sz w:val="18"/>
          <w:szCs w:val="18"/>
        </w:rPr>
        <w:t xml:space="preserve"> </w:t>
      </w:r>
      <w:r w:rsidRPr="005D7CDE">
        <w:rPr>
          <w:sz w:val="18"/>
          <w:szCs w:val="18"/>
        </w:rPr>
        <w:t xml:space="preserve">Maskus, </w:t>
      </w:r>
      <w:r w:rsidR="00E61822" w:rsidRPr="005D7CDE">
        <w:rPr>
          <w:sz w:val="18"/>
          <w:szCs w:val="18"/>
        </w:rPr>
        <w:t xml:space="preserve">K. (2000), </w:t>
      </w:r>
      <w:r w:rsidRPr="005D7CDE">
        <w:rPr>
          <w:sz w:val="18"/>
          <w:szCs w:val="18"/>
        </w:rPr>
        <w:t>Intellectual Property</w:t>
      </w:r>
      <w:r w:rsidR="00E61822" w:rsidRPr="005D7CDE">
        <w:rPr>
          <w:sz w:val="18"/>
          <w:szCs w:val="18"/>
        </w:rPr>
        <w:t xml:space="preserve"> Rights in the Global Economy, </w:t>
      </w:r>
      <w:r w:rsidRPr="005D7CDE">
        <w:rPr>
          <w:sz w:val="18"/>
          <w:szCs w:val="18"/>
        </w:rPr>
        <w:t>Patents in Complex Contexts</w:t>
      </w:r>
      <w:r w:rsidR="00E61822" w:rsidRPr="005D7CDE">
        <w:rPr>
          <w:sz w:val="18"/>
          <w:szCs w:val="18"/>
        </w:rPr>
        <w:t xml:space="preserve">: Incentives and Effectiveness, </w:t>
      </w:r>
      <w:r w:rsidRPr="005D7CDE">
        <w:rPr>
          <w:sz w:val="18"/>
          <w:szCs w:val="18"/>
        </w:rPr>
        <w:t>Weil and Snapper (eds.), Owning Scientific and Technical</w:t>
      </w:r>
      <w:r w:rsidR="00E61822" w:rsidRPr="005D7CDE">
        <w:rPr>
          <w:sz w:val="18"/>
          <w:szCs w:val="18"/>
        </w:rPr>
        <w:t xml:space="preserve"> Information. New Brunswick, NJ Rutgers University</w:t>
      </w:r>
      <w:r w:rsidRPr="005D7CDE">
        <w:rPr>
          <w:sz w:val="18"/>
          <w:szCs w:val="18"/>
        </w:rPr>
        <w:t xml:space="preserve"> Pres</w:t>
      </w:r>
      <w:r w:rsidR="00E61822" w:rsidRPr="005D7CDE">
        <w:rPr>
          <w:sz w:val="18"/>
          <w:szCs w:val="18"/>
        </w:rPr>
        <w:t>s, Braga, C.</w:t>
      </w:r>
      <w:r w:rsidRPr="005D7CDE">
        <w:rPr>
          <w:sz w:val="18"/>
          <w:szCs w:val="18"/>
        </w:rPr>
        <w:t xml:space="preserve"> </w:t>
      </w:r>
      <w:r w:rsidR="00E61822" w:rsidRPr="005D7CDE">
        <w:rPr>
          <w:sz w:val="18"/>
          <w:szCs w:val="18"/>
        </w:rPr>
        <w:t xml:space="preserve">(1995), </w:t>
      </w:r>
      <w:r w:rsidRPr="005D7CDE">
        <w:rPr>
          <w:sz w:val="18"/>
          <w:szCs w:val="18"/>
        </w:rPr>
        <w:t xml:space="preserve">Trade-Related Intellectual Property Issues: The </w:t>
      </w:r>
      <w:r w:rsidR="00E61822" w:rsidRPr="005D7CDE">
        <w:rPr>
          <w:sz w:val="18"/>
          <w:szCs w:val="18"/>
        </w:rPr>
        <w:t>Uruguay Round</w:t>
      </w:r>
      <w:r w:rsidRPr="005D7CDE">
        <w:rPr>
          <w:sz w:val="18"/>
          <w:szCs w:val="18"/>
        </w:rPr>
        <w:t xml:space="preserve"> Agreement</w:t>
      </w:r>
      <w:r w:rsidR="00E61822" w:rsidRPr="005D7CDE">
        <w:rPr>
          <w:sz w:val="18"/>
          <w:szCs w:val="18"/>
        </w:rPr>
        <w:t xml:space="preserve"> and its Economic Implications, Chapter 12, pages 381-412, </w:t>
      </w:r>
      <w:r w:rsidRPr="005D7CDE">
        <w:rPr>
          <w:sz w:val="18"/>
          <w:szCs w:val="18"/>
        </w:rPr>
        <w:t>W</w:t>
      </w:r>
      <w:r w:rsidR="00E61822" w:rsidRPr="005D7CDE">
        <w:rPr>
          <w:sz w:val="18"/>
          <w:szCs w:val="18"/>
        </w:rPr>
        <w:t>. Martin and L.A. Winters</w:t>
      </w:r>
      <w:r w:rsidRPr="005D7CDE">
        <w:rPr>
          <w:sz w:val="18"/>
          <w:szCs w:val="18"/>
        </w:rPr>
        <w:t>, The Uruguay Rou</w:t>
      </w:r>
      <w:r w:rsidR="00E61822" w:rsidRPr="005D7CDE">
        <w:rPr>
          <w:sz w:val="18"/>
          <w:szCs w:val="18"/>
        </w:rPr>
        <w:t xml:space="preserve">nd and Developing Economies, DC </w:t>
      </w:r>
      <w:r w:rsidRPr="005D7CDE">
        <w:rPr>
          <w:sz w:val="18"/>
          <w:szCs w:val="18"/>
        </w:rPr>
        <w:t>World Bank, Discussion Paper 307</w:t>
      </w:r>
      <w:r w:rsidR="00E61822" w:rsidRPr="005D7CDE">
        <w:rPr>
          <w:sz w:val="18"/>
          <w:szCs w:val="18"/>
        </w:rPr>
        <w:t>.</w:t>
      </w:r>
    </w:p>
  </w:footnote>
  <w:footnote w:id="16">
    <w:p w:rsidR="009F564B" w:rsidRPr="005D7CDE" w:rsidRDefault="009F564B" w:rsidP="009F564B">
      <w:pPr>
        <w:pStyle w:val="FootnoteText"/>
        <w:rPr>
          <w:sz w:val="18"/>
          <w:szCs w:val="18"/>
        </w:rPr>
      </w:pPr>
      <w:r w:rsidRPr="005D7CDE">
        <w:rPr>
          <w:rStyle w:val="FootnoteReference"/>
          <w:sz w:val="18"/>
          <w:szCs w:val="18"/>
        </w:rPr>
        <w:footnoteRef/>
      </w:r>
      <w:r w:rsidR="00E61822" w:rsidRPr="005D7CDE">
        <w:rPr>
          <w:sz w:val="18"/>
          <w:szCs w:val="18"/>
        </w:rPr>
        <w:t xml:space="preserve"> See for example, Ferris, K. (2012), </w:t>
      </w:r>
      <w:r w:rsidRPr="005D7CDE">
        <w:rPr>
          <w:sz w:val="18"/>
          <w:szCs w:val="18"/>
        </w:rPr>
        <w:t xml:space="preserve">The Compliance with Intellectual </w:t>
      </w:r>
      <w:r w:rsidR="00E61822" w:rsidRPr="005D7CDE">
        <w:rPr>
          <w:sz w:val="18"/>
          <w:szCs w:val="18"/>
        </w:rPr>
        <w:t>Property</w:t>
      </w:r>
      <w:r w:rsidRPr="005D7CDE">
        <w:rPr>
          <w:sz w:val="18"/>
          <w:szCs w:val="18"/>
        </w:rPr>
        <w:t xml:space="preserve"> Laws and their Enforcement in Jordan -</w:t>
      </w:r>
      <w:r w:rsidR="00E61822" w:rsidRPr="005D7CDE">
        <w:rPr>
          <w:sz w:val="18"/>
          <w:szCs w:val="18"/>
        </w:rPr>
        <w:t xml:space="preserve"> A post - WTO Review &amp; Analysis</w:t>
      </w:r>
      <w:r w:rsidRPr="005D7CDE">
        <w:rPr>
          <w:sz w:val="18"/>
          <w:szCs w:val="18"/>
        </w:rPr>
        <w:t>. The analysis of Jordan’s intellectual property laws by Ferris shows intellectual property laws are incompatible with Jordan’s economic stage of development, having little economic impact on the Jordanian economy. This he states is mainly due to the majority of technologies used in Jordan being unrelated to intellectual property right issues. The GCC countries have similar systems to Jordan, taking on several intellectual property laws to gain more foreign direct investment without fully measuring the economic impact of these new laws over certain time</w:t>
      </w:r>
      <w:r w:rsidR="00E61822" w:rsidRPr="005D7CDE">
        <w:rPr>
          <w:sz w:val="18"/>
          <w:szCs w:val="18"/>
        </w:rPr>
        <w:t xml:space="preserve"> intervals. Also see, Olwan, R. (2013), </w:t>
      </w:r>
      <w:r w:rsidRPr="005D7CDE">
        <w:rPr>
          <w:sz w:val="18"/>
          <w:szCs w:val="18"/>
        </w:rPr>
        <w:t>The History of International Intelle</w:t>
      </w:r>
      <w:r w:rsidR="00E61822" w:rsidRPr="005D7CDE">
        <w:rPr>
          <w:sz w:val="18"/>
          <w:szCs w:val="18"/>
        </w:rPr>
        <w:t xml:space="preserve">ctual Property and Development, </w:t>
      </w:r>
      <w:r w:rsidRPr="005D7CDE">
        <w:rPr>
          <w:sz w:val="18"/>
          <w:szCs w:val="18"/>
        </w:rPr>
        <w:t>Chapter 2</w:t>
      </w:r>
      <w:r w:rsidR="00E61822" w:rsidRPr="005D7CDE">
        <w:rPr>
          <w:sz w:val="18"/>
          <w:szCs w:val="18"/>
        </w:rPr>
        <w:t>,</w:t>
      </w:r>
      <w:r w:rsidR="00877EFD" w:rsidRPr="005D7CDE">
        <w:rPr>
          <w:sz w:val="18"/>
          <w:szCs w:val="18"/>
        </w:rPr>
        <w:t xml:space="preserve"> where the author states at p</w:t>
      </w:r>
      <w:r w:rsidRPr="005D7CDE">
        <w:rPr>
          <w:sz w:val="18"/>
          <w:szCs w:val="18"/>
        </w:rPr>
        <w:t>age 35 that there is no evidence that the development of developing countries has been encouraged by intellectual property laws.</w:t>
      </w:r>
    </w:p>
  </w:footnote>
  <w:footnote w:id="17">
    <w:p w:rsidR="00C46616" w:rsidRPr="005D7CDE" w:rsidRDefault="00C46616">
      <w:pPr>
        <w:pStyle w:val="FootnoteText"/>
        <w:rPr>
          <w:sz w:val="18"/>
          <w:szCs w:val="18"/>
        </w:rPr>
      </w:pPr>
      <w:r w:rsidRPr="005D7CDE">
        <w:rPr>
          <w:rStyle w:val="FootnoteReference"/>
          <w:sz w:val="18"/>
          <w:szCs w:val="18"/>
        </w:rPr>
        <w:footnoteRef/>
      </w:r>
      <w:r w:rsidRPr="005D7CDE">
        <w:rPr>
          <w:sz w:val="18"/>
          <w:szCs w:val="18"/>
        </w:rPr>
        <w:t xml:space="preserve"> </w:t>
      </w:r>
      <w:hyperlink r:id="rId7" w:history="1">
        <w:r w:rsidRPr="005D7CDE">
          <w:rPr>
            <w:rStyle w:val="Hyperlink"/>
            <w:sz w:val="18"/>
            <w:szCs w:val="18"/>
          </w:rPr>
          <w:t>http://www.euractiv.com/sections/trade-industry/ttip-negotiating-mandate-finally-declassified-309073</w:t>
        </w:r>
      </w:hyperlink>
      <w:r w:rsidRPr="005D7CDE">
        <w:rPr>
          <w:sz w:val="18"/>
          <w:szCs w:val="18"/>
        </w:rPr>
        <w:t xml:space="preserve">. </w:t>
      </w:r>
      <w:r w:rsidR="003031F0" w:rsidRPr="005D7CDE">
        <w:rPr>
          <w:sz w:val="18"/>
          <w:szCs w:val="18"/>
        </w:rPr>
        <w:t>Accessed on 10.04.2015</w:t>
      </w:r>
      <w:r w:rsidRPr="005D7CDE">
        <w:rPr>
          <w:sz w:val="18"/>
          <w:szCs w:val="18"/>
        </w:rPr>
        <w:t>.</w:t>
      </w:r>
    </w:p>
  </w:footnote>
  <w:footnote w:id="18">
    <w:p w:rsidR="0078763C" w:rsidRPr="005D7CDE" w:rsidRDefault="0078763C">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00911068" w:rsidRPr="005D7CDE">
        <w:rPr>
          <w:sz w:val="18"/>
          <w:szCs w:val="18"/>
        </w:rPr>
        <w:t>Bermingham</w:t>
      </w:r>
      <w:proofErr w:type="spellEnd"/>
      <w:r w:rsidR="00911068" w:rsidRPr="005D7CDE">
        <w:rPr>
          <w:sz w:val="18"/>
          <w:szCs w:val="18"/>
        </w:rPr>
        <w:t xml:space="preserve">, F. (2014), </w:t>
      </w:r>
      <w:r w:rsidR="00F927B2" w:rsidRPr="005D7CDE">
        <w:rPr>
          <w:sz w:val="18"/>
          <w:szCs w:val="18"/>
        </w:rPr>
        <w:t xml:space="preserve">TTIP: Opponents Attack Negotiations as Undemocratic and Lacking Transparency, International Business Times. Available at </w:t>
      </w:r>
      <w:hyperlink r:id="rId8" w:history="1">
        <w:r w:rsidR="00911068" w:rsidRPr="005D7CDE">
          <w:rPr>
            <w:rStyle w:val="Hyperlink"/>
            <w:sz w:val="18"/>
            <w:szCs w:val="18"/>
          </w:rPr>
          <w:t>http://www.ibtimes.co.uk/ttip-opponents-attack-negotiations-undemocratic-lacking-transparency-1449406</w:t>
        </w:r>
      </w:hyperlink>
      <w:r w:rsidR="003031F0" w:rsidRPr="005D7CDE">
        <w:rPr>
          <w:sz w:val="18"/>
          <w:szCs w:val="18"/>
        </w:rPr>
        <w:t>. Accessed on 26.04.2015</w:t>
      </w:r>
      <w:r w:rsidR="00F927B2" w:rsidRPr="005D7CDE">
        <w:rPr>
          <w:sz w:val="18"/>
          <w:szCs w:val="18"/>
        </w:rPr>
        <w:t>.</w:t>
      </w:r>
      <w:r w:rsidR="00B14B99" w:rsidRPr="005D7CDE">
        <w:rPr>
          <w:sz w:val="18"/>
          <w:szCs w:val="18"/>
        </w:rPr>
        <w:t xml:space="preserve"> See also </w:t>
      </w:r>
      <w:hyperlink r:id="rId9" w:history="1">
        <w:r w:rsidR="00B14B99" w:rsidRPr="005D7CDE">
          <w:rPr>
            <w:rStyle w:val="Hyperlink"/>
            <w:sz w:val="18"/>
            <w:szCs w:val="18"/>
          </w:rPr>
          <w:t>http://www.euractiv.com/sections/trade-industry/eu-ombudsman-demands-more-ttip-transparency-303831</w:t>
        </w:r>
      </w:hyperlink>
      <w:r w:rsidR="00B14B99" w:rsidRPr="005D7CDE">
        <w:rPr>
          <w:sz w:val="18"/>
          <w:szCs w:val="18"/>
        </w:rPr>
        <w:t xml:space="preserve">. </w:t>
      </w:r>
      <w:r w:rsidR="003031F0" w:rsidRPr="005D7CDE">
        <w:rPr>
          <w:sz w:val="18"/>
          <w:szCs w:val="18"/>
        </w:rPr>
        <w:t>Accessed on 26.04.2015.</w:t>
      </w:r>
    </w:p>
  </w:footnote>
  <w:footnote w:id="19">
    <w:p w:rsidR="00C11BD9" w:rsidRPr="005D7CDE" w:rsidRDefault="00C11BD9" w:rsidP="007410DA">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Pr="005D7CDE">
        <w:rPr>
          <w:sz w:val="18"/>
          <w:szCs w:val="18"/>
        </w:rPr>
        <w:t>Grlig</w:t>
      </w:r>
      <w:proofErr w:type="spellEnd"/>
      <w:r w:rsidRPr="005D7CDE">
        <w:rPr>
          <w:sz w:val="18"/>
          <w:szCs w:val="18"/>
        </w:rPr>
        <w:t>, C. (</w:t>
      </w:r>
      <w:r w:rsidR="007410DA" w:rsidRPr="005D7CDE">
        <w:rPr>
          <w:sz w:val="18"/>
          <w:szCs w:val="18"/>
        </w:rPr>
        <w:t>2014), Overcoming Transatlantic differences on intellectual property</w:t>
      </w:r>
      <w:r w:rsidR="00740A19" w:rsidRPr="005D7CDE">
        <w:rPr>
          <w:sz w:val="18"/>
          <w:szCs w:val="18"/>
        </w:rPr>
        <w:t xml:space="preserve">, European Parliamentary Research Service, </w:t>
      </w:r>
      <w:r w:rsidR="00035D9C" w:rsidRPr="005D7CDE">
        <w:rPr>
          <w:sz w:val="18"/>
          <w:szCs w:val="18"/>
        </w:rPr>
        <w:t xml:space="preserve">Page 25. Available at </w:t>
      </w:r>
      <w:hyperlink r:id="rId10" w:history="1">
        <w:r w:rsidR="00BD4317" w:rsidRPr="005D7CDE">
          <w:rPr>
            <w:rStyle w:val="Hyperlink"/>
            <w:sz w:val="18"/>
            <w:szCs w:val="18"/>
          </w:rPr>
          <w:t>http://www.europarl.europa.eu/RegData/bibliotheque/briefing/2014/140760/LDM_BRI(2014)140760_REV1_EN.pdf</w:t>
        </w:r>
      </w:hyperlink>
      <w:r w:rsidR="003031F0" w:rsidRPr="005D7CDE">
        <w:rPr>
          <w:sz w:val="18"/>
          <w:szCs w:val="18"/>
        </w:rPr>
        <w:t>. Accessed on 14.04.2015</w:t>
      </w:r>
      <w:r w:rsidR="00161D5E" w:rsidRPr="005D7CDE">
        <w:rPr>
          <w:sz w:val="18"/>
          <w:szCs w:val="18"/>
        </w:rPr>
        <w:t>.</w:t>
      </w:r>
    </w:p>
  </w:footnote>
  <w:footnote w:id="20">
    <w:p w:rsidR="00D12E3D" w:rsidRPr="005D7CDE" w:rsidRDefault="00D12E3D" w:rsidP="00333017">
      <w:pPr>
        <w:pStyle w:val="FootnoteText"/>
        <w:rPr>
          <w:sz w:val="18"/>
          <w:szCs w:val="18"/>
        </w:rPr>
      </w:pPr>
      <w:r w:rsidRPr="005D7CDE">
        <w:rPr>
          <w:rStyle w:val="FootnoteReference"/>
          <w:sz w:val="18"/>
          <w:szCs w:val="18"/>
        </w:rPr>
        <w:footnoteRef/>
      </w:r>
      <w:r w:rsidRPr="005D7CDE">
        <w:rPr>
          <w:sz w:val="18"/>
          <w:szCs w:val="18"/>
        </w:rPr>
        <w:t xml:space="preserve"> </w:t>
      </w:r>
      <w:r w:rsidR="00333017" w:rsidRPr="005D7CDE">
        <w:rPr>
          <w:sz w:val="18"/>
          <w:szCs w:val="18"/>
        </w:rPr>
        <w:t xml:space="preserve">Council of the European Union, (2014), Directives for the negotiation on the Transatlantic Trade and Investment Partnership between the European Union and the United States of America. Available at </w:t>
      </w:r>
      <w:hyperlink r:id="rId11" w:history="1">
        <w:r w:rsidR="00333017" w:rsidRPr="005D7CDE">
          <w:rPr>
            <w:rStyle w:val="Hyperlink"/>
            <w:sz w:val="18"/>
            <w:szCs w:val="18"/>
          </w:rPr>
          <w:t>http://www.salzburg24.at/2014/10/TTIP.pdf</w:t>
        </w:r>
      </w:hyperlink>
      <w:r w:rsidR="003031F0" w:rsidRPr="005D7CDE">
        <w:rPr>
          <w:sz w:val="18"/>
          <w:szCs w:val="18"/>
        </w:rPr>
        <w:t>. Accessed on 10.04.2015</w:t>
      </w:r>
      <w:r w:rsidR="00333017" w:rsidRPr="005D7CDE">
        <w:rPr>
          <w:sz w:val="18"/>
          <w:szCs w:val="18"/>
        </w:rPr>
        <w:t>.</w:t>
      </w:r>
    </w:p>
  </w:footnote>
  <w:footnote w:id="21">
    <w:p w:rsidR="003A496C" w:rsidRPr="005D7CDE" w:rsidRDefault="003A496C">
      <w:pPr>
        <w:pStyle w:val="FootnoteText"/>
        <w:rPr>
          <w:sz w:val="18"/>
          <w:szCs w:val="18"/>
        </w:rPr>
      </w:pPr>
      <w:r w:rsidRPr="005D7CDE">
        <w:rPr>
          <w:rStyle w:val="FootnoteReference"/>
          <w:sz w:val="18"/>
          <w:szCs w:val="18"/>
        </w:rPr>
        <w:footnoteRef/>
      </w:r>
      <w:r w:rsidRPr="005D7CDE">
        <w:rPr>
          <w:sz w:val="18"/>
          <w:szCs w:val="18"/>
        </w:rPr>
        <w:t xml:space="preserve"> </w:t>
      </w:r>
      <w:r w:rsidR="001509A1" w:rsidRPr="005D7CDE">
        <w:rPr>
          <w:sz w:val="18"/>
          <w:szCs w:val="18"/>
        </w:rPr>
        <w:t xml:space="preserve">Highlights of the meeting are available at </w:t>
      </w:r>
      <w:hyperlink r:id="rId12" w:history="1">
        <w:r w:rsidR="001509A1" w:rsidRPr="005D7CDE">
          <w:rPr>
            <w:rStyle w:val="Hyperlink"/>
            <w:sz w:val="18"/>
            <w:szCs w:val="18"/>
          </w:rPr>
          <w:t>http://www.youtube.com/watch?v=1mpu_wdEtMc</w:t>
        </w:r>
      </w:hyperlink>
      <w:r w:rsidR="001509A1" w:rsidRPr="005D7CDE">
        <w:rPr>
          <w:sz w:val="18"/>
          <w:szCs w:val="18"/>
        </w:rPr>
        <w:t xml:space="preserve">. </w:t>
      </w:r>
      <w:r w:rsidR="007119BB" w:rsidRPr="005D7CDE">
        <w:rPr>
          <w:sz w:val="18"/>
          <w:szCs w:val="18"/>
        </w:rPr>
        <w:t xml:space="preserve">Also see </w:t>
      </w:r>
      <w:proofErr w:type="spellStart"/>
      <w:r w:rsidR="00FC0BD0" w:rsidRPr="005D7CDE">
        <w:rPr>
          <w:sz w:val="18"/>
          <w:szCs w:val="18"/>
        </w:rPr>
        <w:t>Erm</w:t>
      </w:r>
      <w:r w:rsidR="0082363A" w:rsidRPr="005D7CDE">
        <w:rPr>
          <w:sz w:val="18"/>
          <w:szCs w:val="18"/>
        </w:rPr>
        <w:t>ert</w:t>
      </w:r>
      <w:proofErr w:type="spellEnd"/>
      <w:r w:rsidR="0082363A" w:rsidRPr="005D7CDE">
        <w:rPr>
          <w:sz w:val="18"/>
          <w:szCs w:val="18"/>
        </w:rPr>
        <w:t xml:space="preserve">, M. (2013), IPR Lists </w:t>
      </w:r>
      <w:r w:rsidR="00F57384" w:rsidRPr="005D7CDE">
        <w:rPr>
          <w:sz w:val="18"/>
          <w:szCs w:val="18"/>
        </w:rPr>
        <w:t>for</w:t>
      </w:r>
      <w:r w:rsidR="0082363A" w:rsidRPr="005D7CDE">
        <w:rPr>
          <w:sz w:val="18"/>
          <w:szCs w:val="18"/>
        </w:rPr>
        <w:t xml:space="preserve"> Trans-Atlantic Trade Deal Still Growing; Risk </w:t>
      </w:r>
      <w:proofErr w:type="gramStart"/>
      <w:r w:rsidR="0082363A" w:rsidRPr="005D7CDE">
        <w:rPr>
          <w:sz w:val="18"/>
          <w:szCs w:val="18"/>
        </w:rPr>
        <w:t>Of Locking In</w:t>
      </w:r>
      <w:proofErr w:type="gramEnd"/>
      <w:r w:rsidR="0082363A" w:rsidRPr="005D7CDE">
        <w:rPr>
          <w:sz w:val="18"/>
          <w:szCs w:val="18"/>
        </w:rPr>
        <w:t xml:space="preserve"> Old IPR Regimes?</w:t>
      </w:r>
      <w:r w:rsidR="00FC0BD0" w:rsidRPr="005D7CDE">
        <w:rPr>
          <w:sz w:val="18"/>
          <w:szCs w:val="18"/>
        </w:rPr>
        <w:t xml:space="preserve"> Available at </w:t>
      </w:r>
      <w:hyperlink r:id="rId13" w:history="1">
        <w:r w:rsidR="00FC0BD0" w:rsidRPr="005D7CDE">
          <w:rPr>
            <w:rStyle w:val="Hyperlink"/>
            <w:sz w:val="18"/>
            <w:szCs w:val="18"/>
          </w:rPr>
          <w:t>http://www.ip-watch.org/2013/05/15/ipr-lists-for-ttip-still-growing-risk-of-locking-in-old-ipr-regimes/</w:t>
        </w:r>
      </w:hyperlink>
      <w:r w:rsidR="003031F0" w:rsidRPr="005D7CDE">
        <w:rPr>
          <w:sz w:val="18"/>
          <w:szCs w:val="18"/>
        </w:rPr>
        <w:t>. Accessed on 03.05.2015</w:t>
      </w:r>
      <w:r w:rsidR="00FC0BD0" w:rsidRPr="005D7CDE">
        <w:rPr>
          <w:sz w:val="18"/>
          <w:szCs w:val="18"/>
        </w:rPr>
        <w:t>.</w:t>
      </w:r>
    </w:p>
  </w:footnote>
  <w:footnote w:id="22">
    <w:p w:rsidR="00691DBB" w:rsidRPr="005D7CDE" w:rsidRDefault="00691DBB">
      <w:pPr>
        <w:pStyle w:val="FootnoteText"/>
        <w:rPr>
          <w:sz w:val="18"/>
          <w:szCs w:val="18"/>
        </w:rPr>
      </w:pPr>
      <w:r w:rsidRPr="005D7CDE">
        <w:rPr>
          <w:rStyle w:val="FootnoteReference"/>
          <w:sz w:val="18"/>
          <w:szCs w:val="18"/>
        </w:rPr>
        <w:footnoteRef/>
      </w:r>
      <w:r w:rsidRPr="005D7CDE">
        <w:rPr>
          <w:sz w:val="18"/>
          <w:szCs w:val="18"/>
        </w:rPr>
        <w:t xml:space="preserve"> European Parliament News, </w:t>
      </w:r>
      <w:r w:rsidR="00356C1F" w:rsidRPr="005D7CDE">
        <w:rPr>
          <w:sz w:val="18"/>
          <w:szCs w:val="18"/>
        </w:rPr>
        <w:t xml:space="preserve">(2012), European Parliament rejects ACTA.  Available at </w:t>
      </w:r>
      <w:hyperlink r:id="rId14" w:history="1">
        <w:r w:rsidR="00356C1F" w:rsidRPr="005D7CDE">
          <w:rPr>
            <w:rStyle w:val="Hyperlink"/>
            <w:sz w:val="18"/>
            <w:szCs w:val="18"/>
          </w:rPr>
          <w:t>http://www.europarl.europa.eu/news/en/news-room/content/20120703ipr48247/html/European-Parliament-rejects-ACTA</w:t>
        </w:r>
      </w:hyperlink>
      <w:r w:rsidR="00356C1F" w:rsidRPr="005D7CDE">
        <w:rPr>
          <w:sz w:val="18"/>
          <w:szCs w:val="18"/>
        </w:rPr>
        <w:t>. Accessed on 11.11.2014.</w:t>
      </w:r>
    </w:p>
  </w:footnote>
  <w:footnote w:id="23">
    <w:p w:rsidR="00855016" w:rsidRPr="005D7CDE" w:rsidRDefault="00855016" w:rsidP="004D60BB">
      <w:pPr>
        <w:pStyle w:val="FootnoteText"/>
        <w:rPr>
          <w:sz w:val="18"/>
          <w:szCs w:val="18"/>
        </w:rPr>
      </w:pPr>
      <w:r w:rsidRPr="005D7CDE">
        <w:rPr>
          <w:rStyle w:val="FootnoteReference"/>
          <w:sz w:val="18"/>
          <w:szCs w:val="18"/>
        </w:rPr>
        <w:footnoteRef/>
      </w:r>
      <w:r w:rsidRPr="005D7CDE">
        <w:rPr>
          <w:sz w:val="18"/>
          <w:szCs w:val="18"/>
        </w:rPr>
        <w:t xml:space="preserve"> </w:t>
      </w:r>
      <w:r w:rsidR="004D60BB" w:rsidRPr="005D7CDE">
        <w:rPr>
          <w:sz w:val="18"/>
          <w:szCs w:val="18"/>
        </w:rPr>
        <w:t>Federation of German Industries, Department for External Economic Policy, (</w:t>
      </w:r>
      <w:r w:rsidR="004777A3" w:rsidRPr="005D7CDE">
        <w:rPr>
          <w:sz w:val="18"/>
          <w:szCs w:val="18"/>
        </w:rPr>
        <w:t>2014),</w:t>
      </w:r>
      <w:r w:rsidR="004D60BB" w:rsidRPr="005D7CDE">
        <w:rPr>
          <w:sz w:val="18"/>
          <w:szCs w:val="18"/>
        </w:rPr>
        <w:t xml:space="preserve"> </w:t>
      </w:r>
      <w:r w:rsidRPr="005D7CDE">
        <w:rPr>
          <w:sz w:val="18"/>
          <w:szCs w:val="18"/>
        </w:rPr>
        <w:t>Position Paper: The “I” in TTIP Why the Transatlantic Trade and Investment Partnership Needs an Investment Chapter</w:t>
      </w:r>
      <w:r w:rsidR="004777A3" w:rsidRPr="005D7CDE">
        <w:rPr>
          <w:sz w:val="18"/>
          <w:szCs w:val="18"/>
        </w:rPr>
        <w:t xml:space="preserve">. Available at </w:t>
      </w:r>
      <w:hyperlink r:id="rId15" w:history="1">
        <w:r w:rsidR="00176880" w:rsidRPr="005D7CDE">
          <w:rPr>
            <w:rStyle w:val="Hyperlink"/>
            <w:sz w:val="18"/>
            <w:szCs w:val="18"/>
          </w:rPr>
          <w:t>http://www.bdi.eu/BDI_english/download_content/BDI_The_I_in__TTIP_140930.pdf</w:t>
        </w:r>
      </w:hyperlink>
      <w:r w:rsidR="003031F0" w:rsidRPr="005D7CDE">
        <w:rPr>
          <w:sz w:val="18"/>
          <w:szCs w:val="18"/>
        </w:rPr>
        <w:t>. Accessed on 23.04.2015</w:t>
      </w:r>
      <w:r w:rsidR="00176880" w:rsidRPr="005D7CDE">
        <w:rPr>
          <w:sz w:val="18"/>
          <w:szCs w:val="18"/>
        </w:rPr>
        <w:t>.</w:t>
      </w:r>
      <w:r w:rsidR="00293794" w:rsidRPr="005D7CDE">
        <w:rPr>
          <w:sz w:val="18"/>
          <w:szCs w:val="18"/>
        </w:rPr>
        <w:t xml:space="preserve"> See also Miller, S. (2014), </w:t>
      </w:r>
      <w:r w:rsidR="00AF3E43" w:rsidRPr="005D7CDE">
        <w:rPr>
          <w:sz w:val="18"/>
          <w:szCs w:val="18"/>
        </w:rPr>
        <w:t xml:space="preserve">Keeping the “I” in TTIP: Investor Experience in the EU, </w:t>
      </w:r>
      <w:r w:rsidR="00B01B78" w:rsidRPr="005D7CDE">
        <w:rPr>
          <w:sz w:val="18"/>
          <w:szCs w:val="18"/>
        </w:rPr>
        <w:t xml:space="preserve">for Strategic and International Studies. Available at </w:t>
      </w:r>
      <w:hyperlink r:id="rId16" w:history="1">
        <w:r w:rsidR="003D7F2B" w:rsidRPr="005D7CDE">
          <w:rPr>
            <w:rStyle w:val="Hyperlink"/>
            <w:sz w:val="18"/>
            <w:szCs w:val="18"/>
          </w:rPr>
          <w:t>http://csis.org/publication/keeping-i-ttip-investor-experience-eu</w:t>
        </w:r>
      </w:hyperlink>
      <w:r w:rsidR="003031F0" w:rsidRPr="005D7CDE">
        <w:rPr>
          <w:sz w:val="18"/>
          <w:szCs w:val="18"/>
        </w:rPr>
        <w:t>. Accessed on 20.04.2015</w:t>
      </w:r>
      <w:r w:rsidR="003D7F2B" w:rsidRPr="005D7CDE">
        <w:rPr>
          <w:sz w:val="18"/>
          <w:szCs w:val="18"/>
        </w:rPr>
        <w:t>.</w:t>
      </w:r>
    </w:p>
  </w:footnote>
  <w:footnote w:id="24">
    <w:p w:rsidR="008B64C1" w:rsidRPr="005D7CDE" w:rsidRDefault="008B64C1" w:rsidP="008B64C1">
      <w:pPr>
        <w:pStyle w:val="FootnoteText"/>
        <w:rPr>
          <w:sz w:val="18"/>
          <w:szCs w:val="18"/>
        </w:rPr>
      </w:pPr>
      <w:r w:rsidRPr="005D7CDE">
        <w:rPr>
          <w:rStyle w:val="FootnoteReference"/>
          <w:sz w:val="18"/>
          <w:szCs w:val="18"/>
        </w:rPr>
        <w:footnoteRef/>
      </w:r>
      <w:r w:rsidRPr="005D7CDE">
        <w:rPr>
          <w:sz w:val="18"/>
          <w:szCs w:val="18"/>
        </w:rPr>
        <w:t xml:space="preserve"> Bizzarri, K (2013), A Brave New Transatlantic Partnership, The proposed EU-US Transatlantic Trade and Investment Partners hip (TTIP/TAFTA) and its socio-economic &amp; environmental consequences. </w:t>
      </w:r>
      <w:r w:rsidR="00DA6925" w:rsidRPr="005D7CDE">
        <w:rPr>
          <w:sz w:val="18"/>
          <w:szCs w:val="18"/>
        </w:rPr>
        <w:t xml:space="preserve">Seattle to Brussels Network. Available at </w:t>
      </w:r>
      <w:hyperlink r:id="rId17" w:history="1">
        <w:r w:rsidR="00EE318B" w:rsidRPr="005D7CDE">
          <w:rPr>
            <w:rStyle w:val="Hyperlink"/>
            <w:sz w:val="18"/>
            <w:szCs w:val="18"/>
          </w:rPr>
          <w:t>http://corporateeurope.org/sites/default/files/attachments/brave_new_transatlantic_partnership.pdf</w:t>
        </w:r>
      </w:hyperlink>
      <w:r w:rsidR="003031F0" w:rsidRPr="005D7CDE">
        <w:rPr>
          <w:sz w:val="18"/>
          <w:szCs w:val="18"/>
        </w:rPr>
        <w:t>. Accessed on 11.04.2015</w:t>
      </w:r>
      <w:r w:rsidR="00EE318B" w:rsidRPr="005D7CDE">
        <w:rPr>
          <w:sz w:val="18"/>
          <w:szCs w:val="18"/>
        </w:rPr>
        <w:t>.</w:t>
      </w:r>
    </w:p>
  </w:footnote>
  <w:footnote w:id="25">
    <w:p w:rsidR="00F57384" w:rsidRPr="005D7CDE" w:rsidRDefault="00F57384">
      <w:pPr>
        <w:pStyle w:val="FootnoteText"/>
        <w:rPr>
          <w:sz w:val="18"/>
          <w:szCs w:val="18"/>
        </w:rPr>
      </w:pPr>
      <w:r w:rsidRPr="005D7CDE">
        <w:rPr>
          <w:rStyle w:val="FootnoteReference"/>
          <w:sz w:val="18"/>
          <w:szCs w:val="18"/>
        </w:rPr>
        <w:footnoteRef/>
      </w:r>
      <w:r w:rsidR="00371A2E" w:rsidRPr="005D7CDE">
        <w:rPr>
          <w:sz w:val="18"/>
          <w:szCs w:val="18"/>
        </w:rPr>
        <w:t xml:space="preserve"> See for example several articles on Europa news at;</w:t>
      </w:r>
      <w:r w:rsidR="004F444D" w:rsidRPr="005D7CDE">
        <w:rPr>
          <w:sz w:val="18"/>
          <w:szCs w:val="18"/>
        </w:rPr>
        <w:t xml:space="preserve"> </w:t>
      </w:r>
      <w:hyperlink r:id="rId18" w:history="1">
        <w:r w:rsidR="004F444D" w:rsidRPr="005D7CDE">
          <w:rPr>
            <w:rStyle w:val="Hyperlink"/>
            <w:sz w:val="18"/>
            <w:szCs w:val="18"/>
          </w:rPr>
          <w:t>http://www.neurope.eu/article/de-gucht-ttip-strengthening-our-values</w:t>
        </w:r>
      </w:hyperlink>
      <w:r w:rsidR="004F444D" w:rsidRPr="005D7CDE">
        <w:rPr>
          <w:sz w:val="18"/>
          <w:szCs w:val="18"/>
        </w:rPr>
        <w:t xml:space="preserve">, </w:t>
      </w:r>
      <w:hyperlink r:id="rId19" w:history="1">
        <w:r w:rsidR="00D165E0" w:rsidRPr="005D7CDE">
          <w:rPr>
            <w:rStyle w:val="Hyperlink"/>
            <w:sz w:val="18"/>
            <w:szCs w:val="18"/>
          </w:rPr>
          <w:t>http://www.neurope.eu/article/de-gucht-fresh-momentum-transatlantic-economic-partnership</w:t>
        </w:r>
      </w:hyperlink>
      <w:r w:rsidR="006D1178" w:rsidRPr="005D7CDE">
        <w:rPr>
          <w:sz w:val="18"/>
          <w:szCs w:val="18"/>
        </w:rPr>
        <w:t xml:space="preserve"> and </w:t>
      </w:r>
      <w:hyperlink r:id="rId20" w:history="1">
        <w:r w:rsidR="006D1178" w:rsidRPr="005D7CDE">
          <w:rPr>
            <w:rStyle w:val="Hyperlink"/>
            <w:sz w:val="18"/>
            <w:szCs w:val="18"/>
          </w:rPr>
          <w:t>http://www.neurope.eu/article/trade-commissioner-defends-ttip</w:t>
        </w:r>
      </w:hyperlink>
      <w:r w:rsidR="003031F0" w:rsidRPr="005D7CDE">
        <w:rPr>
          <w:sz w:val="18"/>
          <w:szCs w:val="18"/>
        </w:rPr>
        <w:t>. Accessed on 04.05.2015</w:t>
      </w:r>
      <w:r w:rsidR="006D1178" w:rsidRPr="005D7CDE">
        <w:rPr>
          <w:sz w:val="18"/>
          <w:szCs w:val="18"/>
        </w:rPr>
        <w:t>.</w:t>
      </w:r>
    </w:p>
  </w:footnote>
  <w:footnote w:id="26">
    <w:p w:rsidR="00F7508A" w:rsidRPr="005D7CDE" w:rsidRDefault="00F7508A">
      <w:pPr>
        <w:pStyle w:val="FootnoteText"/>
        <w:rPr>
          <w:sz w:val="18"/>
          <w:szCs w:val="18"/>
        </w:rPr>
      </w:pPr>
      <w:r w:rsidRPr="005D7CDE">
        <w:rPr>
          <w:rStyle w:val="FootnoteReference"/>
          <w:sz w:val="18"/>
          <w:szCs w:val="18"/>
        </w:rPr>
        <w:footnoteRef/>
      </w:r>
      <w:r w:rsidRPr="005D7CDE">
        <w:rPr>
          <w:sz w:val="18"/>
          <w:szCs w:val="18"/>
        </w:rPr>
        <w:t xml:space="preserve"> </w:t>
      </w:r>
      <w:hyperlink r:id="rId21" w:history="1">
        <w:r w:rsidR="001F2CAF" w:rsidRPr="005D7CDE">
          <w:rPr>
            <w:rStyle w:val="Hyperlink"/>
            <w:sz w:val="18"/>
            <w:szCs w:val="18"/>
          </w:rPr>
          <w:t>http://www.paneuropeannetworks.com/government/malmstrom-and-meps-debate-ttip-talks/</w:t>
        </w:r>
      </w:hyperlink>
      <w:r w:rsidR="00DE5E37" w:rsidRPr="005D7CDE">
        <w:rPr>
          <w:sz w:val="18"/>
          <w:szCs w:val="18"/>
        </w:rPr>
        <w:t>. Accessed on 6.12</w:t>
      </w:r>
      <w:r w:rsidR="001F2CAF" w:rsidRPr="005D7CDE">
        <w:rPr>
          <w:sz w:val="18"/>
          <w:szCs w:val="18"/>
        </w:rPr>
        <w:t>.2014.</w:t>
      </w:r>
      <w:r w:rsidR="009C509E" w:rsidRPr="005D7CDE">
        <w:rPr>
          <w:sz w:val="18"/>
          <w:szCs w:val="18"/>
        </w:rPr>
        <w:t xml:space="preserve"> See also </w:t>
      </w:r>
      <w:hyperlink r:id="rId22" w:history="1">
        <w:r w:rsidR="009C509E" w:rsidRPr="005D7CDE">
          <w:rPr>
            <w:rStyle w:val="Hyperlink"/>
            <w:sz w:val="18"/>
            <w:szCs w:val="18"/>
          </w:rPr>
          <w:t>https://www.youtube.com/watch?v=OfBXhtdBnSg</w:t>
        </w:r>
      </w:hyperlink>
      <w:r w:rsidR="009C509E" w:rsidRPr="005D7CDE">
        <w:rPr>
          <w:sz w:val="18"/>
          <w:szCs w:val="18"/>
        </w:rPr>
        <w:t xml:space="preserve">. Malmström speaks of ISDS clauses being “frozen” pending further consultation and dissemination of research. </w:t>
      </w:r>
    </w:p>
  </w:footnote>
  <w:footnote w:id="27">
    <w:p w:rsidR="00B32C08" w:rsidRPr="005D7CDE" w:rsidRDefault="00B32C08">
      <w:pPr>
        <w:pStyle w:val="FootnoteText"/>
        <w:rPr>
          <w:sz w:val="18"/>
          <w:szCs w:val="18"/>
        </w:rPr>
      </w:pPr>
      <w:r w:rsidRPr="005D7CDE">
        <w:rPr>
          <w:rStyle w:val="FootnoteReference"/>
          <w:sz w:val="18"/>
          <w:szCs w:val="18"/>
        </w:rPr>
        <w:footnoteRef/>
      </w:r>
      <w:r w:rsidRPr="005D7CDE">
        <w:rPr>
          <w:sz w:val="18"/>
          <w:szCs w:val="18"/>
        </w:rPr>
        <w:t xml:space="preserve"> </w:t>
      </w:r>
      <w:hyperlink r:id="rId23" w:history="1">
        <w:r w:rsidRPr="005D7CDE">
          <w:rPr>
            <w:rStyle w:val="Hyperlink"/>
            <w:sz w:val="18"/>
            <w:szCs w:val="18"/>
          </w:rPr>
          <w:t>http://www.vieuws.eu/foreign-affairs/5-toughest-questions-faced-by-cecilia-malmstrom-trade-hearings-of-juncker-commission/</w:t>
        </w:r>
      </w:hyperlink>
      <w:r w:rsidR="003031F0" w:rsidRPr="005D7CDE">
        <w:rPr>
          <w:sz w:val="18"/>
          <w:szCs w:val="18"/>
        </w:rPr>
        <w:t>. Accessed on 22.04.2015</w:t>
      </w:r>
      <w:r w:rsidRPr="005D7CDE">
        <w:rPr>
          <w:sz w:val="18"/>
          <w:szCs w:val="18"/>
        </w:rPr>
        <w:t>.</w:t>
      </w:r>
    </w:p>
  </w:footnote>
  <w:footnote w:id="28">
    <w:p w:rsidR="0067685A" w:rsidRPr="005D7CDE" w:rsidRDefault="0067685A" w:rsidP="0067685A">
      <w:pPr>
        <w:pStyle w:val="FootnoteText"/>
        <w:rPr>
          <w:sz w:val="18"/>
          <w:szCs w:val="18"/>
        </w:rPr>
      </w:pPr>
      <w:r w:rsidRPr="005D7CDE">
        <w:rPr>
          <w:rStyle w:val="FootnoteReference"/>
          <w:sz w:val="18"/>
          <w:szCs w:val="18"/>
        </w:rPr>
        <w:footnoteRef/>
      </w:r>
      <w:r w:rsidRPr="005D7CDE">
        <w:rPr>
          <w:sz w:val="18"/>
          <w:szCs w:val="18"/>
        </w:rPr>
        <w:t xml:space="preserve"> Francois, J. (2013), Reducing Transatlantic Barriers to Trade and Investment </w:t>
      </w:r>
      <w:proofErr w:type="gramStart"/>
      <w:r w:rsidRPr="005D7CDE">
        <w:rPr>
          <w:sz w:val="18"/>
          <w:szCs w:val="18"/>
        </w:rPr>
        <w:t>An</w:t>
      </w:r>
      <w:proofErr w:type="gramEnd"/>
      <w:r w:rsidRPr="005D7CDE">
        <w:rPr>
          <w:sz w:val="18"/>
          <w:szCs w:val="18"/>
        </w:rPr>
        <w:t xml:space="preserve"> Economic Assessment, Final Project Report, March 2013, Prepared under implementing Framework Contract TRADE10/A2/A16. Available at </w:t>
      </w:r>
      <w:hyperlink r:id="rId24" w:history="1">
        <w:r w:rsidR="006C4DDE" w:rsidRPr="005D7CDE">
          <w:rPr>
            <w:rStyle w:val="Hyperlink"/>
            <w:sz w:val="18"/>
            <w:szCs w:val="18"/>
          </w:rPr>
          <w:t>http://trade.ec.europa.eu/doclib/docs/2013/march/tradoc_150737.pdf</w:t>
        </w:r>
      </w:hyperlink>
      <w:r w:rsidR="003031F0" w:rsidRPr="005D7CDE">
        <w:rPr>
          <w:sz w:val="18"/>
          <w:szCs w:val="18"/>
        </w:rPr>
        <w:t>. Accessed on 06.05.2015</w:t>
      </w:r>
      <w:r w:rsidR="006C4DDE" w:rsidRPr="005D7CDE">
        <w:rPr>
          <w:sz w:val="18"/>
          <w:szCs w:val="18"/>
        </w:rPr>
        <w:t>.</w:t>
      </w:r>
    </w:p>
  </w:footnote>
  <w:footnote w:id="29">
    <w:p w:rsidR="009A277C" w:rsidRDefault="009A277C" w:rsidP="00AA71EF">
      <w:pPr>
        <w:pStyle w:val="FootnoteText"/>
      </w:pPr>
      <w:r w:rsidRPr="005D7CDE">
        <w:rPr>
          <w:rStyle w:val="FootnoteReference"/>
          <w:sz w:val="18"/>
          <w:szCs w:val="18"/>
        </w:rPr>
        <w:footnoteRef/>
      </w:r>
      <w:r w:rsidRPr="005D7CDE">
        <w:rPr>
          <w:sz w:val="18"/>
          <w:szCs w:val="18"/>
        </w:rPr>
        <w:t xml:space="preserve"> </w:t>
      </w:r>
      <w:proofErr w:type="spellStart"/>
      <w:r w:rsidRPr="005D7CDE">
        <w:rPr>
          <w:sz w:val="18"/>
          <w:szCs w:val="18"/>
        </w:rPr>
        <w:t>Felbermayr</w:t>
      </w:r>
      <w:proofErr w:type="spellEnd"/>
      <w:r w:rsidRPr="005D7CDE">
        <w:rPr>
          <w:sz w:val="18"/>
          <w:szCs w:val="18"/>
        </w:rPr>
        <w:t xml:space="preserve">, g. (2013), </w:t>
      </w:r>
      <w:r w:rsidR="00C46F02" w:rsidRPr="005D7CDE">
        <w:rPr>
          <w:sz w:val="18"/>
          <w:szCs w:val="18"/>
        </w:rPr>
        <w:t xml:space="preserve">Transatlantic Trade and Investment Partnership (TTIP) </w:t>
      </w:r>
      <w:r w:rsidR="00455DFD" w:rsidRPr="005D7CDE">
        <w:rPr>
          <w:sz w:val="18"/>
          <w:szCs w:val="18"/>
        </w:rPr>
        <w:t>w</w:t>
      </w:r>
      <w:r w:rsidR="00C46F02" w:rsidRPr="005D7CDE">
        <w:rPr>
          <w:sz w:val="18"/>
          <w:szCs w:val="18"/>
        </w:rPr>
        <w:t xml:space="preserve">ho benefits from a free trade deal? Part 1: Macroeconomic Effects, </w:t>
      </w:r>
      <w:r w:rsidR="00A04132" w:rsidRPr="005D7CDE">
        <w:rPr>
          <w:sz w:val="18"/>
          <w:szCs w:val="18"/>
        </w:rPr>
        <w:t xml:space="preserve">Global Economic Dynamics, </w:t>
      </w:r>
      <w:r w:rsidR="003A31DF" w:rsidRPr="005D7CDE">
        <w:rPr>
          <w:sz w:val="18"/>
          <w:szCs w:val="18"/>
        </w:rPr>
        <w:t xml:space="preserve">Bertelsmann </w:t>
      </w:r>
      <w:proofErr w:type="spellStart"/>
      <w:r w:rsidR="003A31DF" w:rsidRPr="005D7CDE">
        <w:rPr>
          <w:sz w:val="18"/>
          <w:szCs w:val="18"/>
        </w:rPr>
        <w:t>Stiftung</w:t>
      </w:r>
      <w:proofErr w:type="spellEnd"/>
      <w:r w:rsidR="003A31DF" w:rsidRPr="005D7CDE">
        <w:rPr>
          <w:sz w:val="18"/>
          <w:szCs w:val="18"/>
        </w:rPr>
        <w:t xml:space="preserve">, </w:t>
      </w:r>
      <w:proofErr w:type="gramStart"/>
      <w:r w:rsidR="003A31DF" w:rsidRPr="005D7CDE">
        <w:rPr>
          <w:sz w:val="18"/>
          <w:szCs w:val="18"/>
        </w:rPr>
        <w:t>The</w:t>
      </w:r>
      <w:proofErr w:type="gramEnd"/>
      <w:r w:rsidR="003A31DF" w:rsidRPr="005D7CDE">
        <w:rPr>
          <w:sz w:val="18"/>
          <w:szCs w:val="18"/>
        </w:rPr>
        <w:t xml:space="preserve"> Bertelsmann Foundation. Available at </w:t>
      </w:r>
      <w:hyperlink r:id="rId25" w:history="1">
        <w:r w:rsidR="003A31DF" w:rsidRPr="005D7CDE">
          <w:rPr>
            <w:rStyle w:val="Hyperlink"/>
            <w:sz w:val="18"/>
            <w:szCs w:val="18"/>
          </w:rPr>
          <w:t>http://www.bfna.org/sites/default/files/TTIP-GED%20study%2017June%202013.pdf</w:t>
        </w:r>
      </w:hyperlink>
      <w:r w:rsidR="003031F0" w:rsidRPr="005D7CDE">
        <w:rPr>
          <w:sz w:val="18"/>
          <w:szCs w:val="18"/>
        </w:rPr>
        <w:t>. Accessed on 05.05.2015</w:t>
      </w:r>
      <w:r w:rsidR="003A31DF" w:rsidRPr="005D7CDE">
        <w:rPr>
          <w:sz w:val="18"/>
          <w:szCs w:val="18"/>
        </w:rPr>
        <w:t>.</w:t>
      </w:r>
      <w:r w:rsidR="00AA71EF" w:rsidRPr="005D7CDE">
        <w:rPr>
          <w:sz w:val="18"/>
          <w:szCs w:val="18"/>
        </w:rPr>
        <w:t xml:space="preserve"> Also see European Commission, (2013), Transatlantic Trade and Investment Partnership, The Economic Analysis Explained, </w:t>
      </w:r>
      <w:r w:rsidR="004766BC" w:rsidRPr="005D7CDE">
        <w:rPr>
          <w:sz w:val="18"/>
          <w:szCs w:val="18"/>
        </w:rPr>
        <w:t>Centre for Economic Policy</w:t>
      </w:r>
      <w:r w:rsidR="00AA71EF" w:rsidRPr="005D7CDE">
        <w:rPr>
          <w:sz w:val="18"/>
          <w:szCs w:val="18"/>
        </w:rPr>
        <w:t xml:space="preserve"> Research. Available at </w:t>
      </w:r>
      <w:hyperlink r:id="rId26" w:history="1">
        <w:r w:rsidR="00AA71EF" w:rsidRPr="005D7CDE">
          <w:rPr>
            <w:rStyle w:val="Hyperlink"/>
            <w:sz w:val="18"/>
            <w:szCs w:val="18"/>
          </w:rPr>
          <w:t>http://trade.ec.europa.eu/doclib/docs/2013/september/tradoc_151787.pdf</w:t>
        </w:r>
      </w:hyperlink>
      <w:r w:rsidR="003031F0" w:rsidRPr="005D7CDE">
        <w:rPr>
          <w:sz w:val="18"/>
          <w:szCs w:val="18"/>
        </w:rPr>
        <w:t>. Accessed n 07.05.2015</w:t>
      </w:r>
      <w:r w:rsidR="00AA71EF" w:rsidRPr="005D7CDE">
        <w:rPr>
          <w:sz w:val="18"/>
          <w:szCs w:val="18"/>
        </w:rPr>
        <w:t>.</w:t>
      </w:r>
    </w:p>
  </w:footnote>
  <w:footnote w:id="30">
    <w:p w:rsidR="00FD751F" w:rsidRPr="005D7CDE" w:rsidRDefault="00FD751F" w:rsidP="00062393">
      <w:pPr>
        <w:pStyle w:val="FootnoteText"/>
        <w:rPr>
          <w:sz w:val="18"/>
          <w:szCs w:val="18"/>
        </w:rPr>
      </w:pPr>
      <w:r w:rsidRPr="005D7CDE">
        <w:rPr>
          <w:rStyle w:val="FootnoteReference"/>
          <w:sz w:val="18"/>
          <w:szCs w:val="18"/>
        </w:rPr>
        <w:footnoteRef/>
      </w:r>
      <w:r w:rsidRPr="005D7CDE">
        <w:rPr>
          <w:sz w:val="18"/>
          <w:szCs w:val="18"/>
        </w:rPr>
        <w:t xml:space="preserve"> See </w:t>
      </w:r>
      <w:r w:rsidR="0006393E" w:rsidRPr="005D7CDE">
        <w:rPr>
          <w:sz w:val="18"/>
          <w:szCs w:val="18"/>
        </w:rPr>
        <w:t xml:space="preserve">Position Paper, </w:t>
      </w:r>
      <w:r w:rsidRPr="005D7CDE">
        <w:rPr>
          <w:sz w:val="18"/>
          <w:szCs w:val="18"/>
        </w:rPr>
        <w:t>TTIP – Too many untrus</w:t>
      </w:r>
      <w:r w:rsidR="0006393E" w:rsidRPr="005D7CDE">
        <w:rPr>
          <w:sz w:val="18"/>
          <w:szCs w:val="18"/>
        </w:rPr>
        <w:t>tworthy promises and real risks, p</w:t>
      </w:r>
      <w:r w:rsidRPr="005D7CDE">
        <w:rPr>
          <w:sz w:val="18"/>
          <w:szCs w:val="18"/>
        </w:rPr>
        <w:t xml:space="preserve">osition paper adopted at the European Green Party Green Electoral Convention, 22 February 2014, Brussels and </w:t>
      </w:r>
      <w:proofErr w:type="spellStart"/>
      <w:r w:rsidR="002475DB" w:rsidRPr="005D7CDE">
        <w:rPr>
          <w:sz w:val="18"/>
          <w:szCs w:val="18"/>
        </w:rPr>
        <w:t>Bromund</w:t>
      </w:r>
      <w:proofErr w:type="spellEnd"/>
      <w:r w:rsidR="002475DB" w:rsidRPr="005D7CDE">
        <w:rPr>
          <w:sz w:val="18"/>
          <w:szCs w:val="18"/>
        </w:rPr>
        <w:t xml:space="preserve">, T. (2013), Transatlantic Trade and Investment Partnership (TTIP): Pitfalls and Promises. Available at </w:t>
      </w:r>
      <w:hyperlink r:id="rId27" w:history="1">
        <w:r w:rsidR="002F7196" w:rsidRPr="005D7CDE">
          <w:rPr>
            <w:rStyle w:val="Hyperlink"/>
            <w:sz w:val="18"/>
            <w:szCs w:val="18"/>
          </w:rPr>
          <w:t>http://www.heritage.org/research/reports/2013/12/transatlantic-trade-and-investment-partnership-ttip-pitfalls-and-promises</w:t>
        </w:r>
      </w:hyperlink>
      <w:r w:rsidR="002F7196" w:rsidRPr="005D7CDE">
        <w:rPr>
          <w:sz w:val="18"/>
          <w:szCs w:val="18"/>
        </w:rPr>
        <w:t>. Accessed on 05.11.2014.</w:t>
      </w:r>
      <w:r w:rsidR="00062393" w:rsidRPr="005D7CDE">
        <w:rPr>
          <w:sz w:val="18"/>
          <w:szCs w:val="18"/>
        </w:rPr>
        <w:t xml:space="preserve"> See also </w:t>
      </w:r>
      <w:r w:rsidR="007665BC" w:rsidRPr="005D7CDE">
        <w:rPr>
          <w:sz w:val="18"/>
          <w:szCs w:val="18"/>
        </w:rPr>
        <w:t xml:space="preserve">Friends of the Earth Europe, (2013), </w:t>
      </w:r>
      <w:proofErr w:type="gramStart"/>
      <w:r w:rsidR="00062393" w:rsidRPr="005D7CDE">
        <w:rPr>
          <w:sz w:val="18"/>
          <w:szCs w:val="18"/>
        </w:rPr>
        <w:t>The</w:t>
      </w:r>
      <w:proofErr w:type="gramEnd"/>
      <w:r w:rsidR="00062393" w:rsidRPr="005D7CDE">
        <w:rPr>
          <w:sz w:val="18"/>
          <w:szCs w:val="18"/>
        </w:rPr>
        <w:t xml:space="preserve"> risks of including investor-to-state dispute settlement in transatlantic trade talks</w:t>
      </w:r>
      <w:r w:rsidR="00642221" w:rsidRPr="005D7CDE">
        <w:rPr>
          <w:sz w:val="18"/>
          <w:szCs w:val="18"/>
        </w:rPr>
        <w:t xml:space="preserve">. Available at </w:t>
      </w:r>
      <w:r w:rsidR="00642221" w:rsidRPr="005D7CDE">
        <w:rPr>
          <w:rStyle w:val="HTMLCite"/>
          <w:rFonts w:ascii="Calibri" w:hAnsi="Calibri" w:cs="Arial"/>
          <w:color w:val="3718F0"/>
          <w:sz w:val="18"/>
          <w:szCs w:val="18"/>
          <w:u w:val="single"/>
        </w:rPr>
        <w:t>foeeurope.org/sites/default/files/foee_factsheet_</w:t>
      </w:r>
      <w:r w:rsidR="00642221" w:rsidRPr="005D7CDE">
        <w:rPr>
          <w:rStyle w:val="Strong"/>
          <w:rFonts w:ascii="Calibri" w:hAnsi="Calibri" w:cs="Arial"/>
          <w:color w:val="3718F0"/>
          <w:sz w:val="18"/>
          <w:szCs w:val="18"/>
          <w:u w:val="single"/>
        </w:rPr>
        <w:t>isds</w:t>
      </w:r>
      <w:r w:rsidR="00642221" w:rsidRPr="005D7CDE">
        <w:rPr>
          <w:rStyle w:val="HTMLCite"/>
          <w:rFonts w:ascii="Calibri" w:hAnsi="Calibri" w:cs="Arial"/>
          <w:color w:val="3718F0"/>
          <w:sz w:val="18"/>
          <w:szCs w:val="18"/>
          <w:u w:val="single"/>
        </w:rPr>
        <w:t>_oct13.pdf</w:t>
      </w:r>
      <w:r w:rsidR="00642221" w:rsidRPr="005D7CDE">
        <w:rPr>
          <w:rFonts w:ascii="Calibri" w:hAnsi="Calibri" w:cs="Arial"/>
          <w:color w:val="3718F0"/>
          <w:sz w:val="18"/>
          <w:szCs w:val="18"/>
          <w:u w:val="single"/>
        </w:rPr>
        <w:t>.</w:t>
      </w:r>
      <w:r w:rsidR="00642221" w:rsidRPr="005D7CDE">
        <w:rPr>
          <w:rFonts w:ascii="Calibri" w:hAnsi="Calibri" w:cs="Arial"/>
          <w:color w:val="2F5496" w:themeColor="accent5" w:themeShade="BF"/>
          <w:sz w:val="18"/>
          <w:szCs w:val="18"/>
        </w:rPr>
        <w:t xml:space="preserve"> </w:t>
      </w:r>
      <w:r w:rsidR="00642221" w:rsidRPr="005D7CDE">
        <w:rPr>
          <w:rFonts w:ascii="Calibri" w:hAnsi="Calibri" w:cs="Arial"/>
          <w:sz w:val="18"/>
          <w:szCs w:val="18"/>
        </w:rPr>
        <w:t>Accessed</w:t>
      </w:r>
      <w:r w:rsidR="00642221" w:rsidRPr="005D7CDE">
        <w:rPr>
          <w:rFonts w:ascii="Arial" w:hAnsi="Arial" w:cs="Arial"/>
          <w:sz w:val="18"/>
          <w:szCs w:val="18"/>
        </w:rPr>
        <w:t xml:space="preserve"> </w:t>
      </w:r>
      <w:r w:rsidR="003031F0" w:rsidRPr="005D7CDE">
        <w:rPr>
          <w:rFonts w:cs="Arial"/>
          <w:sz w:val="18"/>
          <w:szCs w:val="18"/>
        </w:rPr>
        <w:t>on 14.04.2015</w:t>
      </w:r>
      <w:r w:rsidR="00642221" w:rsidRPr="005D7CDE">
        <w:rPr>
          <w:rFonts w:cs="Arial"/>
          <w:color w:val="737373"/>
          <w:sz w:val="18"/>
          <w:szCs w:val="18"/>
        </w:rPr>
        <w:t>.</w:t>
      </w:r>
    </w:p>
  </w:footnote>
  <w:footnote w:id="31">
    <w:p w:rsidR="00D66EC1" w:rsidRPr="005D7CDE" w:rsidRDefault="00D66EC1">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r w:rsidR="00F7508A" w:rsidRPr="005D7CDE">
        <w:rPr>
          <w:rFonts w:ascii="Calibri" w:hAnsi="Calibri"/>
          <w:sz w:val="18"/>
          <w:szCs w:val="18"/>
        </w:rPr>
        <w:t>See Friends</w:t>
      </w:r>
      <w:r w:rsidRPr="005D7CDE">
        <w:rPr>
          <w:rFonts w:ascii="Calibri" w:hAnsi="Calibri"/>
          <w:sz w:val="18"/>
          <w:szCs w:val="18"/>
        </w:rPr>
        <w:t xml:space="preserve"> of the Earth Europe, (2013), </w:t>
      </w:r>
      <w:proofErr w:type="gramStart"/>
      <w:r w:rsidRPr="005D7CDE">
        <w:rPr>
          <w:rFonts w:ascii="Calibri" w:hAnsi="Calibri"/>
          <w:sz w:val="18"/>
          <w:szCs w:val="18"/>
        </w:rPr>
        <w:t>The</w:t>
      </w:r>
      <w:proofErr w:type="gramEnd"/>
      <w:r w:rsidRPr="005D7CDE">
        <w:rPr>
          <w:rFonts w:ascii="Calibri" w:hAnsi="Calibri"/>
          <w:sz w:val="18"/>
          <w:szCs w:val="18"/>
        </w:rPr>
        <w:t xml:space="preserve"> risks of including investor-to-state dispute settlement in transatlantic trade talks. Available at </w:t>
      </w:r>
      <w:r w:rsidRPr="005D7CDE">
        <w:rPr>
          <w:rStyle w:val="HTMLCite"/>
          <w:rFonts w:ascii="Calibri" w:hAnsi="Calibri" w:cs="Arial"/>
          <w:color w:val="3718F0"/>
          <w:sz w:val="18"/>
          <w:szCs w:val="18"/>
          <w:u w:val="single"/>
        </w:rPr>
        <w:t>foeeurope.org/sites/default/files/foee_factsheet_</w:t>
      </w:r>
      <w:r w:rsidRPr="005D7CDE">
        <w:rPr>
          <w:rStyle w:val="Strong"/>
          <w:rFonts w:ascii="Calibri" w:hAnsi="Calibri" w:cs="Arial"/>
          <w:color w:val="3718F0"/>
          <w:sz w:val="18"/>
          <w:szCs w:val="18"/>
          <w:u w:val="single"/>
        </w:rPr>
        <w:t>isds</w:t>
      </w:r>
      <w:r w:rsidRPr="005D7CDE">
        <w:rPr>
          <w:rStyle w:val="HTMLCite"/>
          <w:rFonts w:ascii="Calibri" w:hAnsi="Calibri" w:cs="Arial"/>
          <w:color w:val="3718F0"/>
          <w:sz w:val="18"/>
          <w:szCs w:val="18"/>
          <w:u w:val="single"/>
        </w:rPr>
        <w:t>_oct13.pdf</w:t>
      </w:r>
      <w:r w:rsidRPr="005D7CDE">
        <w:rPr>
          <w:rFonts w:ascii="Calibri" w:hAnsi="Calibri" w:cs="Arial"/>
          <w:color w:val="3718F0"/>
          <w:sz w:val="18"/>
          <w:szCs w:val="18"/>
          <w:u w:val="single"/>
        </w:rPr>
        <w:t>.</w:t>
      </w:r>
      <w:r w:rsidRPr="005D7CDE">
        <w:rPr>
          <w:rFonts w:ascii="Calibri" w:hAnsi="Calibri" w:cs="Arial"/>
          <w:color w:val="2F5496" w:themeColor="accent5" w:themeShade="BF"/>
          <w:sz w:val="18"/>
          <w:szCs w:val="18"/>
        </w:rPr>
        <w:t xml:space="preserve"> </w:t>
      </w:r>
      <w:r w:rsidRPr="005D7CDE">
        <w:rPr>
          <w:rFonts w:ascii="Calibri" w:hAnsi="Calibri" w:cs="Arial"/>
          <w:sz w:val="18"/>
          <w:szCs w:val="18"/>
        </w:rPr>
        <w:t>Accessed on 14.12.2014</w:t>
      </w:r>
      <w:r w:rsidRPr="005D7CDE">
        <w:rPr>
          <w:rFonts w:ascii="Calibri" w:hAnsi="Calibri" w:cs="Arial"/>
          <w:color w:val="737373"/>
          <w:sz w:val="18"/>
          <w:szCs w:val="18"/>
        </w:rPr>
        <w:t>.</w:t>
      </w:r>
    </w:p>
  </w:footnote>
  <w:footnote w:id="32">
    <w:p w:rsidR="00EE6CA5" w:rsidRPr="005D7CDE" w:rsidRDefault="00EE6CA5">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r w:rsidR="00F53751" w:rsidRPr="005D7CDE">
        <w:rPr>
          <w:rFonts w:ascii="Calibri" w:hAnsi="Calibri"/>
          <w:sz w:val="18"/>
          <w:szCs w:val="18"/>
        </w:rPr>
        <w:t xml:space="preserve">Moore, C. (2014), </w:t>
      </w:r>
      <w:r w:rsidR="007821BD" w:rsidRPr="005D7CDE">
        <w:rPr>
          <w:rFonts w:ascii="Calibri" w:hAnsi="Calibri" w:cs="Arial"/>
          <w:sz w:val="18"/>
          <w:szCs w:val="18"/>
        </w:rPr>
        <w:t xml:space="preserve">Manufacturers to </w:t>
      </w:r>
      <w:proofErr w:type="spellStart"/>
      <w:r w:rsidR="007821BD" w:rsidRPr="005D7CDE">
        <w:rPr>
          <w:rFonts w:ascii="Calibri" w:hAnsi="Calibri" w:cs="Arial"/>
          <w:sz w:val="18"/>
          <w:szCs w:val="18"/>
        </w:rPr>
        <w:t>Froman</w:t>
      </w:r>
      <w:proofErr w:type="spellEnd"/>
      <w:r w:rsidR="007821BD" w:rsidRPr="005D7CDE">
        <w:rPr>
          <w:rFonts w:ascii="Calibri" w:hAnsi="Calibri" w:cs="Arial"/>
          <w:sz w:val="18"/>
          <w:szCs w:val="18"/>
        </w:rPr>
        <w:t xml:space="preserve"> and </w:t>
      </w:r>
      <w:proofErr w:type="spellStart"/>
      <w:r w:rsidR="007821BD" w:rsidRPr="005D7CDE">
        <w:rPr>
          <w:rFonts w:ascii="Calibri" w:hAnsi="Calibri" w:cs="Arial"/>
          <w:sz w:val="18"/>
          <w:szCs w:val="18"/>
        </w:rPr>
        <w:t>Malmstrom</w:t>
      </w:r>
      <w:proofErr w:type="spellEnd"/>
      <w:r w:rsidR="007821BD" w:rsidRPr="005D7CDE">
        <w:rPr>
          <w:rFonts w:ascii="Calibri" w:hAnsi="Calibri" w:cs="Arial"/>
          <w:sz w:val="18"/>
          <w:szCs w:val="18"/>
        </w:rPr>
        <w:t xml:space="preserve">: Make 2015 a Year of Action and Results on TTIP </w:t>
      </w:r>
      <w:r w:rsidRPr="005D7CDE">
        <w:rPr>
          <w:rFonts w:ascii="Calibri" w:hAnsi="Calibri"/>
          <w:sz w:val="18"/>
          <w:szCs w:val="18"/>
        </w:rPr>
        <w:t xml:space="preserve">Available </w:t>
      </w:r>
      <w:proofErr w:type="gramStart"/>
      <w:r w:rsidRPr="005D7CDE">
        <w:rPr>
          <w:rFonts w:ascii="Calibri" w:hAnsi="Calibri"/>
          <w:sz w:val="18"/>
          <w:szCs w:val="18"/>
        </w:rPr>
        <w:t xml:space="preserve">at  </w:t>
      </w:r>
      <w:proofErr w:type="gramEnd"/>
      <w:r w:rsidR="00084CCB" w:rsidRPr="005D7CDE">
        <w:rPr>
          <w:rFonts w:ascii="Calibri" w:hAnsi="Calibri"/>
          <w:sz w:val="18"/>
          <w:szCs w:val="18"/>
        </w:rPr>
        <w:fldChar w:fldCharType="begin"/>
      </w:r>
      <w:r w:rsidRPr="005D7CDE">
        <w:rPr>
          <w:rFonts w:ascii="Calibri" w:hAnsi="Calibri"/>
          <w:sz w:val="18"/>
          <w:szCs w:val="18"/>
        </w:rPr>
        <w:instrText xml:space="preserve"> HYPERLINK "http://www.shopfloor.org/2014/12/manufacturers-to-froman-and-malmstrom-make-2015-a-year-of-action-and-results-on-ttip/32725#sthash.YkWoBvp5.dpuf" </w:instrText>
      </w:r>
      <w:r w:rsidR="00084CCB" w:rsidRPr="005D7CDE">
        <w:rPr>
          <w:rFonts w:ascii="Calibri" w:hAnsi="Calibri"/>
          <w:sz w:val="18"/>
          <w:szCs w:val="18"/>
        </w:rPr>
        <w:fldChar w:fldCharType="separate"/>
      </w:r>
      <w:r w:rsidRPr="005D7CDE">
        <w:rPr>
          <w:rStyle w:val="Hyperlink"/>
          <w:rFonts w:ascii="Calibri" w:hAnsi="Calibri"/>
          <w:sz w:val="18"/>
          <w:szCs w:val="18"/>
        </w:rPr>
        <w:t>http://www.shopfloor.org/2014/12/manufacturers-to-froman-and-malmstrom-make-2015-a-year-of-action-and-results-on-ttip/32725#sthash.YkWoBvp5.dpuf</w:t>
      </w:r>
      <w:r w:rsidR="00084CCB" w:rsidRPr="005D7CDE">
        <w:rPr>
          <w:rFonts w:ascii="Calibri" w:hAnsi="Calibri"/>
          <w:sz w:val="18"/>
          <w:szCs w:val="18"/>
        </w:rPr>
        <w:fldChar w:fldCharType="end"/>
      </w:r>
      <w:r w:rsidR="003031F0" w:rsidRPr="005D7CDE">
        <w:rPr>
          <w:rFonts w:ascii="Calibri" w:hAnsi="Calibri"/>
          <w:sz w:val="18"/>
          <w:szCs w:val="18"/>
        </w:rPr>
        <w:t>. Accessed on 11.04.2015</w:t>
      </w:r>
      <w:r w:rsidRPr="005D7CDE">
        <w:rPr>
          <w:rFonts w:ascii="Calibri" w:hAnsi="Calibri"/>
          <w:sz w:val="18"/>
          <w:szCs w:val="18"/>
        </w:rPr>
        <w:t>.</w:t>
      </w:r>
    </w:p>
  </w:footnote>
  <w:footnote w:id="33">
    <w:p w:rsidR="00A606CF" w:rsidRPr="005D7CDE" w:rsidRDefault="00A606CF">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hyperlink r:id="rId28" w:history="1">
        <w:r w:rsidRPr="005D7CDE">
          <w:rPr>
            <w:rStyle w:val="Hyperlink"/>
            <w:rFonts w:ascii="Calibri" w:hAnsi="Calibri"/>
            <w:sz w:val="18"/>
            <w:szCs w:val="18"/>
          </w:rPr>
          <w:t>http://www.europeanvoice.com/article/eu-rejects-citizens-petition-against-us-trade-deal/</w:t>
        </w:r>
      </w:hyperlink>
      <w:r w:rsidR="003031F0" w:rsidRPr="005D7CDE">
        <w:rPr>
          <w:rFonts w:ascii="Calibri" w:hAnsi="Calibri"/>
          <w:sz w:val="18"/>
          <w:szCs w:val="18"/>
        </w:rPr>
        <w:t>. Accessed on 21.04.2015</w:t>
      </w:r>
      <w:r w:rsidRPr="005D7CDE">
        <w:rPr>
          <w:rFonts w:ascii="Calibri" w:hAnsi="Calibri"/>
          <w:sz w:val="18"/>
          <w:szCs w:val="18"/>
        </w:rPr>
        <w:t>.</w:t>
      </w:r>
    </w:p>
  </w:footnote>
  <w:footnote w:id="34">
    <w:p w:rsidR="004833C0" w:rsidRPr="005D7CDE" w:rsidRDefault="004833C0" w:rsidP="004833C0">
      <w:pPr>
        <w:pStyle w:val="FootnoteText"/>
        <w:rPr>
          <w:sz w:val="18"/>
          <w:szCs w:val="18"/>
        </w:rPr>
      </w:pPr>
      <w:r w:rsidRPr="005D7CDE">
        <w:rPr>
          <w:rStyle w:val="FootnoteReference"/>
          <w:sz w:val="18"/>
          <w:szCs w:val="18"/>
        </w:rPr>
        <w:footnoteRef/>
      </w:r>
      <w:r w:rsidRPr="005D7CDE">
        <w:rPr>
          <w:sz w:val="18"/>
          <w:szCs w:val="18"/>
        </w:rPr>
        <w:t xml:space="preserve"> The Stop TTIP coalition, comprising of 320 NGOs from different EU member states opposed to the TTIP, delivered a petition containing over a million signatures to Jean-Claude Juncker, the president of t</w:t>
      </w:r>
      <w:r w:rsidR="003031F0" w:rsidRPr="005D7CDE">
        <w:rPr>
          <w:sz w:val="18"/>
          <w:szCs w:val="18"/>
        </w:rPr>
        <w:t>he European Commission, on 09.04.2015</w:t>
      </w:r>
      <w:r w:rsidRPr="005D7CDE">
        <w:rPr>
          <w:sz w:val="18"/>
          <w:szCs w:val="18"/>
        </w:rPr>
        <w:t>.</w:t>
      </w:r>
    </w:p>
  </w:footnote>
  <w:footnote w:id="35">
    <w:p w:rsidR="00436E1A" w:rsidRPr="005D7CDE" w:rsidRDefault="00436E1A">
      <w:pPr>
        <w:pStyle w:val="FootnoteText"/>
        <w:rPr>
          <w:sz w:val="18"/>
          <w:szCs w:val="18"/>
        </w:rPr>
      </w:pPr>
      <w:r w:rsidRPr="005D7CDE">
        <w:rPr>
          <w:rStyle w:val="FootnoteReference"/>
          <w:sz w:val="18"/>
          <w:szCs w:val="18"/>
        </w:rPr>
        <w:footnoteRef/>
      </w:r>
      <w:r w:rsidRPr="005D7CDE">
        <w:rPr>
          <w:sz w:val="18"/>
          <w:szCs w:val="18"/>
        </w:rPr>
        <w:t xml:space="preserve"> </w:t>
      </w:r>
      <w:hyperlink r:id="rId29" w:history="1">
        <w:r w:rsidR="008B1C2B" w:rsidRPr="005D7CDE">
          <w:rPr>
            <w:rStyle w:val="Hyperlink"/>
            <w:sz w:val="18"/>
            <w:szCs w:val="18"/>
          </w:rPr>
          <w:t>http://newseurope.me/2014/12/04/million-sign-petition-eu-us-trade-talks/</w:t>
        </w:r>
      </w:hyperlink>
      <w:r w:rsidR="003031F0" w:rsidRPr="005D7CDE">
        <w:rPr>
          <w:sz w:val="18"/>
          <w:szCs w:val="18"/>
        </w:rPr>
        <w:t>. Accessed on 21.04.2015</w:t>
      </w:r>
      <w:r w:rsidR="008B1C2B" w:rsidRPr="005D7CDE">
        <w:rPr>
          <w:sz w:val="18"/>
          <w:szCs w:val="18"/>
        </w:rPr>
        <w:t>.</w:t>
      </w:r>
    </w:p>
  </w:footnote>
  <w:footnote w:id="36">
    <w:p w:rsidR="00886A48" w:rsidRPr="005D7CDE" w:rsidRDefault="00886A48" w:rsidP="0096598A">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Pr="005D7CDE">
        <w:rPr>
          <w:sz w:val="18"/>
          <w:szCs w:val="18"/>
        </w:rPr>
        <w:t>Sparding</w:t>
      </w:r>
      <w:proofErr w:type="spellEnd"/>
      <w:r w:rsidRPr="005D7CDE">
        <w:rPr>
          <w:sz w:val="18"/>
          <w:szCs w:val="18"/>
        </w:rPr>
        <w:t xml:space="preserve">, P. (2014), Germany’s pivotal role on the way to TTIP, </w:t>
      </w:r>
      <w:r w:rsidR="007E783D" w:rsidRPr="005D7CDE">
        <w:rPr>
          <w:sz w:val="18"/>
          <w:szCs w:val="18"/>
        </w:rPr>
        <w:t>Europe Policy Paper 5/2014, Part 7, An Unexpected Obstacle: Investor-State Dispute Settlement Mechanisms</w:t>
      </w:r>
      <w:r w:rsidR="00D93264" w:rsidRPr="005D7CDE">
        <w:rPr>
          <w:sz w:val="18"/>
          <w:szCs w:val="18"/>
        </w:rPr>
        <w:t>.</w:t>
      </w:r>
      <w:r w:rsidR="00941EBA" w:rsidRPr="005D7CDE">
        <w:rPr>
          <w:sz w:val="18"/>
          <w:szCs w:val="18"/>
        </w:rPr>
        <w:t xml:space="preserve"> </w:t>
      </w:r>
      <w:proofErr w:type="spellStart"/>
      <w:r w:rsidR="0096598A" w:rsidRPr="005D7CDE">
        <w:rPr>
          <w:sz w:val="18"/>
          <w:szCs w:val="18"/>
        </w:rPr>
        <w:t>Sparding</w:t>
      </w:r>
      <w:proofErr w:type="spellEnd"/>
      <w:r w:rsidR="0096598A" w:rsidRPr="005D7CDE">
        <w:rPr>
          <w:sz w:val="18"/>
          <w:szCs w:val="18"/>
        </w:rPr>
        <w:t xml:space="preserve">, in </w:t>
      </w:r>
      <w:proofErr w:type="spellStart"/>
      <w:r w:rsidR="0096598A" w:rsidRPr="005D7CDE">
        <w:rPr>
          <w:sz w:val="18"/>
          <w:szCs w:val="18"/>
        </w:rPr>
        <w:t>relaton</w:t>
      </w:r>
      <w:proofErr w:type="spellEnd"/>
      <w:r w:rsidR="0096598A" w:rsidRPr="005D7CDE">
        <w:rPr>
          <w:sz w:val="18"/>
          <w:szCs w:val="18"/>
        </w:rPr>
        <w:t xml:space="preserve"> to ISDS</w:t>
      </w:r>
      <w:proofErr w:type="gramStart"/>
      <w:r w:rsidR="0096598A" w:rsidRPr="005D7CDE">
        <w:rPr>
          <w:sz w:val="18"/>
          <w:szCs w:val="18"/>
        </w:rPr>
        <w:t>,  states</w:t>
      </w:r>
      <w:proofErr w:type="gramEnd"/>
      <w:r w:rsidR="0096598A" w:rsidRPr="005D7CDE">
        <w:rPr>
          <w:sz w:val="18"/>
          <w:szCs w:val="18"/>
        </w:rPr>
        <w:t xml:space="preserve"> “This instrument of international commercial law grants foreign investors the right to bring claims against a host government before a third-party arbitral tribunal, if the investor believes the host to be in breach of the rules of the agreement”. </w:t>
      </w:r>
      <w:r w:rsidR="00941EBA" w:rsidRPr="005D7CDE">
        <w:rPr>
          <w:sz w:val="18"/>
          <w:szCs w:val="18"/>
        </w:rPr>
        <w:t xml:space="preserve">Available at </w:t>
      </w:r>
      <w:hyperlink r:id="rId30" w:history="1">
        <w:r w:rsidR="00941EBA" w:rsidRPr="005D7CDE">
          <w:rPr>
            <w:rStyle w:val="Hyperlink"/>
            <w:sz w:val="18"/>
            <w:szCs w:val="18"/>
          </w:rPr>
          <w:t>http://www.gmfus.org/wp-content/blogs.dir/1/files_mf/1415910407Sparding_TTIPGermanyPivotalRole_Nov14_complete.pdf</w:t>
        </w:r>
      </w:hyperlink>
      <w:r w:rsidR="00714688" w:rsidRPr="005D7CDE">
        <w:rPr>
          <w:sz w:val="18"/>
          <w:szCs w:val="18"/>
        </w:rPr>
        <w:t>. Acces</w:t>
      </w:r>
      <w:r w:rsidR="003031F0" w:rsidRPr="005D7CDE">
        <w:rPr>
          <w:sz w:val="18"/>
          <w:szCs w:val="18"/>
        </w:rPr>
        <w:t>sed on 20.04.2015</w:t>
      </w:r>
      <w:r w:rsidR="00941EBA" w:rsidRPr="005D7CDE">
        <w:rPr>
          <w:sz w:val="18"/>
          <w:szCs w:val="18"/>
        </w:rPr>
        <w:t>.</w:t>
      </w:r>
    </w:p>
  </w:footnote>
  <w:footnote w:id="37">
    <w:p w:rsidR="008C7852" w:rsidRPr="005D7CDE" w:rsidRDefault="008C7852">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Pr="005D7CDE">
        <w:rPr>
          <w:sz w:val="18"/>
          <w:szCs w:val="18"/>
        </w:rPr>
        <w:t>Tietje</w:t>
      </w:r>
      <w:proofErr w:type="spellEnd"/>
      <w:r w:rsidRPr="005D7CDE">
        <w:rPr>
          <w:sz w:val="18"/>
          <w:szCs w:val="18"/>
        </w:rPr>
        <w:t xml:space="preserve">, C. (2014), The Impact of Investor-State-Dispute Settlement (ISDS) in the Transatlantic Trade and Investment Partnership Study prepared for: Minister for Foreign Trade and Development Cooperation, Ministry of Foreign Affairs, The Netherlands. Available at </w:t>
      </w:r>
      <w:hyperlink r:id="rId31" w:anchor="scribd" w:history="1">
        <w:r w:rsidR="00A61A82" w:rsidRPr="005D7CDE">
          <w:rPr>
            <w:rStyle w:val="Hyperlink"/>
            <w:sz w:val="18"/>
            <w:szCs w:val="18"/>
          </w:rPr>
          <w:t>http://www.scribd.com/doc/239155935/The-Impact-of-Investor-State-Dispute-Settlement-ISDS-in-TTIP#scribd</w:t>
        </w:r>
      </w:hyperlink>
      <w:r w:rsidR="00A61A82" w:rsidRPr="005D7CDE">
        <w:rPr>
          <w:sz w:val="18"/>
          <w:szCs w:val="18"/>
        </w:rPr>
        <w:t xml:space="preserve">. </w:t>
      </w:r>
      <w:r w:rsidR="003031F0" w:rsidRPr="005D7CDE">
        <w:rPr>
          <w:sz w:val="18"/>
          <w:szCs w:val="18"/>
        </w:rPr>
        <w:t xml:space="preserve"> Accessed on 14.04.15</w:t>
      </w:r>
      <w:r w:rsidRPr="005D7CDE">
        <w:rPr>
          <w:sz w:val="18"/>
          <w:szCs w:val="18"/>
        </w:rPr>
        <w:t>.</w:t>
      </w:r>
    </w:p>
  </w:footnote>
  <w:footnote w:id="38">
    <w:p w:rsidR="00C06A4E" w:rsidRPr="005D7CDE" w:rsidRDefault="00C06A4E" w:rsidP="00C06A4E">
      <w:pPr>
        <w:pStyle w:val="FootnoteText"/>
        <w:rPr>
          <w:sz w:val="18"/>
          <w:szCs w:val="18"/>
        </w:rPr>
      </w:pPr>
      <w:r w:rsidRPr="005D7CDE">
        <w:rPr>
          <w:rStyle w:val="FootnoteReference"/>
          <w:sz w:val="18"/>
          <w:szCs w:val="18"/>
        </w:rPr>
        <w:footnoteRef/>
      </w:r>
      <w:r w:rsidRPr="005D7CDE">
        <w:rPr>
          <w:sz w:val="18"/>
          <w:szCs w:val="18"/>
        </w:rPr>
        <w:t xml:space="preserve"> Saudi Arabia gives the Quran the highest importance in its law making as at Saudi Arabia Basic Law of Government Article 1 which states: “</w:t>
      </w:r>
      <w:r w:rsidRPr="005D7CDE">
        <w:rPr>
          <w:i/>
          <w:sz w:val="18"/>
          <w:szCs w:val="18"/>
        </w:rPr>
        <w:t>the Kingdom of Saudi Arabia is a sovereign Arab Islamic State. Its religion is Islam. Its constitution is Almighty God's Book, the Holy Qur'an, and the Sunna (Traditions) of the Prophet (PBUH)”.</w:t>
      </w:r>
      <w:r w:rsidRPr="005D7CDE">
        <w:rPr>
          <w:sz w:val="18"/>
          <w:szCs w:val="18"/>
        </w:rPr>
        <w:t xml:space="preserve"> Available at </w:t>
      </w:r>
      <w:hyperlink r:id="rId32" w:history="1">
        <w:r w:rsidRPr="005D7CDE">
          <w:rPr>
            <w:rStyle w:val="Hyperlink"/>
            <w:sz w:val="18"/>
            <w:szCs w:val="18"/>
          </w:rPr>
          <w:t>http://www.saudiembassy.net/about/country-information/laws/The_Basic_Law_Of_Governance.aspx</w:t>
        </w:r>
      </w:hyperlink>
      <w:r w:rsidR="003031F0" w:rsidRPr="005D7CDE">
        <w:rPr>
          <w:sz w:val="18"/>
          <w:szCs w:val="18"/>
        </w:rPr>
        <w:t xml:space="preserve"> Accessed on 10.04.2015</w:t>
      </w:r>
      <w:r w:rsidRPr="005D7CDE">
        <w:rPr>
          <w:sz w:val="18"/>
          <w:szCs w:val="18"/>
        </w:rPr>
        <w:t>.</w:t>
      </w:r>
    </w:p>
  </w:footnote>
  <w:footnote w:id="39">
    <w:p w:rsidR="00C06A4E" w:rsidRPr="005D7CDE" w:rsidRDefault="00C06A4E" w:rsidP="00C06A4E">
      <w:pPr>
        <w:pStyle w:val="FootnoteText"/>
        <w:rPr>
          <w:sz w:val="18"/>
          <w:szCs w:val="18"/>
        </w:rPr>
      </w:pPr>
      <w:r w:rsidRPr="005D7CDE">
        <w:rPr>
          <w:rStyle w:val="FootnoteReference"/>
          <w:sz w:val="18"/>
          <w:szCs w:val="18"/>
        </w:rPr>
        <w:footnoteRef/>
      </w:r>
      <w:r w:rsidRPr="005D7CDE">
        <w:rPr>
          <w:sz w:val="18"/>
          <w:szCs w:val="18"/>
        </w:rPr>
        <w:t xml:space="preserve"> Oman has sharia as the basis for legislation at Omani Constitution Article 2.</w:t>
      </w:r>
    </w:p>
  </w:footnote>
  <w:footnote w:id="40">
    <w:p w:rsidR="00C06A4E" w:rsidRPr="005D7CDE" w:rsidRDefault="00C06A4E" w:rsidP="00C06A4E">
      <w:pPr>
        <w:pStyle w:val="FootnoteText"/>
        <w:rPr>
          <w:sz w:val="18"/>
          <w:szCs w:val="18"/>
        </w:rPr>
      </w:pPr>
      <w:r w:rsidRPr="005D7CDE">
        <w:rPr>
          <w:rStyle w:val="FootnoteReference"/>
          <w:sz w:val="18"/>
          <w:szCs w:val="18"/>
        </w:rPr>
        <w:footnoteRef/>
      </w:r>
      <w:r w:rsidRPr="005D7CDE">
        <w:rPr>
          <w:sz w:val="18"/>
          <w:szCs w:val="18"/>
        </w:rPr>
        <w:t xml:space="preserve"> Qatar has sharia as a main source of law at Constitution of Qatar, 2004, Part One, Article One. Also, UAE has sharia as a main source of law at UAE Constitution, Part One, Article 7 and Kuwait at Kuwaiti Constitution, Part 1, </w:t>
      </w:r>
      <w:proofErr w:type="gramStart"/>
      <w:r w:rsidRPr="005D7CDE">
        <w:rPr>
          <w:sz w:val="18"/>
          <w:szCs w:val="18"/>
        </w:rPr>
        <w:t>Article</w:t>
      </w:r>
      <w:proofErr w:type="gramEnd"/>
      <w:r w:rsidRPr="005D7CDE">
        <w:rPr>
          <w:sz w:val="18"/>
          <w:szCs w:val="18"/>
        </w:rPr>
        <w:t xml:space="preserve"> 2.</w:t>
      </w:r>
    </w:p>
  </w:footnote>
  <w:footnote w:id="41">
    <w:p w:rsidR="00C06A4E" w:rsidRPr="005D7CDE" w:rsidRDefault="00C06A4E" w:rsidP="00C06A4E">
      <w:pPr>
        <w:pStyle w:val="FootnoteText"/>
        <w:rPr>
          <w:sz w:val="18"/>
          <w:szCs w:val="18"/>
        </w:rPr>
      </w:pPr>
      <w:r w:rsidRPr="005D7CDE">
        <w:rPr>
          <w:rStyle w:val="FootnoteReference"/>
          <w:sz w:val="18"/>
          <w:szCs w:val="18"/>
        </w:rPr>
        <w:footnoteRef/>
      </w:r>
      <w:r w:rsidRPr="005D7CDE">
        <w:rPr>
          <w:sz w:val="18"/>
          <w:szCs w:val="18"/>
        </w:rPr>
        <w:t xml:space="preserve"> Bahrain has sharia as a principal source of law at Constitution of the Kingdom of Bahrain, Part One, </w:t>
      </w:r>
      <w:proofErr w:type="gramStart"/>
      <w:r w:rsidRPr="005D7CDE">
        <w:rPr>
          <w:sz w:val="18"/>
          <w:szCs w:val="18"/>
        </w:rPr>
        <w:t>Article</w:t>
      </w:r>
      <w:proofErr w:type="gramEnd"/>
      <w:r w:rsidRPr="005D7CDE">
        <w:rPr>
          <w:sz w:val="18"/>
          <w:szCs w:val="18"/>
        </w:rPr>
        <w:t xml:space="preserve"> 2.</w:t>
      </w:r>
    </w:p>
  </w:footnote>
  <w:footnote w:id="42">
    <w:p w:rsidR="00C06A4E" w:rsidRPr="005D7CDE" w:rsidRDefault="00C06A4E" w:rsidP="00C06A4E">
      <w:pPr>
        <w:pStyle w:val="FootnoteText"/>
        <w:rPr>
          <w:sz w:val="18"/>
          <w:szCs w:val="18"/>
        </w:rPr>
      </w:pPr>
      <w:r w:rsidRPr="005D7CDE">
        <w:rPr>
          <w:rStyle w:val="FootnoteReference"/>
          <w:sz w:val="18"/>
          <w:szCs w:val="18"/>
        </w:rPr>
        <w:footnoteRef/>
      </w:r>
      <w:r w:rsidRPr="005D7CDE">
        <w:rPr>
          <w:sz w:val="18"/>
          <w:szCs w:val="18"/>
        </w:rPr>
        <w:t xml:space="preserve"> All six GCC states have achieved minimum TRIPS compliance and have membership to WIPO since national intellectual property legislation has been put in place.</w:t>
      </w:r>
    </w:p>
  </w:footnote>
  <w:footnote w:id="43">
    <w:p w:rsidR="00F54D87" w:rsidRPr="005D7CDE" w:rsidRDefault="00F54D87">
      <w:pPr>
        <w:pStyle w:val="FootnoteText"/>
        <w:rPr>
          <w:sz w:val="18"/>
          <w:szCs w:val="18"/>
        </w:rPr>
      </w:pPr>
      <w:r w:rsidRPr="005D7CDE">
        <w:rPr>
          <w:rStyle w:val="FootnoteReference"/>
          <w:sz w:val="18"/>
          <w:szCs w:val="18"/>
        </w:rPr>
        <w:footnoteRef/>
      </w:r>
      <w:r w:rsidRPr="005D7CDE">
        <w:rPr>
          <w:sz w:val="18"/>
          <w:szCs w:val="18"/>
        </w:rPr>
        <w:t xml:space="preserve">  See Khan, A. (2001), Islam as Intellectual Property My Lord! Increase Me </w:t>
      </w:r>
      <w:proofErr w:type="gramStart"/>
      <w:r w:rsidRPr="005D7CDE">
        <w:rPr>
          <w:sz w:val="18"/>
          <w:szCs w:val="18"/>
        </w:rPr>
        <w:t>In</w:t>
      </w:r>
      <w:proofErr w:type="gramEnd"/>
      <w:r w:rsidRPr="005D7CDE">
        <w:rPr>
          <w:sz w:val="18"/>
          <w:szCs w:val="18"/>
        </w:rPr>
        <w:t xml:space="preserve"> Knowledge, Cumberland Law Review, Volume 31, Part 3, pages 631-684.</w:t>
      </w:r>
    </w:p>
  </w:footnote>
  <w:footnote w:id="44">
    <w:p w:rsidR="003D3DC1" w:rsidRPr="005D7CDE" w:rsidRDefault="003D3DC1">
      <w:pPr>
        <w:pStyle w:val="FootnoteText"/>
        <w:rPr>
          <w:sz w:val="18"/>
          <w:szCs w:val="18"/>
        </w:rPr>
      </w:pPr>
      <w:r w:rsidRPr="005D7CDE">
        <w:rPr>
          <w:rStyle w:val="FootnoteReference"/>
          <w:sz w:val="18"/>
          <w:szCs w:val="18"/>
        </w:rPr>
        <w:footnoteRef/>
      </w:r>
      <w:r w:rsidRPr="005D7CDE">
        <w:rPr>
          <w:sz w:val="18"/>
          <w:szCs w:val="18"/>
        </w:rPr>
        <w:t xml:space="preserve"> In relation to property law a </w:t>
      </w:r>
      <w:proofErr w:type="spellStart"/>
      <w:r w:rsidRPr="005D7CDE">
        <w:rPr>
          <w:sz w:val="18"/>
          <w:szCs w:val="18"/>
        </w:rPr>
        <w:t>quranic</w:t>
      </w:r>
      <w:proofErr w:type="spellEnd"/>
      <w:r w:rsidRPr="005D7CDE">
        <w:rPr>
          <w:sz w:val="18"/>
          <w:szCs w:val="18"/>
        </w:rPr>
        <w:t xml:space="preserve"> reference is made in the Surah An-</w:t>
      </w:r>
      <w:proofErr w:type="spellStart"/>
      <w:r w:rsidRPr="005D7CDE">
        <w:rPr>
          <w:sz w:val="18"/>
          <w:szCs w:val="18"/>
        </w:rPr>
        <w:t>Najm</w:t>
      </w:r>
      <w:proofErr w:type="spellEnd"/>
      <w:r w:rsidRPr="005D7CDE">
        <w:rPr>
          <w:sz w:val="18"/>
          <w:szCs w:val="18"/>
        </w:rPr>
        <w:t xml:space="preserve">, Verse 39, linking Locke’s labour theory to Islamic proprietary rights; “And that man hath only that for which he </w:t>
      </w:r>
      <w:proofErr w:type="spellStart"/>
      <w:r w:rsidRPr="005D7CDE">
        <w:rPr>
          <w:sz w:val="18"/>
          <w:szCs w:val="18"/>
        </w:rPr>
        <w:t>maketh</w:t>
      </w:r>
      <w:proofErr w:type="spellEnd"/>
      <w:r w:rsidRPr="005D7CDE">
        <w:rPr>
          <w:sz w:val="18"/>
          <w:szCs w:val="18"/>
        </w:rPr>
        <w:t xml:space="preserve"> </w:t>
      </w:r>
      <w:proofErr w:type="spellStart"/>
      <w:r w:rsidRPr="005D7CDE">
        <w:rPr>
          <w:sz w:val="18"/>
          <w:szCs w:val="18"/>
        </w:rPr>
        <w:t>effort</w:t>
      </w:r>
      <w:r w:rsidR="00CD43E6" w:rsidRPr="005D7CDE">
        <w:rPr>
          <w:sz w:val="18"/>
          <w:szCs w:val="18"/>
        </w:rPr>
        <w:t>”,Quran</w:t>
      </w:r>
      <w:proofErr w:type="spellEnd"/>
      <w:r w:rsidR="00CD43E6" w:rsidRPr="005D7CDE">
        <w:rPr>
          <w:sz w:val="18"/>
          <w:szCs w:val="18"/>
        </w:rPr>
        <w:t xml:space="preserve"> at 53:39 </w:t>
      </w:r>
      <w:proofErr w:type="spellStart"/>
      <w:r w:rsidR="00CD43E6" w:rsidRPr="005D7CDE">
        <w:rPr>
          <w:sz w:val="18"/>
          <w:szCs w:val="18"/>
        </w:rPr>
        <w:t>Sahih</w:t>
      </w:r>
      <w:proofErr w:type="spellEnd"/>
      <w:r w:rsidR="00CD43E6" w:rsidRPr="005D7CDE">
        <w:rPr>
          <w:sz w:val="18"/>
          <w:szCs w:val="18"/>
        </w:rPr>
        <w:t xml:space="preserve"> International Translation accessed at Quran.com at 27.07.2014.</w:t>
      </w:r>
      <w:r w:rsidRPr="005D7CDE">
        <w:rPr>
          <w:sz w:val="18"/>
          <w:szCs w:val="18"/>
        </w:rPr>
        <w:t xml:space="preserve"> Islam allows a person to own property, possess and enjoy wealth which has been acquired through lawful means and effort. </w:t>
      </w:r>
    </w:p>
  </w:footnote>
  <w:footnote w:id="45">
    <w:p w:rsidR="003D3DC1" w:rsidRPr="005D7CDE" w:rsidRDefault="003D3DC1">
      <w:pPr>
        <w:pStyle w:val="FootnoteText"/>
        <w:rPr>
          <w:sz w:val="18"/>
          <w:szCs w:val="18"/>
        </w:rPr>
      </w:pPr>
      <w:r w:rsidRPr="005D7CDE">
        <w:rPr>
          <w:rStyle w:val="FootnoteReference"/>
          <w:sz w:val="18"/>
          <w:szCs w:val="18"/>
        </w:rPr>
        <w:footnoteRef/>
      </w:r>
      <w:r w:rsidRPr="005D7CDE">
        <w:rPr>
          <w:sz w:val="18"/>
          <w:szCs w:val="18"/>
        </w:rPr>
        <w:t xml:space="preserve"> </w:t>
      </w:r>
      <w:r w:rsidR="00773FBF" w:rsidRPr="005D7CDE">
        <w:rPr>
          <w:sz w:val="18"/>
          <w:szCs w:val="18"/>
        </w:rPr>
        <w:t>Quranic references attributed to contract law include Surah Al-</w:t>
      </w:r>
      <w:proofErr w:type="spellStart"/>
      <w:r w:rsidR="00773FBF" w:rsidRPr="005D7CDE">
        <w:rPr>
          <w:sz w:val="18"/>
          <w:szCs w:val="18"/>
        </w:rPr>
        <w:t>Mā'idah</w:t>
      </w:r>
      <w:proofErr w:type="spellEnd"/>
      <w:r w:rsidR="00773FBF" w:rsidRPr="005D7CDE">
        <w:rPr>
          <w:sz w:val="18"/>
          <w:szCs w:val="18"/>
        </w:rPr>
        <w:t xml:space="preserve">, Verse 1, “O you who have believed, </w:t>
      </w:r>
      <w:proofErr w:type="spellStart"/>
      <w:r w:rsidR="00773FBF" w:rsidRPr="005D7CDE">
        <w:rPr>
          <w:sz w:val="18"/>
          <w:szCs w:val="18"/>
        </w:rPr>
        <w:t>fulfill</w:t>
      </w:r>
      <w:proofErr w:type="spellEnd"/>
      <w:r w:rsidR="00773FBF" w:rsidRPr="005D7CDE">
        <w:rPr>
          <w:sz w:val="18"/>
          <w:szCs w:val="18"/>
        </w:rPr>
        <w:t xml:space="preserve"> [all] contracts”. See</w:t>
      </w:r>
      <w:r w:rsidR="006518AC" w:rsidRPr="005D7CDE">
        <w:rPr>
          <w:rFonts w:cs="Calibri"/>
          <w:sz w:val="18"/>
          <w:szCs w:val="18"/>
        </w:rPr>
        <w:t xml:space="preserve"> Quran at 5:1 </w:t>
      </w:r>
      <w:proofErr w:type="spellStart"/>
      <w:r w:rsidR="006518AC" w:rsidRPr="005D7CDE">
        <w:rPr>
          <w:rFonts w:cs="Calibri"/>
          <w:sz w:val="18"/>
          <w:szCs w:val="18"/>
        </w:rPr>
        <w:t>Sahih</w:t>
      </w:r>
      <w:proofErr w:type="spellEnd"/>
      <w:r w:rsidR="006518AC" w:rsidRPr="005D7CDE">
        <w:rPr>
          <w:rFonts w:cs="Calibri"/>
          <w:sz w:val="18"/>
          <w:szCs w:val="18"/>
        </w:rPr>
        <w:t xml:space="preserve"> International Translation</w:t>
      </w:r>
      <w:r w:rsidR="00CD43E6" w:rsidRPr="005D7CDE">
        <w:rPr>
          <w:rFonts w:cs="Calibri"/>
          <w:sz w:val="18"/>
          <w:szCs w:val="18"/>
        </w:rPr>
        <w:t xml:space="preserve"> accessed at Quran.com </w:t>
      </w:r>
      <w:r w:rsidR="00112D87" w:rsidRPr="005D7CDE">
        <w:rPr>
          <w:rFonts w:cs="Calibri"/>
          <w:sz w:val="18"/>
          <w:szCs w:val="18"/>
        </w:rPr>
        <w:t>at 01.08.2014</w:t>
      </w:r>
      <w:r w:rsidR="006518AC" w:rsidRPr="005D7CDE">
        <w:rPr>
          <w:rFonts w:cs="Calibri"/>
          <w:sz w:val="18"/>
          <w:szCs w:val="18"/>
        </w:rPr>
        <w:t>.</w:t>
      </w:r>
    </w:p>
  </w:footnote>
  <w:footnote w:id="46">
    <w:p w:rsidR="001458BC" w:rsidRPr="005D7CDE" w:rsidRDefault="001458BC">
      <w:pPr>
        <w:pStyle w:val="FootnoteText"/>
        <w:rPr>
          <w:sz w:val="18"/>
          <w:szCs w:val="18"/>
        </w:rPr>
      </w:pPr>
      <w:r w:rsidRPr="005D7CDE">
        <w:rPr>
          <w:rStyle w:val="FootnoteReference"/>
          <w:sz w:val="18"/>
          <w:szCs w:val="18"/>
        </w:rPr>
        <w:footnoteRef/>
      </w:r>
      <w:r w:rsidRPr="005D7CDE">
        <w:rPr>
          <w:sz w:val="18"/>
          <w:szCs w:val="18"/>
        </w:rPr>
        <w:t xml:space="preserve"> </w:t>
      </w:r>
      <w:r w:rsidRPr="005D7CDE">
        <w:rPr>
          <w:rFonts w:cs="Arial"/>
          <w:sz w:val="18"/>
          <w:szCs w:val="18"/>
        </w:rPr>
        <w:t xml:space="preserve">El-Bialy, N and Gouda, M. (2011), Enforcing IPR </w:t>
      </w:r>
      <w:proofErr w:type="gramStart"/>
      <w:r w:rsidRPr="005D7CDE">
        <w:rPr>
          <w:rFonts w:cs="Arial"/>
          <w:sz w:val="18"/>
          <w:szCs w:val="18"/>
        </w:rPr>
        <w:t>Through</w:t>
      </w:r>
      <w:proofErr w:type="gramEnd"/>
      <w:r w:rsidRPr="005D7CDE">
        <w:rPr>
          <w:rFonts w:cs="Arial"/>
          <w:sz w:val="18"/>
          <w:szCs w:val="18"/>
        </w:rPr>
        <w:t xml:space="preserve"> Informal Institutions: The Possible Role of Religion in Fighting Software Piracy, Joint Discussion Paper Series in Economics by the Universities of Aachen, </w:t>
      </w:r>
      <w:proofErr w:type="spellStart"/>
      <w:r w:rsidRPr="005D7CDE">
        <w:rPr>
          <w:rFonts w:cs="Arial"/>
          <w:sz w:val="18"/>
          <w:szCs w:val="18"/>
        </w:rPr>
        <w:t>Gieben</w:t>
      </w:r>
      <w:proofErr w:type="spellEnd"/>
      <w:r w:rsidRPr="005D7CDE">
        <w:rPr>
          <w:rFonts w:cs="Arial"/>
          <w:sz w:val="18"/>
          <w:szCs w:val="18"/>
        </w:rPr>
        <w:t xml:space="preserve">, Gottingen, </w:t>
      </w:r>
      <w:proofErr w:type="spellStart"/>
      <w:r w:rsidRPr="005D7CDE">
        <w:rPr>
          <w:rFonts w:cs="Arial"/>
          <w:sz w:val="18"/>
          <w:szCs w:val="18"/>
        </w:rPr>
        <w:t>Kasel</w:t>
      </w:r>
      <w:proofErr w:type="spellEnd"/>
      <w:r w:rsidRPr="005D7CDE">
        <w:rPr>
          <w:rFonts w:cs="Arial"/>
          <w:sz w:val="18"/>
          <w:szCs w:val="18"/>
        </w:rPr>
        <w:t>, Marburg and Siegen.</w:t>
      </w:r>
    </w:p>
  </w:footnote>
  <w:footnote w:id="47">
    <w:p w:rsidR="00DF3621" w:rsidRPr="005D7CDE" w:rsidRDefault="00DF3621" w:rsidP="00DF3621">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proofErr w:type="spellStart"/>
      <w:r w:rsidRPr="005D7CDE">
        <w:rPr>
          <w:rFonts w:ascii="Calibri" w:hAnsi="Calibri"/>
          <w:sz w:val="18"/>
          <w:szCs w:val="18"/>
        </w:rPr>
        <w:t>Khor</w:t>
      </w:r>
      <w:r w:rsidR="00C06A4E" w:rsidRPr="005D7CDE">
        <w:rPr>
          <w:rFonts w:ascii="Calibri" w:hAnsi="Calibri"/>
          <w:sz w:val="18"/>
          <w:szCs w:val="18"/>
        </w:rPr>
        <w:t>y</w:t>
      </w:r>
      <w:proofErr w:type="spellEnd"/>
      <w:r w:rsidRPr="005D7CDE">
        <w:rPr>
          <w:rFonts w:ascii="Calibri" w:hAnsi="Calibri"/>
          <w:sz w:val="18"/>
          <w:szCs w:val="18"/>
        </w:rPr>
        <w:t xml:space="preserve">, M. (2013), TPPA countries exposed to risk of investor </w:t>
      </w:r>
      <w:proofErr w:type="spellStart"/>
      <w:r w:rsidRPr="005D7CDE">
        <w:rPr>
          <w:rFonts w:ascii="Calibri" w:hAnsi="Calibri"/>
          <w:sz w:val="18"/>
          <w:szCs w:val="18"/>
        </w:rPr>
        <w:t>lawsu</w:t>
      </w:r>
      <w:proofErr w:type="spellEnd"/>
      <w:r w:rsidR="007821BD" w:rsidRPr="005D7CDE">
        <w:rPr>
          <w:sz w:val="18"/>
          <w:szCs w:val="18"/>
        </w:rPr>
        <w:t xml:space="preserve"> </w:t>
      </w:r>
      <w:r w:rsidR="007821BD" w:rsidRPr="005D7CDE">
        <w:rPr>
          <w:rFonts w:ascii="Calibri" w:hAnsi="Calibri"/>
          <w:sz w:val="18"/>
          <w:szCs w:val="18"/>
        </w:rPr>
        <w:t xml:space="preserve">Manufacturers to </w:t>
      </w:r>
      <w:proofErr w:type="spellStart"/>
      <w:r w:rsidR="007821BD" w:rsidRPr="005D7CDE">
        <w:rPr>
          <w:rFonts w:ascii="Calibri" w:hAnsi="Calibri"/>
          <w:sz w:val="18"/>
          <w:szCs w:val="18"/>
        </w:rPr>
        <w:t>Froman</w:t>
      </w:r>
      <w:proofErr w:type="spellEnd"/>
      <w:r w:rsidR="007821BD" w:rsidRPr="005D7CDE">
        <w:rPr>
          <w:rFonts w:ascii="Calibri" w:hAnsi="Calibri"/>
          <w:sz w:val="18"/>
          <w:szCs w:val="18"/>
        </w:rPr>
        <w:t xml:space="preserve"> and </w:t>
      </w:r>
      <w:proofErr w:type="spellStart"/>
      <w:r w:rsidR="007821BD" w:rsidRPr="005D7CDE">
        <w:rPr>
          <w:rFonts w:ascii="Calibri" w:hAnsi="Calibri"/>
          <w:sz w:val="18"/>
          <w:szCs w:val="18"/>
        </w:rPr>
        <w:t>Malmstrom</w:t>
      </w:r>
      <w:proofErr w:type="spellEnd"/>
      <w:r w:rsidR="007821BD" w:rsidRPr="005D7CDE">
        <w:rPr>
          <w:rFonts w:ascii="Calibri" w:hAnsi="Calibri"/>
          <w:sz w:val="18"/>
          <w:szCs w:val="18"/>
        </w:rPr>
        <w:t>: Make 2015 a Year of Action and Results on TTIP - See more at: http://www.shopfloor.org/2014/12/manufacturers-to-froman-and-malmstrom-make-2015-a-year-of-action-and-results-on-ttip/32725#sthash.YkWoBvp5.dpuf</w:t>
      </w:r>
      <w:r w:rsidRPr="005D7CDE">
        <w:rPr>
          <w:rFonts w:ascii="Calibri" w:hAnsi="Calibri"/>
          <w:sz w:val="18"/>
          <w:szCs w:val="18"/>
        </w:rPr>
        <w:t xml:space="preserve">its, Third World Economics. Available at </w:t>
      </w:r>
      <w:hyperlink r:id="rId33" w:history="1">
        <w:r w:rsidRPr="005D7CDE">
          <w:rPr>
            <w:rStyle w:val="Hyperlink"/>
            <w:rFonts w:ascii="Calibri" w:hAnsi="Calibri"/>
            <w:sz w:val="18"/>
            <w:szCs w:val="18"/>
          </w:rPr>
          <w:t>http://www.twnside.org.sg/title2/twe/2013/pdf/twe552.pdf</w:t>
        </w:r>
      </w:hyperlink>
      <w:r w:rsidRPr="005D7CDE">
        <w:rPr>
          <w:rFonts w:ascii="Calibri" w:hAnsi="Calibri"/>
          <w:sz w:val="18"/>
          <w:szCs w:val="18"/>
        </w:rPr>
        <w:t xml:space="preserve">. </w:t>
      </w:r>
      <w:r w:rsidR="003031F0" w:rsidRPr="005D7CDE">
        <w:rPr>
          <w:rFonts w:ascii="Calibri" w:hAnsi="Calibri"/>
          <w:sz w:val="18"/>
          <w:szCs w:val="18"/>
        </w:rPr>
        <w:t xml:space="preserve">Accessed on 08.05.2015. </w:t>
      </w:r>
      <w:r w:rsidRPr="005D7CDE">
        <w:rPr>
          <w:rFonts w:ascii="Calibri" w:hAnsi="Calibri"/>
          <w:sz w:val="18"/>
          <w:szCs w:val="18"/>
        </w:rPr>
        <w:t xml:space="preserve">See also United Nations Conference </w:t>
      </w:r>
      <w:proofErr w:type="gramStart"/>
      <w:r w:rsidRPr="005D7CDE">
        <w:rPr>
          <w:rFonts w:ascii="Calibri" w:hAnsi="Calibri"/>
          <w:sz w:val="18"/>
          <w:szCs w:val="18"/>
        </w:rPr>
        <w:t>On</w:t>
      </w:r>
      <w:proofErr w:type="gramEnd"/>
      <w:r w:rsidRPr="005D7CDE">
        <w:rPr>
          <w:rFonts w:ascii="Calibri" w:hAnsi="Calibri"/>
          <w:sz w:val="18"/>
          <w:szCs w:val="18"/>
        </w:rPr>
        <w:t xml:space="preserve"> Trade and Development, (2014), Investor-State Dispute Settlement UNCTAD Series on Issues in International Investment Agreements II. Available at </w:t>
      </w:r>
      <w:hyperlink r:id="rId34" w:history="1">
        <w:r w:rsidRPr="005D7CDE">
          <w:rPr>
            <w:rStyle w:val="Hyperlink"/>
            <w:rFonts w:ascii="Calibri" w:hAnsi="Calibri"/>
            <w:sz w:val="18"/>
            <w:szCs w:val="18"/>
          </w:rPr>
          <w:t>http://unctad.org/en/PublicationsLibrary/diaeia2013d2_en.pdf</w:t>
        </w:r>
      </w:hyperlink>
      <w:r w:rsidRPr="005D7CDE">
        <w:rPr>
          <w:rFonts w:ascii="Calibri" w:hAnsi="Calibri"/>
          <w:sz w:val="18"/>
          <w:szCs w:val="18"/>
        </w:rPr>
        <w:t xml:space="preserve">. </w:t>
      </w:r>
      <w:r w:rsidR="003031F0" w:rsidRPr="005D7CDE">
        <w:rPr>
          <w:rFonts w:ascii="Calibri" w:hAnsi="Calibri"/>
          <w:sz w:val="18"/>
          <w:szCs w:val="18"/>
        </w:rPr>
        <w:t>Accessed on 08.05.2015.</w:t>
      </w:r>
    </w:p>
  </w:footnote>
  <w:footnote w:id="48">
    <w:p w:rsidR="001E4D87" w:rsidRPr="005D7CDE" w:rsidRDefault="001E4D87">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003031F0" w:rsidRPr="005D7CDE">
        <w:rPr>
          <w:sz w:val="18"/>
          <w:szCs w:val="18"/>
        </w:rPr>
        <w:t>Brinded</w:t>
      </w:r>
      <w:proofErr w:type="spellEnd"/>
      <w:r w:rsidR="003031F0" w:rsidRPr="005D7CDE">
        <w:rPr>
          <w:sz w:val="18"/>
          <w:szCs w:val="18"/>
        </w:rPr>
        <w:t xml:space="preserve">, L. (04.12.2014), </w:t>
      </w:r>
      <w:proofErr w:type="gramStart"/>
      <w:r w:rsidR="0015786B" w:rsidRPr="005D7CDE">
        <w:rPr>
          <w:sz w:val="18"/>
          <w:szCs w:val="18"/>
        </w:rPr>
        <w:t>TTIP</w:t>
      </w:r>
      <w:proofErr w:type="gramEnd"/>
      <w:r w:rsidR="0015786B" w:rsidRPr="005D7CDE">
        <w:rPr>
          <w:sz w:val="18"/>
          <w:szCs w:val="18"/>
        </w:rPr>
        <w:t>: One million protestors sign petition against controversial EU and US trade deal</w:t>
      </w:r>
      <w:r w:rsidR="0017149D" w:rsidRPr="005D7CDE">
        <w:rPr>
          <w:sz w:val="18"/>
          <w:szCs w:val="18"/>
        </w:rPr>
        <w:t>, International Business Times.</w:t>
      </w:r>
      <w:r w:rsidR="007A3953" w:rsidRPr="005D7CDE">
        <w:rPr>
          <w:sz w:val="18"/>
          <w:szCs w:val="18"/>
        </w:rPr>
        <w:t xml:space="preserve"> Available at </w:t>
      </w:r>
      <w:hyperlink r:id="rId35" w:history="1">
        <w:r w:rsidR="007A3953" w:rsidRPr="005D7CDE">
          <w:rPr>
            <w:rStyle w:val="Hyperlink"/>
            <w:sz w:val="18"/>
            <w:szCs w:val="18"/>
          </w:rPr>
          <w:t>http://www.ibtimes.co.uk/ttip-1m-protestors-sign-petition-against-controversial-eu-us-trade-deal-1477958</w:t>
        </w:r>
      </w:hyperlink>
      <w:r w:rsidR="007A3953" w:rsidRPr="005D7CDE">
        <w:rPr>
          <w:sz w:val="18"/>
          <w:szCs w:val="18"/>
        </w:rPr>
        <w:t xml:space="preserve">. </w:t>
      </w:r>
    </w:p>
  </w:footnote>
  <w:footnote w:id="49">
    <w:p w:rsidR="003E46A4" w:rsidRPr="005D7CDE" w:rsidRDefault="003E46A4">
      <w:pPr>
        <w:pStyle w:val="FootnoteText"/>
        <w:rPr>
          <w:sz w:val="18"/>
          <w:szCs w:val="18"/>
        </w:rPr>
      </w:pPr>
      <w:r w:rsidRPr="005D7CDE">
        <w:rPr>
          <w:rStyle w:val="FootnoteReference"/>
          <w:sz w:val="18"/>
          <w:szCs w:val="18"/>
        </w:rPr>
        <w:footnoteRef/>
      </w:r>
      <w:r w:rsidRPr="005D7CDE">
        <w:rPr>
          <w:sz w:val="18"/>
          <w:szCs w:val="18"/>
        </w:rPr>
        <w:t xml:space="preserve"> </w:t>
      </w:r>
      <w:proofErr w:type="spellStart"/>
      <w:r w:rsidR="006965FE" w:rsidRPr="005D7CDE">
        <w:rPr>
          <w:sz w:val="18"/>
          <w:szCs w:val="18"/>
        </w:rPr>
        <w:t>McKeagney</w:t>
      </w:r>
      <w:proofErr w:type="spellEnd"/>
      <w:r w:rsidR="006965FE" w:rsidRPr="005D7CDE">
        <w:rPr>
          <w:sz w:val="18"/>
          <w:szCs w:val="18"/>
        </w:rPr>
        <w:t>, S. (</w:t>
      </w:r>
      <w:r w:rsidR="00200D3A" w:rsidRPr="005D7CDE">
        <w:rPr>
          <w:sz w:val="18"/>
          <w:szCs w:val="18"/>
        </w:rPr>
        <w:t>06.06.</w:t>
      </w:r>
      <w:r w:rsidR="006965FE" w:rsidRPr="005D7CDE">
        <w:rPr>
          <w:sz w:val="18"/>
          <w:szCs w:val="18"/>
        </w:rPr>
        <w:t xml:space="preserve">2014), </w:t>
      </w:r>
      <w:r w:rsidR="00200D3A" w:rsidRPr="005D7CDE">
        <w:rPr>
          <w:sz w:val="18"/>
          <w:szCs w:val="18"/>
        </w:rPr>
        <w:t>30 Reasons why Greens oppose TTIP. Available at</w:t>
      </w:r>
      <w:r w:rsidRPr="005D7CDE">
        <w:rPr>
          <w:sz w:val="18"/>
          <w:szCs w:val="18"/>
        </w:rPr>
        <w:t xml:space="preserve"> </w:t>
      </w:r>
      <w:hyperlink r:id="rId36" w:history="1">
        <w:r w:rsidRPr="005D7CDE">
          <w:rPr>
            <w:rStyle w:val="Hyperlink"/>
            <w:sz w:val="18"/>
            <w:szCs w:val="18"/>
          </w:rPr>
          <w:t>http://www.ttip2014.eu/blog-detail/blog/id-30-reasons-why-greens-oppose-ttip.html</w:t>
        </w:r>
      </w:hyperlink>
      <w:r w:rsidR="003031F0" w:rsidRPr="005D7CDE">
        <w:rPr>
          <w:sz w:val="18"/>
          <w:szCs w:val="18"/>
        </w:rPr>
        <w:t>. Accessed on 20.04.2015</w:t>
      </w:r>
      <w:r w:rsidRPr="005D7CDE">
        <w:rPr>
          <w:sz w:val="18"/>
          <w:szCs w:val="18"/>
        </w:rPr>
        <w:t>.</w:t>
      </w:r>
    </w:p>
  </w:footnote>
  <w:footnote w:id="50">
    <w:p w:rsidR="007A3953" w:rsidRPr="005D7CDE" w:rsidRDefault="007A3953" w:rsidP="00560FBC">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proofErr w:type="spellStart"/>
      <w:r w:rsidR="007C3A74" w:rsidRPr="005D7CDE">
        <w:rPr>
          <w:rFonts w:ascii="Calibri" w:hAnsi="Calibri"/>
          <w:sz w:val="18"/>
          <w:szCs w:val="18"/>
        </w:rPr>
        <w:t>Geraghty</w:t>
      </w:r>
      <w:proofErr w:type="spellEnd"/>
      <w:r w:rsidR="007C3A74" w:rsidRPr="005D7CDE">
        <w:rPr>
          <w:rFonts w:ascii="Calibri" w:hAnsi="Calibri"/>
          <w:sz w:val="18"/>
          <w:szCs w:val="18"/>
        </w:rPr>
        <w:t xml:space="preserve">, E. and </w:t>
      </w:r>
      <w:proofErr w:type="spellStart"/>
      <w:r w:rsidR="007C3A74" w:rsidRPr="005D7CDE">
        <w:rPr>
          <w:rFonts w:ascii="Calibri" w:hAnsi="Calibri"/>
          <w:sz w:val="18"/>
          <w:szCs w:val="18"/>
        </w:rPr>
        <w:t>Cingotti</w:t>
      </w:r>
      <w:proofErr w:type="spellEnd"/>
      <w:r w:rsidR="007C3A74" w:rsidRPr="005D7CDE">
        <w:rPr>
          <w:rFonts w:ascii="Calibri" w:hAnsi="Calibri"/>
          <w:sz w:val="18"/>
          <w:szCs w:val="18"/>
        </w:rPr>
        <w:t xml:space="preserve">, N. (2014), </w:t>
      </w:r>
      <w:proofErr w:type="gramStart"/>
      <w:r w:rsidR="00560FBC" w:rsidRPr="005D7CDE">
        <w:rPr>
          <w:rFonts w:ascii="Calibri" w:hAnsi="Calibri"/>
          <w:sz w:val="18"/>
          <w:szCs w:val="18"/>
        </w:rPr>
        <w:t>The</w:t>
      </w:r>
      <w:proofErr w:type="gramEnd"/>
      <w:r w:rsidR="00560FBC" w:rsidRPr="005D7CDE">
        <w:rPr>
          <w:rFonts w:ascii="Calibri" w:hAnsi="Calibri"/>
          <w:sz w:val="18"/>
          <w:szCs w:val="18"/>
        </w:rPr>
        <w:t xml:space="preserve"> hidden cost of EU trade deals: Investor-state dispute settlement cases taken against EU member states</w:t>
      </w:r>
      <w:r w:rsidR="00BA2332" w:rsidRPr="005D7CDE">
        <w:rPr>
          <w:rFonts w:ascii="Calibri" w:hAnsi="Calibri"/>
          <w:sz w:val="18"/>
          <w:szCs w:val="18"/>
        </w:rPr>
        <w:t xml:space="preserve">, </w:t>
      </w:r>
      <w:r w:rsidR="003A1E25" w:rsidRPr="005D7CDE">
        <w:rPr>
          <w:rFonts w:ascii="Calibri" w:hAnsi="Calibri"/>
          <w:sz w:val="18"/>
          <w:szCs w:val="18"/>
        </w:rPr>
        <w:t xml:space="preserve">Friends of The Earth Europe. Available at </w:t>
      </w:r>
      <w:hyperlink r:id="rId37" w:history="1">
        <w:r w:rsidR="003A1E25" w:rsidRPr="005D7CDE">
          <w:rPr>
            <w:rStyle w:val="Hyperlink"/>
            <w:rFonts w:ascii="Calibri" w:hAnsi="Calibri"/>
            <w:sz w:val="18"/>
            <w:szCs w:val="18"/>
          </w:rPr>
          <w:t>http://www.foeeurope.org/sites/default/files/publications/hidden_cost_of_eu_trade_deals.pdf</w:t>
        </w:r>
      </w:hyperlink>
      <w:r w:rsidR="003031F0" w:rsidRPr="005D7CDE">
        <w:rPr>
          <w:rFonts w:ascii="Calibri" w:hAnsi="Calibri"/>
          <w:sz w:val="18"/>
          <w:szCs w:val="18"/>
        </w:rPr>
        <w:t>. Accessed on 18.04.2015</w:t>
      </w:r>
      <w:r w:rsidR="003A1E25" w:rsidRPr="005D7CDE">
        <w:rPr>
          <w:rFonts w:ascii="Calibri" w:hAnsi="Calibri"/>
          <w:sz w:val="18"/>
          <w:szCs w:val="18"/>
        </w:rPr>
        <w:t>.</w:t>
      </w:r>
    </w:p>
  </w:footnote>
  <w:footnote w:id="51">
    <w:p w:rsidR="00EC187D" w:rsidRPr="005D7CDE" w:rsidRDefault="00EC187D">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The impact of the TTIP on other sectors such as the NHS in the UK is beyond the scope of this paper, however will be considered in future</w:t>
      </w:r>
      <w:r w:rsidR="00C8304E" w:rsidRPr="005D7CDE">
        <w:rPr>
          <w:rFonts w:ascii="Calibri" w:hAnsi="Calibri"/>
          <w:sz w:val="18"/>
          <w:szCs w:val="18"/>
        </w:rPr>
        <w:t xml:space="preserve"> research.</w:t>
      </w:r>
      <w:r w:rsidR="003B779C" w:rsidRPr="005D7CDE">
        <w:rPr>
          <w:rFonts w:ascii="Calibri" w:hAnsi="Calibri"/>
          <w:sz w:val="18"/>
          <w:szCs w:val="18"/>
        </w:rPr>
        <w:t xml:space="preserve"> Newspaper coverage has shown growing concerns that the TTIP will lead to the </w:t>
      </w:r>
      <w:proofErr w:type="spellStart"/>
      <w:r w:rsidR="003B779C" w:rsidRPr="005D7CDE">
        <w:rPr>
          <w:rFonts w:ascii="Calibri" w:hAnsi="Calibri"/>
          <w:sz w:val="18"/>
          <w:szCs w:val="18"/>
        </w:rPr>
        <w:t>privaisatin</w:t>
      </w:r>
      <w:proofErr w:type="spellEnd"/>
      <w:r w:rsidR="003B779C" w:rsidRPr="005D7CDE">
        <w:rPr>
          <w:rFonts w:ascii="Calibri" w:hAnsi="Calibri"/>
          <w:sz w:val="18"/>
          <w:szCs w:val="18"/>
        </w:rPr>
        <w:t xml:space="preserve"> </w:t>
      </w:r>
      <w:r w:rsidR="00FE3E6E" w:rsidRPr="005D7CDE">
        <w:rPr>
          <w:rFonts w:ascii="Calibri" w:hAnsi="Calibri"/>
          <w:sz w:val="18"/>
          <w:szCs w:val="18"/>
        </w:rPr>
        <w:t>of the NHS. See Armitage, J. (17</w:t>
      </w:r>
      <w:r w:rsidR="003B779C" w:rsidRPr="005D7CDE">
        <w:rPr>
          <w:rFonts w:ascii="Calibri" w:hAnsi="Calibri"/>
          <w:sz w:val="18"/>
          <w:szCs w:val="18"/>
        </w:rPr>
        <w:t>.07.2014)</w:t>
      </w:r>
      <w:r w:rsidR="00FE3E6E" w:rsidRPr="005D7CDE">
        <w:rPr>
          <w:rFonts w:ascii="Calibri" w:hAnsi="Calibri"/>
          <w:sz w:val="18"/>
          <w:szCs w:val="18"/>
        </w:rPr>
        <w:t>, David Cameron urged to exempt the NHS from TTIP deal after unions claim it is at risk from being sold to American corporations, The Independent</w:t>
      </w:r>
      <w:r w:rsidR="00E24A85" w:rsidRPr="005D7CDE">
        <w:rPr>
          <w:rFonts w:ascii="Calibri" w:hAnsi="Calibri"/>
          <w:sz w:val="18"/>
          <w:szCs w:val="18"/>
        </w:rPr>
        <w:t xml:space="preserve">. Available at </w:t>
      </w:r>
      <w:hyperlink r:id="rId38" w:history="1">
        <w:r w:rsidR="00E24A85" w:rsidRPr="005D7CDE">
          <w:rPr>
            <w:rStyle w:val="Hyperlink"/>
            <w:rFonts w:ascii="Calibri" w:hAnsi="Calibri"/>
            <w:sz w:val="18"/>
            <w:szCs w:val="18"/>
          </w:rPr>
          <w:t>http://www.independent.co.uk/life-style/health-and-families/health-news/david-cameron-urged-to-exempt-the-nhs-from-ttip-deal-after-unions-claim-it-is-at-risk-from-being-sold-to-american-corporations-9613124.html</w:t>
        </w:r>
      </w:hyperlink>
      <w:r w:rsidR="00E24A85" w:rsidRPr="005D7CDE">
        <w:rPr>
          <w:rFonts w:ascii="Calibri" w:hAnsi="Calibri"/>
          <w:sz w:val="18"/>
          <w:szCs w:val="18"/>
        </w:rPr>
        <w:t>.  A</w:t>
      </w:r>
      <w:r w:rsidR="00FE3E6E" w:rsidRPr="005D7CDE">
        <w:rPr>
          <w:rFonts w:ascii="Calibri" w:hAnsi="Calibri"/>
          <w:sz w:val="18"/>
          <w:szCs w:val="18"/>
        </w:rPr>
        <w:t>lso</w:t>
      </w:r>
      <w:r w:rsidR="00E24A85" w:rsidRPr="005D7CDE">
        <w:rPr>
          <w:rFonts w:ascii="Calibri" w:hAnsi="Calibri"/>
          <w:sz w:val="18"/>
          <w:szCs w:val="18"/>
        </w:rPr>
        <w:t xml:space="preserve">, </w:t>
      </w:r>
      <w:r w:rsidR="00FE3E6E" w:rsidRPr="005D7CDE">
        <w:rPr>
          <w:rFonts w:ascii="Calibri" w:hAnsi="Calibri"/>
          <w:sz w:val="18"/>
          <w:szCs w:val="18"/>
        </w:rPr>
        <w:t xml:space="preserve">  </w:t>
      </w:r>
      <w:proofErr w:type="spellStart"/>
      <w:r w:rsidR="00E908F9" w:rsidRPr="005D7CDE">
        <w:rPr>
          <w:rFonts w:ascii="Calibri" w:hAnsi="Calibri"/>
          <w:sz w:val="18"/>
          <w:szCs w:val="18"/>
        </w:rPr>
        <w:t>McCluskey</w:t>
      </w:r>
      <w:proofErr w:type="spellEnd"/>
      <w:r w:rsidR="00E908F9" w:rsidRPr="005D7CDE">
        <w:rPr>
          <w:rFonts w:ascii="Calibri" w:hAnsi="Calibri"/>
          <w:sz w:val="18"/>
          <w:szCs w:val="18"/>
        </w:rPr>
        <w:t>, L. (</w:t>
      </w:r>
      <w:r w:rsidR="00745E23" w:rsidRPr="005D7CDE">
        <w:rPr>
          <w:rFonts w:ascii="Calibri" w:hAnsi="Calibri"/>
          <w:sz w:val="18"/>
          <w:szCs w:val="18"/>
        </w:rPr>
        <w:t>17.07.2014), The NHS is being taken over by Wall Str</w:t>
      </w:r>
      <w:r w:rsidR="008E39E6" w:rsidRPr="005D7CDE">
        <w:rPr>
          <w:rFonts w:ascii="Calibri" w:hAnsi="Calibri"/>
          <w:sz w:val="18"/>
          <w:szCs w:val="18"/>
        </w:rPr>
        <w:t>eet. A</w:t>
      </w:r>
      <w:r w:rsidR="00745E23" w:rsidRPr="005D7CDE">
        <w:rPr>
          <w:rFonts w:ascii="Calibri" w:hAnsi="Calibri"/>
          <w:sz w:val="18"/>
          <w:szCs w:val="18"/>
        </w:rPr>
        <w:t>nd</w:t>
      </w:r>
      <w:r w:rsidR="008E39E6" w:rsidRPr="005D7CDE">
        <w:rPr>
          <w:rFonts w:ascii="Calibri" w:hAnsi="Calibri"/>
          <w:sz w:val="18"/>
          <w:szCs w:val="18"/>
        </w:rPr>
        <w:t xml:space="preserve"> Cameron won’</w:t>
      </w:r>
      <w:r w:rsidR="00F16972" w:rsidRPr="005D7CDE">
        <w:rPr>
          <w:rFonts w:ascii="Calibri" w:hAnsi="Calibri"/>
          <w:sz w:val="18"/>
          <w:szCs w:val="18"/>
        </w:rPr>
        <w:t xml:space="preserve">t stop it, The Guardian. Available at </w:t>
      </w:r>
      <w:hyperlink r:id="rId39" w:history="1">
        <w:r w:rsidR="00F16972" w:rsidRPr="005D7CDE">
          <w:rPr>
            <w:rStyle w:val="Hyperlink"/>
            <w:rFonts w:ascii="Calibri" w:hAnsi="Calibri"/>
            <w:sz w:val="18"/>
            <w:szCs w:val="18"/>
          </w:rPr>
          <w:t>http://www.theguardian.com/commentisfree/2014/jul/17/nhs-taken-over-wall-street-cameron-health-service-privatisation</w:t>
        </w:r>
      </w:hyperlink>
      <w:r w:rsidR="008414C5" w:rsidRPr="005D7CDE">
        <w:rPr>
          <w:rFonts w:ascii="Calibri" w:hAnsi="Calibri"/>
          <w:sz w:val="18"/>
          <w:szCs w:val="18"/>
        </w:rPr>
        <w:t>. Accessed on 21.04.2015</w:t>
      </w:r>
      <w:r w:rsidR="00F16972" w:rsidRPr="005D7CDE">
        <w:rPr>
          <w:rFonts w:ascii="Calibri" w:hAnsi="Calibri"/>
          <w:sz w:val="18"/>
          <w:szCs w:val="18"/>
        </w:rPr>
        <w:t xml:space="preserve">. </w:t>
      </w:r>
      <w:r w:rsidR="00745E23" w:rsidRPr="005D7CDE">
        <w:rPr>
          <w:rFonts w:ascii="Calibri" w:hAnsi="Calibri"/>
          <w:sz w:val="18"/>
          <w:szCs w:val="18"/>
        </w:rPr>
        <w:t xml:space="preserve"> </w:t>
      </w:r>
      <w:r w:rsidR="00C8304E" w:rsidRPr="005D7CDE">
        <w:rPr>
          <w:rFonts w:ascii="Calibri" w:hAnsi="Calibri"/>
          <w:sz w:val="18"/>
          <w:szCs w:val="18"/>
        </w:rPr>
        <w:t>T</w:t>
      </w:r>
      <w:r w:rsidRPr="005D7CDE">
        <w:rPr>
          <w:rFonts w:ascii="Calibri" w:hAnsi="Calibri"/>
          <w:sz w:val="18"/>
          <w:szCs w:val="18"/>
        </w:rPr>
        <w:t xml:space="preserve">he government’s response on the </w:t>
      </w:r>
      <w:r w:rsidR="00C8304E" w:rsidRPr="005D7CDE">
        <w:rPr>
          <w:rFonts w:ascii="Calibri" w:hAnsi="Calibri"/>
          <w:sz w:val="18"/>
          <w:szCs w:val="18"/>
        </w:rPr>
        <w:t>People’s NHS campaign</w:t>
      </w:r>
      <w:r w:rsidR="003B779C" w:rsidRPr="005D7CDE">
        <w:rPr>
          <w:rFonts w:ascii="Calibri" w:hAnsi="Calibri"/>
          <w:sz w:val="18"/>
          <w:szCs w:val="18"/>
        </w:rPr>
        <w:t>, on 11</w:t>
      </w:r>
      <w:r w:rsidR="003B779C" w:rsidRPr="005D7CDE">
        <w:rPr>
          <w:rFonts w:ascii="Calibri" w:hAnsi="Calibri"/>
          <w:sz w:val="18"/>
          <w:szCs w:val="18"/>
          <w:vertAlign w:val="superscript"/>
        </w:rPr>
        <w:t>th</w:t>
      </w:r>
      <w:r w:rsidR="003B779C" w:rsidRPr="005D7CDE">
        <w:rPr>
          <w:rFonts w:ascii="Calibri" w:hAnsi="Calibri"/>
          <w:sz w:val="18"/>
          <w:szCs w:val="18"/>
        </w:rPr>
        <w:t xml:space="preserve"> November 2014</w:t>
      </w:r>
      <w:r w:rsidR="002B7AB3" w:rsidRPr="005D7CDE">
        <w:rPr>
          <w:rFonts w:ascii="Calibri" w:hAnsi="Calibri"/>
          <w:sz w:val="18"/>
          <w:szCs w:val="18"/>
        </w:rPr>
        <w:t>, was that the inclusion of health in the TTIP does not threaten the public nature of the NHS, but provides an opportunity for European businesses, including improving access to the US market for the UK’s world-class pharmaceutical and medical devices sectors. A</w:t>
      </w:r>
      <w:r w:rsidR="00C8304E" w:rsidRPr="005D7CDE">
        <w:rPr>
          <w:rFonts w:ascii="Calibri" w:hAnsi="Calibri"/>
          <w:sz w:val="18"/>
          <w:szCs w:val="18"/>
        </w:rPr>
        <w:t xml:space="preserve">vailable at </w:t>
      </w:r>
      <w:hyperlink r:id="rId40" w:history="1">
        <w:r w:rsidR="005056C6" w:rsidRPr="005D7CDE">
          <w:rPr>
            <w:rStyle w:val="Hyperlink"/>
            <w:rFonts w:ascii="Calibri" w:hAnsi="Calibri"/>
            <w:sz w:val="18"/>
            <w:szCs w:val="18"/>
          </w:rPr>
          <w:t>https://www.gov.uk/government/news/response-to-the-peoples-nhs-campaign-about-ttip</w:t>
        </w:r>
      </w:hyperlink>
      <w:r w:rsidR="005056C6" w:rsidRPr="005D7CDE">
        <w:rPr>
          <w:rFonts w:ascii="Calibri" w:hAnsi="Calibri"/>
          <w:sz w:val="18"/>
          <w:szCs w:val="18"/>
        </w:rPr>
        <w:t xml:space="preserve">. Accessed </w:t>
      </w:r>
      <w:r w:rsidR="008414C5" w:rsidRPr="005D7CDE">
        <w:rPr>
          <w:rFonts w:ascii="Calibri" w:hAnsi="Calibri"/>
          <w:sz w:val="18"/>
          <w:szCs w:val="18"/>
        </w:rPr>
        <w:t>on 19.04.2015</w:t>
      </w:r>
      <w:r w:rsidR="005056C6" w:rsidRPr="005D7CDE">
        <w:rPr>
          <w:rFonts w:ascii="Calibri" w:hAnsi="Calibri"/>
          <w:sz w:val="18"/>
          <w:szCs w:val="18"/>
        </w:rPr>
        <w:t>.</w:t>
      </w:r>
    </w:p>
  </w:footnote>
  <w:footnote w:id="52">
    <w:p w:rsidR="008414C5" w:rsidRPr="005D7CDE" w:rsidRDefault="00DF3621" w:rsidP="008414C5">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United Nations Conference on Trade and Development, (2013), IIA Issue Note. Available at </w:t>
      </w:r>
      <w:hyperlink r:id="rId41" w:history="1">
        <w:r w:rsidRPr="005D7CDE">
          <w:rPr>
            <w:rStyle w:val="Hyperlink"/>
            <w:rFonts w:ascii="Calibri" w:hAnsi="Calibri"/>
            <w:sz w:val="18"/>
            <w:szCs w:val="18"/>
          </w:rPr>
          <w:t>http://unctad.org/en/PublicationsLibrary/webdiaepcb2013d3_en.pdf</w:t>
        </w:r>
      </w:hyperlink>
      <w:r w:rsidRPr="005D7CDE">
        <w:rPr>
          <w:rFonts w:ascii="Calibri" w:hAnsi="Calibri"/>
          <w:sz w:val="18"/>
          <w:szCs w:val="18"/>
        </w:rPr>
        <w:t xml:space="preserve">. </w:t>
      </w:r>
      <w:r w:rsidR="008414C5" w:rsidRPr="005D7CDE">
        <w:rPr>
          <w:rFonts w:ascii="Calibri" w:hAnsi="Calibri"/>
          <w:sz w:val="18"/>
          <w:szCs w:val="18"/>
        </w:rPr>
        <w:t>Accessed on 19.04.2015.</w:t>
      </w:r>
    </w:p>
    <w:p w:rsidR="00DF3621" w:rsidRPr="005D7CDE" w:rsidRDefault="00DF3621" w:rsidP="00DF3621">
      <w:pPr>
        <w:pStyle w:val="FootnoteText"/>
        <w:rPr>
          <w:rFonts w:ascii="Calibri" w:hAnsi="Calibri"/>
          <w:sz w:val="18"/>
          <w:szCs w:val="18"/>
        </w:rPr>
      </w:pPr>
      <w:r w:rsidRPr="005D7CDE">
        <w:rPr>
          <w:rFonts w:ascii="Calibri" w:hAnsi="Calibri"/>
          <w:sz w:val="18"/>
          <w:szCs w:val="18"/>
        </w:rPr>
        <w:t>Information about claims has been compiled on the basis of public sources, including specialized reporting services such as the Investment Arbitration Reporter and Global Arbitration Review.</w:t>
      </w:r>
    </w:p>
  </w:footnote>
  <w:footnote w:id="53">
    <w:p w:rsidR="00DF3621" w:rsidRPr="005D7CDE" w:rsidRDefault="00DF3621" w:rsidP="00DF3621">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United Nations Conference on Trade and Development, (2014), IIA Issue Note. Available at </w:t>
      </w:r>
      <w:hyperlink r:id="rId42" w:history="1">
        <w:r w:rsidRPr="005D7CDE">
          <w:rPr>
            <w:rStyle w:val="Hyperlink"/>
            <w:rFonts w:ascii="Calibri" w:hAnsi="Calibri"/>
            <w:sz w:val="18"/>
            <w:szCs w:val="18"/>
          </w:rPr>
          <w:t>http://unctad.org/en/PublicationsLibrary/webdiaepcb2014d3_en.pdf</w:t>
        </w:r>
      </w:hyperlink>
      <w:r w:rsidRPr="005D7CDE">
        <w:rPr>
          <w:rFonts w:ascii="Calibri" w:hAnsi="Calibri"/>
          <w:sz w:val="18"/>
          <w:szCs w:val="18"/>
        </w:rPr>
        <w:t xml:space="preserve">. </w:t>
      </w:r>
      <w:r w:rsidR="008414C5" w:rsidRPr="005D7CDE">
        <w:rPr>
          <w:rFonts w:ascii="Calibri" w:hAnsi="Calibri"/>
          <w:sz w:val="18"/>
          <w:szCs w:val="18"/>
        </w:rPr>
        <w:t>Accessed on 19.04.2015.</w:t>
      </w:r>
    </w:p>
  </w:footnote>
  <w:footnote w:id="54">
    <w:p w:rsidR="008414C5" w:rsidRPr="005D7CDE" w:rsidRDefault="00DF3621" w:rsidP="008414C5">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Egypt - Qatar Bilateral Investment Treaty, (1999). Available at </w:t>
      </w:r>
      <w:hyperlink r:id="rId43" w:history="1">
        <w:r w:rsidRPr="005D7CDE">
          <w:rPr>
            <w:rStyle w:val="Hyperlink"/>
            <w:rFonts w:ascii="Calibri" w:hAnsi="Calibri"/>
            <w:sz w:val="18"/>
            <w:szCs w:val="18"/>
          </w:rPr>
          <w:t>http://investmentpolicyhub.unctad.org/Download/TreatyFile/1103</w:t>
        </w:r>
      </w:hyperlink>
      <w:r w:rsidRPr="005D7CDE">
        <w:rPr>
          <w:rFonts w:ascii="Calibri" w:hAnsi="Calibri"/>
          <w:sz w:val="18"/>
          <w:szCs w:val="18"/>
        </w:rPr>
        <w:t xml:space="preserve">. </w:t>
      </w:r>
      <w:r w:rsidR="008414C5" w:rsidRPr="005D7CDE">
        <w:rPr>
          <w:rFonts w:ascii="Calibri" w:hAnsi="Calibri"/>
          <w:sz w:val="18"/>
          <w:szCs w:val="18"/>
        </w:rPr>
        <w:t>Accessed on 19.04.2015.</w:t>
      </w:r>
    </w:p>
    <w:p w:rsidR="00DF3621" w:rsidRPr="005D7CDE" w:rsidRDefault="00DF3621" w:rsidP="00DF3621">
      <w:pPr>
        <w:pStyle w:val="FootnoteText"/>
        <w:rPr>
          <w:rFonts w:ascii="Calibri" w:hAnsi="Calibri"/>
          <w:sz w:val="18"/>
          <w:szCs w:val="18"/>
        </w:rPr>
      </w:pPr>
      <w:r w:rsidRPr="005D7CDE">
        <w:rPr>
          <w:rFonts w:ascii="Calibri" w:hAnsi="Calibri"/>
          <w:sz w:val="18"/>
          <w:szCs w:val="18"/>
        </w:rPr>
        <w:t xml:space="preserve">Also see </w:t>
      </w:r>
      <w:proofErr w:type="spellStart"/>
      <w:r w:rsidRPr="005D7CDE">
        <w:rPr>
          <w:rFonts w:ascii="Calibri" w:hAnsi="Calibri"/>
          <w:sz w:val="18"/>
          <w:szCs w:val="18"/>
        </w:rPr>
        <w:t>Donnan</w:t>
      </w:r>
      <w:proofErr w:type="spellEnd"/>
      <w:r w:rsidRPr="005D7CDE">
        <w:rPr>
          <w:rFonts w:ascii="Calibri" w:hAnsi="Calibri"/>
          <w:sz w:val="18"/>
          <w:szCs w:val="18"/>
        </w:rPr>
        <w:t xml:space="preserve">, S. (2014), Al Jazeera sues Egypt for $150m after crackdown on journalists, Financial Times. Available at </w:t>
      </w:r>
      <w:hyperlink r:id="rId44" w:anchor="axzz3CNLGmNPk" w:history="1">
        <w:r w:rsidRPr="005D7CDE">
          <w:rPr>
            <w:rStyle w:val="Hyperlink"/>
            <w:rFonts w:ascii="Calibri" w:hAnsi="Calibri"/>
            <w:sz w:val="18"/>
            <w:szCs w:val="18"/>
          </w:rPr>
          <w:t>http://www.ft.com/cms/s/0/7ff2210c-cec0-11e3-ac8d-00144feabdc0.html#axzz3CNLGmNPk</w:t>
        </w:r>
      </w:hyperlink>
      <w:r w:rsidRPr="005D7CDE">
        <w:rPr>
          <w:rFonts w:ascii="Calibri" w:hAnsi="Calibri"/>
          <w:sz w:val="18"/>
          <w:szCs w:val="18"/>
        </w:rPr>
        <w:t xml:space="preserve">. </w:t>
      </w:r>
      <w:r w:rsidR="008414C5" w:rsidRPr="005D7CDE">
        <w:rPr>
          <w:rFonts w:ascii="Calibri" w:hAnsi="Calibri"/>
          <w:sz w:val="18"/>
          <w:szCs w:val="18"/>
        </w:rPr>
        <w:t>Accessed on 19.04.2015.</w:t>
      </w:r>
    </w:p>
  </w:footnote>
  <w:footnote w:id="55">
    <w:p w:rsidR="00DF3621" w:rsidRPr="005D7CDE" w:rsidRDefault="00DF3621" w:rsidP="00DF3621">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Eli-Lilly highlights the debate around ISDS and affordable medicines especially the impact the TPP will have however although this is outside the scope of the current research, it will be a further research area.</w:t>
      </w:r>
    </w:p>
  </w:footnote>
  <w:footnote w:id="56">
    <w:p w:rsidR="00440936" w:rsidRPr="005D7CDE" w:rsidRDefault="00440936" w:rsidP="00440936">
      <w:pPr>
        <w:pStyle w:val="FootnoteText"/>
        <w:rPr>
          <w:sz w:val="18"/>
          <w:szCs w:val="18"/>
        </w:rPr>
      </w:pPr>
      <w:r w:rsidRPr="005D7CDE">
        <w:rPr>
          <w:rStyle w:val="FootnoteReference"/>
          <w:sz w:val="18"/>
          <w:szCs w:val="18"/>
        </w:rPr>
        <w:footnoteRef/>
      </w:r>
      <w:r w:rsidRPr="005D7CDE">
        <w:rPr>
          <w:sz w:val="18"/>
          <w:szCs w:val="18"/>
        </w:rPr>
        <w:t xml:space="preserve"> MENA-OECD Investment Programme, Assessing Investment Policies Of Member Countries Of The Gulf </w:t>
      </w:r>
    </w:p>
    <w:p w:rsidR="00440936" w:rsidRPr="005D7CDE" w:rsidRDefault="00440936" w:rsidP="00440936">
      <w:pPr>
        <w:pStyle w:val="FootnoteText"/>
        <w:rPr>
          <w:sz w:val="18"/>
          <w:szCs w:val="18"/>
        </w:rPr>
      </w:pPr>
      <w:r w:rsidRPr="005D7CDE">
        <w:rPr>
          <w:sz w:val="18"/>
          <w:szCs w:val="18"/>
        </w:rPr>
        <w:t xml:space="preserve">Cooperation Council Stocktaking analysis, page 57. Available at </w:t>
      </w:r>
      <w:hyperlink r:id="rId45" w:history="1">
        <w:r w:rsidRPr="005D7CDE">
          <w:rPr>
            <w:rStyle w:val="Hyperlink"/>
            <w:sz w:val="18"/>
            <w:szCs w:val="18"/>
          </w:rPr>
          <w:t>http://www.oecd.org/mena/investment/Preliminary%20assessment%20GCC%20invt%20policies.pdf</w:t>
        </w:r>
      </w:hyperlink>
      <w:r w:rsidR="008414C5" w:rsidRPr="005D7CDE">
        <w:rPr>
          <w:sz w:val="18"/>
          <w:szCs w:val="18"/>
        </w:rPr>
        <w:t>. Accessed on 14.04.2015</w:t>
      </w:r>
      <w:r w:rsidRPr="005D7CDE">
        <w:rPr>
          <w:sz w:val="18"/>
          <w:szCs w:val="18"/>
        </w:rPr>
        <w:t>.</w:t>
      </w:r>
    </w:p>
  </w:footnote>
  <w:footnote w:id="57">
    <w:p w:rsidR="00440936" w:rsidRPr="005D7CDE" w:rsidRDefault="00440936" w:rsidP="00440936">
      <w:pPr>
        <w:pStyle w:val="FootnoteText"/>
        <w:rPr>
          <w:sz w:val="18"/>
          <w:szCs w:val="18"/>
        </w:rPr>
      </w:pPr>
      <w:r w:rsidRPr="005D7CDE">
        <w:rPr>
          <w:rStyle w:val="FootnoteReference"/>
          <w:sz w:val="18"/>
          <w:szCs w:val="18"/>
        </w:rPr>
        <w:footnoteRef/>
      </w:r>
      <w:r w:rsidRPr="005D7CDE">
        <w:rPr>
          <w:sz w:val="18"/>
          <w:szCs w:val="18"/>
        </w:rPr>
        <w:t xml:space="preserve"> </w:t>
      </w:r>
      <w:r w:rsidR="00D675A0" w:rsidRPr="005D7CDE">
        <w:rPr>
          <w:sz w:val="18"/>
          <w:szCs w:val="18"/>
        </w:rPr>
        <w:t xml:space="preserve">Riba is the doctrine on the prohibition of interest payments, undue profits or excessive gain from a transaction and gharar deals with risk, speculative transactions, ambiguity or excessive uncertainty in contracts. See Wilson, R. (2009), </w:t>
      </w:r>
      <w:proofErr w:type="gramStart"/>
      <w:r w:rsidR="00D675A0" w:rsidRPr="005D7CDE">
        <w:rPr>
          <w:sz w:val="18"/>
          <w:szCs w:val="18"/>
        </w:rPr>
        <w:t>The</w:t>
      </w:r>
      <w:proofErr w:type="gramEnd"/>
      <w:r w:rsidR="00D675A0" w:rsidRPr="005D7CDE">
        <w:rPr>
          <w:sz w:val="18"/>
          <w:szCs w:val="18"/>
        </w:rPr>
        <w:t xml:space="preserve"> development of Islamic finance in the GCC Working Paper, Kuwait Programme on Development, Governance and Globalisation in the Gulf States at page 27.</w:t>
      </w:r>
    </w:p>
  </w:footnote>
  <w:footnote w:id="58">
    <w:p w:rsidR="00345178" w:rsidRPr="005D7CDE" w:rsidRDefault="00345178" w:rsidP="00345178">
      <w:pPr>
        <w:autoSpaceDE w:val="0"/>
        <w:autoSpaceDN w:val="0"/>
        <w:adjustRightInd w:val="0"/>
        <w:spacing w:after="0"/>
        <w:rPr>
          <w:rFonts w:ascii="Calibri" w:hAnsi="Calibri" w:cs="Calibri"/>
          <w:sz w:val="18"/>
          <w:szCs w:val="18"/>
        </w:rPr>
      </w:pPr>
      <w:r w:rsidRPr="005D7CDE">
        <w:rPr>
          <w:rStyle w:val="FootnoteReference"/>
          <w:rFonts w:ascii="Calibri" w:hAnsi="Calibri" w:cs="Calibri"/>
          <w:sz w:val="18"/>
          <w:szCs w:val="18"/>
        </w:rPr>
        <w:footnoteRef/>
      </w:r>
      <w:r w:rsidRPr="005D7CDE">
        <w:rPr>
          <w:rFonts w:ascii="Calibri" w:hAnsi="Calibri" w:cs="Calibri"/>
          <w:sz w:val="18"/>
          <w:szCs w:val="18"/>
        </w:rPr>
        <w:t xml:space="preserve"> </w:t>
      </w:r>
      <w:proofErr w:type="spellStart"/>
      <w:r w:rsidRPr="005D7CDE">
        <w:rPr>
          <w:rFonts w:ascii="Calibri" w:hAnsi="Calibri" w:cs="Calibri"/>
          <w:sz w:val="18"/>
          <w:szCs w:val="18"/>
        </w:rPr>
        <w:t>Khalaf</w:t>
      </w:r>
      <w:proofErr w:type="spellEnd"/>
      <w:r w:rsidRPr="005D7CDE">
        <w:rPr>
          <w:rFonts w:ascii="Calibri" w:hAnsi="Calibri" w:cs="Calibri"/>
          <w:sz w:val="18"/>
          <w:szCs w:val="18"/>
        </w:rPr>
        <w:t xml:space="preserve">, A. and </w:t>
      </w:r>
      <w:proofErr w:type="spellStart"/>
      <w:r w:rsidRPr="005D7CDE">
        <w:rPr>
          <w:rFonts w:ascii="Calibri" w:hAnsi="Calibri" w:cs="Calibri"/>
          <w:sz w:val="18"/>
          <w:szCs w:val="18"/>
        </w:rPr>
        <w:t>Luciani</w:t>
      </w:r>
      <w:proofErr w:type="spellEnd"/>
      <w:r w:rsidRPr="005D7CDE">
        <w:rPr>
          <w:rFonts w:ascii="Calibri" w:hAnsi="Calibri" w:cs="Calibri"/>
          <w:sz w:val="18"/>
          <w:szCs w:val="18"/>
        </w:rPr>
        <w:t xml:space="preserve">, G. (2006), Constitutional Reform and Political Participation, Gulf Research </w:t>
      </w:r>
      <w:proofErr w:type="spellStart"/>
      <w:r w:rsidRPr="005D7CDE">
        <w:rPr>
          <w:rFonts w:ascii="Calibri" w:hAnsi="Calibri" w:cs="Calibri"/>
          <w:sz w:val="18"/>
          <w:szCs w:val="18"/>
        </w:rPr>
        <w:t>Center</w:t>
      </w:r>
      <w:proofErr w:type="spellEnd"/>
      <w:r w:rsidRPr="005D7CDE">
        <w:rPr>
          <w:rFonts w:ascii="Calibri" w:hAnsi="Calibri" w:cs="Calibri"/>
          <w:sz w:val="18"/>
          <w:szCs w:val="18"/>
        </w:rPr>
        <w:t>.</w:t>
      </w:r>
    </w:p>
  </w:footnote>
  <w:footnote w:id="59">
    <w:p w:rsidR="00345178" w:rsidRPr="005D7CDE" w:rsidRDefault="00345178" w:rsidP="00345178">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w:t>
      </w:r>
      <w:proofErr w:type="spellStart"/>
      <w:r w:rsidRPr="005D7CDE">
        <w:rPr>
          <w:rFonts w:eastAsia="Times New Roman" w:cs="Calibri"/>
          <w:sz w:val="18"/>
          <w:szCs w:val="18"/>
          <w:lang w:eastAsia="en-GB"/>
        </w:rPr>
        <w:t>Beblawi</w:t>
      </w:r>
      <w:proofErr w:type="spellEnd"/>
      <w:r w:rsidRPr="005D7CDE">
        <w:rPr>
          <w:rFonts w:eastAsia="Times New Roman" w:cs="Calibri"/>
          <w:sz w:val="18"/>
          <w:szCs w:val="18"/>
          <w:lang w:eastAsia="en-GB"/>
        </w:rPr>
        <w:t xml:space="preserve">, H. and </w:t>
      </w:r>
      <w:proofErr w:type="spellStart"/>
      <w:r w:rsidRPr="005D7CDE">
        <w:rPr>
          <w:rFonts w:eastAsia="Times New Roman" w:cs="Calibri"/>
          <w:sz w:val="18"/>
          <w:szCs w:val="18"/>
          <w:lang w:eastAsia="en-GB"/>
        </w:rPr>
        <w:t>Luciani</w:t>
      </w:r>
      <w:proofErr w:type="spellEnd"/>
      <w:r w:rsidRPr="005D7CDE">
        <w:rPr>
          <w:rFonts w:eastAsia="Times New Roman" w:cs="Calibri"/>
          <w:sz w:val="18"/>
          <w:szCs w:val="18"/>
          <w:lang w:eastAsia="en-GB"/>
        </w:rPr>
        <w:t xml:space="preserve">, G. (1987), The Rentier State, </w:t>
      </w:r>
      <w:proofErr w:type="spellStart"/>
      <w:r w:rsidRPr="005D7CDE">
        <w:rPr>
          <w:rFonts w:eastAsia="Times New Roman" w:cs="Calibri"/>
          <w:sz w:val="18"/>
          <w:szCs w:val="18"/>
          <w:lang w:eastAsia="en-GB"/>
        </w:rPr>
        <w:t>Croom</w:t>
      </w:r>
      <w:proofErr w:type="spellEnd"/>
      <w:r w:rsidRPr="005D7CDE">
        <w:rPr>
          <w:rFonts w:eastAsia="Times New Roman" w:cs="Calibri"/>
          <w:sz w:val="18"/>
          <w:szCs w:val="18"/>
          <w:lang w:eastAsia="en-GB"/>
        </w:rPr>
        <w:t xml:space="preserve"> Helm, page 1.  </w:t>
      </w:r>
    </w:p>
  </w:footnote>
  <w:footnote w:id="60">
    <w:p w:rsidR="00345178" w:rsidRPr="005D7CDE" w:rsidRDefault="00345178" w:rsidP="00345178">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w:t>
      </w:r>
      <w:proofErr w:type="spellStart"/>
      <w:r w:rsidRPr="005D7CDE">
        <w:rPr>
          <w:rFonts w:cs="Calibri"/>
          <w:sz w:val="18"/>
          <w:szCs w:val="18"/>
        </w:rPr>
        <w:t>Commins</w:t>
      </w:r>
      <w:proofErr w:type="spellEnd"/>
      <w:r w:rsidRPr="005D7CDE">
        <w:rPr>
          <w:rFonts w:cs="Calibri"/>
          <w:sz w:val="18"/>
          <w:szCs w:val="18"/>
        </w:rPr>
        <w:t>, P. (2012), The Gulf States – A modern history, I.B. Tauris, page 103.</w:t>
      </w:r>
    </w:p>
  </w:footnote>
  <w:footnote w:id="61">
    <w:p w:rsidR="00345178" w:rsidRPr="005D7CDE" w:rsidRDefault="00345178" w:rsidP="00345178">
      <w:pPr>
        <w:autoSpaceDE w:val="0"/>
        <w:autoSpaceDN w:val="0"/>
        <w:adjustRightInd w:val="0"/>
        <w:spacing w:after="0"/>
        <w:rPr>
          <w:rFonts w:ascii="Calibri" w:hAnsi="Calibri" w:cs="Calibri"/>
          <w:sz w:val="18"/>
          <w:szCs w:val="18"/>
        </w:rPr>
      </w:pPr>
      <w:r w:rsidRPr="005D7CDE">
        <w:rPr>
          <w:rStyle w:val="FootnoteReference"/>
          <w:rFonts w:ascii="Calibri" w:hAnsi="Calibri" w:cs="Calibri"/>
          <w:sz w:val="18"/>
          <w:szCs w:val="18"/>
        </w:rPr>
        <w:footnoteRef/>
      </w:r>
      <w:r w:rsidRPr="005D7CDE">
        <w:rPr>
          <w:rFonts w:ascii="Calibri" w:hAnsi="Calibri" w:cs="Calibri"/>
          <w:sz w:val="18"/>
          <w:szCs w:val="18"/>
        </w:rPr>
        <w:t xml:space="preserve"> </w:t>
      </w:r>
      <w:proofErr w:type="spellStart"/>
      <w:r w:rsidRPr="005D7CDE">
        <w:rPr>
          <w:rFonts w:ascii="Calibri" w:hAnsi="Calibri" w:cs="Calibri"/>
          <w:sz w:val="18"/>
          <w:szCs w:val="18"/>
        </w:rPr>
        <w:t>Hvidt</w:t>
      </w:r>
      <w:proofErr w:type="spellEnd"/>
      <w:r w:rsidRPr="005D7CDE">
        <w:rPr>
          <w:rFonts w:ascii="Calibri" w:hAnsi="Calibri" w:cs="Calibri"/>
          <w:sz w:val="18"/>
          <w:szCs w:val="18"/>
        </w:rPr>
        <w:t>, M. (2013), Economic diversification in GCC countries: Past record and future trends, Kuwait Programme on Development, Governance and Globalisation in the Gulf States at pages 5 and 6.</w:t>
      </w:r>
    </w:p>
  </w:footnote>
  <w:footnote w:id="62">
    <w:p w:rsidR="00345178" w:rsidRPr="005D7CDE" w:rsidRDefault="00345178" w:rsidP="00345178">
      <w:pPr>
        <w:spacing w:after="0"/>
        <w:rPr>
          <w:rFonts w:ascii="Calibri" w:hAnsi="Calibri" w:cs="Calibri"/>
          <w:sz w:val="18"/>
          <w:szCs w:val="18"/>
        </w:rPr>
      </w:pPr>
      <w:r w:rsidRPr="005D7CDE">
        <w:rPr>
          <w:rStyle w:val="FootnoteReference"/>
          <w:rFonts w:ascii="Calibri" w:hAnsi="Calibri" w:cs="Calibri"/>
          <w:sz w:val="18"/>
          <w:szCs w:val="18"/>
        </w:rPr>
        <w:footnoteRef/>
      </w:r>
      <w:r w:rsidRPr="005D7CDE">
        <w:rPr>
          <w:rFonts w:ascii="Calibri" w:hAnsi="Calibri" w:cs="Calibri"/>
          <w:sz w:val="18"/>
          <w:szCs w:val="18"/>
        </w:rPr>
        <w:t xml:space="preserve"> </w:t>
      </w:r>
      <w:proofErr w:type="spellStart"/>
      <w:r w:rsidRPr="005D7CDE">
        <w:rPr>
          <w:rFonts w:ascii="Calibri" w:hAnsi="Calibri" w:cs="Calibri"/>
          <w:sz w:val="18"/>
          <w:szCs w:val="18"/>
        </w:rPr>
        <w:t>Beblawi</w:t>
      </w:r>
      <w:proofErr w:type="spellEnd"/>
      <w:r w:rsidRPr="005D7CDE">
        <w:rPr>
          <w:rFonts w:ascii="Calibri" w:hAnsi="Calibri" w:cs="Calibri"/>
          <w:sz w:val="18"/>
          <w:szCs w:val="18"/>
        </w:rPr>
        <w:t xml:space="preserve">, H. (1987), </w:t>
      </w:r>
      <w:proofErr w:type="gramStart"/>
      <w:r w:rsidRPr="005D7CDE">
        <w:rPr>
          <w:rFonts w:ascii="Calibri" w:hAnsi="Calibri" w:cs="Calibri"/>
          <w:sz w:val="18"/>
          <w:szCs w:val="18"/>
        </w:rPr>
        <w:t>The</w:t>
      </w:r>
      <w:proofErr w:type="gramEnd"/>
      <w:r w:rsidRPr="005D7CDE">
        <w:rPr>
          <w:rFonts w:ascii="Calibri" w:hAnsi="Calibri" w:cs="Calibri"/>
          <w:sz w:val="18"/>
          <w:szCs w:val="18"/>
        </w:rPr>
        <w:t xml:space="preserve"> Rentier State in the Arab World, New York </w:t>
      </w:r>
      <w:proofErr w:type="spellStart"/>
      <w:r w:rsidRPr="005D7CDE">
        <w:rPr>
          <w:rFonts w:ascii="Calibri" w:hAnsi="Calibri" w:cs="Calibri"/>
          <w:sz w:val="18"/>
          <w:szCs w:val="18"/>
        </w:rPr>
        <w:t>Croom</w:t>
      </w:r>
      <w:proofErr w:type="spellEnd"/>
      <w:r w:rsidRPr="005D7CDE">
        <w:rPr>
          <w:rFonts w:ascii="Calibri" w:hAnsi="Calibri" w:cs="Calibri"/>
          <w:sz w:val="18"/>
          <w:szCs w:val="18"/>
        </w:rPr>
        <w:t xml:space="preserve"> Helm. There are four main criterions to a rentier state: first, the rent belongs to the owners of all natural resources and the rent is prevailing, second, there is a weak domestic productive sector, third, there is a limited part of the population involved in the generation of rent and fourth, the state is the biggest recipient of the rent.</w:t>
      </w:r>
    </w:p>
  </w:footnote>
  <w:footnote w:id="63">
    <w:p w:rsidR="00976AB1" w:rsidRPr="005D7CDE" w:rsidRDefault="00976AB1" w:rsidP="00976AB1">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w:t>
      </w:r>
      <w:hyperlink r:id="rId46" w:history="1">
        <w:r w:rsidRPr="005D7CDE">
          <w:rPr>
            <w:rStyle w:val="Hyperlink"/>
            <w:rFonts w:cs="Calibri"/>
            <w:sz w:val="18"/>
            <w:szCs w:val="18"/>
          </w:rPr>
          <w:t>http://www.undp.org.sa/sa/index.php?option=com_content&amp;view=article&amp;id=3&amp;Itemid=5</w:t>
        </w:r>
      </w:hyperlink>
      <w:r w:rsidR="008414C5" w:rsidRPr="005D7CDE">
        <w:rPr>
          <w:rFonts w:cs="Calibri"/>
          <w:sz w:val="18"/>
          <w:szCs w:val="18"/>
        </w:rPr>
        <w:t xml:space="preserve">  Accessed on 02.05.2015</w:t>
      </w:r>
      <w:r w:rsidRPr="005D7CDE">
        <w:rPr>
          <w:rFonts w:cs="Calibri"/>
          <w:sz w:val="18"/>
          <w:szCs w:val="18"/>
        </w:rPr>
        <w:t>.</w:t>
      </w:r>
    </w:p>
  </w:footnote>
  <w:footnote w:id="64">
    <w:p w:rsidR="00976AB1" w:rsidRPr="005D7CDE" w:rsidRDefault="00976AB1" w:rsidP="00976AB1">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Saudi Arabia Basic Law of Government Article 1 states “</w:t>
      </w:r>
      <w:r w:rsidRPr="005D7CDE">
        <w:rPr>
          <w:rFonts w:cs="Calibri"/>
          <w:i/>
          <w:sz w:val="18"/>
          <w:szCs w:val="18"/>
        </w:rPr>
        <w:t>The Kingdom of Saudi Arabia is a sovereign Arab Islamic State. Its religion is Islam. Its constitution is Almighty God's Book, The Holy Qur'an, and the Sunna (Traditions) of the Prophet (PBUH)</w:t>
      </w:r>
      <w:r w:rsidRPr="005D7CDE">
        <w:rPr>
          <w:rFonts w:cs="Calibri"/>
          <w:sz w:val="18"/>
          <w:szCs w:val="18"/>
        </w:rPr>
        <w:t>”.</w:t>
      </w:r>
    </w:p>
  </w:footnote>
  <w:footnote w:id="65">
    <w:p w:rsidR="00976AB1" w:rsidRPr="005D7CDE" w:rsidRDefault="00976AB1" w:rsidP="00976AB1">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w:t>
      </w:r>
      <w:hyperlink r:id="rId47" w:history="1">
        <w:r w:rsidRPr="005D7CDE">
          <w:rPr>
            <w:rStyle w:val="Hyperlink"/>
            <w:rFonts w:cs="Calibri"/>
            <w:sz w:val="18"/>
            <w:szCs w:val="18"/>
          </w:rPr>
          <w:t>http://www.undp.org.sa/sa/index.php?option=com_content&amp;view=article&amp;id=3&amp;Itemid=5</w:t>
        </w:r>
      </w:hyperlink>
      <w:r w:rsidR="008414C5" w:rsidRPr="005D7CDE">
        <w:rPr>
          <w:rFonts w:cs="Calibri"/>
          <w:sz w:val="18"/>
          <w:szCs w:val="18"/>
        </w:rPr>
        <w:t xml:space="preserve">  Accessed at 25.04.2015</w:t>
      </w:r>
      <w:r w:rsidRPr="005D7CDE">
        <w:rPr>
          <w:rFonts w:cs="Calibri"/>
          <w:sz w:val="18"/>
          <w:szCs w:val="18"/>
        </w:rPr>
        <w:t>.</w:t>
      </w:r>
    </w:p>
  </w:footnote>
  <w:footnote w:id="66">
    <w:p w:rsidR="00976AB1" w:rsidRPr="005D7CDE" w:rsidRDefault="00976AB1" w:rsidP="00976AB1">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Khan, A. (2000-2001), Islam as Intellectual Property My Lord! Increase Me in Knowledge, Cumberland Law Review Volume 31, Pages 1-46, </w:t>
      </w:r>
      <w:proofErr w:type="spellStart"/>
      <w:r w:rsidRPr="005D7CDE">
        <w:rPr>
          <w:rFonts w:cs="Calibri"/>
          <w:sz w:val="18"/>
          <w:szCs w:val="18"/>
        </w:rPr>
        <w:t>Gattje</w:t>
      </w:r>
      <w:proofErr w:type="spellEnd"/>
      <w:r w:rsidRPr="005D7CDE">
        <w:rPr>
          <w:rFonts w:cs="Calibri"/>
          <w:sz w:val="18"/>
          <w:szCs w:val="18"/>
        </w:rPr>
        <w:t xml:space="preserve">, H. (1997), The Qur'an and its exegesis, [English trans. &amp; ed. Alford T. Welch], Oxford </w:t>
      </w:r>
      <w:proofErr w:type="spellStart"/>
      <w:r w:rsidRPr="005D7CDE">
        <w:rPr>
          <w:rFonts w:cs="Calibri"/>
          <w:sz w:val="18"/>
          <w:szCs w:val="18"/>
        </w:rPr>
        <w:t>Oneworld</w:t>
      </w:r>
      <w:proofErr w:type="spellEnd"/>
      <w:r w:rsidRPr="005D7CDE">
        <w:rPr>
          <w:rFonts w:cs="Calibri"/>
          <w:sz w:val="18"/>
          <w:szCs w:val="18"/>
        </w:rPr>
        <w:t xml:space="preserve"> and Price, D. (2012),  The Development of Intellectual Property Regimes in the Arabian Gulf States: Infidels at the Gates, Routledge.</w:t>
      </w:r>
    </w:p>
  </w:footnote>
  <w:footnote w:id="67">
    <w:p w:rsidR="00976AB1" w:rsidRPr="005D7CDE" w:rsidRDefault="00976AB1" w:rsidP="00976AB1">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Criminal punishments are still in existence in Saudi Arabia and include; capital punishment and amputation. See Law Of Criminal Procedure [2001], Part 5, Chapter 1, Articles 128 – 134. Available at </w:t>
      </w:r>
      <w:hyperlink r:id="rId48" w:history="1">
        <w:r w:rsidRPr="005D7CDE">
          <w:rPr>
            <w:rStyle w:val="Hyperlink"/>
            <w:rFonts w:cs="Calibri"/>
            <w:sz w:val="18"/>
            <w:szCs w:val="18"/>
          </w:rPr>
          <w:t>http://www.saudiembassy.net/about/country-information/laws/CriminalProcedures2001-2of3.aspx</w:t>
        </w:r>
      </w:hyperlink>
      <w:r w:rsidR="008414C5" w:rsidRPr="005D7CDE">
        <w:rPr>
          <w:rFonts w:cs="Calibri"/>
          <w:sz w:val="18"/>
          <w:szCs w:val="18"/>
        </w:rPr>
        <w:t xml:space="preserve"> Accessed on 10.04.2015</w:t>
      </w:r>
      <w:r w:rsidRPr="005D7CDE">
        <w:rPr>
          <w:rFonts w:cs="Calibri"/>
          <w:sz w:val="18"/>
          <w:szCs w:val="18"/>
        </w:rPr>
        <w:t>.</w:t>
      </w:r>
    </w:p>
  </w:footnote>
  <w:footnote w:id="68">
    <w:p w:rsidR="005C68AF" w:rsidRPr="005D7CDE" w:rsidRDefault="005C68AF" w:rsidP="005C68AF">
      <w:pPr>
        <w:pStyle w:val="FootnoteText"/>
        <w:rPr>
          <w:rFonts w:cs="Calibri"/>
          <w:bCs/>
          <w:sz w:val="18"/>
          <w:szCs w:val="18"/>
        </w:rPr>
      </w:pPr>
      <w:r w:rsidRPr="005D7CDE">
        <w:rPr>
          <w:rStyle w:val="FootnoteReference"/>
          <w:rFonts w:cs="Calibri"/>
          <w:sz w:val="18"/>
          <w:szCs w:val="18"/>
        </w:rPr>
        <w:footnoteRef/>
      </w:r>
      <w:r w:rsidRPr="005D7CDE">
        <w:rPr>
          <w:rFonts w:cs="Calibri"/>
          <w:sz w:val="18"/>
          <w:szCs w:val="18"/>
        </w:rPr>
        <w:t xml:space="preserve"> The Basic Law of Governance, Saudi Arabia, </w:t>
      </w:r>
      <w:r w:rsidRPr="005D7CDE">
        <w:rPr>
          <w:rStyle w:val="Strong"/>
          <w:rFonts w:cs="Calibri"/>
          <w:sz w:val="18"/>
          <w:szCs w:val="18"/>
        </w:rPr>
        <w:t>Article 44 states</w:t>
      </w:r>
      <w:r w:rsidRPr="005D7CDE">
        <w:rPr>
          <w:rStyle w:val="Strong"/>
          <w:rFonts w:cs="Calibri"/>
          <w:i/>
          <w:sz w:val="18"/>
          <w:szCs w:val="18"/>
        </w:rPr>
        <w:t>: “The Authorities of the State consist of: the Judicial Authority, the Executive Authority and the Regulatory Authority. These Authorities will cooperate in the performance of their functions, according to this Law or other laws. The King is the ultimate arbiter for these Authorities”</w:t>
      </w:r>
      <w:r w:rsidRPr="005D7CDE">
        <w:rPr>
          <w:rStyle w:val="Strong"/>
          <w:rFonts w:cs="Calibri"/>
          <w:sz w:val="18"/>
          <w:szCs w:val="18"/>
        </w:rPr>
        <w:t>. Also Article 55 states</w:t>
      </w:r>
      <w:r w:rsidRPr="005D7CDE">
        <w:rPr>
          <w:rFonts w:cs="Calibri"/>
          <w:b/>
          <w:bCs/>
          <w:sz w:val="18"/>
          <w:szCs w:val="18"/>
        </w:rPr>
        <w:t xml:space="preserve"> </w:t>
      </w:r>
      <w:r w:rsidRPr="005D7CDE">
        <w:rPr>
          <w:rFonts w:cs="Calibri"/>
          <w:bCs/>
          <w:i/>
          <w:sz w:val="18"/>
          <w:szCs w:val="18"/>
        </w:rPr>
        <w:t>“</w:t>
      </w:r>
      <w:r w:rsidRPr="005D7CDE">
        <w:rPr>
          <w:rFonts w:cs="Calibri"/>
          <w:i/>
          <w:sz w:val="18"/>
          <w:szCs w:val="18"/>
        </w:rPr>
        <w:t xml:space="preserve">The King shall rule the nation according to the Sharia. He shall also supervise the implementation of the Sharia, the general policy of the State, and the </w:t>
      </w:r>
      <w:proofErr w:type="spellStart"/>
      <w:r w:rsidRPr="005D7CDE">
        <w:rPr>
          <w:rFonts w:cs="Calibri"/>
          <w:i/>
          <w:sz w:val="18"/>
          <w:szCs w:val="18"/>
        </w:rPr>
        <w:t>defense</w:t>
      </w:r>
      <w:proofErr w:type="spellEnd"/>
      <w:r w:rsidRPr="005D7CDE">
        <w:rPr>
          <w:rFonts w:cs="Calibri"/>
          <w:i/>
          <w:sz w:val="18"/>
          <w:szCs w:val="18"/>
        </w:rPr>
        <w:t xml:space="preserve"> and protection of the country”. </w:t>
      </w:r>
      <w:r w:rsidRPr="005D7CDE">
        <w:rPr>
          <w:rFonts w:cs="Calibri"/>
          <w:sz w:val="18"/>
          <w:szCs w:val="18"/>
        </w:rPr>
        <w:t xml:space="preserve">Available at </w:t>
      </w:r>
      <w:hyperlink r:id="rId49" w:history="1">
        <w:r w:rsidRPr="005D7CDE">
          <w:rPr>
            <w:rStyle w:val="Hyperlink"/>
            <w:rFonts w:cs="Calibri"/>
            <w:sz w:val="18"/>
            <w:szCs w:val="18"/>
          </w:rPr>
          <w:t>http://www.saudiembassy.net/about/countryinformation/laws/The_Basic_Law_Of_Governance.aspx Accessed on 10.02.2014</w:t>
        </w:r>
      </w:hyperlink>
      <w:r w:rsidRPr="005D7CDE">
        <w:rPr>
          <w:rFonts w:cs="Calibri"/>
          <w:sz w:val="18"/>
          <w:szCs w:val="18"/>
        </w:rPr>
        <w:t xml:space="preserve">. Also see </w:t>
      </w:r>
      <w:proofErr w:type="spellStart"/>
      <w:r w:rsidRPr="005D7CDE">
        <w:rPr>
          <w:rFonts w:cs="Calibri"/>
          <w:sz w:val="18"/>
          <w:szCs w:val="18"/>
        </w:rPr>
        <w:t>Ansary</w:t>
      </w:r>
      <w:proofErr w:type="spellEnd"/>
      <w:r w:rsidRPr="005D7CDE">
        <w:rPr>
          <w:rFonts w:cs="Calibri"/>
          <w:sz w:val="18"/>
          <w:szCs w:val="18"/>
        </w:rPr>
        <w:t>, A. (2008), A Brief Overview of the Saudi Arabian Legal System</w:t>
      </w:r>
      <w:r w:rsidRPr="005D7CDE">
        <w:rPr>
          <w:rFonts w:cs="Calibri"/>
          <w:i/>
          <w:sz w:val="18"/>
          <w:szCs w:val="18"/>
        </w:rPr>
        <w:t>,</w:t>
      </w:r>
      <w:r w:rsidRPr="005D7CDE">
        <w:rPr>
          <w:rFonts w:cs="Calibri"/>
          <w:sz w:val="18"/>
          <w:szCs w:val="18"/>
        </w:rPr>
        <w:t xml:space="preserve"> Hauser Global Law School Program, </w:t>
      </w:r>
      <w:proofErr w:type="gramStart"/>
      <w:r w:rsidRPr="005D7CDE">
        <w:rPr>
          <w:rFonts w:cs="Calibri"/>
          <w:sz w:val="18"/>
          <w:szCs w:val="18"/>
        </w:rPr>
        <w:t>New</w:t>
      </w:r>
      <w:proofErr w:type="gramEnd"/>
      <w:r w:rsidRPr="005D7CDE">
        <w:rPr>
          <w:rFonts w:cs="Calibri"/>
          <w:sz w:val="18"/>
          <w:szCs w:val="18"/>
        </w:rPr>
        <w:t xml:space="preserve"> York University School of Law. Available at </w:t>
      </w:r>
      <w:hyperlink r:id="rId50" w:anchor="a" w:history="1">
        <w:r w:rsidRPr="005D7CDE">
          <w:rPr>
            <w:rStyle w:val="Hyperlink"/>
            <w:rFonts w:cs="Calibri"/>
            <w:sz w:val="18"/>
            <w:szCs w:val="18"/>
          </w:rPr>
          <w:t>http://www.nyulawglobal.org/globalex/saudi_arabia.htm#a</w:t>
        </w:r>
      </w:hyperlink>
      <w:r w:rsidR="008414C5" w:rsidRPr="005D7CDE">
        <w:rPr>
          <w:rFonts w:cs="Calibri"/>
          <w:sz w:val="18"/>
          <w:szCs w:val="18"/>
        </w:rPr>
        <w:t xml:space="preserve"> Accessed on 10.04.2015</w:t>
      </w:r>
      <w:r w:rsidRPr="005D7CDE">
        <w:rPr>
          <w:rFonts w:cs="Calibri"/>
          <w:sz w:val="18"/>
          <w:szCs w:val="18"/>
        </w:rPr>
        <w:t>.</w:t>
      </w:r>
    </w:p>
  </w:footnote>
  <w:footnote w:id="69">
    <w:p w:rsidR="005C68AF" w:rsidRPr="005D7CDE" w:rsidRDefault="005C68AF" w:rsidP="005C68AF">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w:t>
      </w:r>
      <w:hyperlink r:id="rId51" w:history="1">
        <w:r w:rsidRPr="005D7CDE">
          <w:rPr>
            <w:rStyle w:val="Hyperlink"/>
            <w:rFonts w:cs="Calibri"/>
            <w:sz w:val="18"/>
            <w:szCs w:val="18"/>
          </w:rPr>
          <w:t>https://www.cia.gov/library/publications/the-world-factbook/geos/sa.html</w:t>
        </w:r>
      </w:hyperlink>
      <w:r w:rsidR="008414C5" w:rsidRPr="005D7CDE">
        <w:rPr>
          <w:rFonts w:cs="Calibri"/>
          <w:sz w:val="18"/>
          <w:szCs w:val="18"/>
        </w:rPr>
        <w:t xml:space="preserve"> Accessed at 24.04.2015</w:t>
      </w:r>
      <w:r w:rsidRPr="005D7CDE">
        <w:rPr>
          <w:rFonts w:cs="Calibri"/>
          <w:sz w:val="18"/>
          <w:szCs w:val="18"/>
        </w:rPr>
        <w:t>.</w:t>
      </w:r>
    </w:p>
  </w:footnote>
  <w:footnote w:id="70">
    <w:p w:rsidR="00405CCC" w:rsidRPr="005D7CDE" w:rsidRDefault="00405CCC" w:rsidP="00405CCC">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w:t>
      </w:r>
      <w:proofErr w:type="spellStart"/>
      <w:r w:rsidRPr="005D7CDE">
        <w:rPr>
          <w:rFonts w:cs="Calibri"/>
          <w:sz w:val="18"/>
          <w:szCs w:val="18"/>
        </w:rPr>
        <w:t>Hassanien</w:t>
      </w:r>
      <w:proofErr w:type="spellEnd"/>
      <w:r w:rsidRPr="005D7CDE">
        <w:rPr>
          <w:rFonts w:cs="Calibri"/>
          <w:sz w:val="18"/>
          <w:szCs w:val="18"/>
        </w:rPr>
        <w:t xml:space="preserve">, M. (2008), "Bilateral </w:t>
      </w:r>
      <w:proofErr w:type="spellStart"/>
      <w:r w:rsidRPr="005D7CDE">
        <w:rPr>
          <w:rFonts w:cs="Calibri"/>
          <w:sz w:val="18"/>
          <w:szCs w:val="18"/>
        </w:rPr>
        <w:t>wto</w:t>
      </w:r>
      <w:proofErr w:type="spellEnd"/>
      <w:r w:rsidRPr="005D7CDE">
        <w:rPr>
          <w:rFonts w:cs="Calibri"/>
          <w:sz w:val="18"/>
          <w:szCs w:val="18"/>
        </w:rPr>
        <w:t>‐plus free trade agreements in the Middle East: A case study of OFTA in the post‐TRIPS era", Intellectual Property Law Journal, pages 161-197.</w:t>
      </w:r>
      <w:r w:rsidRPr="005D7CDE">
        <w:rPr>
          <w:rFonts w:cs="Calibri"/>
          <w:sz w:val="18"/>
          <w:szCs w:val="18"/>
        </w:rPr>
        <w:tab/>
      </w:r>
    </w:p>
  </w:footnote>
  <w:footnote w:id="71">
    <w:p w:rsidR="00882130" w:rsidRPr="005D7CDE" w:rsidRDefault="00882130" w:rsidP="00882130">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Referred to as “</w:t>
      </w:r>
      <w:r w:rsidRPr="005D7CDE">
        <w:rPr>
          <w:rFonts w:cs="Calibri"/>
          <w:i/>
          <w:sz w:val="18"/>
          <w:szCs w:val="18"/>
        </w:rPr>
        <w:t xml:space="preserve">the </w:t>
      </w:r>
      <w:proofErr w:type="spellStart"/>
      <w:r w:rsidRPr="005D7CDE">
        <w:rPr>
          <w:rFonts w:cs="Calibri"/>
          <w:i/>
          <w:sz w:val="18"/>
          <w:szCs w:val="18"/>
        </w:rPr>
        <w:t>Majlis</w:t>
      </w:r>
      <w:proofErr w:type="spellEnd"/>
      <w:r w:rsidRPr="005D7CDE">
        <w:rPr>
          <w:rFonts w:cs="Calibri"/>
          <w:i/>
          <w:sz w:val="18"/>
          <w:szCs w:val="18"/>
        </w:rPr>
        <w:t xml:space="preserve"> Oman</w:t>
      </w:r>
      <w:r w:rsidRPr="005D7CDE">
        <w:rPr>
          <w:rFonts w:cs="Calibri"/>
          <w:sz w:val="18"/>
          <w:szCs w:val="18"/>
        </w:rPr>
        <w:t>”.</w:t>
      </w:r>
    </w:p>
  </w:footnote>
  <w:footnote w:id="72">
    <w:p w:rsidR="00882130" w:rsidRPr="005D7CDE" w:rsidRDefault="00882130" w:rsidP="00882130">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Referred to as “</w:t>
      </w:r>
      <w:proofErr w:type="spellStart"/>
      <w:r w:rsidRPr="005D7CDE">
        <w:rPr>
          <w:rFonts w:cs="Calibri"/>
          <w:i/>
          <w:sz w:val="18"/>
          <w:szCs w:val="18"/>
        </w:rPr>
        <w:t>Majlis</w:t>
      </w:r>
      <w:proofErr w:type="spellEnd"/>
      <w:r w:rsidRPr="005D7CDE">
        <w:rPr>
          <w:rFonts w:cs="Calibri"/>
          <w:i/>
          <w:sz w:val="18"/>
          <w:szCs w:val="18"/>
        </w:rPr>
        <w:t xml:space="preserve"> al-</w:t>
      </w:r>
      <w:proofErr w:type="spellStart"/>
      <w:r w:rsidRPr="005D7CDE">
        <w:rPr>
          <w:rFonts w:cs="Calibri"/>
          <w:i/>
          <w:sz w:val="18"/>
          <w:szCs w:val="18"/>
        </w:rPr>
        <w:t>Dawla</w:t>
      </w:r>
      <w:proofErr w:type="spellEnd"/>
      <w:r w:rsidRPr="005D7CDE">
        <w:rPr>
          <w:rFonts w:cs="Calibri"/>
          <w:i/>
          <w:sz w:val="18"/>
          <w:szCs w:val="18"/>
        </w:rPr>
        <w:t>”.</w:t>
      </w:r>
    </w:p>
  </w:footnote>
  <w:footnote w:id="73">
    <w:p w:rsidR="00882130" w:rsidRPr="005D7CDE" w:rsidRDefault="00882130" w:rsidP="00882130">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Referred to as “</w:t>
      </w:r>
      <w:proofErr w:type="spellStart"/>
      <w:r w:rsidRPr="005D7CDE">
        <w:rPr>
          <w:rFonts w:cs="Calibri"/>
          <w:i/>
          <w:sz w:val="18"/>
          <w:szCs w:val="18"/>
        </w:rPr>
        <w:t>Majlis</w:t>
      </w:r>
      <w:proofErr w:type="spellEnd"/>
      <w:r w:rsidRPr="005D7CDE">
        <w:rPr>
          <w:rFonts w:cs="Calibri"/>
          <w:i/>
          <w:sz w:val="18"/>
          <w:szCs w:val="18"/>
        </w:rPr>
        <w:t xml:space="preserve"> al-</w:t>
      </w:r>
      <w:proofErr w:type="spellStart"/>
      <w:r w:rsidRPr="005D7CDE">
        <w:rPr>
          <w:rFonts w:cs="Calibri"/>
          <w:i/>
          <w:sz w:val="18"/>
          <w:szCs w:val="18"/>
        </w:rPr>
        <w:t>Shura</w:t>
      </w:r>
      <w:proofErr w:type="spellEnd"/>
      <w:r w:rsidRPr="005D7CDE">
        <w:rPr>
          <w:rFonts w:cs="Calibri"/>
          <w:i/>
          <w:sz w:val="18"/>
          <w:szCs w:val="18"/>
        </w:rPr>
        <w:t>”.</w:t>
      </w:r>
    </w:p>
  </w:footnote>
  <w:footnote w:id="74">
    <w:p w:rsidR="00882130" w:rsidRPr="005D7CDE" w:rsidRDefault="00882130" w:rsidP="008414C5">
      <w:pPr>
        <w:autoSpaceDE w:val="0"/>
        <w:autoSpaceDN w:val="0"/>
        <w:adjustRightInd w:val="0"/>
        <w:spacing w:after="0"/>
        <w:rPr>
          <w:rFonts w:cs="Arial"/>
          <w:sz w:val="18"/>
          <w:szCs w:val="18"/>
        </w:rPr>
      </w:pPr>
      <w:r w:rsidRPr="005D7CDE">
        <w:rPr>
          <w:rStyle w:val="FootnoteReference"/>
          <w:sz w:val="18"/>
          <w:szCs w:val="18"/>
        </w:rPr>
        <w:footnoteRef/>
      </w:r>
      <w:r w:rsidRPr="005D7CDE">
        <w:rPr>
          <w:sz w:val="18"/>
          <w:szCs w:val="18"/>
        </w:rPr>
        <w:t xml:space="preserve"> </w:t>
      </w:r>
      <w:r w:rsidRPr="005D7CDE">
        <w:rPr>
          <w:rFonts w:cs="Arial"/>
          <w:sz w:val="18"/>
          <w:szCs w:val="18"/>
        </w:rPr>
        <w:t>Price, D. (2012), The Development of Intellectual Property Regimes in the Arabian Gulf States: Infidels at the Gates, Chapter 2, page 14.</w:t>
      </w:r>
    </w:p>
  </w:footnote>
  <w:footnote w:id="75">
    <w:p w:rsidR="004A2B40" w:rsidRPr="005D7CDE" w:rsidRDefault="004A2B40" w:rsidP="008414C5">
      <w:pPr>
        <w:pStyle w:val="FootnoteText"/>
        <w:rPr>
          <w:sz w:val="18"/>
          <w:szCs w:val="18"/>
        </w:rPr>
      </w:pPr>
      <w:r w:rsidRPr="005D7CDE">
        <w:rPr>
          <w:rStyle w:val="FootnoteReference"/>
          <w:sz w:val="18"/>
          <w:szCs w:val="18"/>
        </w:rPr>
        <w:footnoteRef/>
      </w:r>
      <w:r w:rsidRPr="005D7CDE">
        <w:rPr>
          <w:sz w:val="18"/>
          <w:szCs w:val="18"/>
        </w:rPr>
        <w:t xml:space="preserve"> Peck, M. (2008), The A to Z of the Gulf Arab States, Scarecrow Press Incorporated, Page 40.</w:t>
      </w:r>
    </w:p>
  </w:footnote>
  <w:footnote w:id="76">
    <w:p w:rsidR="003E5EDF" w:rsidRPr="005D7CDE" w:rsidRDefault="003E5EDF" w:rsidP="003E5EDF">
      <w:pPr>
        <w:pStyle w:val="FootnoteText"/>
        <w:rPr>
          <w:rFonts w:cs="Calibri"/>
          <w:sz w:val="18"/>
          <w:szCs w:val="18"/>
        </w:rPr>
      </w:pPr>
      <w:r w:rsidRPr="005D7CDE">
        <w:rPr>
          <w:rStyle w:val="FootnoteReference"/>
          <w:rFonts w:cs="Calibri"/>
          <w:sz w:val="18"/>
          <w:szCs w:val="18"/>
        </w:rPr>
        <w:footnoteRef/>
      </w:r>
      <w:r w:rsidRPr="005D7CDE">
        <w:rPr>
          <w:rFonts w:cs="Calibri"/>
          <w:sz w:val="18"/>
          <w:szCs w:val="18"/>
        </w:rPr>
        <w:t xml:space="preserve"> The committee, named the Permanent Constitution Drafting Committee, was formed, with a membership of a chairman, a deputy chairman and 30 members.</w:t>
      </w:r>
    </w:p>
  </w:footnote>
  <w:footnote w:id="77">
    <w:p w:rsidR="00C70900" w:rsidRPr="005D7CDE" w:rsidRDefault="00C70900" w:rsidP="00C70900">
      <w:pPr>
        <w:pStyle w:val="FootnoteText"/>
        <w:rPr>
          <w:color w:val="000000"/>
          <w:sz w:val="18"/>
          <w:szCs w:val="18"/>
        </w:rPr>
      </w:pPr>
      <w:r w:rsidRPr="005D7CDE">
        <w:rPr>
          <w:rStyle w:val="FootnoteReference"/>
          <w:color w:val="000000"/>
          <w:sz w:val="18"/>
          <w:szCs w:val="18"/>
        </w:rPr>
        <w:footnoteRef/>
      </w:r>
      <w:r w:rsidRPr="005D7CDE">
        <w:rPr>
          <w:color w:val="000000"/>
          <w:sz w:val="18"/>
          <w:szCs w:val="18"/>
        </w:rPr>
        <w:t xml:space="preserve"> </w:t>
      </w:r>
      <w:hyperlink r:id="rId52" w:history="1">
        <w:r w:rsidRPr="005D7CDE">
          <w:rPr>
            <w:rStyle w:val="Hyperlink"/>
            <w:sz w:val="18"/>
            <w:szCs w:val="18"/>
          </w:rPr>
          <w:t>http://www.wipo.int/wipolex/en/details.jsp?id=10673</w:t>
        </w:r>
      </w:hyperlink>
      <w:r w:rsidRPr="005D7CDE">
        <w:rPr>
          <w:sz w:val="18"/>
          <w:szCs w:val="18"/>
        </w:rPr>
        <w:t xml:space="preserve"> </w:t>
      </w:r>
      <w:r w:rsidR="008414C5" w:rsidRPr="005D7CDE">
        <w:rPr>
          <w:color w:val="000000"/>
          <w:sz w:val="18"/>
          <w:szCs w:val="18"/>
        </w:rPr>
        <w:t xml:space="preserve"> Accessed 14.04.2015</w:t>
      </w:r>
      <w:r w:rsidRPr="005D7CDE">
        <w:rPr>
          <w:color w:val="000000"/>
          <w:sz w:val="18"/>
          <w:szCs w:val="18"/>
        </w:rPr>
        <w:t>.</w:t>
      </w:r>
    </w:p>
  </w:footnote>
  <w:footnote w:id="78">
    <w:p w:rsidR="00C83C6E" w:rsidRPr="005D7CDE" w:rsidRDefault="00C83C6E" w:rsidP="00C83C6E">
      <w:pPr>
        <w:pStyle w:val="FootnoteText"/>
        <w:rPr>
          <w:sz w:val="18"/>
          <w:szCs w:val="18"/>
        </w:rPr>
      </w:pPr>
      <w:r w:rsidRPr="005D7CDE">
        <w:rPr>
          <w:rStyle w:val="FootnoteReference"/>
          <w:sz w:val="18"/>
          <w:szCs w:val="18"/>
        </w:rPr>
        <w:footnoteRef/>
      </w:r>
      <w:r w:rsidRPr="005D7CDE">
        <w:rPr>
          <w:sz w:val="18"/>
          <w:szCs w:val="18"/>
        </w:rPr>
        <w:t xml:space="preserve"> See </w:t>
      </w:r>
      <w:proofErr w:type="spellStart"/>
      <w:r w:rsidRPr="005D7CDE">
        <w:rPr>
          <w:sz w:val="18"/>
          <w:szCs w:val="18"/>
        </w:rPr>
        <w:t>Pratap</w:t>
      </w:r>
      <w:proofErr w:type="spellEnd"/>
      <w:r w:rsidRPr="005D7CDE">
        <w:rPr>
          <w:sz w:val="18"/>
          <w:szCs w:val="18"/>
        </w:rPr>
        <w:t xml:space="preserve">, J. (2013), </w:t>
      </w:r>
      <w:proofErr w:type="gramStart"/>
      <w:r w:rsidRPr="005D7CDE">
        <w:rPr>
          <w:sz w:val="18"/>
          <w:szCs w:val="18"/>
        </w:rPr>
        <w:t>Proposed</w:t>
      </w:r>
      <w:proofErr w:type="gramEnd"/>
      <w:r w:rsidRPr="005D7CDE">
        <w:rPr>
          <w:sz w:val="18"/>
          <w:szCs w:val="18"/>
        </w:rPr>
        <w:t xml:space="preserve"> US-EU trade deal may impact business in GCC: report. Available at </w:t>
      </w:r>
      <w:hyperlink r:id="rId53" w:anchor="sthash.aXZVR17g.dpuf" w:history="1">
        <w:r w:rsidRPr="005D7CDE">
          <w:rPr>
            <w:rStyle w:val="Hyperlink"/>
            <w:sz w:val="18"/>
            <w:szCs w:val="18"/>
          </w:rPr>
          <w:t>http://www.bilaterals.org/?proposed-us-eu-trade-deal-may#sthash.aXZVR17g.dpuf</w:t>
        </w:r>
      </w:hyperlink>
      <w:r w:rsidR="008414C5" w:rsidRPr="005D7CDE">
        <w:rPr>
          <w:sz w:val="18"/>
          <w:szCs w:val="18"/>
        </w:rPr>
        <w:t>. Accessed on 21.04.2015</w:t>
      </w:r>
      <w:r w:rsidRPr="005D7CDE">
        <w:rPr>
          <w:sz w:val="18"/>
          <w:szCs w:val="18"/>
        </w:rPr>
        <w:t>.</w:t>
      </w:r>
    </w:p>
  </w:footnote>
  <w:footnote w:id="79">
    <w:p w:rsidR="00E41D6E" w:rsidRPr="005D7CDE" w:rsidRDefault="00E41D6E">
      <w:pPr>
        <w:pStyle w:val="FootnoteText"/>
        <w:rPr>
          <w:sz w:val="18"/>
          <w:szCs w:val="18"/>
        </w:rPr>
      </w:pPr>
      <w:r w:rsidRPr="005D7CDE">
        <w:rPr>
          <w:rStyle w:val="FootnoteReference"/>
          <w:sz w:val="18"/>
          <w:szCs w:val="18"/>
        </w:rPr>
        <w:footnoteRef/>
      </w:r>
      <w:r w:rsidRPr="005D7CDE">
        <w:rPr>
          <w:sz w:val="18"/>
          <w:szCs w:val="18"/>
        </w:rPr>
        <w:t xml:space="preserve"> </w:t>
      </w:r>
      <w:r w:rsidR="00707545" w:rsidRPr="005D7CDE">
        <w:rPr>
          <w:sz w:val="18"/>
          <w:szCs w:val="18"/>
        </w:rPr>
        <w:t xml:space="preserve">John, P. (26.08.2013), </w:t>
      </w:r>
      <w:proofErr w:type="gramStart"/>
      <w:r w:rsidR="00321EAA" w:rsidRPr="005D7CDE">
        <w:rPr>
          <w:sz w:val="18"/>
          <w:szCs w:val="18"/>
        </w:rPr>
        <w:t>Proposed</w:t>
      </w:r>
      <w:proofErr w:type="gramEnd"/>
      <w:r w:rsidR="00321EAA" w:rsidRPr="005D7CDE">
        <w:rPr>
          <w:sz w:val="18"/>
          <w:szCs w:val="18"/>
        </w:rPr>
        <w:t xml:space="preserve"> US-EU trade deal may impact business in GCC: report. Available at </w:t>
      </w:r>
      <w:hyperlink r:id="rId54" w:anchor="sthash.EYAUWxFW.dpuf" w:history="1">
        <w:r w:rsidR="00321EAA" w:rsidRPr="005D7CDE">
          <w:rPr>
            <w:rStyle w:val="Hyperlink"/>
            <w:sz w:val="18"/>
            <w:szCs w:val="18"/>
          </w:rPr>
          <w:t>http://www.bilaterals.org/?proposed-us-eu-trade-deal-may#sthash.EYAUWxFW.dpuf</w:t>
        </w:r>
      </w:hyperlink>
      <w:r w:rsidR="008414C5" w:rsidRPr="005D7CDE">
        <w:rPr>
          <w:sz w:val="18"/>
          <w:szCs w:val="18"/>
        </w:rPr>
        <w:t>. Accessed on 21.04.2015</w:t>
      </w:r>
      <w:r w:rsidR="00321EAA" w:rsidRPr="005D7CDE">
        <w:rPr>
          <w:sz w:val="18"/>
          <w:szCs w:val="18"/>
        </w:rPr>
        <w:t>.</w:t>
      </w:r>
    </w:p>
  </w:footnote>
  <w:footnote w:id="80">
    <w:p w:rsidR="004D3A08" w:rsidRPr="005D7CDE" w:rsidRDefault="00166868" w:rsidP="004D3A08">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r w:rsidR="00B80802" w:rsidRPr="005D7CDE">
        <w:rPr>
          <w:rFonts w:ascii="Calibri" w:hAnsi="Calibri"/>
          <w:sz w:val="18"/>
          <w:szCs w:val="18"/>
        </w:rPr>
        <w:t xml:space="preserve">International Centre for the Settlement of Investment Disputes, (2012), </w:t>
      </w:r>
      <w:r w:rsidR="004D3A08" w:rsidRPr="005D7CDE">
        <w:rPr>
          <w:rFonts w:ascii="Calibri" w:hAnsi="Calibri"/>
          <w:sz w:val="18"/>
          <w:szCs w:val="18"/>
        </w:rPr>
        <w:t>Background Paper on Annulment</w:t>
      </w:r>
    </w:p>
    <w:p w:rsidR="00166868" w:rsidRPr="005D7CDE" w:rsidRDefault="004D3A08" w:rsidP="004D3A08">
      <w:pPr>
        <w:pStyle w:val="FootnoteText"/>
        <w:rPr>
          <w:rFonts w:ascii="Calibri" w:hAnsi="Calibri"/>
          <w:sz w:val="18"/>
          <w:szCs w:val="18"/>
        </w:rPr>
      </w:pPr>
      <w:r w:rsidRPr="005D7CDE">
        <w:rPr>
          <w:rFonts w:ascii="Calibri" w:hAnsi="Calibri"/>
          <w:sz w:val="18"/>
          <w:szCs w:val="18"/>
        </w:rPr>
        <w:t xml:space="preserve">For the Administrative Council of ICSID, World Bank. Available at </w:t>
      </w:r>
      <w:hyperlink r:id="rId55" w:history="1">
        <w:r w:rsidRPr="005D7CDE">
          <w:rPr>
            <w:rStyle w:val="Hyperlink"/>
            <w:rFonts w:ascii="Calibri" w:hAnsi="Calibri"/>
            <w:sz w:val="18"/>
            <w:szCs w:val="18"/>
          </w:rPr>
          <w:t>https://icsid.worldbank.org/apps/ICSIDWEB/resources/Documents/Background%20Report%20on%20Annulment_English.pdf</w:t>
        </w:r>
      </w:hyperlink>
      <w:r w:rsidR="008414C5" w:rsidRPr="005D7CDE">
        <w:rPr>
          <w:rFonts w:ascii="Calibri" w:hAnsi="Calibri"/>
          <w:sz w:val="18"/>
          <w:szCs w:val="18"/>
        </w:rPr>
        <w:t>. Accessed on 21.04.2015</w:t>
      </w:r>
      <w:r w:rsidRPr="005D7CDE">
        <w:rPr>
          <w:rFonts w:ascii="Calibri" w:hAnsi="Calibri"/>
          <w:sz w:val="18"/>
          <w:szCs w:val="18"/>
        </w:rPr>
        <w:t>.</w:t>
      </w:r>
    </w:p>
  </w:footnote>
  <w:footnote w:id="81">
    <w:p w:rsidR="005C298F" w:rsidRPr="005D7CDE" w:rsidRDefault="005C298F" w:rsidP="005C298F">
      <w:pPr>
        <w:autoSpaceDE w:val="0"/>
        <w:autoSpaceDN w:val="0"/>
        <w:adjustRightInd w:val="0"/>
        <w:spacing w:after="0" w:line="240" w:lineRule="auto"/>
        <w:rPr>
          <w:rFonts w:ascii="Calibri" w:hAnsi="Calibri" w:cs="Times New Roman"/>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r w:rsidRPr="005D7CDE">
        <w:rPr>
          <w:rFonts w:ascii="Calibri" w:hAnsi="Calibri" w:cs="Times New Roman"/>
          <w:i/>
          <w:iCs/>
          <w:sz w:val="18"/>
          <w:szCs w:val="18"/>
        </w:rPr>
        <w:t xml:space="preserve">See </w:t>
      </w:r>
      <w:r w:rsidRPr="005D7CDE">
        <w:rPr>
          <w:rFonts w:ascii="Calibri" w:hAnsi="Calibri" w:cs="Times New Roman"/>
          <w:sz w:val="18"/>
          <w:szCs w:val="18"/>
        </w:rPr>
        <w:t xml:space="preserve">Documents of the Fifth Session Including the Report of the Commission to the General Assembly, [1953] 2 </w:t>
      </w:r>
      <w:r w:rsidRPr="005D7CDE">
        <w:rPr>
          <w:rFonts w:ascii="Calibri" w:hAnsi="Calibri" w:cs="Times New Roman"/>
          <w:i/>
          <w:iCs/>
          <w:sz w:val="18"/>
          <w:szCs w:val="18"/>
        </w:rPr>
        <w:t xml:space="preserve">Yearbook of the International Law Commission </w:t>
      </w:r>
      <w:r w:rsidRPr="005D7CDE">
        <w:rPr>
          <w:rFonts w:ascii="Calibri" w:hAnsi="Calibri" w:cs="Times New Roman"/>
          <w:sz w:val="18"/>
          <w:szCs w:val="18"/>
        </w:rPr>
        <w:t xml:space="preserve">211, Article 30 of the Draft Convention on Arbitral Procedure and Broches, A. (1995), Observations on the Finality of ICSID Awards </w:t>
      </w:r>
      <w:r w:rsidRPr="005D7CDE">
        <w:rPr>
          <w:rFonts w:ascii="Calibri" w:hAnsi="Calibri" w:cs="Times New Roman"/>
          <w:iCs/>
          <w:sz w:val="18"/>
          <w:szCs w:val="18"/>
        </w:rPr>
        <w:t>in Selected Essays: World Bank, ICSID, and Other Subjects of Public and Private International Law.</w:t>
      </w:r>
    </w:p>
  </w:footnote>
  <w:footnote w:id="82">
    <w:p w:rsidR="00B65CEB" w:rsidRPr="005D7CDE" w:rsidRDefault="00B65CEB">
      <w:pPr>
        <w:pStyle w:val="FootnoteText"/>
        <w:rPr>
          <w:rFonts w:ascii="Calibri" w:hAnsi="Calibri"/>
          <w:sz w:val="18"/>
          <w:szCs w:val="18"/>
        </w:rPr>
      </w:pPr>
      <w:r w:rsidRPr="005D7CDE">
        <w:rPr>
          <w:rStyle w:val="FootnoteReference"/>
          <w:sz w:val="18"/>
          <w:szCs w:val="18"/>
        </w:rPr>
        <w:footnoteRef/>
      </w:r>
      <w:r w:rsidRPr="005D7CDE">
        <w:rPr>
          <w:sz w:val="18"/>
          <w:szCs w:val="18"/>
        </w:rPr>
        <w:t xml:space="preserve"> </w:t>
      </w:r>
      <w:r w:rsidR="00067408" w:rsidRPr="005D7CDE">
        <w:rPr>
          <w:sz w:val="18"/>
          <w:szCs w:val="18"/>
        </w:rPr>
        <w:t>French, A. (2014), ISDS: A cut above the courts?</w:t>
      </w:r>
      <w:r w:rsidR="002F35FF" w:rsidRPr="005D7CDE">
        <w:rPr>
          <w:sz w:val="18"/>
          <w:szCs w:val="18"/>
        </w:rPr>
        <w:t xml:space="preserve"> Speech delivered by the Chief Justice of Australia on 9 July 2014 in Darwin at judges’ </w:t>
      </w:r>
      <w:r w:rsidR="002F35FF" w:rsidRPr="005D7CDE">
        <w:rPr>
          <w:rFonts w:ascii="Calibri" w:hAnsi="Calibri"/>
          <w:sz w:val="18"/>
          <w:szCs w:val="18"/>
        </w:rPr>
        <w:t xml:space="preserve">conference. Available at </w:t>
      </w:r>
      <w:hyperlink r:id="rId56" w:history="1">
        <w:r w:rsidR="002021FD" w:rsidRPr="005D7CDE">
          <w:rPr>
            <w:rStyle w:val="Hyperlink"/>
            <w:rFonts w:ascii="Calibri" w:hAnsi="Calibri"/>
            <w:sz w:val="18"/>
            <w:szCs w:val="18"/>
          </w:rPr>
          <w:t>http://www.cla.asn.au/News/isds-a-cut-above-the-courts/</w:t>
        </w:r>
      </w:hyperlink>
      <w:r w:rsidR="008414C5" w:rsidRPr="005D7CDE">
        <w:rPr>
          <w:rFonts w:ascii="Calibri" w:hAnsi="Calibri"/>
          <w:sz w:val="18"/>
          <w:szCs w:val="18"/>
        </w:rPr>
        <w:t>. Accessed on 20.04.2015</w:t>
      </w:r>
      <w:r w:rsidR="002021FD" w:rsidRPr="005D7CDE">
        <w:rPr>
          <w:rFonts w:ascii="Calibri" w:hAnsi="Calibri"/>
          <w:sz w:val="18"/>
          <w:szCs w:val="18"/>
        </w:rPr>
        <w:t>.</w:t>
      </w:r>
    </w:p>
  </w:footnote>
  <w:footnote w:id="83">
    <w:p w:rsidR="00C62B0E" w:rsidRPr="005D7CDE" w:rsidRDefault="00C62B0E">
      <w:pPr>
        <w:pStyle w:val="FootnoteText"/>
        <w:rPr>
          <w:rFonts w:ascii="Calibri" w:hAnsi="Calibri"/>
          <w:sz w:val="18"/>
          <w:szCs w:val="18"/>
        </w:rPr>
      </w:pPr>
      <w:r w:rsidRPr="005D7CDE">
        <w:rPr>
          <w:rStyle w:val="FootnoteReference"/>
          <w:rFonts w:ascii="Calibri" w:hAnsi="Calibri"/>
          <w:sz w:val="18"/>
          <w:szCs w:val="18"/>
        </w:rPr>
        <w:footnoteRef/>
      </w:r>
      <w:r w:rsidRPr="005D7CDE">
        <w:rPr>
          <w:rFonts w:ascii="Calibri" w:hAnsi="Calibri"/>
          <w:sz w:val="18"/>
          <w:szCs w:val="18"/>
        </w:rPr>
        <w:t xml:space="preserve"> </w:t>
      </w:r>
      <w:proofErr w:type="spellStart"/>
      <w:r w:rsidR="00D3597E" w:rsidRPr="005D7CDE">
        <w:rPr>
          <w:rFonts w:ascii="Calibri" w:hAnsi="Calibri"/>
          <w:sz w:val="18"/>
          <w:szCs w:val="18"/>
        </w:rPr>
        <w:t>Bitar</w:t>
      </w:r>
      <w:proofErr w:type="spellEnd"/>
      <w:r w:rsidR="00D3597E" w:rsidRPr="005D7CDE">
        <w:rPr>
          <w:rFonts w:ascii="Calibri" w:hAnsi="Calibri"/>
          <w:sz w:val="18"/>
          <w:szCs w:val="18"/>
        </w:rPr>
        <w:t xml:space="preserve">, Z. (26.12.2013), </w:t>
      </w:r>
      <w:r w:rsidR="00D3597E" w:rsidRPr="005D7CDE">
        <w:rPr>
          <w:rFonts w:ascii="Calibri" w:hAnsi="Calibri"/>
          <w:sz w:val="18"/>
          <w:szCs w:val="18"/>
          <w:lang w:val="en"/>
        </w:rPr>
        <w:t>United States-European Union alliance could benefit Dubai trade: Dubai Chamber</w:t>
      </w:r>
      <w:r w:rsidR="00864410" w:rsidRPr="005D7CDE">
        <w:rPr>
          <w:rFonts w:ascii="Calibri" w:hAnsi="Calibri"/>
          <w:sz w:val="18"/>
          <w:szCs w:val="18"/>
          <w:lang w:val="en"/>
        </w:rPr>
        <w:t xml:space="preserve">. Available at </w:t>
      </w:r>
      <w:hyperlink r:id="rId57" w:history="1">
        <w:r w:rsidR="004653B5" w:rsidRPr="005D7CDE">
          <w:rPr>
            <w:rStyle w:val="Hyperlink"/>
            <w:rFonts w:ascii="Calibri" w:hAnsi="Calibri"/>
            <w:sz w:val="18"/>
            <w:szCs w:val="18"/>
            <w:lang w:val="en"/>
          </w:rPr>
          <w:t>http://gulfnews.com/business/economy/united-states-european-union-alliance-could-benefit-dubai-trade-dubai-chamber-1.1271122</w:t>
        </w:r>
      </w:hyperlink>
      <w:r w:rsidR="008414C5" w:rsidRPr="005D7CDE">
        <w:rPr>
          <w:rFonts w:ascii="Calibri" w:hAnsi="Calibri"/>
          <w:sz w:val="18"/>
          <w:szCs w:val="18"/>
          <w:lang w:val="en"/>
        </w:rPr>
        <w:t>. Accessed on 21.04.2015</w:t>
      </w:r>
      <w:r w:rsidR="004653B5" w:rsidRPr="005D7CDE">
        <w:rPr>
          <w:rFonts w:ascii="Calibri" w:hAnsi="Calibri"/>
          <w:sz w:val="18"/>
          <w:szCs w:val="18"/>
          <w:lang w:val="en"/>
        </w:rPr>
        <w:t>.</w:t>
      </w:r>
    </w:p>
  </w:footnote>
  <w:footnote w:id="84">
    <w:p w:rsidR="002814C7" w:rsidRPr="005D7CDE" w:rsidRDefault="002814C7">
      <w:pPr>
        <w:pStyle w:val="FootnoteText"/>
        <w:rPr>
          <w:sz w:val="18"/>
          <w:szCs w:val="18"/>
        </w:rPr>
      </w:pPr>
      <w:r w:rsidRPr="005D7CDE">
        <w:rPr>
          <w:rStyle w:val="FootnoteReference"/>
          <w:sz w:val="18"/>
          <w:szCs w:val="18"/>
        </w:rPr>
        <w:footnoteRef/>
      </w:r>
      <w:r w:rsidRPr="005D7CDE">
        <w:rPr>
          <w:sz w:val="18"/>
          <w:szCs w:val="18"/>
        </w:rPr>
        <w:t xml:space="preserve"> Economist Intelligence Unit 2011 states 30 years ago the Organisation for Economic Co-operation and Development, (OECD), accounted for 85% of GCC trade, however with the influx of emerging markets, by 2009, 45% of GCC trade stems from emerging markets . Also see </w:t>
      </w:r>
      <w:proofErr w:type="spellStart"/>
      <w:r w:rsidRPr="005D7CDE">
        <w:rPr>
          <w:sz w:val="18"/>
          <w:szCs w:val="18"/>
        </w:rPr>
        <w:t>Habibi</w:t>
      </w:r>
      <w:proofErr w:type="spellEnd"/>
      <w:r w:rsidRPr="005D7CDE">
        <w:rPr>
          <w:sz w:val="18"/>
          <w:szCs w:val="18"/>
        </w:rPr>
        <w:t>, N. (2011), Growth in economic relations of China and India with the GCC countries, Asian-Pacific Economic Literature, 25: 52–67.</w:t>
      </w:r>
    </w:p>
  </w:footnote>
  <w:footnote w:id="85">
    <w:p w:rsidR="0028230E" w:rsidRPr="005D7CDE" w:rsidRDefault="0028230E" w:rsidP="0028230E">
      <w:pPr>
        <w:pStyle w:val="FootnoteText"/>
        <w:rPr>
          <w:sz w:val="18"/>
          <w:szCs w:val="18"/>
        </w:rPr>
      </w:pPr>
      <w:r w:rsidRPr="005D7CDE">
        <w:rPr>
          <w:rStyle w:val="FootnoteReference"/>
          <w:sz w:val="18"/>
          <w:szCs w:val="18"/>
        </w:rPr>
        <w:footnoteRef/>
      </w:r>
      <w:r w:rsidRPr="005D7CDE">
        <w:rPr>
          <w:sz w:val="18"/>
          <w:szCs w:val="18"/>
        </w:rPr>
        <w:t xml:space="preserve"> See Khan, A. (2001), Islam as Intellectual Property My Lord! Increase Me </w:t>
      </w:r>
      <w:proofErr w:type="gramStart"/>
      <w:r w:rsidRPr="005D7CDE">
        <w:rPr>
          <w:sz w:val="18"/>
          <w:szCs w:val="18"/>
        </w:rPr>
        <w:t>In</w:t>
      </w:r>
      <w:proofErr w:type="gramEnd"/>
      <w:r w:rsidRPr="005D7CDE">
        <w:rPr>
          <w:sz w:val="18"/>
          <w:szCs w:val="18"/>
        </w:rPr>
        <w:t xml:space="preserve"> Knowledge, Cumberland Law Review, Volume 31, Part 3, pages 631-684.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75758"/>
    <w:multiLevelType w:val="hybridMultilevel"/>
    <w:tmpl w:val="3014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21"/>
    <w:rsid w:val="000008C5"/>
    <w:rsid w:val="0001239E"/>
    <w:rsid w:val="00012D3C"/>
    <w:rsid w:val="0002506C"/>
    <w:rsid w:val="00035D9C"/>
    <w:rsid w:val="000368AB"/>
    <w:rsid w:val="00036D63"/>
    <w:rsid w:val="00042294"/>
    <w:rsid w:val="00062393"/>
    <w:rsid w:val="0006393E"/>
    <w:rsid w:val="00067408"/>
    <w:rsid w:val="00071568"/>
    <w:rsid w:val="00084CCB"/>
    <w:rsid w:val="00096BFA"/>
    <w:rsid w:val="000B1E8C"/>
    <w:rsid w:val="000C168B"/>
    <w:rsid w:val="000C4350"/>
    <w:rsid w:val="000D24D6"/>
    <w:rsid w:val="000E0A57"/>
    <w:rsid w:val="000E3CCE"/>
    <w:rsid w:val="000E661D"/>
    <w:rsid w:val="000F3211"/>
    <w:rsid w:val="00100EE0"/>
    <w:rsid w:val="00112D87"/>
    <w:rsid w:val="00127B02"/>
    <w:rsid w:val="00127D8B"/>
    <w:rsid w:val="001458BC"/>
    <w:rsid w:val="001504FA"/>
    <w:rsid w:val="001509A1"/>
    <w:rsid w:val="00150CDF"/>
    <w:rsid w:val="0015786B"/>
    <w:rsid w:val="00161D5E"/>
    <w:rsid w:val="00166868"/>
    <w:rsid w:val="0017149D"/>
    <w:rsid w:val="00176880"/>
    <w:rsid w:val="0019549C"/>
    <w:rsid w:val="001A536F"/>
    <w:rsid w:val="001B66FD"/>
    <w:rsid w:val="001D3CB7"/>
    <w:rsid w:val="001E055B"/>
    <w:rsid w:val="001E476F"/>
    <w:rsid w:val="001E4D87"/>
    <w:rsid w:val="001F2CAF"/>
    <w:rsid w:val="00200D3A"/>
    <w:rsid w:val="002021FD"/>
    <w:rsid w:val="002103E9"/>
    <w:rsid w:val="00242083"/>
    <w:rsid w:val="002475DB"/>
    <w:rsid w:val="0027244B"/>
    <w:rsid w:val="002746FD"/>
    <w:rsid w:val="002814C7"/>
    <w:rsid w:val="0028230E"/>
    <w:rsid w:val="0028401B"/>
    <w:rsid w:val="00293794"/>
    <w:rsid w:val="002B7AB3"/>
    <w:rsid w:val="002C612F"/>
    <w:rsid w:val="002C6C70"/>
    <w:rsid w:val="002F35FF"/>
    <w:rsid w:val="002F7196"/>
    <w:rsid w:val="003031F0"/>
    <w:rsid w:val="00306099"/>
    <w:rsid w:val="00321EAA"/>
    <w:rsid w:val="0032672B"/>
    <w:rsid w:val="00333017"/>
    <w:rsid w:val="003425BF"/>
    <w:rsid w:val="00345178"/>
    <w:rsid w:val="00356C1F"/>
    <w:rsid w:val="00357C1D"/>
    <w:rsid w:val="00362EB4"/>
    <w:rsid w:val="00371A2E"/>
    <w:rsid w:val="00395F1A"/>
    <w:rsid w:val="003A1E25"/>
    <w:rsid w:val="003A31DF"/>
    <w:rsid w:val="003A3A5E"/>
    <w:rsid w:val="003A496C"/>
    <w:rsid w:val="003A4AD6"/>
    <w:rsid w:val="003B779C"/>
    <w:rsid w:val="003D3DC1"/>
    <w:rsid w:val="003D7F2B"/>
    <w:rsid w:val="003E46A4"/>
    <w:rsid w:val="003E5EDF"/>
    <w:rsid w:val="00405CCC"/>
    <w:rsid w:val="004177E4"/>
    <w:rsid w:val="00436E1A"/>
    <w:rsid w:val="00440936"/>
    <w:rsid w:val="00455DFD"/>
    <w:rsid w:val="0045614B"/>
    <w:rsid w:val="00464C03"/>
    <w:rsid w:val="004653B5"/>
    <w:rsid w:val="00470634"/>
    <w:rsid w:val="004728BE"/>
    <w:rsid w:val="00474094"/>
    <w:rsid w:val="00474FA9"/>
    <w:rsid w:val="004766BC"/>
    <w:rsid w:val="004777A3"/>
    <w:rsid w:val="00482FCD"/>
    <w:rsid w:val="004833C0"/>
    <w:rsid w:val="004A12BC"/>
    <w:rsid w:val="004A2B40"/>
    <w:rsid w:val="004A3286"/>
    <w:rsid w:val="004D3A08"/>
    <w:rsid w:val="004D60BB"/>
    <w:rsid w:val="004D6B18"/>
    <w:rsid w:val="004F444D"/>
    <w:rsid w:val="005056C6"/>
    <w:rsid w:val="00511AFC"/>
    <w:rsid w:val="00525864"/>
    <w:rsid w:val="005342F6"/>
    <w:rsid w:val="005419BB"/>
    <w:rsid w:val="00545F03"/>
    <w:rsid w:val="00550B48"/>
    <w:rsid w:val="00560FBC"/>
    <w:rsid w:val="005675E8"/>
    <w:rsid w:val="0057107A"/>
    <w:rsid w:val="00573018"/>
    <w:rsid w:val="005820B9"/>
    <w:rsid w:val="00587E9F"/>
    <w:rsid w:val="0059200D"/>
    <w:rsid w:val="00594290"/>
    <w:rsid w:val="00595E24"/>
    <w:rsid w:val="005A4E60"/>
    <w:rsid w:val="005B3FAC"/>
    <w:rsid w:val="005C298F"/>
    <w:rsid w:val="005C68AF"/>
    <w:rsid w:val="005C7E69"/>
    <w:rsid w:val="005D7CDE"/>
    <w:rsid w:val="005E7488"/>
    <w:rsid w:val="005F7056"/>
    <w:rsid w:val="00620414"/>
    <w:rsid w:val="00622814"/>
    <w:rsid w:val="00642221"/>
    <w:rsid w:val="00651678"/>
    <w:rsid w:val="006518AC"/>
    <w:rsid w:val="00656132"/>
    <w:rsid w:val="0067685A"/>
    <w:rsid w:val="006903BA"/>
    <w:rsid w:val="00691DBB"/>
    <w:rsid w:val="00692414"/>
    <w:rsid w:val="0069554F"/>
    <w:rsid w:val="006965FE"/>
    <w:rsid w:val="006B0A7E"/>
    <w:rsid w:val="006B148D"/>
    <w:rsid w:val="006C4DDE"/>
    <w:rsid w:val="006D1178"/>
    <w:rsid w:val="006E28AE"/>
    <w:rsid w:val="006F2DB8"/>
    <w:rsid w:val="006F321D"/>
    <w:rsid w:val="00707545"/>
    <w:rsid w:val="007119BB"/>
    <w:rsid w:val="00714688"/>
    <w:rsid w:val="00724052"/>
    <w:rsid w:val="00726CD6"/>
    <w:rsid w:val="00740A19"/>
    <w:rsid w:val="007410DA"/>
    <w:rsid w:val="00745E23"/>
    <w:rsid w:val="007519CB"/>
    <w:rsid w:val="00757336"/>
    <w:rsid w:val="00757338"/>
    <w:rsid w:val="00757D40"/>
    <w:rsid w:val="007651DB"/>
    <w:rsid w:val="00765AEC"/>
    <w:rsid w:val="007665BC"/>
    <w:rsid w:val="00773FBF"/>
    <w:rsid w:val="00780FFE"/>
    <w:rsid w:val="007821BD"/>
    <w:rsid w:val="0078763C"/>
    <w:rsid w:val="007931AE"/>
    <w:rsid w:val="00793E7A"/>
    <w:rsid w:val="007A2407"/>
    <w:rsid w:val="007A2AF3"/>
    <w:rsid w:val="007A3953"/>
    <w:rsid w:val="007A61D3"/>
    <w:rsid w:val="007A6759"/>
    <w:rsid w:val="007B02C0"/>
    <w:rsid w:val="007B2728"/>
    <w:rsid w:val="007C0F61"/>
    <w:rsid w:val="007C3A74"/>
    <w:rsid w:val="007C5B22"/>
    <w:rsid w:val="007D2DC7"/>
    <w:rsid w:val="007E0675"/>
    <w:rsid w:val="007E783D"/>
    <w:rsid w:val="007F2227"/>
    <w:rsid w:val="007F3E40"/>
    <w:rsid w:val="0080719A"/>
    <w:rsid w:val="00812D54"/>
    <w:rsid w:val="00815C2B"/>
    <w:rsid w:val="0082345F"/>
    <w:rsid w:val="0082363A"/>
    <w:rsid w:val="008414C5"/>
    <w:rsid w:val="00851C24"/>
    <w:rsid w:val="00855016"/>
    <w:rsid w:val="00857959"/>
    <w:rsid w:val="00864410"/>
    <w:rsid w:val="008670C9"/>
    <w:rsid w:val="0087505D"/>
    <w:rsid w:val="00877EFD"/>
    <w:rsid w:val="00882130"/>
    <w:rsid w:val="00886A48"/>
    <w:rsid w:val="00891A84"/>
    <w:rsid w:val="008A2F10"/>
    <w:rsid w:val="008A788D"/>
    <w:rsid w:val="008B1C2B"/>
    <w:rsid w:val="008B2239"/>
    <w:rsid w:val="008B2B69"/>
    <w:rsid w:val="008B50AE"/>
    <w:rsid w:val="008B64C1"/>
    <w:rsid w:val="008C3D92"/>
    <w:rsid w:val="008C4B86"/>
    <w:rsid w:val="008C647B"/>
    <w:rsid w:val="008C6883"/>
    <w:rsid w:val="008C7852"/>
    <w:rsid w:val="008D3303"/>
    <w:rsid w:val="008E39E6"/>
    <w:rsid w:val="008F111E"/>
    <w:rsid w:val="00900269"/>
    <w:rsid w:val="00910C3C"/>
    <w:rsid w:val="00911068"/>
    <w:rsid w:val="009160DD"/>
    <w:rsid w:val="009212A2"/>
    <w:rsid w:val="009222BA"/>
    <w:rsid w:val="00922697"/>
    <w:rsid w:val="00941EBA"/>
    <w:rsid w:val="00945568"/>
    <w:rsid w:val="00947927"/>
    <w:rsid w:val="00954292"/>
    <w:rsid w:val="00957AC9"/>
    <w:rsid w:val="0096598A"/>
    <w:rsid w:val="00976AB1"/>
    <w:rsid w:val="009A277C"/>
    <w:rsid w:val="009A5344"/>
    <w:rsid w:val="009A54A8"/>
    <w:rsid w:val="009C509E"/>
    <w:rsid w:val="009E0E5E"/>
    <w:rsid w:val="009F387A"/>
    <w:rsid w:val="009F4177"/>
    <w:rsid w:val="009F564B"/>
    <w:rsid w:val="00A04132"/>
    <w:rsid w:val="00A5440D"/>
    <w:rsid w:val="00A606CF"/>
    <w:rsid w:val="00A61A82"/>
    <w:rsid w:val="00A945D3"/>
    <w:rsid w:val="00AA2348"/>
    <w:rsid w:val="00AA2ACE"/>
    <w:rsid w:val="00AA4B17"/>
    <w:rsid w:val="00AA71EF"/>
    <w:rsid w:val="00AA7383"/>
    <w:rsid w:val="00AB2881"/>
    <w:rsid w:val="00AC1164"/>
    <w:rsid w:val="00AD1AEF"/>
    <w:rsid w:val="00AD3065"/>
    <w:rsid w:val="00AE7542"/>
    <w:rsid w:val="00AF3E43"/>
    <w:rsid w:val="00AF60A8"/>
    <w:rsid w:val="00B01251"/>
    <w:rsid w:val="00B01B78"/>
    <w:rsid w:val="00B066BA"/>
    <w:rsid w:val="00B069DA"/>
    <w:rsid w:val="00B14B99"/>
    <w:rsid w:val="00B17A07"/>
    <w:rsid w:val="00B21830"/>
    <w:rsid w:val="00B32C08"/>
    <w:rsid w:val="00B42F1F"/>
    <w:rsid w:val="00B5243C"/>
    <w:rsid w:val="00B52CAF"/>
    <w:rsid w:val="00B5447E"/>
    <w:rsid w:val="00B65715"/>
    <w:rsid w:val="00B65CEB"/>
    <w:rsid w:val="00B71D37"/>
    <w:rsid w:val="00B72463"/>
    <w:rsid w:val="00B80802"/>
    <w:rsid w:val="00BA2332"/>
    <w:rsid w:val="00BA387E"/>
    <w:rsid w:val="00BA4E34"/>
    <w:rsid w:val="00BB2034"/>
    <w:rsid w:val="00BB4E0F"/>
    <w:rsid w:val="00BC3E56"/>
    <w:rsid w:val="00BD4317"/>
    <w:rsid w:val="00BE111F"/>
    <w:rsid w:val="00C0198C"/>
    <w:rsid w:val="00C06A4E"/>
    <w:rsid w:val="00C07365"/>
    <w:rsid w:val="00C11BD9"/>
    <w:rsid w:val="00C20176"/>
    <w:rsid w:val="00C25B52"/>
    <w:rsid w:val="00C46616"/>
    <w:rsid w:val="00C46F02"/>
    <w:rsid w:val="00C47BCD"/>
    <w:rsid w:val="00C62B0E"/>
    <w:rsid w:val="00C70900"/>
    <w:rsid w:val="00C80C4C"/>
    <w:rsid w:val="00C8304E"/>
    <w:rsid w:val="00C83C6E"/>
    <w:rsid w:val="00C8761D"/>
    <w:rsid w:val="00C94AD4"/>
    <w:rsid w:val="00CA4289"/>
    <w:rsid w:val="00CB02B6"/>
    <w:rsid w:val="00CD43E6"/>
    <w:rsid w:val="00CD72A4"/>
    <w:rsid w:val="00CF4B55"/>
    <w:rsid w:val="00CF6D3E"/>
    <w:rsid w:val="00CF6D56"/>
    <w:rsid w:val="00D0060C"/>
    <w:rsid w:val="00D12E3D"/>
    <w:rsid w:val="00D165E0"/>
    <w:rsid w:val="00D20FD7"/>
    <w:rsid w:val="00D3597E"/>
    <w:rsid w:val="00D35E13"/>
    <w:rsid w:val="00D51A6E"/>
    <w:rsid w:val="00D560F5"/>
    <w:rsid w:val="00D66EC1"/>
    <w:rsid w:val="00D675A0"/>
    <w:rsid w:val="00D67A6C"/>
    <w:rsid w:val="00D83BA2"/>
    <w:rsid w:val="00D93264"/>
    <w:rsid w:val="00DA1310"/>
    <w:rsid w:val="00DA6925"/>
    <w:rsid w:val="00DC6DE3"/>
    <w:rsid w:val="00DC7034"/>
    <w:rsid w:val="00DE5E37"/>
    <w:rsid w:val="00DF17D1"/>
    <w:rsid w:val="00DF3621"/>
    <w:rsid w:val="00DF364A"/>
    <w:rsid w:val="00E0127F"/>
    <w:rsid w:val="00E179DD"/>
    <w:rsid w:val="00E24A85"/>
    <w:rsid w:val="00E35968"/>
    <w:rsid w:val="00E36D99"/>
    <w:rsid w:val="00E41D6E"/>
    <w:rsid w:val="00E4321F"/>
    <w:rsid w:val="00E5455F"/>
    <w:rsid w:val="00E61822"/>
    <w:rsid w:val="00E700CD"/>
    <w:rsid w:val="00E77AE9"/>
    <w:rsid w:val="00E827A2"/>
    <w:rsid w:val="00E83DAE"/>
    <w:rsid w:val="00E86622"/>
    <w:rsid w:val="00E908F9"/>
    <w:rsid w:val="00EB37E5"/>
    <w:rsid w:val="00EB5BA9"/>
    <w:rsid w:val="00EC187D"/>
    <w:rsid w:val="00ED2BA8"/>
    <w:rsid w:val="00EE318B"/>
    <w:rsid w:val="00EE491E"/>
    <w:rsid w:val="00EE4E88"/>
    <w:rsid w:val="00EE6CA5"/>
    <w:rsid w:val="00EF1F21"/>
    <w:rsid w:val="00F00E5C"/>
    <w:rsid w:val="00F16972"/>
    <w:rsid w:val="00F20D21"/>
    <w:rsid w:val="00F366C4"/>
    <w:rsid w:val="00F425A8"/>
    <w:rsid w:val="00F53751"/>
    <w:rsid w:val="00F54D87"/>
    <w:rsid w:val="00F57384"/>
    <w:rsid w:val="00F64C71"/>
    <w:rsid w:val="00F7508A"/>
    <w:rsid w:val="00F927B2"/>
    <w:rsid w:val="00F936CE"/>
    <w:rsid w:val="00FB20E7"/>
    <w:rsid w:val="00FB30F3"/>
    <w:rsid w:val="00FC0BD0"/>
    <w:rsid w:val="00FD6EDC"/>
    <w:rsid w:val="00FD751F"/>
    <w:rsid w:val="00FE1211"/>
    <w:rsid w:val="00FE183D"/>
    <w:rsid w:val="00FE3E6E"/>
    <w:rsid w:val="00FF7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8705F-3D8D-4065-BD25-FE7FA7E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3621"/>
    <w:rPr>
      <w:color w:val="0000FF"/>
      <w:u w:val="single"/>
    </w:rPr>
  </w:style>
  <w:style w:type="paragraph" w:styleId="FootnoteText">
    <w:name w:val="footnote text"/>
    <w:basedOn w:val="Normal"/>
    <w:link w:val="FootnoteTextChar"/>
    <w:uiPriority w:val="99"/>
    <w:unhideWhenUsed/>
    <w:rsid w:val="00DF3621"/>
    <w:pPr>
      <w:spacing w:after="0" w:line="240" w:lineRule="auto"/>
    </w:pPr>
    <w:rPr>
      <w:sz w:val="20"/>
      <w:szCs w:val="20"/>
    </w:rPr>
  </w:style>
  <w:style w:type="character" w:customStyle="1" w:styleId="FootnoteTextChar">
    <w:name w:val="Footnote Text Char"/>
    <w:basedOn w:val="DefaultParagraphFont"/>
    <w:link w:val="FootnoteText"/>
    <w:uiPriority w:val="99"/>
    <w:rsid w:val="00DF3621"/>
    <w:rPr>
      <w:sz w:val="20"/>
      <w:szCs w:val="20"/>
    </w:rPr>
  </w:style>
  <w:style w:type="character" w:styleId="FootnoteReference">
    <w:name w:val="footnote reference"/>
    <w:basedOn w:val="DefaultParagraphFont"/>
    <w:uiPriority w:val="99"/>
    <w:semiHidden/>
    <w:unhideWhenUsed/>
    <w:rsid w:val="00DF3621"/>
    <w:rPr>
      <w:vertAlign w:val="superscript"/>
    </w:rPr>
  </w:style>
  <w:style w:type="paragraph" w:styleId="ListParagraph">
    <w:name w:val="List Paragraph"/>
    <w:basedOn w:val="Normal"/>
    <w:uiPriority w:val="34"/>
    <w:qFormat/>
    <w:rsid w:val="00C94AD4"/>
    <w:pPr>
      <w:ind w:left="720"/>
      <w:contextualSpacing/>
    </w:pPr>
  </w:style>
  <w:style w:type="paragraph" w:styleId="EndnoteText">
    <w:name w:val="endnote text"/>
    <w:basedOn w:val="Normal"/>
    <w:link w:val="EndnoteTextChar"/>
    <w:uiPriority w:val="99"/>
    <w:semiHidden/>
    <w:unhideWhenUsed/>
    <w:rsid w:val="00B657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715"/>
    <w:rPr>
      <w:sz w:val="20"/>
      <w:szCs w:val="20"/>
    </w:rPr>
  </w:style>
  <w:style w:type="character" w:styleId="EndnoteReference">
    <w:name w:val="endnote reference"/>
    <w:basedOn w:val="DefaultParagraphFont"/>
    <w:uiPriority w:val="99"/>
    <w:semiHidden/>
    <w:unhideWhenUsed/>
    <w:rsid w:val="00B65715"/>
    <w:rPr>
      <w:vertAlign w:val="superscript"/>
    </w:rPr>
  </w:style>
  <w:style w:type="paragraph" w:styleId="NormalWeb">
    <w:name w:val="Normal (Web)"/>
    <w:basedOn w:val="Normal"/>
    <w:uiPriority w:val="99"/>
    <w:semiHidden/>
    <w:unhideWhenUsed/>
    <w:rsid w:val="008F11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A2407"/>
    <w:rPr>
      <w:i/>
      <w:iCs/>
    </w:rPr>
  </w:style>
  <w:style w:type="character" w:customStyle="1" w:styleId="apple-converted-space">
    <w:name w:val="apple-converted-space"/>
    <w:basedOn w:val="DefaultParagraphFont"/>
    <w:rsid w:val="00BA387E"/>
  </w:style>
  <w:style w:type="character" w:styleId="HTMLCite">
    <w:name w:val="HTML Cite"/>
    <w:basedOn w:val="DefaultParagraphFont"/>
    <w:uiPriority w:val="99"/>
    <w:semiHidden/>
    <w:unhideWhenUsed/>
    <w:rsid w:val="00642221"/>
    <w:rPr>
      <w:i w:val="0"/>
      <w:iCs w:val="0"/>
      <w:color w:val="009030"/>
    </w:rPr>
  </w:style>
  <w:style w:type="character" w:styleId="Strong">
    <w:name w:val="Strong"/>
    <w:basedOn w:val="DefaultParagraphFont"/>
    <w:uiPriority w:val="22"/>
    <w:qFormat/>
    <w:rsid w:val="00642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0283">
      <w:bodyDiv w:val="1"/>
      <w:marLeft w:val="0"/>
      <w:marRight w:val="0"/>
      <w:marTop w:val="0"/>
      <w:marBottom w:val="0"/>
      <w:divBdr>
        <w:top w:val="none" w:sz="0" w:space="0" w:color="auto"/>
        <w:left w:val="none" w:sz="0" w:space="0" w:color="auto"/>
        <w:bottom w:val="none" w:sz="0" w:space="0" w:color="auto"/>
        <w:right w:val="none" w:sz="0" w:space="0" w:color="auto"/>
      </w:divBdr>
    </w:div>
    <w:div w:id="180628426">
      <w:bodyDiv w:val="1"/>
      <w:marLeft w:val="0"/>
      <w:marRight w:val="0"/>
      <w:marTop w:val="0"/>
      <w:marBottom w:val="0"/>
      <w:divBdr>
        <w:top w:val="none" w:sz="0" w:space="0" w:color="auto"/>
        <w:left w:val="none" w:sz="0" w:space="0" w:color="auto"/>
        <w:bottom w:val="none" w:sz="0" w:space="0" w:color="auto"/>
        <w:right w:val="none" w:sz="0" w:space="0" w:color="auto"/>
      </w:divBdr>
      <w:divsChild>
        <w:div w:id="1909146385">
          <w:marLeft w:val="2"/>
          <w:marRight w:val="2"/>
          <w:marTop w:val="0"/>
          <w:marBottom w:val="0"/>
          <w:divBdr>
            <w:top w:val="single" w:sz="2" w:space="0" w:color="FFFFFF"/>
            <w:left w:val="single" w:sz="12" w:space="0" w:color="FFFFFF"/>
            <w:bottom w:val="single" w:sz="12" w:space="0" w:color="FFFFFF"/>
            <w:right w:val="single" w:sz="12" w:space="0" w:color="FFFFFF"/>
          </w:divBdr>
          <w:divsChild>
            <w:div w:id="2014994792">
              <w:marLeft w:val="270"/>
              <w:marRight w:val="270"/>
              <w:marTop w:val="0"/>
              <w:marBottom w:val="0"/>
              <w:divBdr>
                <w:top w:val="single" w:sz="6" w:space="0" w:color="EAEAEA"/>
                <w:left w:val="single" w:sz="12" w:space="0" w:color="F6F6F6"/>
                <w:bottom w:val="single" w:sz="12" w:space="0" w:color="F6F6F6"/>
                <w:right w:val="single" w:sz="12" w:space="0" w:color="F6F6F6"/>
              </w:divBdr>
              <w:divsChild>
                <w:div w:id="927037024">
                  <w:marLeft w:val="0"/>
                  <w:marRight w:val="0"/>
                  <w:marTop w:val="0"/>
                  <w:marBottom w:val="0"/>
                  <w:divBdr>
                    <w:top w:val="none" w:sz="0" w:space="0" w:color="auto"/>
                    <w:left w:val="none" w:sz="0" w:space="0" w:color="auto"/>
                    <w:bottom w:val="none" w:sz="0" w:space="0" w:color="auto"/>
                    <w:right w:val="none" w:sz="0" w:space="0" w:color="auto"/>
                  </w:divBdr>
                  <w:divsChild>
                    <w:div w:id="1774128287">
                      <w:marLeft w:val="330"/>
                      <w:marRight w:val="330"/>
                      <w:marTop w:val="330"/>
                      <w:marBottom w:val="330"/>
                      <w:divBdr>
                        <w:top w:val="none" w:sz="0" w:space="0" w:color="auto"/>
                        <w:left w:val="none" w:sz="0" w:space="0" w:color="auto"/>
                        <w:bottom w:val="none" w:sz="0" w:space="0" w:color="auto"/>
                        <w:right w:val="none" w:sz="0" w:space="0" w:color="auto"/>
                      </w:divBdr>
                      <w:divsChild>
                        <w:div w:id="17647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34449">
      <w:bodyDiv w:val="1"/>
      <w:marLeft w:val="0"/>
      <w:marRight w:val="0"/>
      <w:marTop w:val="0"/>
      <w:marBottom w:val="0"/>
      <w:divBdr>
        <w:top w:val="none" w:sz="0" w:space="0" w:color="auto"/>
        <w:left w:val="none" w:sz="0" w:space="0" w:color="auto"/>
        <w:bottom w:val="none" w:sz="0" w:space="0" w:color="auto"/>
        <w:right w:val="none" w:sz="0" w:space="0" w:color="auto"/>
      </w:divBdr>
      <w:divsChild>
        <w:div w:id="675032725">
          <w:marLeft w:val="0"/>
          <w:marRight w:val="0"/>
          <w:marTop w:val="0"/>
          <w:marBottom w:val="0"/>
          <w:divBdr>
            <w:top w:val="none" w:sz="0" w:space="0" w:color="auto"/>
            <w:left w:val="none" w:sz="0" w:space="0" w:color="auto"/>
            <w:bottom w:val="none" w:sz="0" w:space="0" w:color="auto"/>
            <w:right w:val="none" w:sz="0" w:space="0" w:color="auto"/>
          </w:divBdr>
          <w:divsChild>
            <w:div w:id="1309898358">
              <w:marLeft w:val="0"/>
              <w:marRight w:val="0"/>
              <w:marTop w:val="0"/>
              <w:marBottom w:val="0"/>
              <w:divBdr>
                <w:top w:val="none" w:sz="0" w:space="0" w:color="auto"/>
                <w:left w:val="none" w:sz="0" w:space="0" w:color="auto"/>
                <w:bottom w:val="none" w:sz="0" w:space="0" w:color="auto"/>
                <w:right w:val="none" w:sz="0" w:space="0" w:color="auto"/>
              </w:divBdr>
              <w:divsChild>
                <w:div w:id="112940377">
                  <w:marLeft w:val="0"/>
                  <w:marRight w:val="0"/>
                  <w:marTop w:val="0"/>
                  <w:marBottom w:val="0"/>
                  <w:divBdr>
                    <w:top w:val="none" w:sz="0" w:space="0" w:color="auto"/>
                    <w:left w:val="none" w:sz="0" w:space="0" w:color="auto"/>
                    <w:bottom w:val="none" w:sz="0" w:space="0" w:color="auto"/>
                    <w:right w:val="none" w:sz="0" w:space="0" w:color="auto"/>
                  </w:divBdr>
                  <w:divsChild>
                    <w:div w:id="1431664835">
                      <w:marLeft w:val="0"/>
                      <w:marRight w:val="600"/>
                      <w:marTop w:val="480"/>
                      <w:marBottom w:val="0"/>
                      <w:divBdr>
                        <w:top w:val="none" w:sz="0" w:space="0" w:color="auto"/>
                        <w:left w:val="none" w:sz="0" w:space="0" w:color="auto"/>
                        <w:bottom w:val="none" w:sz="0" w:space="0" w:color="auto"/>
                        <w:right w:val="none" w:sz="0" w:space="0" w:color="auto"/>
                      </w:divBdr>
                      <w:divsChild>
                        <w:div w:id="1761875551">
                          <w:marLeft w:val="0"/>
                          <w:marRight w:val="0"/>
                          <w:marTop w:val="0"/>
                          <w:marBottom w:val="0"/>
                          <w:divBdr>
                            <w:top w:val="none" w:sz="0" w:space="0" w:color="auto"/>
                            <w:left w:val="none" w:sz="0" w:space="0" w:color="auto"/>
                            <w:bottom w:val="none" w:sz="0" w:space="0" w:color="auto"/>
                            <w:right w:val="none" w:sz="0" w:space="0" w:color="auto"/>
                          </w:divBdr>
                          <w:divsChild>
                            <w:div w:id="1022710863">
                              <w:marLeft w:val="0"/>
                              <w:marRight w:val="0"/>
                              <w:marTop w:val="0"/>
                              <w:marBottom w:val="0"/>
                              <w:divBdr>
                                <w:top w:val="none" w:sz="0" w:space="0" w:color="auto"/>
                                <w:left w:val="none" w:sz="0" w:space="0" w:color="auto"/>
                                <w:bottom w:val="none" w:sz="0" w:space="0" w:color="auto"/>
                                <w:right w:val="none" w:sz="0" w:space="0" w:color="auto"/>
                              </w:divBdr>
                              <w:divsChild>
                                <w:div w:id="869496241">
                                  <w:marLeft w:val="0"/>
                                  <w:marRight w:val="0"/>
                                  <w:marTop w:val="0"/>
                                  <w:marBottom w:val="300"/>
                                  <w:divBdr>
                                    <w:top w:val="none" w:sz="0" w:space="0" w:color="auto"/>
                                    <w:left w:val="none" w:sz="0" w:space="0" w:color="auto"/>
                                    <w:bottom w:val="single" w:sz="6" w:space="15" w:color="EBF8FD"/>
                                    <w:right w:val="none" w:sz="0" w:space="0" w:color="auto"/>
                                  </w:divBdr>
                                </w:div>
                              </w:divsChild>
                            </w:div>
                          </w:divsChild>
                        </w:div>
                      </w:divsChild>
                    </w:div>
                  </w:divsChild>
                </w:div>
              </w:divsChild>
            </w:div>
          </w:divsChild>
        </w:div>
      </w:divsChild>
    </w:div>
    <w:div w:id="348530246">
      <w:bodyDiv w:val="1"/>
      <w:marLeft w:val="0"/>
      <w:marRight w:val="0"/>
      <w:marTop w:val="0"/>
      <w:marBottom w:val="0"/>
      <w:divBdr>
        <w:top w:val="none" w:sz="0" w:space="0" w:color="auto"/>
        <w:left w:val="none" w:sz="0" w:space="0" w:color="auto"/>
        <w:bottom w:val="none" w:sz="0" w:space="0" w:color="auto"/>
        <w:right w:val="none" w:sz="0" w:space="0" w:color="auto"/>
      </w:divBdr>
    </w:div>
    <w:div w:id="351416814">
      <w:bodyDiv w:val="1"/>
      <w:marLeft w:val="0"/>
      <w:marRight w:val="0"/>
      <w:marTop w:val="0"/>
      <w:marBottom w:val="0"/>
      <w:divBdr>
        <w:top w:val="none" w:sz="0" w:space="0" w:color="auto"/>
        <w:left w:val="none" w:sz="0" w:space="0" w:color="auto"/>
        <w:bottom w:val="none" w:sz="0" w:space="0" w:color="auto"/>
        <w:right w:val="none" w:sz="0" w:space="0" w:color="auto"/>
      </w:divBdr>
    </w:div>
    <w:div w:id="662968913">
      <w:bodyDiv w:val="1"/>
      <w:marLeft w:val="0"/>
      <w:marRight w:val="0"/>
      <w:marTop w:val="0"/>
      <w:marBottom w:val="0"/>
      <w:divBdr>
        <w:top w:val="none" w:sz="0" w:space="0" w:color="auto"/>
        <w:left w:val="none" w:sz="0" w:space="0" w:color="auto"/>
        <w:bottom w:val="none" w:sz="0" w:space="0" w:color="auto"/>
        <w:right w:val="none" w:sz="0" w:space="0" w:color="auto"/>
      </w:divBdr>
    </w:div>
    <w:div w:id="672873267">
      <w:bodyDiv w:val="1"/>
      <w:marLeft w:val="0"/>
      <w:marRight w:val="0"/>
      <w:marTop w:val="0"/>
      <w:marBottom w:val="0"/>
      <w:divBdr>
        <w:top w:val="none" w:sz="0" w:space="0" w:color="auto"/>
        <w:left w:val="none" w:sz="0" w:space="0" w:color="auto"/>
        <w:bottom w:val="none" w:sz="0" w:space="0" w:color="auto"/>
        <w:right w:val="none" w:sz="0" w:space="0" w:color="auto"/>
      </w:divBdr>
      <w:divsChild>
        <w:div w:id="1168180786">
          <w:marLeft w:val="0"/>
          <w:marRight w:val="0"/>
          <w:marTop w:val="0"/>
          <w:marBottom w:val="0"/>
          <w:divBdr>
            <w:top w:val="none" w:sz="0" w:space="0" w:color="auto"/>
            <w:left w:val="none" w:sz="0" w:space="0" w:color="auto"/>
            <w:bottom w:val="none" w:sz="0" w:space="0" w:color="auto"/>
            <w:right w:val="none" w:sz="0" w:space="0" w:color="auto"/>
          </w:divBdr>
          <w:divsChild>
            <w:div w:id="1155872256">
              <w:marLeft w:val="0"/>
              <w:marRight w:val="0"/>
              <w:marTop w:val="0"/>
              <w:marBottom w:val="0"/>
              <w:divBdr>
                <w:top w:val="none" w:sz="0" w:space="0" w:color="auto"/>
                <w:left w:val="none" w:sz="0" w:space="0" w:color="auto"/>
                <w:bottom w:val="none" w:sz="0" w:space="0" w:color="auto"/>
                <w:right w:val="none" w:sz="0" w:space="0" w:color="auto"/>
              </w:divBdr>
              <w:divsChild>
                <w:div w:id="193006134">
                  <w:marLeft w:val="0"/>
                  <w:marRight w:val="0"/>
                  <w:marTop w:val="0"/>
                  <w:marBottom w:val="0"/>
                  <w:divBdr>
                    <w:top w:val="none" w:sz="0" w:space="0" w:color="auto"/>
                    <w:left w:val="none" w:sz="0" w:space="0" w:color="auto"/>
                    <w:bottom w:val="none" w:sz="0" w:space="0" w:color="auto"/>
                    <w:right w:val="none" w:sz="0" w:space="0" w:color="auto"/>
                  </w:divBdr>
                  <w:divsChild>
                    <w:div w:id="304506260">
                      <w:marLeft w:val="0"/>
                      <w:marRight w:val="0"/>
                      <w:marTop w:val="0"/>
                      <w:marBottom w:val="0"/>
                      <w:divBdr>
                        <w:top w:val="none" w:sz="0" w:space="0" w:color="auto"/>
                        <w:left w:val="none" w:sz="0" w:space="0" w:color="auto"/>
                        <w:bottom w:val="none" w:sz="0" w:space="0" w:color="auto"/>
                        <w:right w:val="none" w:sz="0" w:space="0" w:color="auto"/>
                      </w:divBdr>
                      <w:divsChild>
                        <w:div w:id="1889803627">
                          <w:marLeft w:val="0"/>
                          <w:marRight w:val="0"/>
                          <w:marTop w:val="0"/>
                          <w:marBottom w:val="0"/>
                          <w:divBdr>
                            <w:top w:val="none" w:sz="0" w:space="0" w:color="auto"/>
                            <w:left w:val="none" w:sz="0" w:space="0" w:color="auto"/>
                            <w:bottom w:val="none" w:sz="0" w:space="0" w:color="auto"/>
                            <w:right w:val="none" w:sz="0" w:space="0" w:color="auto"/>
                          </w:divBdr>
                          <w:divsChild>
                            <w:div w:id="1110049622">
                              <w:marLeft w:val="0"/>
                              <w:marRight w:val="0"/>
                              <w:marTop w:val="0"/>
                              <w:marBottom w:val="0"/>
                              <w:divBdr>
                                <w:top w:val="none" w:sz="0" w:space="0" w:color="auto"/>
                                <w:left w:val="none" w:sz="0" w:space="0" w:color="auto"/>
                                <w:bottom w:val="none" w:sz="0" w:space="0" w:color="auto"/>
                                <w:right w:val="none" w:sz="0" w:space="0" w:color="auto"/>
                              </w:divBdr>
                              <w:divsChild>
                                <w:div w:id="72899966">
                                  <w:marLeft w:val="0"/>
                                  <w:marRight w:val="0"/>
                                  <w:marTop w:val="0"/>
                                  <w:marBottom w:val="0"/>
                                  <w:divBdr>
                                    <w:top w:val="none" w:sz="0" w:space="0" w:color="auto"/>
                                    <w:left w:val="none" w:sz="0" w:space="0" w:color="auto"/>
                                    <w:bottom w:val="none" w:sz="0" w:space="0" w:color="auto"/>
                                    <w:right w:val="none" w:sz="0" w:space="0" w:color="auto"/>
                                  </w:divBdr>
                                  <w:divsChild>
                                    <w:div w:id="1192646589">
                                      <w:marLeft w:val="0"/>
                                      <w:marRight w:val="0"/>
                                      <w:marTop w:val="0"/>
                                      <w:marBottom w:val="0"/>
                                      <w:divBdr>
                                        <w:top w:val="none" w:sz="0" w:space="0" w:color="auto"/>
                                        <w:left w:val="none" w:sz="0" w:space="0" w:color="auto"/>
                                        <w:bottom w:val="none" w:sz="0" w:space="0" w:color="auto"/>
                                        <w:right w:val="none" w:sz="0" w:space="0" w:color="auto"/>
                                      </w:divBdr>
                                      <w:divsChild>
                                        <w:div w:id="11045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7105">
                      <w:marLeft w:val="0"/>
                      <w:marRight w:val="0"/>
                      <w:marTop w:val="0"/>
                      <w:marBottom w:val="0"/>
                      <w:divBdr>
                        <w:top w:val="none" w:sz="0" w:space="0" w:color="auto"/>
                        <w:left w:val="none" w:sz="0" w:space="0" w:color="auto"/>
                        <w:bottom w:val="none" w:sz="0" w:space="0" w:color="auto"/>
                        <w:right w:val="none" w:sz="0" w:space="0" w:color="auto"/>
                      </w:divBdr>
                      <w:divsChild>
                        <w:div w:id="2037581747">
                          <w:marLeft w:val="0"/>
                          <w:marRight w:val="0"/>
                          <w:marTop w:val="0"/>
                          <w:marBottom w:val="0"/>
                          <w:divBdr>
                            <w:top w:val="none" w:sz="0" w:space="0" w:color="auto"/>
                            <w:left w:val="none" w:sz="0" w:space="0" w:color="auto"/>
                            <w:bottom w:val="none" w:sz="0" w:space="0" w:color="auto"/>
                            <w:right w:val="none" w:sz="0" w:space="0" w:color="auto"/>
                          </w:divBdr>
                          <w:divsChild>
                            <w:div w:id="71509004">
                              <w:marLeft w:val="0"/>
                              <w:marRight w:val="0"/>
                              <w:marTop w:val="0"/>
                              <w:marBottom w:val="0"/>
                              <w:divBdr>
                                <w:top w:val="none" w:sz="0" w:space="0" w:color="auto"/>
                                <w:left w:val="none" w:sz="0" w:space="0" w:color="auto"/>
                                <w:bottom w:val="none" w:sz="0" w:space="0" w:color="auto"/>
                                <w:right w:val="none" w:sz="0" w:space="0" w:color="auto"/>
                              </w:divBdr>
                              <w:divsChild>
                                <w:div w:id="997806612">
                                  <w:marLeft w:val="0"/>
                                  <w:marRight w:val="0"/>
                                  <w:marTop w:val="0"/>
                                  <w:marBottom w:val="0"/>
                                  <w:divBdr>
                                    <w:top w:val="none" w:sz="0" w:space="0" w:color="auto"/>
                                    <w:left w:val="none" w:sz="0" w:space="0" w:color="auto"/>
                                    <w:bottom w:val="none" w:sz="0" w:space="0" w:color="auto"/>
                                    <w:right w:val="none" w:sz="0" w:space="0" w:color="auto"/>
                                  </w:divBdr>
                                  <w:divsChild>
                                    <w:div w:id="953172991">
                                      <w:marLeft w:val="0"/>
                                      <w:marRight w:val="0"/>
                                      <w:marTop w:val="0"/>
                                      <w:marBottom w:val="0"/>
                                      <w:divBdr>
                                        <w:top w:val="none" w:sz="0" w:space="0" w:color="auto"/>
                                        <w:left w:val="none" w:sz="0" w:space="0" w:color="auto"/>
                                        <w:bottom w:val="none" w:sz="0" w:space="0" w:color="auto"/>
                                        <w:right w:val="none" w:sz="0" w:space="0" w:color="auto"/>
                                      </w:divBdr>
                                      <w:divsChild>
                                        <w:div w:id="598367891">
                                          <w:marLeft w:val="0"/>
                                          <w:marRight w:val="0"/>
                                          <w:marTop w:val="0"/>
                                          <w:marBottom w:val="0"/>
                                          <w:divBdr>
                                            <w:top w:val="none" w:sz="0" w:space="0" w:color="auto"/>
                                            <w:left w:val="none" w:sz="0" w:space="0" w:color="auto"/>
                                            <w:bottom w:val="none" w:sz="0" w:space="0" w:color="auto"/>
                                            <w:right w:val="none" w:sz="0" w:space="0" w:color="auto"/>
                                          </w:divBdr>
                                        </w:div>
                                        <w:div w:id="1203782235">
                                          <w:marLeft w:val="0"/>
                                          <w:marRight w:val="0"/>
                                          <w:marTop w:val="0"/>
                                          <w:marBottom w:val="0"/>
                                          <w:divBdr>
                                            <w:top w:val="none" w:sz="0" w:space="0" w:color="auto"/>
                                            <w:left w:val="none" w:sz="0" w:space="0" w:color="auto"/>
                                            <w:bottom w:val="none" w:sz="0" w:space="0" w:color="auto"/>
                                            <w:right w:val="none" w:sz="0" w:space="0" w:color="auto"/>
                                          </w:divBdr>
                                        </w:div>
                                        <w:div w:id="958877763">
                                          <w:marLeft w:val="0"/>
                                          <w:marRight w:val="0"/>
                                          <w:marTop w:val="0"/>
                                          <w:marBottom w:val="0"/>
                                          <w:divBdr>
                                            <w:top w:val="none" w:sz="0" w:space="0" w:color="auto"/>
                                            <w:left w:val="none" w:sz="0" w:space="0" w:color="auto"/>
                                            <w:bottom w:val="none" w:sz="0" w:space="0" w:color="auto"/>
                                            <w:right w:val="none" w:sz="0" w:space="0" w:color="auto"/>
                                          </w:divBdr>
                                        </w:div>
                                        <w:div w:id="1198541677">
                                          <w:marLeft w:val="0"/>
                                          <w:marRight w:val="0"/>
                                          <w:marTop w:val="0"/>
                                          <w:marBottom w:val="0"/>
                                          <w:divBdr>
                                            <w:top w:val="none" w:sz="0" w:space="0" w:color="auto"/>
                                            <w:left w:val="none" w:sz="0" w:space="0" w:color="auto"/>
                                            <w:bottom w:val="none" w:sz="0" w:space="0" w:color="auto"/>
                                            <w:right w:val="none" w:sz="0" w:space="0" w:color="auto"/>
                                          </w:divBdr>
                                        </w:div>
                                        <w:div w:id="1104303408">
                                          <w:marLeft w:val="0"/>
                                          <w:marRight w:val="0"/>
                                          <w:marTop w:val="0"/>
                                          <w:marBottom w:val="0"/>
                                          <w:divBdr>
                                            <w:top w:val="none" w:sz="0" w:space="0" w:color="auto"/>
                                            <w:left w:val="none" w:sz="0" w:space="0" w:color="auto"/>
                                            <w:bottom w:val="none" w:sz="0" w:space="0" w:color="auto"/>
                                            <w:right w:val="none" w:sz="0" w:space="0" w:color="auto"/>
                                          </w:divBdr>
                                        </w:div>
                                        <w:div w:id="1165242019">
                                          <w:marLeft w:val="0"/>
                                          <w:marRight w:val="0"/>
                                          <w:marTop w:val="0"/>
                                          <w:marBottom w:val="0"/>
                                          <w:divBdr>
                                            <w:top w:val="none" w:sz="0" w:space="0" w:color="auto"/>
                                            <w:left w:val="none" w:sz="0" w:space="0" w:color="auto"/>
                                            <w:bottom w:val="none" w:sz="0" w:space="0" w:color="auto"/>
                                            <w:right w:val="none" w:sz="0" w:space="0" w:color="auto"/>
                                          </w:divBdr>
                                        </w:div>
                                        <w:div w:id="994337109">
                                          <w:marLeft w:val="0"/>
                                          <w:marRight w:val="0"/>
                                          <w:marTop w:val="0"/>
                                          <w:marBottom w:val="0"/>
                                          <w:divBdr>
                                            <w:top w:val="none" w:sz="0" w:space="0" w:color="auto"/>
                                            <w:left w:val="none" w:sz="0" w:space="0" w:color="auto"/>
                                            <w:bottom w:val="none" w:sz="0" w:space="0" w:color="auto"/>
                                            <w:right w:val="none" w:sz="0" w:space="0" w:color="auto"/>
                                          </w:divBdr>
                                        </w:div>
                                        <w:div w:id="313534427">
                                          <w:marLeft w:val="0"/>
                                          <w:marRight w:val="0"/>
                                          <w:marTop w:val="0"/>
                                          <w:marBottom w:val="0"/>
                                          <w:divBdr>
                                            <w:top w:val="none" w:sz="0" w:space="0" w:color="auto"/>
                                            <w:left w:val="none" w:sz="0" w:space="0" w:color="auto"/>
                                            <w:bottom w:val="none" w:sz="0" w:space="0" w:color="auto"/>
                                            <w:right w:val="none" w:sz="0" w:space="0" w:color="auto"/>
                                          </w:divBdr>
                                        </w:div>
                                        <w:div w:id="406070950">
                                          <w:marLeft w:val="0"/>
                                          <w:marRight w:val="0"/>
                                          <w:marTop w:val="0"/>
                                          <w:marBottom w:val="0"/>
                                          <w:divBdr>
                                            <w:top w:val="none" w:sz="0" w:space="0" w:color="auto"/>
                                            <w:left w:val="none" w:sz="0" w:space="0" w:color="auto"/>
                                            <w:bottom w:val="none" w:sz="0" w:space="0" w:color="auto"/>
                                            <w:right w:val="none" w:sz="0" w:space="0" w:color="auto"/>
                                          </w:divBdr>
                                        </w:div>
                                        <w:div w:id="1146898236">
                                          <w:marLeft w:val="0"/>
                                          <w:marRight w:val="0"/>
                                          <w:marTop w:val="0"/>
                                          <w:marBottom w:val="0"/>
                                          <w:divBdr>
                                            <w:top w:val="none" w:sz="0" w:space="0" w:color="auto"/>
                                            <w:left w:val="none" w:sz="0" w:space="0" w:color="auto"/>
                                            <w:bottom w:val="none" w:sz="0" w:space="0" w:color="auto"/>
                                            <w:right w:val="none" w:sz="0" w:space="0" w:color="auto"/>
                                          </w:divBdr>
                                        </w:div>
                                        <w:div w:id="1550920959">
                                          <w:marLeft w:val="0"/>
                                          <w:marRight w:val="0"/>
                                          <w:marTop w:val="0"/>
                                          <w:marBottom w:val="0"/>
                                          <w:divBdr>
                                            <w:top w:val="none" w:sz="0" w:space="0" w:color="auto"/>
                                            <w:left w:val="none" w:sz="0" w:space="0" w:color="auto"/>
                                            <w:bottom w:val="none" w:sz="0" w:space="0" w:color="auto"/>
                                            <w:right w:val="none" w:sz="0" w:space="0" w:color="auto"/>
                                          </w:divBdr>
                                        </w:div>
                                        <w:div w:id="1387143807">
                                          <w:marLeft w:val="0"/>
                                          <w:marRight w:val="0"/>
                                          <w:marTop w:val="0"/>
                                          <w:marBottom w:val="0"/>
                                          <w:divBdr>
                                            <w:top w:val="none" w:sz="0" w:space="0" w:color="auto"/>
                                            <w:left w:val="none" w:sz="0" w:space="0" w:color="auto"/>
                                            <w:bottom w:val="none" w:sz="0" w:space="0" w:color="auto"/>
                                            <w:right w:val="none" w:sz="0" w:space="0" w:color="auto"/>
                                          </w:divBdr>
                                        </w:div>
                                        <w:div w:id="43337535">
                                          <w:marLeft w:val="0"/>
                                          <w:marRight w:val="0"/>
                                          <w:marTop w:val="0"/>
                                          <w:marBottom w:val="0"/>
                                          <w:divBdr>
                                            <w:top w:val="none" w:sz="0" w:space="0" w:color="auto"/>
                                            <w:left w:val="none" w:sz="0" w:space="0" w:color="auto"/>
                                            <w:bottom w:val="none" w:sz="0" w:space="0" w:color="auto"/>
                                            <w:right w:val="none" w:sz="0" w:space="0" w:color="auto"/>
                                          </w:divBdr>
                                        </w:div>
                                        <w:div w:id="1240168333">
                                          <w:marLeft w:val="0"/>
                                          <w:marRight w:val="0"/>
                                          <w:marTop w:val="0"/>
                                          <w:marBottom w:val="0"/>
                                          <w:divBdr>
                                            <w:top w:val="none" w:sz="0" w:space="0" w:color="auto"/>
                                            <w:left w:val="none" w:sz="0" w:space="0" w:color="auto"/>
                                            <w:bottom w:val="none" w:sz="0" w:space="0" w:color="auto"/>
                                            <w:right w:val="none" w:sz="0" w:space="0" w:color="auto"/>
                                          </w:divBdr>
                                        </w:div>
                                        <w:div w:id="335965156">
                                          <w:marLeft w:val="0"/>
                                          <w:marRight w:val="0"/>
                                          <w:marTop w:val="0"/>
                                          <w:marBottom w:val="0"/>
                                          <w:divBdr>
                                            <w:top w:val="none" w:sz="0" w:space="0" w:color="auto"/>
                                            <w:left w:val="none" w:sz="0" w:space="0" w:color="auto"/>
                                            <w:bottom w:val="none" w:sz="0" w:space="0" w:color="auto"/>
                                            <w:right w:val="none" w:sz="0" w:space="0" w:color="auto"/>
                                          </w:divBdr>
                                        </w:div>
                                        <w:div w:id="730421832">
                                          <w:marLeft w:val="0"/>
                                          <w:marRight w:val="0"/>
                                          <w:marTop w:val="0"/>
                                          <w:marBottom w:val="0"/>
                                          <w:divBdr>
                                            <w:top w:val="none" w:sz="0" w:space="0" w:color="auto"/>
                                            <w:left w:val="none" w:sz="0" w:space="0" w:color="auto"/>
                                            <w:bottom w:val="none" w:sz="0" w:space="0" w:color="auto"/>
                                            <w:right w:val="none" w:sz="0" w:space="0" w:color="auto"/>
                                          </w:divBdr>
                                        </w:div>
                                        <w:div w:id="738090320">
                                          <w:marLeft w:val="0"/>
                                          <w:marRight w:val="0"/>
                                          <w:marTop w:val="0"/>
                                          <w:marBottom w:val="0"/>
                                          <w:divBdr>
                                            <w:top w:val="none" w:sz="0" w:space="0" w:color="auto"/>
                                            <w:left w:val="none" w:sz="0" w:space="0" w:color="auto"/>
                                            <w:bottom w:val="none" w:sz="0" w:space="0" w:color="auto"/>
                                            <w:right w:val="none" w:sz="0" w:space="0" w:color="auto"/>
                                          </w:divBdr>
                                        </w:div>
                                        <w:div w:id="1862476125">
                                          <w:marLeft w:val="0"/>
                                          <w:marRight w:val="0"/>
                                          <w:marTop w:val="0"/>
                                          <w:marBottom w:val="0"/>
                                          <w:divBdr>
                                            <w:top w:val="none" w:sz="0" w:space="0" w:color="auto"/>
                                            <w:left w:val="none" w:sz="0" w:space="0" w:color="auto"/>
                                            <w:bottom w:val="none" w:sz="0" w:space="0" w:color="auto"/>
                                            <w:right w:val="none" w:sz="0" w:space="0" w:color="auto"/>
                                          </w:divBdr>
                                        </w:div>
                                        <w:div w:id="136000942">
                                          <w:marLeft w:val="0"/>
                                          <w:marRight w:val="0"/>
                                          <w:marTop w:val="0"/>
                                          <w:marBottom w:val="0"/>
                                          <w:divBdr>
                                            <w:top w:val="none" w:sz="0" w:space="0" w:color="auto"/>
                                            <w:left w:val="none" w:sz="0" w:space="0" w:color="auto"/>
                                            <w:bottom w:val="none" w:sz="0" w:space="0" w:color="auto"/>
                                            <w:right w:val="none" w:sz="0" w:space="0" w:color="auto"/>
                                          </w:divBdr>
                                        </w:div>
                                        <w:div w:id="1720283547">
                                          <w:marLeft w:val="0"/>
                                          <w:marRight w:val="0"/>
                                          <w:marTop w:val="0"/>
                                          <w:marBottom w:val="0"/>
                                          <w:divBdr>
                                            <w:top w:val="none" w:sz="0" w:space="0" w:color="auto"/>
                                            <w:left w:val="none" w:sz="0" w:space="0" w:color="auto"/>
                                            <w:bottom w:val="none" w:sz="0" w:space="0" w:color="auto"/>
                                            <w:right w:val="none" w:sz="0" w:space="0" w:color="auto"/>
                                          </w:divBdr>
                                        </w:div>
                                        <w:div w:id="1857117292">
                                          <w:marLeft w:val="0"/>
                                          <w:marRight w:val="0"/>
                                          <w:marTop w:val="0"/>
                                          <w:marBottom w:val="0"/>
                                          <w:divBdr>
                                            <w:top w:val="none" w:sz="0" w:space="0" w:color="auto"/>
                                            <w:left w:val="none" w:sz="0" w:space="0" w:color="auto"/>
                                            <w:bottom w:val="none" w:sz="0" w:space="0" w:color="auto"/>
                                            <w:right w:val="none" w:sz="0" w:space="0" w:color="auto"/>
                                          </w:divBdr>
                                        </w:div>
                                        <w:div w:id="935476127">
                                          <w:marLeft w:val="0"/>
                                          <w:marRight w:val="0"/>
                                          <w:marTop w:val="0"/>
                                          <w:marBottom w:val="0"/>
                                          <w:divBdr>
                                            <w:top w:val="none" w:sz="0" w:space="0" w:color="auto"/>
                                            <w:left w:val="none" w:sz="0" w:space="0" w:color="auto"/>
                                            <w:bottom w:val="none" w:sz="0" w:space="0" w:color="auto"/>
                                            <w:right w:val="none" w:sz="0" w:space="0" w:color="auto"/>
                                          </w:divBdr>
                                        </w:div>
                                        <w:div w:id="1286616917">
                                          <w:marLeft w:val="0"/>
                                          <w:marRight w:val="0"/>
                                          <w:marTop w:val="0"/>
                                          <w:marBottom w:val="0"/>
                                          <w:divBdr>
                                            <w:top w:val="none" w:sz="0" w:space="0" w:color="auto"/>
                                            <w:left w:val="none" w:sz="0" w:space="0" w:color="auto"/>
                                            <w:bottom w:val="none" w:sz="0" w:space="0" w:color="auto"/>
                                            <w:right w:val="none" w:sz="0" w:space="0" w:color="auto"/>
                                          </w:divBdr>
                                        </w:div>
                                        <w:div w:id="1501460049">
                                          <w:marLeft w:val="0"/>
                                          <w:marRight w:val="0"/>
                                          <w:marTop w:val="0"/>
                                          <w:marBottom w:val="0"/>
                                          <w:divBdr>
                                            <w:top w:val="none" w:sz="0" w:space="0" w:color="auto"/>
                                            <w:left w:val="none" w:sz="0" w:space="0" w:color="auto"/>
                                            <w:bottom w:val="none" w:sz="0" w:space="0" w:color="auto"/>
                                            <w:right w:val="none" w:sz="0" w:space="0" w:color="auto"/>
                                          </w:divBdr>
                                        </w:div>
                                        <w:div w:id="670135750">
                                          <w:marLeft w:val="0"/>
                                          <w:marRight w:val="0"/>
                                          <w:marTop w:val="0"/>
                                          <w:marBottom w:val="0"/>
                                          <w:divBdr>
                                            <w:top w:val="none" w:sz="0" w:space="0" w:color="auto"/>
                                            <w:left w:val="none" w:sz="0" w:space="0" w:color="auto"/>
                                            <w:bottom w:val="none" w:sz="0" w:space="0" w:color="auto"/>
                                            <w:right w:val="none" w:sz="0" w:space="0" w:color="auto"/>
                                          </w:divBdr>
                                        </w:div>
                                        <w:div w:id="1689792882">
                                          <w:marLeft w:val="0"/>
                                          <w:marRight w:val="0"/>
                                          <w:marTop w:val="0"/>
                                          <w:marBottom w:val="0"/>
                                          <w:divBdr>
                                            <w:top w:val="none" w:sz="0" w:space="0" w:color="auto"/>
                                            <w:left w:val="none" w:sz="0" w:space="0" w:color="auto"/>
                                            <w:bottom w:val="none" w:sz="0" w:space="0" w:color="auto"/>
                                            <w:right w:val="none" w:sz="0" w:space="0" w:color="auto"/>
                                          </w:divBdr>
                                        </w:div>
                                        <w:div w:id="86777818">
                                          <w:marLeft w:val="0"/>
                                          <w:marRight w:val="0"/>
                                          <w:marTop w:val="0"/>
                                          <w:marBottom w:val="0"/>
                                          <w:divBdr>
                                            <w:top w:val="none" w:sz="0" w:space="0" w:color="auto"/>
                                            <w:left w:val="none" w:sz="0" w:space="0" w:color="auto"/>
                                            <w:bottom w:val="none" w:sz="0" w:space="0" w:color="auto"/>
                                            <w:right w:val="none" w:sz="0" w:space="0" w:color="auto"/>
                                          </w:divBdr>
                                        </w:div>
                                        <w:div w:id="2043626751">
                                          <w:marLeft w:val="0"/>
                                          <w:marRight w:val="0"/>
                                          <w:marTop w:val="0"/>
                                          <w:marBottom w:val="0"/>
                                          <w:divBdr>
                                            <w:top w:val="none" w:sz="0" w:space="0" w:color="auto"/>
                                            <w:left w:val="none" w:sz="0" w:space="0" w:color="auto"/>
                                            <w:bottom w:val="none" w:sz="0" w:space="0" w:color="auto"/>
                                            <w:right w:val="none" w:sz="0" w:space="0" w:color="auto"/>
                                          </w:divBdr>
                                        </w:div>
                                        <w:div w:id="78212779">
                                          <w:marLeft w:val="0"/>
                                          <w:marRight w:val="0"/>
                                          <w:marTop w:val="0"/>
                                          <w:marBottom w:val="0"/>
                                          <w:divBdr>
                                            <w:top w:val="none" w:sz="0" w:space="0" w:color="auto"/>
                                            <w:left w:val="none" w:sz="0" w:space="0" w:color="auto"/>
                                            <w:bottom w:val="none" w:sz="0" w:space="0" w:color="auto"/>
                                            <w:right w:val="none" w:sz="0" w:space="0" w:color="auto"/>
                                          </w:divBdr>
                                        </w:div>
                                        <w:div w:id="824779757">
                                          <w:marLeft w:val="0"/>
                                          <w:marRight w:val="0"/>
                                          <w:marTop w:val="0"/>
                                          <w:marBottom w:val="0"/>
                                          <w:divBdr>
                                            <w:top w:val="none" w:sz="0" w:space="0" w:color="auto"/>
                                            <w:left w:val="none" w:sz="0" w:space="0" w:color="auto"/>
                                            <w:bottom w:val="none" w:sz="0" w:space="0" w:color="auto"/>
                                            <w:right w:val="none" w:sz="0" w:space="0" w:color="auto"/>
                                          </w:divBdr>
                                        </w:div>
                                        <w:div w:id="1128234273">
                                          <w:marLeft w:val="0"/>
                                          <w:marRight w:val="0"/>
                                          <w:marTop w:val="0"/>
                                          <w:marBottom w:val="0"/>
                                          <w:divBdr>
                                            <w:top w:val="none" w:sz="0" w:space="0" w:color="auto"/>
                                            <w:left w:val="none" w:sz="0" w:space="0" w:color="auto"/>
                                            <w:bottom w:val="none" w:sz="0" w:space="0" w:color="auto"/>
                                            <w:right w:val="none" w:sz="0" w:space="0" w:color="auto"/>
                                          </w:divBdr>
                                        </w:div>
                                        <w:div w:id="90854210">
                                          <w:marLeft w:val="0"/>
                                          <w:marRight w:val="0"/>
                                          <w:marTop w:val="0"/>
                                          <w:marBottom w:val="0"/>
                                          <w:divBdr>
                                            <w:top w:val="none" w:sz="0" w:space="0" w:color="auto"/>
                                            <w:left w:val="none" w:sz="0" w:space="0" w:color="auto"/>
                                            <w:bottom w:val="none" w:sz="0" w:space="0" w:color="auto"/>
                                            <w:right w:val="none" w:sz="0" w:space="0" w:color="auto"/>
                                          </w:divBdr>
                                        </w:div>
                                        <w:div w:id="9658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9192">
                                  <w:marLeft w:val="0"/>
                                  <w:marRight w:val="0"/>
                                  <w:marTop w:val="0"/>
                                  <w:marBottom w:val="0"/>
                                  <w:divBdr>
                                    <w:top w:val="none" w:sz="0" w:space="0" w:color="auto"/>
                                    <w:left w:val="none" w:sz="0" w:space="0" w:color="auto"/>
                                    <w:bottom w:val="none" w:sz="0" w:space="0" w:color="auto"/>
                                    <w:right w:val="none" w:sz="0" w:space="0" w:color="auto"/>
                                  </w:divBdr>
                                  <w:divsChild>
                                    <w:div w:id="18204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07546">
                      <w:marLeft w:val="0"/>
                      <w:marRight w:val="0"/>
                      <w:marTop w:val="0"/>
                      <w:marBottom w:val="0"/>
                      <w:divBdr>
                        <w:top w:val="none" w:sz="0" w:space="0" w:color="auto"/>
                        <w:left w:val="none" w:sz="0" w:space="0" w:color="auto"/>
                        <w:bottom w:val="none" w:sz="0" w:space="0" w:color="auto"/>
                        <w:right w:val="none" w:sz="0" w:space="0" w:color="auto"/>
                      </w:divBdr>
                      <w:divsChild>
                        <w:div w:id="547257671">
                          <w:marLeft w:val="0"/>
                          <w:marRight w:val="0"/>
                          <w:marTop w:val="0"/>
                          <w:marBottom w:val="0"/>
                          <w:divBdr>
                            <w:top w:val="none" w:sz="0" w:space="0" w:color="auto"/>
                            <w:left w:val="none" w:sz="0" w:space="0" w:color="auto"/>
                            <w:bottom w:val="none" w:sz="0" w:space="0" w:color="auto"/>
                            <w:right w:val="none" w:sz="0" w:space="0" w:color="auto"/>
                          </w:divBdr>
                          <w:divsChild>
                            <w:div w:id="1338842972">
                              <w:marLeft w:val="0"/>
                              <w:marRight w:val="0"/>
                              <w:marTop w:val="0"/>
                              <w:marBottom w:val="0"/>
                              <w:divBdr>
                                <w:top w:val="none" w:sz="0" w:space="0" w:color="auto"/>
                                <w:left w:val="none" w:sz="0" w:space="0" w:color="auto"/>
                                <w:bottom w:val="none" w:sz="0" w:space="0" w:color="auto"/>
                                <w:right w:val="none" w:sz="0" w:space="0" w:color="auto"/>
                              </w:divBdr>
                              <w:divsChild>
                                <w:div w:id="369577072">
                                  <w:marLeft w:val="0"/>
                                  <w:marRight w:val="0"/>
                                  <w:marTop w:val="0"/>
                                  <w:marBottom w:val="0"/>
                                  <w:divBdr>
                                    <w:top w:val="none" w:sz="0" w:space="0" w:color="auto"/>
                                    <w:left w:val="none" w:sz="0" w:space="0" w:color="auto"/>
                                    <w:bottom w:val="none" w:sz="0" w:space="0" w:color="auto"/>
                                    <w:right w:val="none" w:sz="0" w:space="0" w:color="auto"/>
                                  </w:divBdr>
                                  <w:divsChild>
                                    <w:div w:id="278992865">
                                      <w:marLeft w:val="0"/>
                                      <w:marRight w:val="0"/>
                                      <w:marTop w:val="0"/>
                                      <w:marBottom w:val="0"/>
                                      <w:divBdr>
                                        <w:top w:val="none" w:sz="0" w:space="0" w:color="auto"/>
                                        <w:left w:val="none" w:sz="0" w:space="0" w:color="auto"/>
                                        <w:bottom w:val="none" w:sz="0" w:space="0" w:color="auto"/>
                                        <w:right w:val="none" w:sz="0" w:space="0" w:color="auto"/>
                                      </w:divBdr>
                                      <w:divsChild>
                                        <w:div w:id="1836190582">
                                          <w:marLeft w:val="0"/>
                                          <w:marRight w:val="0"/>
                                          <w:marTop w:val="0"/>
                                          <w:marBottom w:val="0"/>
                                          <w:divBdr>
                                            <w:top w:val="none" w:sz="0" w:space="0" w:color="auto"/>
                                            <w:left w:val="none" w:sz="0" w:space="0" w:color="auto"/>
                                            <w:bottom w:val="none" w:sz="0" w:space="0" w:color="auto"/>
                                            <w:right w:val="none" w:sz="0" w:space="0" w:color="auto"/>
                                          </w:divBdr>
                                        </w:div>
                                        <w:div w:id="1013066062">
                                          <w:marLeft w:val="0"/>
                                          <w:marRight w:val="0"/>
                                          <w:marTop w:val="0"/>
                                          <w:marBottom w:val="0"/>
                                          <w:divBdr>
                                            <w:top w:val="none" w:sz="0" w:space="0" w:color="auto"/>
                                            <w:left w:val="none" w:sz="0" w:space="0" w:color="auto"/>
                                            <w:bottom w:val="none" w:sz="0" w:space="0" w:color="auto"/>
                                            <w:right w:val="none" w:sz="0" w:space="0" w:color="auto"/>
                                          </w:divBdr>
                                        </w:div>
                                        <w:div w:id="807017363">
                                          <w:marLeft w:val="0"/>
                                          <w:marRight w:val="0"/>
                                          <w:marTop w:val="0"/>
                                          <w:marBottom w:val="0"/>
                                          <w:divBdr>
                                            <w:top w:val="none" w:sz="0" w:space="0" w:color="auto"/>
                                            <w:left w:val="none" w:sz="0" w:space="0" w:color="auto"/>
                                            <w:bottom w:val="none" w:sz="0" w:space="0" w:color="auto"/>
                                            <w:right w:val="none" w:sz="0" w:space="0" w:color="auto"/>
                                          </w:divBdr>
                                        </w:div>
                                        <w:div w:id="1853449887">
                                          <w:marLeft w:val="0"/>
                                          <w:marRight w:val="0"/>
                                          <w:marTop w:val="0"/>
                                          <w:marBottom w:val="0"/>
                                          <w:divBdr>
                                            <w:top w:val="none" w:sz="0" w:space="0" w:color="auto"/>
                                            <w:left w:val="none" w:sz="0" w:space="0" w:color="auto"/>
                                            <w:bottom w:val="none" w:sz="0" w:space="0" w:color="auto"/>
                                            <w:right w:val="none" w:sz="0" w:space="0" w:color="auto"/>
                                          </w:divBdr>
                                        </w:div>
                                        <w:div w:id="91435605">
                                          <w:marLeft w:val="0"/>
                                          <w:marRight w:val="0"/>
                                          <w:marTop w:val="0"/>
                                          <w:marBottom w:val="0"/>
                                          <w:divBdr>
                                            <w:top w:val="none" w:sz="0" w:space="0" w:color="auto"/>
                                            <w:left w:val="none" w:sz="0" w:space="0" w:color="auto"/>
                                            <w:bottom w:val="none" w:sz="0" w:space="0" w:color="auto"/>
                                            <w:right w:val="none" w:sz="0" w:space="0" w:color="auto"/>
                                          </w:divBdr>
                                        </w:div>
                                        <w:div w:id="1835296870">
                                          <w:marLeft w:val="0"/>
                                          <w:marRight w:val="0"/>
                                          <w:marTop w:val="0"/>
                                          <w:marBottom w:val="0"/>
                                          <w:divBdr>
                                            <w:top w:val="none" w:sz="0" w:space="0" w:color="auto"/>
                                            <w:left w:val="none" w:sz="0" w:space="0" w:color="auto"/>
                                            <w:bottom w:val="none" w:sz="0" w:space="0" w:color="auto"/>
                                            <w:right w:val="none" w:sz="0" w:space="0" w:color="auto"/>
                                          </w:divBdr>
                                        </w:div>
                                        <w:div w:id="1142694936">
                                          <w:marLeft w:val="0"/>
                                          <w:marRight w:val="0"/>
                                          <w:marTop w:val="0"/>
                                          <w:marBottom w:val="0"/>
                                          <w:divBdr>
                                            <w:top w:val="none" w:sz="0" w:space="0" w:color="auto"/>
                                            <w:left w:val="none" w:sz="0" w:space="0" w:color="auto"/>
                                            <w:bottom w:val="none" w:sz="0" w:space="0" w:color="auto"/>
                                            <w:right w:val="none" w:sz="0" w:space="0" w:color="auto"/>
                                          </w:divBdr>
                                        </w:div>
                                        <w:div w:id="1077165479">
                                          <w:marLeft w:val="0"/>
                                          <w:marRight w:val="0"/>
                                          <w:marTop w:val="0"/>
                                          <w:marBottom w:val="0"/>
                                          <w:divBdr>
                                            <w:top w:val="none" w:sz="0" w:space="0" w:color="auto"/>
                                            <w:left w:val="none" w:sz="0" w:space="0" w:color="auto"/>
                                            <w:bottom w:val="none" w:sz="0" w:space="0" w:color="auto"/>
                                            <w:right w:val="none" w:sz="0" w:space="0" w:color="auto"/>
                                          </w:divBdr>
                                        </w:div>
                                        <w:div w:id="963345998">
                                          <w:marLeft w:val="0"/>
                                          <w:marRight w:val="0"/>
                                          <w:marTop w:val="0"/>
                                          <w:marBottom w:val="0"/>
                                          <w:divBdr>
                                            <w:top w:val="none" w:sz="0" w:space="0" w:color="auto"/>
                                            <w:left w:val="none" w:sz="0" w:space="0" w:color="auto"/>
                                            <w:bottom w:val="none" w:sz="0" w:space="0" w:color="auto"/>
                                            <w:right w:val="none" w:sz="0" w:space="0" w:color="auto"/>
                                          </w:divBdr>
                                        </w:div>
                                        <w:div w:id="847863526">
                                          <w:marLeft w:val="0"/>
                                          <w:marRight w:val="0"/>
                                          <w:marTop w:val="0"/>
                                          <w:marBottom w:val="0"/>
                                          <w:divBdr>
                                            <w:top w:val="none" w:sz="0" w:space="0" w:color="auto"/>
                                            <w:left w:val="none" w:sz="0" w:space="0" w:color="auto"/>
                                            <w:bottom w:val="none" w:sz="0" w:space="0" w:color="auto"/>
                                            <w:right w:val="none" w:sz="0" w:space="0" w:color="auto"/>
                                          </w:divBdr>
                                        </w:div>
                                        <w:div w:id="1112822440">
                                          <w:marLeft w:val="0"/>
                                          <w:marRight w:val="0"/>
                                          <w:marTop w:val="0"/>
                                          <w:marBottom w:val="0"/>
                                          <w:divBdr>
                                            <w:top w:val="none" w:sz="0" w:space="0" w:color="auto"/>
                                            <w:left w:val="none" w:sz="0" w:space="0" w:color="auto"/>
                                            <w:bottom w:val="none" w:sz="0" w:space="0" w:color="auto"/>
                                            <w:right w:val="none" w:sz="0" w:space="0" w:color="auto"/>
                                          </w:divBdr>
                                        </w:div>
                                        <w:div w:id="449323017">
                                          <w:marLeft w:val="0"/>
                                          <w:marRight w:val="0"/>
                                          <w:marTop w:val="0"/>
                                          <w:marBottom w:val="0"/>
                                          <w:divBdr>
                                            <w:top w:val="none" w:sz="0" w:space="0" w:color="auto"/>
                                            <w:left w:val="none" w:sz="0" w:space="0" w:color="auto"/>
                                            <w:bottom w:val="none" w:sz="0" w:space="0" w:color="auto"/>
                                            <w:right w:val="none" w:sz="0" w:space="0" w:color="auto"/>
                                          </w:divBdr>
                                        </w:div>
                                        <w:div w:id="187574180">
                                          <w:marLeft w:val="0"/>
                                          <w:marRight w:val="0"/>
                                          <w:marTop w:val="0"/>
                                          <w:marBottom w:val="0"/>
                                          <w:divBdr>
                                            <w:top w:val="none" w:sz="0" w:space="0" w:color="auto"/>
                                            <w:left w:val="none" w:sz="0" w:space="0" w:color="auto"/>
                                            <w:bottom w:val="none" w:sz="0" w:space="0" w:color="auto"/>
                                            <w:right w:val="none" w:sz="0" w:space="0" w:color="auto"/>
                                          </w:divBdr>
                                        </w:div>
                                        <w:div w:id="1167595674">
                                          <w:marLeft w:val="0"/>
                                          <w:marRight w:val="0"/>
                                          <w:marTop w:val="0"/>
                                          <w:marBottom w:val="0"/>
                                          <w:divBdr>
                                            <w:top w:val="none" w:sz="0" w:space="0" w:color="auto"/>
                                            <w:left w:val="none" w:sz="0" w:space="0" w:color="auto"/>
                                            <w:bottom w:val="none" w:sz="0" w:space="0" w:color="auto"/>
                                            <w:right w:val="none" w:sz="0" w:space="0" w:color="auto"/>
                                          </w:divBdr>
                                        </w:div>
                                        <w:div w:id="1849059818">
                                          <w:marLeft w:val="0"/>
                                          <w:marRight w:val="0"/>
                                          <w:marTop w:val="0"/>
                                          <w:marBottom w:val="0"/>
                                          <w:divBdr>
                                            <w:top w:val="none" w:sz="0" w:space="0" w:color="auto"/>
                                            <w:left w:val="none" w:sz="0" w:space="0" w:color="auto"/>
                                            <w:bottom w:val="none" w:sz="0" w:space="0" w:color="auto"/>
                                            <w:right w:val="none" w:sz="0" w:space="0" w:color="auto"/>
                                          </w:divBdr>
                                        </w:div>
                                        <w:div w:id="1449356128">
                                          <w:marLeft w:val="0"/>
                                          <w:marRight w:val="0"/>
                                          <w:marTop w:val="0"/>
                                          <w:marBottom w:val="0"/>
                                          <w:divBdr>
                                            <w:top w:val="none" w:sz="0" w:space="0" w:color="auto"/>
                                            <w:left w:val="none" w:sz="0" w:space="0" w:color="auto"/>
                                            <w:bottom w:val="none" w:sz="0" w:space="0" w:color="auto"/>
                                            <w:right w:val="none" w:sz="0" w:space="0" w:color="auto"/>
                                          </w:divBdr>
                                        </w:div>
                                        <w:div w:id="1970621697">
                                          <w:marLeft w:val="0"/>
                                          <w:marRight w:val="0"/>
                                          <w:marTop w:val="0"/>
                                          <w:marBottom w:val="0"/>
                                          <w:divBdr>
                                            <w:top w:val="none" w:sz="0" w:space="0" w:color="auto"/>
                                            <w:left w:val="none" w:sz="0" w:space="0" w:color="auto"/>
                                            <w:bottom w:val="none" w:sz="0" w:space="0" w:color="auto"/>
                                            <w:right w:val="none" w:sz="0" w:space="0" w:color="auto"/>
                                          </w:divBdr>
                                        </w:div>
                                        <w:div w:id="1168398740">
                                          <w:marLeft w:val="0"/>
                                          <w:marRight w:val="0"/>
                                          <w:marTop w:val="0"/>
                                          <w:marBottom w:val="0"/>
                                          <w:divBdr>
                                            <w:top w:val="none" w:sz="0" w:space="0" w:color="auto"/>
                                            <w:left w:val="none" w:sz="0" w:space="0" w:color="auto"/>
                                            <w:bottom w:val="none" w:sz="0" w:space="0" w:color="auto"/>
                                            <w:right w:val="none" w:sz="0" w:space="0" w:color="auto"/>
                                          </w:divBdr>
                                        </w:div>
                                        <w:div w:id="940916679">
                                          <w:marLeft w:val="0"/>
                                          <w:marRight w:val="0"/>
                                          <w:marTop w:val="0"/>
                                          <w:marBottom w:val="0"/>
                                          <w:divBdr>
                                            <w:top w:val="none" w:sz="0" w:space="0" w:color="auto"/>
                                            <w:left w:val="none" w:sz="0" w:space="0" w:color="auto"/>
                                            <w:bottom w:val="none" w:sz="0" w:space="0" w:color="auto"/>
                                            <w:right w:val="none" w:sz="0" w:space="0" w:color="auto"/>
                                          </w:divBdr>
                                        </w:div>
                                        <w:div w:id="1194340585">
                                          <w:marLeft w:val="0"/>
                                          <w:marRight w:val="0"/>
                                          <w:marTop w:val="0"/>
                                          <w:marBottom w:val="0"/>
                                          <w:divBdr>
                                            <w:top w:val="none" w:sz="0" w:space="0" w:color="auto"/>
                                            <w:left w:val="none" w:sz="0" w:space="0" w:color="auto"/>
                                            <w:bottom w:val="none" w:sz="0" w:space="0" w:color="auto"/>
                                            <w:right w:val="none" w:sz="0" w:space="0" w:color="auto"/>
                                          </w:divBdr>
                                        </w:div>
                                        <w:div w:id="1621960556">
                                          <w:marLeft w:val="0"/>
                                          <w:marRight w:val="0"/>
                                          <w:marTop w:val="0"/>
                                          <w:marBottom w:val="0"/>
                                          <w:divBdr>
                                            <w:top w:val="none" w:sz="0" w:space="0" w:color="auto"/>
                                            <w:left w:val="none" w:sz="0" w:space="0" w:color="auto"/>
                                            <w:bottom w:val="none" w:sz="0" w:space="0" w:color="auto"/>
                                            <w:right w:val="none" w:sz="0" w:space="0" w:color="auto"/>
                                          </w:divBdr>
                                        </w:div>
                                        <w:div w:id="1540166251">
                                          <w:marLeft w:val="0"/>
                                          <w:marRight w:val="0"/>
                                          <w:marTop w:val="0"/>
                                          <w:marBottom w:val="0"/>
                                          <w:divBdr>
                                            <w:top w:val="none" w:sz="0" w:space="0" w:color="auto"/>
                                            <w:left w:val="none" w:sz="0" w:space="0" w:color="auto"/>
                                            <w:bottom w:val="none" w:sz="0" w:space="0" w:color="auto"/>
                                            <w:right w:val="none" w:sz="0" w:space="0" w:color="auto"/>
                                          </w:divBdr>
                                        </w:div>
                                        <w:div w:id="514029501">
                                          <w:marLeft w:val="0"/>
                                          <w:marRight w:val="0"/>
                                          <w:marTop w:val="0"/>
                                          <w:marBottom w:val="0"/>
                                          <w:divBdr>
                                            <w:top w:val="none" w:sz="0" w:space="0" w:color="auto"/>
                                            <w:left w:val="none" w:sz="0" w:space="0" w:color="auto"/>
                                            <w:bottom w:val="none" w:sz="0" w:space="0" w:color="auto"/>
                                            <w:right w:val="none" w:sz="0" w:space="0" w:color="auto"/>
                                          </w:divBdr>
                                        </w:div>
                                        <w:div w:id="1008798691">
                                          <w:marLeft w:val="0"/>
                                          <w:marRight w:val="0"/>
                                          <w:marTop w:val="0"/>
                                          <w:marBottom w:val="0"/>
                                          <w:divBdr>
                                            <w:top w:val="none" w:sz="0" w:space="0" w:color="auto"/>
                                            <w:left w:val="none" w:sz="0" w:space="0" w:color="auto"/>
                                            <w:bottom w:val="none" w:sz="0" w:space="0" w:color="auto"/>
                                            <w:right w:val="none" w:sz="0" w:space="0" w:color="auto"/>
                                          </w:divBdr>
                                        </w:div>
                                        <w:div w:id="288514135">
                                          <w:marLeft w:val="0"/>
                                          <w:marRight w:val="0"/>
                                          <w:marTop w:val="0"/>
                                          <w:marBottom w:val="0"/>
                                          <w:divBdr>
                                            <w:top w:val="none" w:sz="0" w:space="0" w:color="auto"/>
                                            <w:left w:val="none" w:sz="0" w:space="0" w:color="auto"/>
                                            <w:bottom w:val="none" w:sz="0" w:space="0" w:color="auto"/>
                                            <w:right w:val="none" w:sz="0" w:space="0" w:color="auto"/>
                                          </w:divBdr>
                                        </w:div>
                                        <w:div w:id="371852704">
                                          <w:marLeft w:val="0"/>
                                          <w:marRight w:val="0"/>
                                          <w:marTop w:val="0"/>
                                          <w:marBottom w:val="0"/>
                                          <w:divBdr>
                                            <w:top w:val="none" w:sz="0" w:space="0" w:color="auto"/>
                                            <w:left w:val="none" w:sz="0" w:space="0" w:color="auto"/>
                                            <w:bottom w:val="none" w:sz="0" w:space="0" w:color="auto"/>
                                            <w:right w:val="none" w:sz="0" w:space="0" w:color="auto"/>
                                          </w:divBdr>
                                        </w:div>
                                        <w:div w:id="1281687664">
                                          <w:marLeft w:val="0"/>
                                          <w:marRight w:val="0"/>
                                          <w:marTop w:val="0"/>
                                          <w:marBottom w:val="0"/>
                                          <w:divBdr>
                                            <w:top w:val="none" w:sz="0" w:space="0" w:color="auto"/>
                                            <w:left w:val="none" w:sz="0" w:space="0" w:color="auto"/>
                                            <w:bottom w:val="none" w:sz="0" w:space="0" w:color="auto"/>
                                            <w:right w:val="none" w:sz="0" w:space="0" w:color="auto"/>
                                          </w:divBdr>
                                        </w:div>
                                        <w:div w:id="1233156126">
                                          <w:marLeft w:val="0"/>
                                          <w:marRight w:val="0"/>
                                          <w:marTop w:val="0"/>
                                          <w:marBottom w:val="0"/>
                                          <w:divBdr>
                                            <w:top w:val="none" w:sz="0" w:space="0" w:color="auto"/>
                                            <w:left w:val="none" w:sz="0" w:space="0" w:color="auto"/>
                                            <w:bottom w:val="none" w:sz="0" w:space="0" w:color="auto"/>
                                            <w:right w:val="none" w:sz="0" w:space="0" w:color="auto"/>
                                          </w:divBdr>
                                        </w:div>
                                        <w:div w:id="1403143515">
                                          <w:marLeft w:val="0"/>
                                          <w:marRight w:val="0"/>
                                          <w:marTop w:val="0"/>
                                          <w:marBottom w:val="0"/>
                                          <w:divBdr>
                                            <w:top w:val="none" w:sz="0" w:space="0" w:color="auto"/>
                                            <w:left w:val="none" w:sz="0" w:space="0" w:color="auto"/>
                                            <w:bottom w:val="none" w:sz="0" w:space="0" w:color="auto"/>
                                            <w:right w:val="none" w:sz="0" w:space="0" w:color="auto"/>
                                          </w:divBdr>
                                        </w:div>
                                        <w:div w:id="1253662410">
                                          <w:marLeft w:val="0"/>
                                          <w:marRight w:val="0"/>
                                          <w:marTop w:val="0"/>
                                          <w:marBottom w:val="0"/>
                                          <w:divBdr>
                                            <w:top w:val="none" w:sz="0" w:space="0" w:color="auto"/>
                                            <w:left w:val="none" w:sz="0" w:space="0" w:color="auto"/>
                                            <w:bottom w:val="none" w:sz="0" w:space="0" w:color="auto"/>
                                            <w:right w:val="none" w:sz="0" w:space="0" w:color="auto"/>
                                          </w:divBdr>
                                        </w:div>
                                        <w:div w:id="402065664">
                                          <w:marLeft w:val="0"/>
                                          <w:marRight w:val="0"/>
                                          <w:marTop w:val="0"/>
                                          <w:marBottom w:val="0"/>
                                          <w:divBdr>
                                            <w:top w:val="none" w:sz="0" w:space="0" w:color="auto"/>
                                            <w:left w:val="none" w:sz="0" w:space="0" w:color="auto"/>
                                            <w:bottom w:val="none" w:sz="0" w:space="0" w:color="auto"/>
                                            <w:right w:val="none" w:sz="0" w:space="0" w:color="auto"/>
                                          </w:divBdr>
                                        </w:div>
                                        <w:div w:id="1473861584">
                                          <w:marLeft w:val="0"/>
                                          <w:marRight w:val="0"/>
                                          <w:marTop w:val="0"/>
                                          <w:marBottom w:val="0"/>
                                          <w:divBdr>
                                            <w:top w:val="none" w:sz="0" w:space="0" w:color="auto"/>
                                            <w:left w:val="none" w:sz="0" w:space="0" w:color="auto"/>
                                            <w:bottom w:val="none" w:sz="0" w:space="0" w:color="auto"/>
                                            <w:right w:val="none" w:sz="0" w:space="0" w:color="auto"/>
                                          </w:divBdr>
                                        </w:div>
                                        <w:div w:id="1493793362">
                                          <w:marLeft w:val="0"/>
                                          <w:marRight w:val="0"/>
                                          <w:marTop w:val="0"/>
                                          <w:marBottom w:val="0"/>
                                          <w:divBdr>
                                            <w:top w:val="none" w:sz="0" w:space="0" w:color="auto"/>
                                            <w:left w:val="none" w:sz="0" w:space="0" w:color="auto"/>
                                            <w:bottom w:val="none" w:sz="0" w:space="0" w:color="auto"/>
                                            <w:right w:val="none" w:sz="0" w:space="0" w:color="auto"/>
                                          </w:divBdr>
                                        </w:div>
                                        <w:div w:id="1125346948">
                                          <w:marLeft w:val="0"/>
                                          <w:marRight w:val="0"/>
                                          <w:marTop w:val="0"/>
                                          <w:marBottom w:val="0"/>
                                          <w:divBdr>
                                            <w:top w:val="none" w:sz="0" w:space="0" w:color="auto"/>
                                            <w:left w:val="none" w:sz="0" w:space="0" w:color="auto"/>
                                            <w:bottom w:val="none" w:sz="0" w:space="0" w:color="auto"/>
                                            <w:right w:val="none" w:sz="0" w:space="0" w:color="auto"/>
                                          </w:divBdr>
                                        </w:div>
                                        <w:div w:id="1860316954">
                                          <w:marLeft w:val="0"/>
                                          <w:marRight w:val="0"/>
                                          <w:marTop w:val="0"/>
                                          <w:marBottom w:val="0"/>
                                          <w:divBdr>
                                            <w:top w:val="none" w:sz="0" w:space="0" w:color="auto"/>
                                            <w:left w:val="none" w:sz="0" w:space="0" w:color="auto"/>
                                            <w:bottom w:val="none" w:sz="0" w:space="0" w:color="auto"/>
                                            <w:right w:val="none" w:sz="0" w:space="0" w:color="auto"/>
                                          </w:divBdr>
                                        </w:div>
                                        <w:div w:id="44985373">
                                          <w:marLeft w:val="0"/>
                                          <w:marRight w:val="0"/>
                                          <w:marTop w:val="0"/>
                                          <w:marBottom w:val="0"/>
                                          <w:divBdr>
                                            <w:top w:val="none" w:sz="0" w:space="0" w:color="auto"/>
                                            <w:left w:val="none" w:sz="0" w:space="0" w:color="auto"/>
                                            <w:bottom w:val="none" w:sz="0" w:space="0" w:color="auto"/>
                                            <w:right w:val="none" w:sz="0" w:space="0" w:color="auto"/>
                                          </w:divBdr>
                                        </w:div>
                                        <w:div w:id="1023171738">
                                          <w:marLeft w:val="0"/>
                                          <w:marRight w:val="0"/>
                                          <w:marTop w:val="0"/>
                                          <w:marBottom w:val="0"/>
                                          <w:divBdr>
                                            <w:top w:val="none" w:sz="0" w:space="0" w:color="auto"/>
                                            <w:left w:val="none" w:sz="0" w:space="0" w:color="auto"/>
                                            <w:bottom w:val="none" w:sz="0" w:space="0" w:color="auto"/>
                                            <w:right w:val="none" w:sz="0" w:space="0" w:color="auto"/>
                                          </w:divBdr>
                                        </w:div>
                                        <w:div w:id="799805446">
                                          <w:marLeft w:val="0"/>
                                          <w:marRight w:val="0"/>
                                          <w:marTop w:val="0"/>
                                          <w:marBottom w:val="0"/>
                                          <w:divBdr>
                                            <w:top w:val="none" w:sz="0" w:space="0" w:color="auto"/>
                                            <w:left w:val="none" w:sz="0" w:space="0" w:color="auto"/>
                                            <w:bottom w:val="none" w:sz="0" w:space="0" w:color="auto"/>
                                            <w:right w:val="none" w:sz="0" w:space="0" w:color="auto"/>
                                          </w:divBdr>
                                        </w:div>
                                        <w:div w:id="12391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7961">
                                  <w:marLeft w:val="0"/>
                                  <w:marRight w:val="0"/>
                                  <w:marTop w:val="0"/>
                                  <w:marBottom w:val="0"/>
                                  <w:divBdr>
                                    <w:top w:val="none" w:sz="0" w:space="0" w:color="auto"/>
                                    <w:left w:val="none" w:sz="0" w:space="0" w:color="auto"/>
                                    <w:bottom w:val="none" w:sz="0" w:space="0" w:color="auto"/>
                                    <w:right w:val="none" w:sz="0" w:space="0" w:color="auto"/>
                                  </w:divBdr>
                                  <w:divsChild>
                                    <w:div w:id="2978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05519">
                      <w:marLeft w:val="0"/>
                      <w:marRight w:val="0"/>
                      <w:marTop w:val="0"/>
                      <w:marBottom w:val="0"/>
                      <w:divBdr>
                        <w:top w:val="none" w:sz="0" w:space="0" w:color="auto"/>
                        <w:left w:val="none" w:sz="0" w:space="0" w:color="auto"/>
                        <w:bottom w:val="none" w:sz="0" w:space="0" w:color="auto"/>
                        <w:right w:val="none" w:sz="0" w:space="0" w:color="auto"/>
                      </w:divBdr>
                      <w:divsChild>
                        <w:div w:id="1830554620">
                          <w:marLeft w:val="0"/>
                          <w:marRight w:val="0"/>
                          <w:marTop w:val="0"/>
                          <w:marBottom w:val="0"/>
                          <w:divBdr>
                            <w:top w:val="none" w:sz="0" w:space="0" w:color="auto"/>
                            <w:left w:val="none" w:sz="0" w:space="0" w:color="auto"/>
                            <w:bottom w:val="none" w:sz="0" w:space="0" w:color="auto"/>
                            <w:right w:val="none" w:sz="0" w:space="0" w:color="auto"/>
                          </w:divBdr>
                          <w:divsChild>
                            <w:div w:id="833765967">
                              <w:marLeft w:val="0"/>
                              <w:marRight w:val="0"/>
                              <w:marTop w:val="0"/>
                              <w:marBottom w:val="0"/>
                              <w:divBdr>
                                <w:top w:val="none" w:sz="0" w:space="0" w:color="auto"/>
                                <w:left w:val="none" w:sz="0" w:space="0" w:color="auto"/>
                                <w:bottom w:val="none" w:sz="0" w:space="0" w:color="auto"/>
                                <w:right w:val="none" w:sz="0" w:space="0" w:color="auto"/>
                              </w:divBdr>
                              <w:divsChild>
                                <w:div w:id="885457727">
                                  <w:marLeft w:val="0"/>
                                  <w:marRight w:val="0"/>
                                  <w:marTop w:val="0"/>
                                  <w:marBottom w:val="0"/>
                                  <w:divBdr>
                                    <w:top w:val="none" w:sz="0" w:space="0" w:color="auto"/>
                                    <w:left w:val="none" w:sz="0" w:space="0" w:color="auto"/>
                                    <w:bottom w:val="none" w:sz="0" w:space="0" w:color="auto"/>
                                    <w:right w:val="none" w:sz="0" w:space="0" w:color="auto"/>
                                  </w:divBdr>
                                  <w:divsChild>
                                    <w:div w:id="1241257113">
                                      <w:marLeft w:val="0"/>
                                      <w:marRight w:val="0"/>
                                      <w:marTop w:val="0"/>
                                      <w:marBottom w:val="0"/>
                                      <w:divBdr>
                                        <w:top w:val="none" w:sz="0" w:space="0" w:color="auto"/>
                                        <w:left w:val="none" w:sz="0" w:space="0" w:color="auto"/>
                                        <w:bottom w:val="none" w:sz="0" w:space="0" w:color="auto"/>
                                        <w:right w:val="none" w:sz="0" w:space="0" w:color="auto"/>
                                      </w:divBdr>
                                      <w:divsChild>
                                        <w:div w:id="870455422">
                                          <w:marLeft w:val="0"/>
                                          <w:marRight w:val="0"/>
                                          <w:marTop w:val="0"/>
                                          <w:marBottom w:val="0"/>
                                          <w:divBdr>
                                            <w:top w:val="none" w:sz="0" w:space="0" w:color="auto"/>
                                            <w:left w:val="none" w:sz="0" w:space="0" w:color="auto"/>
                                            <w:bottom w:val="none" w:sz="0" w:space="0" w:color="auto"/>
                                            <w:right w:val="none" w:sz="0" w:space="0" w:color="auto"/>
                                          </w:divBdr>
                                        </w:div>
                                        <w:div w:id="414127201">
                                          <w:marLeft w:val="0"/>
                                          <w:marRight w:val="0"/>
                                          <w:marTop w:val="0"/>
                                          <w:marBottom w:val="0"/>
                                          <w:divBdr>
                                            <w:top w:val="none" w:sz="0" w:space="0" w:color="auto"/>
                                            <w:left w:val="none" w:sz="0" w:space="0" w:color="auto"/>
                                            <w:bottom w:val="none" w:sz="0" w:space="0" w:color="auto"/>
                                            <w:right w:val="none" w:sz="0" w:space="0" w:color="auto"/>
                                          </w:divBdr>
                                        </w:div>
                                        <w:div w:id="1723405664">
                                          <w:marLeft w:val="0"/>
                                          <w:marRight w:val="0"/>
                                          <w:marTop w:val="0"/>
                                          <w:marBottom w:val="0"/>
                                          <w:divBdr>
                                            <w:top w:val="none" w:sz="0" w:space="0" w:color="auto"/>
                                            <w:left w:val="none" w:sz="0" w:space="0" w:color="auto"/>
                                            <w:bottom w:val="none" w:sz="0" w:space="0" w:color="auto"/>
                                            <w:right w:val="none" w:sz="0" w:space="0" w:color="auto"/>
                                          </w:divBdr>
                                        </w:div>
                                        <w:div w:id="397947301">
                                          <w:marLeft w:val="0"/>
                                          <w:marRight w:val="0"/>
                                          <w:marTop w:val="0"/>
                                          <w:marBottom w:val="0"/>
                                          <w:divBdr>
                                            <w:top w:val="none" w:sz="0" w:space="0" w:color="auto"/>
                                            <w:left w:val="none" w:sz="0" w:space="0" w:color="auto"/>
                                            <w:bottom w:val="none" w:sz="0" w:space="0" w:color="auto"/>
                                            <w:right w:val="none" w:sz="0" w:space="0" w:color="auto"/>
                                          </w:divBdr>
                                        </w:div>
                                        <w:div w:id="805702171">
                                          <w:marLeft w:val="0"/>
                                          <w:marRight w:val="0"/>
                                          <w:marTop w:val="0"/>
                                          <w:marBottom w:val="0"/>
                                          <w:divBdr>
                                            <w:top w:val="none" w:sz="0" w:space="0" w:color="auto"/>
                                            <w:left w:val="none" w:sz="0" w:space="0" w:color="auto"/>
                                            <w:bottom w:val="none" w:sz="0" w:space="0" w:color="auto"/>
                                            <w:right w:val="none" w:sz="0" w:space="0" w:color="auto"/>
                                          </w:divBdr>
                                        </w:div>
                                        <w:div w:id="960769504">
                                          <w:marLeft w:val="0"/>
                                          <w:marRight w:val="0"/>
                                          <w:marTop w:val="0"/>
                                          <w:marBottom w:val="0"/>
                                          <w:divBdr>
                                            <w:top w:val="none" w:sz="0" w:space="0" w:color="auto"/>
                                            <w:left w:val="none" w:sz="0" w:space="0" w:color="auto"/>
                                            <w:bottom w:val="none" w:sz="0" w:space="0" w:color="auto"/>
                                            <w:right w:val="none" w:sz="0" w:space="0" w:color="auto"/>
                                          </w:divBdr>
                                        </w:div>
                                        <w:div w:id="1840194968">
                                          <w:marLeft w:val="0"/>
                                          <w:marRight w:val="0"/>
                                          <w:marTop w:val="0"/>
                                          <w:marBottom w:val="0"/>
                                          <w:divBdr>
                                            <w:top w:val="none" w:sz="0" w:space="0" w:color="auto"/>
                                            <w:left w:val="none" w:sz="0" w:space="0" w:color="auto"/>
                                            <w:bottom w:val="none" w:sz="0" w:space="0" w:color="auto"/>
                                            <w:right w:val="none" w:sz="0" w:space="0" w:color="auto"/>
                                          </w:divBdr>
                                        </w:div>
                                        <w:div w:id="1441604590">
                                          <w:marLeft w:val="0"/>
                                          <w:marRight w:val="0"/>
                                          <w:marTop w:val="0"/>
                                          <w:marBottom w:val="0"/>
                                          <w:divBdr>
                                            <w:top w:val="none" w:sz="0" w:space="0" w:color="auto"/>
                                            <w:left w:val="none" w:sz="0" w:space="0" w:color="auto"/>
                                            <w:bottom w:val="none" w:sz="0" w:space="0" w:color="auto"/>
                                            <w:right w:val="none" w:sz="0" w:space="0" w:color="auto"/>
                                          </w:divBdr>
                                        </w:div>
                                        <w:div w:id="1655332876">
                                          <w:marLeft w:val="0"/>
                                          <w:marRight w:val="0"/>
                                          <w:marTop w:val="0"/>
                                          <w:marBottom w:val="0"/>
                                          <w:divBdr>
                                            <w:top w:val="none" w:sz="0" w:space="0" w:color="auto"/>
                                            <w:left w:val="none" w:sz="0" w:space="0" w:color="auto"/>
                                            <w:bottom w:val="none" w:sz="0" w:space="0" w:color="auto"/>
                                            <w:right w:val="none" w:sz="0" w:space="0" w:color="auto"/>
                                          </w:divBdr>
                                        </w:div>
                                        <w:div w:id="1235773578">
                                          <w:marLeft w:val="0"/>
                                          <w:marRight w:val="0"/>
                                          <w:marTop w:val="0"/>
                                          <w:marBottom w:val="0"/>
                                          <w:divBdr>
                                            <w:top w:val="none" w:sz="0" w:space="0" w:color="auto"/>
                                            <w:left w:val="none" w:sz="0" w:space="0" w:color="auto"/>
                                            <w:bottom w:val="none" w:sz="0" w:space="0" w:color="auto"/>
                                            <w:right w:val="none" w:sz="0" w:space="0" w:color="auto"/>
                                          </w:divBdr>
                                        </w:div>
                                        <w:div w:id="565147392">
                                          <w:marLeft w:val="0"/>
                                          <w:marRight w:val="0"/>
                                          <w:marTop w:val="0"/>
                                          <w:marBottom w:val="0"/>
                                          <w:divBdr>
                                            <w:top w:val="none" w:sz="0" w:space="0" w:color="auto"/>
                                            <w:left w:val="none" w:sz="0" w:space="0" w:color="auto"/>
                                            <w:bottom w:val="none" w:sz="0" w:space="0" w:color="auto"/>
                                            <w:right w:val="none" w:sz="0" w:space="0" w:color="auto"/>
                                          </w:divBdr>
                                        </w:div>
                                        <w:div w:id="1815023350">
                                          <w:marLeft w:val="0"/>
                                          <w:marRight w:val="0"/>
                                          <w:marTop w:val="0"/>
                                          <w:marBottom w:val="0"/>
                                          <w:divBdr>
                                            <w:top w:val="none" w:sz="0" w:space="0" w:color="auto"/>
                                            <w:left w:val="none" w:sz="0" w:space="0" w:color="auto"/>
                                            <w:bottom w:val="none" w:sz="0" w:space="0" w:color="auto"/>
                                            <w:right w:val="none" w:sz="0" w:space="0" w:color="auto"/>
                                          </w:divBdr>
                                        </w:div>
                                        <w:div w:id="310409265">
                                          <w:marLeft w:val="0"/>
                                          <w:marRight w:val="0"/>
                                          <w:marTop w:val="0"/>
                                          <w:marBottom w:val="0"/>
                                          <w:divBdr>
                                            <w:top w:val="none" w:sz="0" w:space="0" w:color="auto"/>
                                            <w:left w:val="none" w:sz="0" w:space="0" w:color="auto"/>
                                            <w:bottom w:val="none" w:sz="0" w:space="0" w:color="auto"/>
                                            <w:right w:val="none" w:sz="0" w:space="0" w:color="auto"/>
                                          </w:divBdr>
                                        </w:div>
                                        <w:div w:id="374624648">
                                          <w:marLeft w:val="0"/>
                                          <w:marRight w:val="0"/>
                                          <w:marTop w:val="0"/>
                                          <w:marBottom w:val="0"/>
                                          <w:divBdr>
                                            <w:top w:val="none" w:sz="0" w:space="0" w:color="auto"/>
                                            <w:left w:val="none" w:sz="0" w:space="0" w:color="auto"/>
                                            <w:bottom w:val="none" w:sz="0" w:space="0" w:color="auto"/>
                                            <w:right w:val="none" w:sz="0" w:space="0" w:color="auto"/>
                                          </w:divBdr>
                                        </w:div>
                                        <w:div w:id="1679623158">
                                          <w:marLeft w:val="0"/>
                                          <w:marRight w:val="0"/>
                                          <w:marTop w:val="0"/>
                                          <w:marBottom w:val="0"/>
                                          <w:divBdr>
                                            <w:top w:val="none" w:sz="0" w:space="0" w:color="auto"/>
                                            <w:left w:val="none" w:sz="0" w:space="0" w:color="auto"/>
                                            <w:bottom w:val="none" w:sz="0" w:space="0" w:color="auto"/>
                                            <w:right w:val="none" w:sz="0" w:space="0" w:color="auto"/>
                                          </w:divBdr>
                                        </w:div>
                                        <w:div w:id="215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139">
                                  <w:marLeft w:val="0"/>
                                  <w:marRight w:val="0"/>
                                  <w:marTop w:val="0"/>
                                  <w:marBottom w:val="0"/>
                                  <w:divBdr>
                                    <w:top w:val="none" w:sz="0" w:space="0" w:color="auto"/>
                                    <w:left w:val="none" w:sz="0" w:space="0" w:color="auto"/>
                                    <w:bottom w:val="none" w:sz="0" w:space="0" w:color="auto"/>
                                    <w:right w:val="none" w:sz="0" w:space="0" w:color="auto"/>
                                  </w:divBdr>
                                  <w:divsChild>
                                    <w:div w:id="366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4636">
                      <w:marLeft w:val="0"/>
                      <w:marRight w:val="0"/>
                      <w:marTop w:val="0"/>
                      <w:marBottom w:val="0"/>
                      <w:divBdr>
                        <w:top w:val="none" w:sz="0" w:space="0" w:color="auto"/>
                        <w:left w:val="none" w:sz="0" w:space="0" w:color="auto"/>
                        <w:bottom w:val="none" w:sz="0" w:space="0" w:color="auto"/>
                        <w:right w:val="none" w:sz="0" w:space="0" w:color="auto"/>
                      </w:divBdr>
                      <w:divsChild>
                        <w:div w:id="1655526376">
                          <w:marLeft w:val="0"/>
                          <w:marRight w:val="0"/>
                          <w:marTop w:val="0"/>
                          <w:marBottom w:val="0"/>
                          <w:divBdr>
                            <w:top w:val="none" w:sz="0" w:space="0" w:color="auto"/>
                            <w:left w:val="none" w:sz="0" w:space="0" w:color="auto"/>
                            <w:bottom w:val="none" w:sz="0" w:space="0" w:color="auto"/>
                            <w:right w:val="none" w:sz="0" w:space="0" w:color="auto"/>
                          </w:divBdr>
                          <w:divsChild>
                            <w:div w:id="1414275711">
                              <w:marLeft w:val="0"/>
                              <w:marRight w:val="0"/>
                              <w:marTop w:val="0"/>
                              <w:marBottom w:val="0"/>
                              <w:divBdr>
                                <w:top w:val="none" w:sz="0" w:space="0" w:color="auto"/>
                                <w:left w:val="none" w:sz="0" w:space="0" w:color="auto"/>
                                <w:bottom w:val="none" w:sz="0" w:space="0" w:color="auto"/>
                                <w:right w:val="none" w:sz="0" w:space="0" w:color="auto"/>
                              </w:divBdr>
                            </w:div>
                            <w:div w:id="2106991681">
                              <w:marLeft w:val="0"/>
                              <w:marRight w:val="0"/>
                              <w:marTop w:val="0"/>
                              <w:marBottom w:val="0"/>
                              <w:divBdr>
                                <w:top w:val="none" w:sz="0" w:space="0" w:color="auto"/>
                                <w:left w:val="none" w:sz="0" w:space="0" w:color="auto"/>
                                <w:bottom w:val="none" w:sz="0" w:space="0" w:color="auto"/>
                                <w:right w:val="none" w:sz="0" w:space="0" w:color="auto"/>
                              </w:divBdr>
                            </w:div>
                          </w:divsChild>
                        </w:div>
                        <w:div w:id="436682645">
                          <w:marLeft w:val="0"/>
                          <w:marRight w:val="0"/>
                          <w:marTop w:val="0"/>
                          <w:marBottom w:val="0"/>
                          <w:divBdr>
                            <w:top w:val="none" w:sz="0" w:space="0" w:color="auto"/>
                            <w:left w:val="none" w:sz="0" w:space="0" w:color="auto"/>
                            <w:bottom w:val="none" w:sz="0" w:space="0" w:color="auto"/>
                            <w:right w:val="none" w:sz="0" w:space="0" w:color="auto"/>
                          </w:divBdr>
                          <w:divsChild>
                            <w:div w:id="1378357473">
                              <w:marLeft w:val="0"/>
                              <w:marRight w:val="0"/>
                              <w:marTop w:val="0"/>
                              <w:marBottom w:val="0"/>
                              <w:divBdr>
                                <w:top w:val="none" w:sz="0" w:space="0" w:color="auto"/>
                                <w:left w:val="none" w:sz="0" w:space="0" w:color="auto"/>
                                <w:bottom w:val="none" w:sz="0" w:space="0" w:color="auto"/>
                                <w:right w:val="none" w:sz="0" w:space="0" w:color="auto"/>
                              </w:divBdr>
                              <w:divsChild>
                                <w:div w:id="2562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6705">
                          <w:marLeft w:val="0"/>
                          <w:marRight w:val="0"/>
                          <w:marTop w:val="0"/>
                          <w:marBottom w:val="0"/>
                          <w:divBdr>
                            <w:top w:val="none" w:sz="0" w:space="0" w:color="auto"/>
                            <w:left w:val="none" w:sz="0" w:space="0" w:color="auto"/>
                            <w:bottom w:val="none" w:sz="0" w:space="0" w:color="auto"/>
                            <w:right w:val="none" w:sz="0" w:space="0" w:color="auto"/>
                          </w:divBdr>
                        </w:div>
                        <w:div w:id="1698240560">
                          <w:marLeft w:val="0"/>
                          <w:marRight w:val="0"/>
                          <w:marTop w:val="0"/>
                          <w:marBottom w:val="0"/>
                          <w:divBdr>
                            <w:top w:val="none" w:sz="0" w:space="0" w:color="auto"/>
                            <w:left w:val="none" w:sz="0" w:space="0" w:color="auto"/>
                            <w:bottom w:val="none" w:sz="0" w:space="0" w:color="auto"/>
                            <w:right w:val="none" w:sz="0" w:space="0" w:color="auto"/>
                          </w:divBdr>
                          <w:divsChild>
                            <w:div w:id="655454428">
                              <w:marLeft w:val="0"/>
                              <w:marRight w:val="0"/>
                              <w:marTop w:val="0"/>
                              <w:marBottom w:val="0"/>
                              <w:divBdr>
                                <w:top w:val="none" w:sz="0" w:space="0" w:color="auto"/>
                                <w:left w:val="none" w:sz="0" w:space="0" w:color="auto"/>
                                <w:bottom w:val="none" w:sz="0" w:space="0" w:color="auto"/>
                                <w:right w:val="none" w:sz="0" w:space="0" w:color="auto"/>
                              </w:divBdr>
                            </w:div>
                            <w:div w:id="1164394947">
                              <w:marLeft w:val="0"/>
                              <w:marRight w:val="0"/>
                              <w:marTop w:val="0"/>
                              <w:marBottom w:val="0"/>
                              <w:divBdr>
                                <w:top w:val="none" w:sz="0" w:space="0" w:color="auto"/>
                                <w:left w:val="none" w:sz="0" w:space="0" w:color="auto"/>
                                <w:bottom w:val="none" w:sz="0" w:space="0" w:color="auto"/>
                                <w:right w:val="none" w:sz="0" w:space="0" w:color="auto"/>
                              </w:divBdr>
                            </w:div>
                          </w:divsChild>
                        </w:div>
                        <w:div w:id="423112128">
                          <w:marLeft w:val="0"/>
                          <w:marRight w:val="0"/>
                          <w:marTop w:val="0"/>
                          <w:marBottom w:val="0"/>
                          <w:divBdr>
                            <w:top w:val="none" w:sz="0" w:space="0" w:color="auto"/>
                            <w:left w:val="none" w:sz="0" w:space="0" w:color="auto"/>
                            <w:bottom w:val="none" w:sz="0" w:space="0" w:color="auto"/>
                            <w:right w:val="none" w:sz="0" w:space="0" w:color="auto"/>
                          </w:divBdr>
                          <w:divsChild>
                            <w:div w:id="1794444132">
                              <w:marLeft w:val="0"/>
                              <w:marRight w:val="0"/>
                              <w:marTop w:val="0"/>
                              <w:marBottom w:val="0"/>
                              <w:divBdr>
                                <w:top w:val="none" w:sz="0" w:space="0" w:color="auto"/>
                                <w:left w:val="none" w:sz="0" w:space="0" w:color="auto"/>
                                <w:bottom w:val="none" w:sz="0" w:space="0" w:color="auto"/>
                                <w:right w:val="none" w:sz="0" w:space="0" w:color="auto"/>
                              </w:divBdr>
                              <w:divsChild>
                                <w:div w:id="507914225">
                                  <w:marLeft w:val="0"/>
                                  <w:marRight w:val="0"/>
                                  <w:marTop w:val="0"/>
                                  <w:marBottom w:val="0"/>
                                  <w:divBdr>
                                    <w:top w:val="none" w:sz="0" w:space="0" w:color="auto"/>
                                    <w:left w:val="none" w:sz="0" w:space="0" w:color="auto"/>
                                    <w:bottom w:val="none" w:sz="0" w:space="0" w:color="auto"/>
                                    <w:right w:val="none" w:sz="0" w:space="0" w:color="auto"/>
                                  </w:divBdr>
                                  <w:divsChild>
                                    <w:div w:id="485122946">
                                      <w:marLeft w:val="0"/>
                                      <w:marRight w:val="0"/>
                                      <w:marTop w:val="0"/>
                                      <w:marBottom w:val="0"/>
                                      <w:divBdr>
                                        <w:top w:val="none" w:sz="0" w:space="0" w:color="auto"/>
                                        <w:left w:val="none" w:sz="0" w:space="0" w:color="auto"/>
                                        <w:bottom w:val="none" w:sz="0" w:space="0" w:color="auto"/>
                                        <w:right w:val="none" w:sz="0" w:space="0" w:color="auto"/>
                                      </w:divBdr>
                                      <w:divsChild>
                                        <w:div w:id="17993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69513">
                          <w:marLeft w:val="0"/>
                          <w:marRight w:val="0"/>
                          <w:marTop w:val="0"/>
                          <w:marBottom w:val="0"/>
                          <w:divBdr>
                            <w:top w:val="none" w:sz="0" w:space="0" w:color="auto"/>
                            <w:left w:val="none" w:sz="0" w:space="0" w:color="auto"/>
                            <w:bottom w:val="none" w:sz="0" w:space="0" w:color="auto"/>
                            <w:right w:val="none" w:sz="0" w:space="0" w:color="auto"/>
                          </w:divBdr>
                        </w:div>
                      </w:divsChild>
                    </w:div>
                    <w:div w:id="1661084179">
                      <w:marLeft w:val="0"/>
                      <w:marRight w:val="0"/>
                      <w:marTop w:val="0"/>
                      <w:marBottom w:val="0"/>
                      <w:divBdr>
                        <w:top w:val="none" w:sz="0" w:space="0" w:color="auto"/>
                        <w:left w:val="none" w:sz="0" w:space="0" w:color="auto"/>
                        <w:bottom w:val="none" w:sz="0" w:space="0" w:color="auto"/>
                        <w:right w:val="none" w:sz="0" w:space="0" w:color="auto"/>
                      </w:divBdr>
                      <w:divsChild>
                        <w:div w:id="686710189">
                          <w:marLeft w:val="0"/>
                          <w:marRight w:val="0"/>
                          <w:marTop w:val="0"/>
                          <w:marBottom w:val="0"/>
                          <w:divBdr>
                            <w:top w:val="none" w:sz="0" w:space="0" w:color="auto"/>
                            <w:left w:val="none" w:sz="0" w:space="0" w:color="auto"/>
                            <w:bottom w:val="none" w:sz="0" w:space="0" w:color="auto"/>
                            <w:right w:val="none" w:sz="0" w:space="0" w:color="auto"/>
                          </w:divBdr>
                          <w:divsChild>
                            <w:div w:id="1700353224">
                              <w:marLeft w:val="0"/>
                              <w:marRight w:val="0"/>
                              <w:marTop w:val="0"/>
                              <w:marBottom w:val="0"/>
                              <w:divBdr>
                                <w:top w:val="none" w:sz="0" w:space="0" w:color="auto"/>
                                <w:left w:val="none" w:sz="0" w:space="0" w:color="auto"/>
                                <w:bottom w:val="none" w:sz="0" w:space="0" w:color="auto"/>
                                <w:right w:val="none" w:sz="0" w:space="0" w:color="auto"/>
                              </w:divBdr>
                              <w:divsChild>
                                <w:div w:id="101072293">
                                  <w:marLeft w:val="0"/>
                                  <w:marRight w:val="0"/>
                                  <w:marTop w:val="0"/>
                                  <w:marBottom w:val="0"/>
                                  <w:divBdr>
                                    <w:top w:val="none" w:sz="0" w:space="0" w:color="auto"/>
                                    <w:left w:val="none" w:sz="0" w:space="0" w:color="auto"/>
                                    <w:bottom w:val="none" w:sz="0" w:space="0" w:color="auto"/>
                                    <w:right w:val="none" w:sz="0" w:space="0" w:color="auto"/>
                                  </w:divBdr>
                                  <w:divsChild>
                                    <w:div w:id="1537506116">
                                      <w:marLeft w:val="0"/>
                                      <w:marRight w:val="0"/>
                                      <w:marTop w:val="0"/>
                                      <w:marBottom w:val="0"/>
                                      <w:divBdr>
                                        <w:top w:val="none" w:sz="0" w:space="0" w:color="auto"/>
                                        <w:left w:val="none" w:sz="0" w:space="0" w:color="auto"/>
                                        <w:bottom w:val="none" w:sz="0" w:space="0" w:color="auto"/>
                                        <w:right w:val="none" w:sz="0" w:space="0" w:color="auto"/>
                                      </w:divBdr>
                                      <w:divsChild>
                                        <w:div w:id="872232559">
                                          <w:marLeft w:val="0"/>
                                          <w:marRight w:val="0"/>
                                          <w:marTop w:val="0"/>
                                          <w:marBottom w:val="0"/>
                                          <w:divBdr>
                                            <w:top w:val="none" w:sz="0" w:space="0" w:color="auto"/>
                                            <w:left w:val="none" w:sz="0" w:space="0" w:color="auto"/>
                                            <w:bottom w:val="none" w:sz="0" w:space="0" w:color="auto"/>
                                            <w:right w:val="none" w:sz="0" w:space="0" w:color="auto"/>
                                          </w:divBdr>
                                          <w:divsChild>
                                            <w:div w:id="1213618218">
                                              <w:marLeft w:val="0"/>
                                              <w:marRight w:val="0"/>
                                              <w:marTop w:val="0"/>
                                              <w:marBottom w:val="0"/>
                                              <w:divBdr>
                                                <w:top w:val="none" w:sz="0" w:space="0" w:color="auto"/>
                                                <w:left w:val="none" w:sz="0" w:space="0" w:color="auto"/>
                                                <w:bottom w:val="none" w:sz="0" w:space="0" w:color="auto"/>
                                                <w:right w:val="none" w:sz="0" w:space="0" w:color="auto"/>
                                              </w:divBdr>
                                            </w:div>
                                            <w:div w:id="19291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142">
                                  <w:marLeft w:val="0"/>
                                  <w:marRight w:val="0"/>
                                  <w:marTop w:val="0"/>
                                  <w:marBottom w:val="0"/>
                                  <w:divBdr>
                                    <w:top w:val="none" w:sz="0" w:space="0" w:color="auto"/>
                                    <w:left w:val="none" w:sz="0" w:space="0" w:color="auto"/>
                                    <w:bottom w:val="none" w:sz="0" w:space="0" w:color="auto"/>
                                    <w:right w:val="none" w:sz="0" w:space="0" w:color="auto"/>
                                  </w:divBdr>
                                  <w:divsChild>
                                    <w:div w:id="1319267305">
                                      <w:marLeft w:val="0"/>
                                      <w:marRight w:val="0"/>
                                      <w:marTop w:val="0"/>
                                      <w:marBottom w:val="0"/>
                                      <w:divBdr>
                                        <w:top w:val="none" w:sz="0" w:space="0" w:color="auto"/>
                                        <w:left w:val="none" w:sz="0" w:space="0" w:color="auto"/>
                                        <w:bottom w:val="none" w:sz="0" w:space="0" w:color="auto"/>
                                        <w:right w:val="none" w:sz="0" w:space="0" w:color="auto"/>
                                      </w:divBdr>
                                      <w:divsChild>
                                        <w:div w:id="1669361786">
                                          <w:marLeft w:val="0"/>
                                          <w:marRight w:val="0"/>
                                          <w:marTop w:val="0"/>
                                          <w:marBottom w:val="0"/>
                                          <w:divBdr>
                                            <w:top w:val="none" w:sz="0" w:space="0" w:color="auto"/>
                                            <w:left w:val="none" w:sz="0" w:space="0" w:color="auto"/>
                                            <w:bottom w:val="none" w:sz="0" w:space="0" w:color="auto"/>
                                            <w:right w:val="none" w:sz="0" w:space="0" w:color="auto"/>
                                          </w:divBdr>
                                          <w:divsChild>
                                            <w:div w:id="2012638074">
                                              <w:marLeft w:val="0"/>
                                              <w:marRight w:val="0"/>
                                              <w:marTop w:val="0"/>
                                              <w:marBottom w:val="0"/>
                                              <w:divBdr>
                                                <w:top w:val="none" w:sz="0" w:space="0" w:color="auto"/>
                                                <w:left w:val="none" w:sz="0" w:space="0" w:color="auto"/>
                                                <w:bottom w:val="none" w:sz="0" w:space="0" w:color="auto"/>
                                                <w:right w:val="none" w:sz="0" w:space="0" w:color="auto"/>
                                              </w:divBdr>
                                            </w:div>
                                            <w:div w:id="12116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20839">
                                  <w:marLeft w:val="0"/>
                                  <w:marRight w:val="0"/>
                                  <w:marTop w:val="0"/>
                                  <w:marBottom w:val="0"/>
                                  <w:divBdr>
                                    <w:top w:val="none" w:sz="0" w:space="0" w:color="auto"/>
                                    <w:left w:val="none" w:sz="0" w:space="0" w:color="auto"/>
                                    <w:bottom w:val="none" w:sz="0" w:space="0" w:color="auto"/>
                                    <w:right w:val="none" w:sz="0" w:space="0" w:color="auto"/>
                                  </w:divBdr>
                                  <w:divsChild>
                                    <w:div w:id="95096744">
                                      <w:marLeft w:val="0"/>
                                      <w:marRight w:val="0"/>
                                      <w:marTop w:val="0"/>
                                      <w:marBottom w:val="0"/>
                                      <w:divBdr>
                                        <w:top w:val="none" w:sz="0" w:space="0" w:color="auto"/>
                                        <w:left w:val="none" w:sz="0" w:space="0" w:color="auto"/>
                                        <w:bottom w:val="none" w:sz="0" w:space="0" w:color="auto"/>
                                        <w:right w:val="none" w:sz="0" w:space="0" w:color="auto"/>
                                      </w:divBdr>
                                      <w:divsChild>
                                        <w:div w:id="1101487874">
                                          <w:marLeft w:val="0"/>
                                          <w:marRight w:val="0"/>
                                          <w:marTop w:val="0"/>
                                          <w:marBottom w:val="0"/>
                                          <w:divBdr>
                                            <w:top w:val="none" w:sz="0" w:space="0" w:color="auto"/>
                                            <w:left w:val="none" w:sz="0" w:space="0" w:color="auto"/>
                                            <w:bottom w:val="none" w:sz="0" w:space="0" w:color="auto"/>
                                            <w:right w:val="none" w:sz="0" w:space="0" w:color="auto"/>
                                          </w:divBdr>
                                          <w:divsChild>
                                            <w:div w:id="244074289">
                                              <w:marLeft w:val="0"/>
                                              <w:marRight w:val="0"/>
                                              <w:marTop w:val="0"/>
                                              <w:marBottom w:val="0"/>
                                              <w:divBdr>
                                                <w:top w:val="none" w:sz="0" w:space="0" w:color="auto"/>
                                                <w:left w:val="none" w:sz="0" w:space="0" w:color="auto"/>
                                                <w:bottom w:val="none" w:sz="0" w:space="0" w:color="auto"/>
                                                <w:right w:val="none" w:sz="0" w:space="0" w:color="auto"/>
                                              </w:divBdr>
                                            </w:div>
                                            <w:div w:id="7970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3808">
                                  <w:marLeft w:val="0"/>
                                  <w:marRight w:val="0"/>
                                  <w:marTop w:val="0"/>
                                  <w:marBottom w:val="0"/>
                                  <w:divBdr>
                                    <w:top w:val="none" w:sz="0" w:space="0" w:color="auto"/>
                                    <w:left w:val="none" w:sz="0" w:space="0" w:color="auto"/>
                                    <w:bottom w:val="none" w:sz="0" w:space="0" w:color="auto"/>
                                    <w:right w:val="none" w:sz="0" w:space="0" w:color="auto"/>
                                  </w:divBdr>
                                  <w:divsChild>
                                    <w:div w:id="469177423">
                                      <w:marLeft w:val="0"/>
                                      <w:marRight w:val="0"/>
                                      <w:marTop w:val="0"/>
                                      <w:marBottom w:val="0"/>
                                      <w:divBdr>
                                        <w:top w:val="none" w:sz="0" w:space="0" w:color="auto"/>
                                        <w:left w:val="none" w:sz="0" w:space="0" w:color="auto"/>
                                        <w:bottom w:val="none" w:sz="0" w:space="0" w:color="auto"/>
                                        <w:right w:val="none" w:sz="0" w:space="0" w:color="auto"/>
                                      </w:divBdr>
                                      <w:divsChild>
                                        <w:div w:id="468742968">
                                          <w:marLeft w:val="0"/>
                                          <w:marRight w:val="0"/>
                                          <w:marTop w:val="0"/>
                                          <w:marBottom w:val="0"/>
                                          <w:divBdr>
                                            <w:top w:val="none" w:sz="0" w:space="0" w:color="auto"/>
                                            <w:left w:val="none" w:sz="0" w:space="0" w:color="auto"/>
                                            <w:bottom w:val="none" w:sz="0" w:space="0" w:color="auto"/>
                                            <w:right w:val="none" w:sz="0" w:space="0" w:color="auto"/>
                                          </w:divBdr>
                                          <w:divsChild>
                                            <w:div w:id="2058118136">
                                              <w:marLeft w:val="0"/>
                                              <w:marRight w:val="0"/>
                                              <w:marTop w:val="0"/>
                                              <w:marBottom w:val="0"/>
                                              <w:divBdr>
                                                <w:top w:val="none" w:sz="0" w:space="0" w:color="auto"/>
                                                <w:left w:val="none" w:sz="0" w:space="0" w:color="auto"/>
                                                <w:bottom w:val="none" w:sz="0" w:space="0" w:color="auto"/>
                                                <w:right w:val="none" w:sz="0" w:space="0" w:color="auto"/>
                                              </w:divBdr>
                                            </w:div>
                                            <w:div w:id="13697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3327">
                                  <w:marLeft w:val="0"/>
                                  <w:marRight w:val="0"/>
                                  <w:marTop w:val="0"/>
                                  <w:marBottom w:val="0"/>
                                  <w:divBdr>
                                    <w:top w:val="none" w:sz="0" w:space="0" w:color="auto"/>
                                    <w:left w:val="none" w:sz="0" w:space="0" w:color="auto"/>
                                    <w:bottom w:val="none" w:sz="0" w:space="0" w:color="auto"/>
                                    <w:right w:val="none" w:sz="0" w:space="0" w:color="auto"/>
                                  </w:divBdr>
                                  <w:divsChild>
                                    <w:div w:id="1568539377">
                                      <w:marLeft w:val="0"/>
                                      <w:marRight w:val="0"/>
                                      <w:marTop w:val="0"/>
                                      <w:marBottom w:val="0"/>
                                      <w:divBdr>
                                        <w:top w:val="none" w:sz="0" w:space="0" w:color="auto"/>
                                        <w:left w:val="none" w:sz="0" w:space="0" w:color="auto"/>
                                        <w:bottom w:val="none" w:sz="0" w:space="0" w:color="auto"/>
                                        <w:right w:val="none" w:sz="0" w:space="0" w:color="auto"/>
                                      </w:divBdr>
                                      <w:divsChild>
                                        <w:div w:id="935331981">
                                          <w:marLeft w:val="0"/>
                                          <w:marRight w:val="0"/>
                                          <w:marTop w:val="0"/>
                                          <w:marBottom w:val="0"/>
                                          <w:divBdr>
                                            <w:top w:val="none" w:sz="0" w:space="0" w:color="auto"/>
                                            <w:left w:val="none" w:sz="0" w:space="0" w:color="auto"/>
                                            <w:bottom w:val="none" w:sz="0" w:space="0" w:color="auto"/>
                                            <w:right w:val="none" w:sz="0" w:space="0" w:color="auto"/>
                                          </w:divBdr>
                                          <w:divsChild>
                                            <w:div w:id="123350697">
                                              <w:marLeft w:val="0"/>
                                              <w:marRight w:val="0"/>
                                              <w:marTop w:val="0"/>
                                              <w:marBottom w:val="0"/>
                                              <w:divBdr>
                                                <w:top w:val="none" w:sz="0" w:space="0" w:color="auto"/>
                                                <w:left w:val="none" w:sz="0" w:space="0" w:color="auto"/>
                                                <w:bottom w:val="none" w:sz="0" w:space="0" w:color="auto"/>
                                                <w:right w:val="none" w:sz="0" w:space="0" w:color="auto"/>
                                              </w:divBdr>
                                            </w:div>
                                            <w:div w:id="2291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5406">
                                  <w:marLeft w:val="0"/>
                                  <w:marRight w:val="0"/>
                                  <w:marTop w:val="0"/>
                                  <w:marBottom w:val="0"/>
                                  <w:divBdr>
                                    <w:top w:val="none" w:sz="0" w:space="0" w:color="auto"/>
                                    <w:left w:val="none" w:sz="0" w:space="0" w:color="auto"/>
                                    <w:bottom w:val="none" w:sz="0" w:space="0" w:color="auto"/>
                                    <w:right w:val="none" w:sz="0" w:space="0" w:color="auto"/>
                                  </w:divBdr>
                                  <w:divsChild>
                                    <w:div w:id="2093701359">
                                      <w:marLeft w:val="0"/>
                                      <w:marRight w:val="0"/>
                                      <w:marTop w:val="0"/>
                                      <w:marBottom w:val="0"/>
                                      <w:divBdr>
                                        <w:top w:val="none" w:sz="0" w:space="0" w:color="auto"/>
                                        <w:left w:val="none" w:sz="0" w:space="0" w:color="auto"/>
                                        <w:bottom w:val="none" w:sz="0" w:space="0" w:color="auto"/>
                                        <w:right w:val="none" w:sz="0" w:space="0" w:color="auto"/>
                                      </w:divBdr>
                                      <w:divsChild>
                                        <w:div w:id="2062485237">
                                          <w:marLeft w:val="0"/>
                                          <w:marRight w:val="0"/>
                                          <w:marTop w:val="0"/>
                                          <w:marBottom w:val="0"/>
                                          <w:divBdr>
                                            <w:top w:val="none" w:sz="0" w:space="0" w:color="auto"/>
                                            <w:left w:val="none" w:sz="0" w:space="0" w:color="auto"/>
                                            <w:bottom w:val="none" w:sz="0" w:space="0" w:color="auto"/>
                                            <w:right w:val="none" w:sz="0" w:space="0" w:color="auto"/>
                                          </w:divBdr>
                                          <w:divsChild>
                                            <w:div w:id="672491699">
                                              <w:marLeft w:val="0"/>
                                              <w:marRight w:val="0"/>
                                              <w:marTop w:val="0"/>
                                              <w:marBottom w:val="0"/>
                                              <w:divBdr>
                                                <w:top w:val="none" w:sz="0" w:space="0" w:color="auto"/>
                                                <w:left w:val="none" w:sz="0" w:space="0" w:color="auto"/>
                                                <w:bottom w:val="none" w:sz="0" w:space="0" w:color="auto"/>
                                                <w:right w:val="none" w:sz="0" w:space="0" w:color="auto"/>
                                              </w:divBdr>
                                            </w:div>
                                            <w:div w:id="12946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619">
                                  <w:marLeft w:val="0"/>
                                  <w:marRight w:val="0"/>
                                  <w:marTop w:val="0"/>
                                  <w:marBottom w:val="0"/>
                                  <w:divBdr>
                                    <w:top w:val="none" w:sz="0" w:space="0" w:color="auto"/>
                                    <w:left w:val="none" w:sz="0" w:space="0" w:color="auto"/>
                                    <w:bottom w:val="none" w:sz="0" w:space="0" w:color="auto"/>
                                    <w:right w:val="none" w:sz="0" w:space="0" w:color="auto"/>
                                  </w:divBdr>
                                  <w:divsChild>
                                    <w:div w:id="1531257895">
                                      <w:marLeft w:val="0"/>
                                      <w:marRight w:val="0"/>
                                      <w:marTop w:val="0"/>
                                      <w:marBottom w:val="0"/>
                                      <w:divBdr>
                                        <w:top w:val="none" w:sz="0" w:space="0" w:color="auto"/>
                                        <w:left w:val="none" w:sz="0" w:space="0" w:color="auto"/>
                                        <w:bottom w:val="none" w:sz="0" w:space="0" w:color="auto"/>
                                        <w:right w:val="none" w:sz="0" w:space="0" w:color="auto"/>
                                      </w:divBdr>
                                      <w:divsChild>
                                        <w:div w:id="1884321693">
                                          <w:marLeft w:val="0"/>
                                          <w:marRight w:val="0"/>
                                          <w:marTop w:val="0"/>
                                          <w:marBottom w:val="0"/>
                                          <w:divBdr>
                                            <w:top w:val="none" w:sz="0" w:space="0" w:color="auto"/>
                                            <w:left w:val="none" w:sz="0" w:space="0" w:color="auto"/>
                                            <w:bottom w:val="none" w:sz="0" w:space="0" w:color="auto"/>
                                            <w:right w:val="none" w:sz="0" w:space="0" w:color="auto"/>
                                          </w:divBdr>
                                          <w:divsChild>
                                            <w:div w:id="262494794">
                                              <w:marLeft w:val="0"/>
                                              <w:marRight w:val="0"/>
                                              <w:marTop w:val="0"/>
                                              <w:marBottom w:val="0"/>
                                              <w:divBdr>
                                                <w:top w:val="none" w:sz="0" w:space="0" w:color="auto"/>
                                                <w:left w:val="none" w:sz="0" w:space="0" w:color="auto"/>
                                                <w:bottom w:val="none" w:sz="0" w:space="0" w:color="auto"/>
                                                <w:right w:val="none" w:sz="0" w:space="0" w:color="auto"/>
                                              </w:divBdr>
                                            </w:div>
                                            <w:div w:id="18267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2231">
                                  <w:marLeft w:val="0"/>
                                  <w:marRight w:val="0"/>
                                  <w:marTop w:val="0"/>
                                  <w:marBottom w:val="0"/>
                                  <w:divBdr>
                                    <w:top w:val="none" w:sz="0" w:space="0" w:color="auto"/>
                                    <w:left w:val="none" w:sz="0" w:space="0" w:color="auto"/>
                                    <w:bottom w:val="none" w:sz="0" w:space="0" w:color="auto"/>
                                    <w:right w:val="none" w:sz="0" w:space="0" w:color="auto"/>
                                  </w:divBdr>
                                  <w:divsChild>
                                    <w:div w:id="813644133">
                                      <w:marLeft w:val="0"/>
                                      <w:marRight w:val="0"/>
                                      <w:marTop w:val="0"/>
                                      <w:marBottom w:val="0"/>
                                      <w:divBdr>
                                        <w:top w:val="none" w:sz="0" w:space="0" w:color="auto"/>
                                        <w:left w:val="none" w:sz="0" w:space="0" w:color="auto"/>
                                        <w:bottom w:val="none" w:sz="0" w:space="0" w:color="auto"/>
                                        <w:right w:val="none" w:sz="0" w:space="0" w:color="auto"/>
                                      </w:divBdr>
                                      <w:divsChild>
                                        <w:div w:id="2055032843">
                                          <w:marLeft w:val="0"/>
                                          <w:marRight w:val="0"/>
                                          <w:marTop w:val="0"/>
                                          <w:marBottom w:val="0"/>
                                          <w:divBdr>
                                            <w:top w:val="none" w:sz="0" w:space="0" w:color="auto"/>
                                            <w:left w:val="none" w:sz="0" w:space="0" w:color="auto"/>
                                            <w:bottom w:val="none" w:sz="0" w:space="0" w:color="auto"/>
                                            <w:right w:val="none" w:sz="0" w:space="0" w:color="auto"/>
                                          </w:divBdr>
                                          <w:divsChild>
                                            <w:div w:id="1172719888">
                                              <w:marLeft w:val="0"/>
                                              <w:marRight w:val="0"/>
                                              <w:marTop w:val="0"/>
                                              <w:marBottom w:val="0"/>
                                              <w:divBdr>
                                                <w:top w:val="none" w:sz="0" w:space="0" w:color="auto"/>
                                                <w:left w:val="none" w:sz="0" w:space="0" w:color="auto"/>
                                                <w:bottom w:val="none" w:sz="0" w:space="0" w:color="auto"/>
                                                <w:right w:val="none" w:sz="0" w:space="0" w:color="auto"/>
                                              </w:divBdr>
                                            </w:div>
                                            <w:div w:id="3799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0622">
                                  <w:marLeft w:val="0"/>
                                  <w:marRight w:val="0"/>
                                  <w:marTop w:val="0"/>
                                  <w:marBottom w:val="0"/>
                                  <w:divBdr>
                                    <w:top w:val="none" w:sz="0" w:space="0" w:color="auto"/>
                                    <w:left w:val="none" w:sz="0" w:space="0" w:color="auto"/>
                                    <w:bottom w:val="none" w:sz="0" w:space="0" w:color="auto"/>
                                    <w:right w:val="none" w:sz="0" w:space="0" w:color="auto"/>
                                  </w:divBdr>
                                  <w:divsChild>
                                    <w:div w:id="854660104">
                                      <w:marLeft w:val="0"/>
                                      <w:marRight w:val="0"/>
                                      <w:marTop w:val="0"/>
                                      <w:marBottom w:val="0"/>
                                      <w:divBdr>
                                        <w:top w:val="none" w:sz="0" w:space="0" w:color="auto"/>
                                        <w:left w:val="none" w:sz="0" w:space="0" w:color="auto"/>
                                        <w:bottom w:val="none" w:sz="0" w:space="0" w:color="auto"/>
                                        <w:right w:val="none" w:sz="0" w:space="0" w:color="auto"/>
                                      </w:divBdr>
                                      <w:divsChild>
                                        <w:div w:id="1859540977">
                                          <w:marLeft w:val="0"/>
                                          <w:marRight w:val="0"/>
                                          <w:marTop w:val="0"/>
                                          <w:marBottom w:val="0"/>
                                          <w:divBdr>
                                            <w:top w:val="none" w:sz="0" w:space="0" w:color="auto"/>
                                            <w:left w:val="none" w:sz="0" w:space="0" w:color="auto"/>
                                            <w:bottom w:val="none" w:sz="0" w:space="0" w:color="auto"/>
                                            <w:right w:val="none" w:sz="0" w:space="0" w:color="auto"/>
                                          </w:divBdr>
                                          <w:divsChild>
                                            <w:div w:id="682896286">
                                              <w:marLeft w:val="0"/>
                                              <w:marRight w:val="0"/>
                                              <w:marTop w:val="0"/>
                                              <w:marBottom w:val="0"/>
                                              <w:divBdr>
                                                <w:top w:val="none" w:sz="0" w:space="0" w:color="auto"/>
                                                <w:left w:val="none" w:sz="0" w:space="0" w:color="auto"/>
                                                <w:bottom w:val="none" w:sz="0" w:space="0" w:color="auto"/>
                                                <w:right w:val="none" w:sz="0" w:space="0" w:color="auto"/>
                                              </w:divBdr>
                                            </w:div>
                                            <w:div w:id="16426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1427">
                                  <w:marLeft w:val="0"/>
                                  <w:marRight w:val="0"/>
                                  <w:marTop w:val="0"/>
                                  <w:marBottom w:val="0"/>
                                  <w:divBdr>
                                    <w:top w:val="none" w:sz="0" w:space="0" w:color="auto"/>
                                    <w:left w:val="none" w:sz="0" w:space="0" w:color="auto"/>
                                    <w:bottom w:val="none" w:sz="0" w:space="0" w:color="auto"/>
                                    <w:right w:val="none" w:sz="0" w:space="0" w:color="auto"/>
                                  </w:divBdr>
                                  <w:divsChild>
                                    <w:div w:id="452945264">
                                      <w:marLeft w:val="0"/>
                                      <w:marRight w:val="0"/>
                                      <w:marTop w:val="0"/>
                                      <w:marBottom w:val="0"/>
                                      <w:divBdr>
                                        <w:top w:val="none" w:sz="0" w:space="0" w:color="auto"/>
                                        <w:left w:val="none" w:sz="0" w:space="0" w:color="auto"/>
                                        <w:bottom w:val="none" w:sz="0" w:space="0" w:color="auto"/>
                                        <w:right w:val="none" w:sz="0" w:space="0" w:color="auto"/>
                                      </w:divBdr>
                                      <w:divsChild>
                                        <w:div w:id="439686388">
                                          <w:marLeft w:val="0"/>
                                          <w:marRight w:val="0"/>
                                          <w:marTop w:val="0"/>
                                          <w:marBottom w:val="0"/>
                                          <w:divBdr>
                                            <w:top w:val="none" w:sz="0" w:space="0" w:color="auto"/>
                                            <w:left w:val="none" w:sz="0" w:space="0" w:color="auto"/>
                                            <w:bottom w:val="none" w:sz="0" w:space="0" w:color="auto"/>
                                            <w:right w:val="none" w:sz="0" w:space="0" w:color="auto"/>
                                          </w:divBdr>
                                          <w:divsChild>
                                            <w:div w:id="676538240">
                                              <w:marLeft w:val="0"/>
                                              <w:marRight w:val="0"/>
                                              <w:marTop w:val="0"/>
                                              <w:marBottom w:val="0"/>
                                              <w:divBdr>
                                                <w:top w:val="none" w:sz="0" w:space="0" w:color="auto"/>
                                                <w:left w:val="none" w:sz="0" w:space="0" w:color="auto"/>
                                                <w:bottom w:val="none" w:sz="0" w:space="0" w:color="auto"/>
                                                <w:right w:val="none" w:sz="0" w:space="0" w:color="auto"/>
                                              </w:divBdr>
                                            </w:div>
                                            <w:div w:id="16586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13908">
                                  <w:marLeft w:val="0"/>
                                  <w:marRight w:val="0"/>
                                  <w:marTop w:val="0"/>
                                  <w:marBottom w:val="0"/>
                                  <w:divBdr>
                                    <w:top w:val="none" w:sz="0" w:space="0" w:color="auto"/>
                                    <w:left w:val="none" w:sz="0" w:space="0" w:color="auto"/>
                                    <w:bottom w:val="none" w:sz="0" w:space="0" w:color="auto"/>
                                    <w:right w:val="none" w:sz="0" w:space="0" w:color="auto"/>
                                  </w:divBdr>
                                  <w:divsChild>
                                    <w:div w:id="89398335">
                                      <w:marLeft w:val="0"/>
                                      <w:marRight w:val="0"/>
                                      <w:marTop w:val="0"/>
                                      <w:marBottom w:val="0"/>
                                      <w:divBdr>
                                        <w:top w:val="none" w:sz="0" w:space="0" w:color="auto"/>
                                        <w:left w:val="none" w:sz="0" w:space="0" w:color="auto"/>
                                        <w:bottom w:val="none" w:sz="0" w:space="0" w:color="auto"/>
                                        <w:right w:val="none" w:sz="0" w:space="0" w:color="auto"/>
                                      </w:divBdr>
                                      <w:divsChild>
                                        <w:div w:id="1140028919">
                                          <w:marLeft w:val="0"/>
                                          <w:marRight w:val="0"/>
                                          <w:marTop w:val="0"/>
                                          <w:marBottom w:val="0"/>
                                          <w:divBdr>
                                            <w:top w:val="none" w:sz="0" w:space="0" w:color="auto"/>
                                            <w:left w:val="none" w:sz="0" w:space="0" w:color="auto"/>
                                            <w:bottom w:val="none" w:sz="0" w:space="0" w:color="auto"/>
                                            <w:right w:val="none" w:sz="0" w:space="0" w:color="auto"/>
                                          </w:divBdr>
                                          <w:divsChild>
                                            <w:div w:id="902640535">
                                              <w:marLeft w:val="0"/>
                                              <w:marRight w:val="0"/>
                                              <w:marTop w:val="0"/>
                                              <w:marBottom w:val="0"/>
                                              <w:divBdr>
                                                <w:top w:val="none" w:sz="0" w:space="0" w:color="auto"/>
                                                <w:left w:val="none" w:sz="0" w:space="0" w:color="auto"/>
                                                <w:bottom w:val="none" w:sz="0" w:space="0" w:color="auto"/>
                                                <w:right w:val="none" w:sz="0" w:space="0" w:color="auto"/>
                                              </w:divBdr>
                                            </w:div>
                                            <w:div w:id="7515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90998">
                                  <w:marLeft w:val="0"/>
                                  <w:marRight w:val="0"/>
                                  <w:marTop w:val="0"/>
                                  <w:marBottom w:val="0"/>
                                  <w:divBdr>
                                    <w:top w:val="none" w:sz="0" w:space="0" w:color="auto"/>
                                    <w:left w:val="none" w:sz="0" w:space="0" w:color="auto"/>
                                    <w:bottom w:val="none" w:sz="0" w:space="0" w:color="auto"/>
                                    <w:right w:val="none" w:sz="0" w:space="0" w:color="auto"/>
                                  </w:divBdr>
                                  <w:divsChild>
                                    <w:div w:id="422141984">
                                      <w:marLeft w:val="0"/>
                                      <w:marRight w:val="0"/>
                                      <w:marTop w:val="0"/>
                                      <w:marBottom w:val="0"/>
                                      <w:divBdr>
                                        <w:top w:val="none" w:sz="0" w:space="0" w:color="auto"/>
                                        <w:left w:val="none" w:sz="0" w:space="0" w:color="auto"/>
                                        <w:bottom w:val="none" w:sz="0" w:space="0" w:color="auto"/>
                                        <w:right w:val="none" w:sz="0" w:space="0" w:color="auto"/>
                                      </w:divBdr>
                                      <w:divsChild>
                                        <w:div w:id="1869873688">
                                          <w:marLeft w:val="0"/>
                                          <w:marRight w:val="0"/>
                                          <w:marTop w:val="0"/>
                                          <w:marBottom w:val="0"/>
                                          <w:divBdr>
                                            <w:top w:val="none" w:sz="0" w:space="0" w:color="auto"/>
                                            <w:left w:val="none" w:sz="0" w:space="0" w:color="auto"/>
                                            <w:bottom w:val="none" w:sz="0" w:space="0" w:color="auto"/>
                                            <w:right w:val="none" w:sz="0" w:space="0" w:color="auto"/>
                                          </w:divBdr>
                                          <w:divsChild>
                                            <w:div w:id="878397448">
                                              <w:marLeft w:val="0"/>
                                              <w:marRight w:val="0"/>
                                              <w:marTop w:val="0"/>
                                              <w:marBottom w:val="0"/>
                                              <w:divBdr>
                                                <w:top w:val="none" w:sz="0" w:space="0" w:color="auto"/>
                                                <w:left w:val="none" w:sz="0" w:space="0" w:color="auto"/>
                                                <w:bottom w:val="none" w:sz="0" w:space="0" w:color="auto"/>
                                                <w:right w:val="none" w:sz="0" w:space="0" w:color="auto"/>
                                              </w:divBdr>
                                            </w:div>
                                            <w:div w:id="17226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5317">
                                  <w:marLeft w:val="0"/>
                                  <w:marRight w:val="0"/>
                                  <w:marTop w:val="0"/>
                                  <w:marBottom w:val="0"/>
                                  <w:divBdr>
                                    <w:top w:val="none" w:sz="0" w:space="0" w:color="auto"/>
                                    <w:left w:val="none" w:sz="0" w:space="0" w:color="auto"/>
                                    <w:bottom w:val="none" w:sz="0" w:space="0" w:color="auto"/>
                                    <w:right w:val="none" w:sz="0" w:space="0" w:color="auto"/>
                                  </w:divBdr>
                                  <w:divsChild>
                                    <w:div w:id="1240365166">
                                      <w:marLeft w:val="0"/>
                                      <w:marRight w:val="0"/>
                                      <w:marTop w:val="0"/>
                                      <w:marBottom w:val="0"/>
                                      <w:divBdr>
                                        <w:top w:val="none" w:sz="0" w:space="0" w:color="auto"/>
                                        <w:left w:val="none" w:sz="0" w:space="0" w:color="auto"/>
                                        <w:bottom w:val="none" w:sz="0" w:space="0" w:color="auto"/>
                                        <w:right w:val="none" w:sz="0" w:space="0" w:color="auto"/>
                                      </w:divBdr>
                                      <w:divsChild>
                                        <w:div w:id="392699200">
                                          <w:marLeft w:val="0"/>
                                          <w:marRight w:val="0"/>
                                          <w:marTop w:val="0"/>
                                          <w:marBottom w:val="0"/>
                                          <w:divBdr>
                                            <w:top w:val="none" w:sz="0" w:space="0" w:color="auto"/>
                                            <w:left w:val="none" w:sz="0" w:space="0" w:color="auto"/>
                                            <w:bottom w:val="none" w:sz="0" w:space="0" w:color="auto"/>
                                            <w:right w:val="none" w:sz="0" w:space="0" w:color="auto"/>
                                          </w:divBdr>
                                          <w:divsChild>
                                            <w:div w:id="948662039">
                                              <w:marLeft w:val="0"/>
                                              <w:marRight w:val="0"/>
                                              <w:marTop w:val="0"/>
                                              <w:marBottom w:val="0"/>
                                              <w:divBdr>
                                                <w:top w:val="none" w:sz="0" w:space="0" w:color="auto"/>
                                                <w:left w:val="none" w:sz="0" w:space="0" w:color="auto"/>
                                                <w:bottom w:val="none" w:sz="0" w:space="0" w:color="auto"/>
                                                <w:right w:val="none" w:sz="0" w:space="0" w:color="auto"/>
                                              </w:divBdr>
                                            </w:div>
                                            <w:div w:id="20699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5568">
                                  <w:marLeft w:val="0"/>
                                  <w:marRight w:val="0"/>
                                  <w:marTop w:val="0"/>
                                  <w:marBottom w:val="0"/>
                                  <w:divBdr>
                                    <w:top w:val="none" w:sz="0" w:space="0" w:color="auto"/>
                                    <w:left w:val="none" w:sz="0" w:space="0" w:color="auto"/>
                                    <w:bottom w:val="none" w:sz="0" w:space="0" w:color="auto"/>
                                    <w:right w:val="none" w:sz="0" w:space="0" w:color="auto"/>
                                  </w:divBdr>
                                  <w:divsChild>
                                    <w:div w:id="614095388">
                                      <w:marLeft w:val="0"/>
                                      <w:marRight w:val="0"/>
                                      <w:marTop w:val="0"/>
                                      <w:marBottom w:val="0"/>
                                      <w:divBdr>
                                        <w:top w:val="none" w:sz="0" w:space="0" w:color="auto"/>
                                        <w:left w:val="none" w:sz="0" w:space="0" w:color="auto"/>
                                        <w:bottom w:val="none" w:sz="0" w:space="0" w:color="auto"/>
                                        <w:right w:val="none" w:sz="0" w:space="0" w:color="auto"/>
                                      </w:divBdr>
                                      <w:divsChild>
                                        <w:div w:id="1128356972">
                                          <w:marLeft w:val="0"/>
                                          <w:marRight w:val="0"/>
                                          <w:marTop w:val="0"/>
                                          <w:marBottom w:val="0"/>
                                          <w:divBdr>
                                            <w:top w:val="none" w:sz="0" w:space="0" w:color="auto"/>
                                            <w:left w:val="none" w:sz="0" w:space="0" w:color="auto"/>
                                            <w:bottom w:val="none" w:sz="0" w:space="0" w:color="auto"/>
                                            <w:right w:val="none" w:sz="0" w:space="0" w:color="auto"/>
                                          </w:divBdr>
                                          <w:divsChild>
                                            <w:div w:id="2095932417">
                                              <w:marLeft w:val="0"/>
                                              <w:marRight w:val="0"/>
                                              <w:marTop w:val="0"/>
                                              <w:marBottom w:val="0"/>
                                              <w:divBdr>
                                                <w:top w:val="none" w:sz="0" w:space="0" w:color="auto"/>
                                                <w:left w:val="none" w:sz="0" w:space="0" w:color="auto"/>
                                                <w:bottom w:val="none" w:sz="0" w:space="0" w:color="auto"/>
                                                <w:right w:val="none" w:sz="0" w:space="0" w:color="auto"/>
                                              </w:divBdr>
                                            </w:div>
                                            <w:div w:id="6332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99261">
                                  <w:marLeft w:val="0"/>
                                  <w:marRight w:val="0"/>
                                  <w:marTop w:val="0"/>
                                  <w:marBottom w:val="0"/>
                                  <w:divBdr>
                                    <w:top w:val="none" w:sz="0" w:space="0" w:color="auto"/>
                                    <w:left w:val="none" w:sz="0" w:space="0" w:color="auto"/>
                                    <w:bottom w:val="none" w:sz="0" w:space="0" w:color="auto"/>
                                    <w:right w:val="none" w:sz="0" w:space="0" w:color="auto"/>
                                  </w:divBdr>
                                  <w:divsChild>
                                    <w:div w:id="349456591">
                                      <w:marLeft w:val="0"/>
                                      <w:marRight w:val="0"/>
                                      <w:marTop w:val="0"/>
                                      <w:marBottom w:val="0"/>
                                      <w:divBdr>
                                        <w:top w:val="none" w:sz="0" w:space="0" w:color="auto"/>
                                        <w:left w:val="none" w:sz="0" w:space="0" w:color="auto"/>
                                        <w:bottom w:val="none" w:sz="0" w:space="0" w:color="auto"/>
                                        <w:right w:val="none" w:sz="0" w:space="0" w:color="auto"/>
                                      </w:divBdr>
                                      <w:divsChild>
                                        <w:div w:id="1386950612">
                                          <w:marLeft w:val="0"/>
                                          <w:marRight w:val="0"/>
                                          <w:marTop w:val="0"/>
                                          <w:marBottom w:val="0"/>
                                          <w:divBdr>
                                            <w:top w:val="none" w:sz="0" w:space="0" w:color="auto"/>
                                            <w:left w:val="none" w:sz="0" w:space="0" w:color="auto"/>
                                            <w:bottom w:val="none" w:sz="0" w:space="0" w:color="auto"/>
                                            <w:right w:val="none" w:sz="0" w:space="0" w:color="auto"/>
                                          </w:divBdr>
                                          <w:divsChild>
                                            <w:div w:id="406533137">
                                              <w:marLeft w:val="0"/>
                                              <w:marRight w:val="0"/>
                                              <w:marTop w:val="0"/>
                                              <w:marBottom w:val="0"/>
                                              <w:divBdr>
                                                <w:top w:val="none" w:sz="0" w:space="0" w:color="auto"/>
                                                <w:left w:val="none" w:sz="0" w:space="0" w:color="auto"/>
                                                <w:bottom w:val="none" w:sz="0" w:space="0" w:color="auto"/>
                                                <w:right w:val="none" w:sz="0" w:space="0" w:color="auto"/>
                                              </w:divBdr>
                                            </w:div>
                                            <w:div w:id="3586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059">
                                  <w:marLeft w:val="0"/>
                                  <w:marRight w:val="0"/>
                                  <w:marTop w:val="0"/>
                                  <w:marBottom w:val="0"/>
                                  <w:divBdr>
                                    <w:top w:val="none" w:sz="0" w:space="0" w:color="auto"/>
                                    <w:left w:val="none" w:sz="0" w:space="0" w:color="auto"/>
                                    <w:bottom w:val="none" w:sz="0" w:space="0" w:color="auto"/>
                                    <w:right w:val="none" w:sz="0" w:space="0" w:color="auto"/>
                                  </w:divBdr>
                                  <w:divsChild>
                                    <w:div w:id="608585100">
                                      <w:marLeft w:val="0"/>
                                      <w:marRight w:val="0"/>
                                      <w:marTop w:val="0"/>
                                      <w:marBottom w:val="0"/>
                                      <w:divBdr>
                                        <w:top w:val="none" w:sz="0" w:space="0" w:color="auto"/>
                                        <w:left w:val="none" w:sz="0" w:space="0" w:color="auto"/>
                                        <w:bottom w:val="none" w:sz="0" w:space="0" w:color="auto"/>
                                        <w:right w:val="none" w:sz="0" w:space="0" w:color="auto"/>
                                      </w:divBdr>
                                      <w:divsChild>
                                        <w:div w:id="1427261553">
                                          <w:marLeft w:val="0"/>
                                          <w:marRight w:val="0"/>
                                          <w:marTop w:val="0"/>
                                          <w:marBottom w:val="0"/>
                                          <w:divBdr>
                                            <w:top w:val="none" w:sz="0" w:space="0" w:color="auto"/>
                                            <w:left w:val="none" w:sz="0" w:space="0" w:color="auto"/>
                                            <w:bottom w:val="none" w:sz="0" w:space="0" w:color="auto"/>
                                            <w:right w:val="none" w:sz="0" w:space="0" w:color="auto"/>
                                          </w:divBdr>
                                          <w:divsChild>
                                            <w:div w:id="708604645">
                                              <w:marLeft w:val="0"/>
                                              <w:marRight w:val="0"/>
                                              <w:marTop w:val="0"/>
                                              <w:marBottom w:val="0"/>
                                              <w:divBdr>
                                                <w:top w:val="none" w:sz="0" w:space="0" w:color="auto"/>
                                                <w:left w:val="none" w:sz="0" w:space="0" w:color="auto"/>
                                                <w:bottom w:val="none" w:sz="0" w:space="0" w:color="auto"/>
                                                <w:right w:val="none" w:sz="0" w:space="0" w:color="auto"/>
                                              </w:divBdr>
                                            </w:div>
                                            <w:div w:id="18791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3678">
                                  <w:marLeft w:val="0"/>
                                  <w:marRight w:val="0"/>
                                  <w:marTop w:val="0"/>
                                  <w:marBottom w:val="0"/>
                                  <w:divBdr>
                                    <w:top w:val="none" w:sz="0" w:space="0" w:color="auto"/>
                                    <w:left w:val="none" w:sz="0" w:space="0" w:color="auto"/>
                                    <w:bottom w:val="none" w:sz="0" w:space="0" w:color="auto"/>
                                    <w:right w:val="none" w:sz="0" w:space="0" w:color="auto"/>
                                  </w:divBdr>
                                  <w:divsChild>
                                    <w:div w:id="208956839">
                                      <w:marLeft w:val="0"/>
                                      <w:marRight w:val="0"/>
                                      <w:marTop w:val="0"/>
                                      <w:marBottom w:val="0"/>
                                      <w:divBdr>
                                        <w:top w:val="none" w:sz="0" w:space="0" w:color="auto"/>
                                        <w:left w:val="none" w:sz="0" w:space="0" w:color="auto"/>
                                        <w:bottom w:val="none" w:sz="0" w:space="0" w:color="auto"/>
                                        <w:right w:val="none" w:sz="0" w:space="0" w:color="auto"/>
                                      </w:divBdr>
                                      <w:divsChild>
                                        <w:div w:id="745346770">
                                          <w:marLeft w:val="0"/>
                                          <w:marRight w:val="0"/>
                                          <w:marTop w:val="0"/>
                                          <w:marBottom w:val="0"/>
                                          <w:divBdr>
                                            <w:top w:val="none" w:sz="0" w:space="0" w:color="auto"/>
                                            <w:left w:val="none" w:sz="0" w:space="0" w:color="auto"/>
                                            <w:bottom w:val="none" w:sz="0" w:space="0" w:color="auto"/>
                                            <w:right w:val="none" w:sz="0" w:space="0" w:color="auto"/>
                                          </w:divBdr>
                                          <w:divsChild>
                                            <w:div w:id="1691301648">
                                              <w:marLeft w:val="0"/>
                                              <w:marRight w:val="0"/>
                                              <w:marTop w:val="0"/>
                                              <w:marBottom w:val="0"/>
                                              <w:divBdr>
                                                <w:top w:val="none" w:sz="0" w:space="0" w:color="auto"/>
                                                <w:left w:val="none" w:sz="0" w:space="0" w:color="auto"/>
                                                <w:bottom w:val="none" w:sz="0" w:space="0" w:color="auto"/>
                                                <w:right w:val="none" w:sz="0" w:space="0" w:color="auto"/>
                                              </w:divBdr>
                                            </w:div>
                                            <w:div w:id="20000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9917">
                                  <w:marLeft w:val="0"/>
                                  <w:marRight w:val="0"/>
                                  <w:marTop w:val="0"/>
                                  <w:marBottom w:val="0"/>
                                  <w:divBdr>
                                    <w:top w:val="none" w:sz="0" w:space="0" w:color="auto"/>
                                    <w:left w:val="none" w:sz="0" w:space="0" w:color="auto"/>
                                    <w:bottom w:val="none" w:sz="0" w:space="0" w:color="auto"/>
                                    <w:right w:val="none" w:sz="0" w:space="0" w:color="auto"/>
                                  </w:divBdr>
                                  <w:divsChild>
                                    <w:div w:id="1830947462">
                                      <w:marLeft w:val="0"/>
                                      <w:marRight w:val="0"/>
                                      <w:marTop w:val="0"/>
                                      <w:marBottom w:val="0"/>
                                      <w:divBdr>
                                        <w:top w:val="none" w:sz="0" w:space="0" w:color="auto"/>
                                        <w:left w:val="none" w:sz="0" w:space="0" w:color="auto"/>
                                        <w:bottom w:val="none" w:sz="0" w:space="0" w:color="auto"/>
                                        <w:right w:val="none" w:sz="0" w:space="0" w:color="auto"/>
                                      </w:divBdr>
                                      <w:divsChild>
                                        <w:div w:id="1404450700">
                                          <w:marLeft w:val="0"/>
                                          <w:marRight w:val="0"/>
                                          <w:marTop w:val="0"/>
                                          <w:marBottom w:val="0"/>
                                          <w:divBdr>
                                            <w:top w:val="none" w:sz="0" w:space="0" w:color="auto"/>
                                            <w:left w:val="none" w:sz="0" w:space="0" w:color="auto"/>
                                            <w:bottom w:val="none" w:sz="0" w:space="0" w:color="auto"/>
                                            <w:right w:val="none" w:sz="0" w:space="0" w:color="auto"/>
                                          </w:divBdr>
                                          <w:divsChild>
                                            <w:div w:id="2043434509">
                                              <w:marLeft w:val="0"/>
                                              <w:marRight w:val="0"/>
                                              <w:marTop w:val="0"/>
                                              <w:marBottom w:val="0"/>
                                              <w:divBdr>
                                                <w:top w:val="none" w:sz="0" w:space="0" w:color="auto"/>
                                                <w:left w:val="none" w:sz="0" w:space="0" w:color="auto"/>
                                                <w:bottom w:val="none" w:sz="0" w:space="0" w:color="auto"/>
                                                <w:right w:val="none" w:sz="0" w:space="0" w:color="auto"/>
                                              </w:divBdr>
                                            </w:div>
                                            <w:div w:id="15623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3128">
                                  <w:marLeft w:val="0"/>
                                  <w:marRight w:val="0"/>
                                  <w:marTop w:val="0"/>
                                  <w:marBottom w:val="0"/>
                                  <w:divBdr>
                                    <w:top w:val="none" w:sz="0" w:space="0" w:color="auto"/>
                                    <w:left w:val="none" w:sz="0" w:space="0" w:color="auto"/>
                                    <w:bottom w:val="none" w:sz="0" w:space="0" w:color="auto"/>
                                    <w:right w:val="none" w:sz="0" w:space="0" w:color="auto"/>
                                  </w:divBdr>
                                  <w:divsChild>
                                    <w:div w:id="1439372909">
                                      <w:marLeft w:val="0"/>
                                      <w:marRight w:val="0"/>
                                      <w:marTop w:val="0"/>
                                      <w:marBottom w:val="0"/>
                                      <w:divBdr>
                                        <w:top w:val="none" w:sz="0" w:space="0" w:color="auto"/>
                                        <w:left w:val="none" w:sz="0" w:space="0" w:color="auto"/>
                                        <w:bottom w:val="none" w:sz="0" w:space="0" w:color="auto"/>
                                        <w:right w:val="none" w:sz="0" w:space="0" w:color="auto"/>
                                      </w:divBdr>
                                      <w:divsChild>
                                        <w:div w:id="948469628">
                                          <w:marLeft w:val="0"/>
                                          <w:marRight w:val="0"/>
                                          <w:marTop w:val="0"/>
                                          <w:marBottom w:val="0"/>
                                          <w:divBdr>
                                            <w:top w:val="none" w:sz="0" w:space="0" w:color="auto"/>
                                            <w:left w:val="none" w:sz="0" w:space="0" w:color="auto"/>
                                            <w:bottom w:val="none" w:sz="0" w:space="0" w:color="auto"/>
                                            <w:right w:val="none" w:sz="0" w:space="0" w:color="auto"/>
                                          </w:divBdr>
                                          <w:divsChild>
                                            <w:div w:id="756680624">
                                              <w:marLeft w:val="0"/>
                                              <w:marRight w:val="0"/>
                                              <w:marTop w:val="0"/>
                                              <w:marBottom w:val="0"/>
                                              <w:divBdr>
                                                <w:top w:val="none" w:sz="0" w:space="0" w:color="auto"/>
                                                <w:left w:val="none" w:sz="0" w:space="0" w:color="auto"/>
                                                <w:bottom w:val="none" w:sz="0" w:space="0" w:color="auto"/>
                                                <w:right w:val="none" w:sz="0" w:space="0" w:color="auto"/>
                                              </w:divBdr>
                                            </w:div>
                                            <w:div w:id="21366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401">
                                  <w:marLeft w:val="0"/>
                                  <w:marRight w:val="0"/>
                                  <w:marTop w:val="0"/>
                                  <w:marBottom w:val="0"/>
                                  <w:divBdr>
                                    <w:top w:val="none" w:sz="0" w:space="0" w:color="auto"/>
                                    <w:left w:val="none" w:sz="0" w:space="0" w:color="auto"/>
                                    <w:bottom w:val="none" w:sz="0" w:space="0" w:color="auto"/>
                                    <w:right w:val="none" w:sz="0" w:space="0" w:color="auto"/>
                                  </w:divBdr>
                                  <w:divsChild>
                                    <w:div w:id="983966532">
                                      <w:marLeft w:val="0"/>
                                      <w:marRight w:val="0"/>
                                      <w:marTop w:val="0"/>
                                      <w:marBottom w:val="0"/>
                                      <w:divBdr>
                                        <w:top w:val="none" w:sz="0" w:space="0" w:color="auto"/>
                                        <w:left w:val="none" w:sz="0" w:space="0" w:color="auto"/>
                                        <w:bottom w:val="none" w:sz="0" w:space="0" w:color="auto"/>
                                        <w:right w:val="none" w:sz="0" w:space="0" w:color="auto"/>
                                      </w:divBdr>
                                      <w:divsChild>
                                        <w:div w:id="1983189502">
                                          <w:marLeft w:val="0"/>
                                          <w:marRight w:val="0"/>
                                          <w:marTop w:val="0"/>
                                          <w:marBottom w:val="0"/>
                                          <w:divBdr>
                                            <w:top w:val="none" w:sz="0" w:space="0" w:color="auto"/>
                                            <w:left w:val="none" w:sz="0" w:space="0" w:color="auto"/>
                                            <w:bottom w:val="none" w:sz="0" w:space="0" w:color="auto"/>
                                            <w:right w:val="none" w:sz="0" w:space="0" w:color="auto"/>
                                          </w:divBdr>
                                          <w:divsChild>
                                            <w:div w:id="1709334004">
                                              <w:marLeft w:val="0"/>
                                              <w:marRight w:val="0"/>
                                              <w:marTop w:val="0"/>
                                              <w:marBottom w:val="0"/>
                                              <w:divBdr>
                                                <w:top w:val="none" w:sz="0" w:space="0" w:color="auto"/>
                                                <w:left w:val="none" w:sz="0" w:space="0" w:color="auto"/>
                                                <w:bottom w:val="none" w:sz="0" w:space="0" w:color="auto"/>
                                                <w:right w:val="none" w:sz="0" w:space="0" w:color="auto"/>
                                              </w:divBdr>
                                            </w:div>
                                            <w:div w:id="1797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9207">
                                  <w:marLeft w:val="0"/>
                                  <w:marRight w:val="0"/>
                                  <w:marTop w:val="0"/>
                                  <w:marBottom w:val="0"/>
                                  <w:divBdr>
                                    <w:top w:val="none" w:sz="0" w:space="0" w:color="auto"/>
                                    <w:left w:val="none" w:sz="0" w:space="0" w:color="auto"/>
                                    <w:bottom w:val="none" w:sz="0" w:space="0" w:color="auto"/>
                                    <w:right w:val="none" w:sz="0" w:space="0" w:color="auto"/>
                                  </w:divBdr>
                                  <w:divsChild>
                                    <w:div w:id="1967272572">
                                      <w:marLeft w:val="0"/>
                                      <w:marRight w:val="0"/>
                                      <w:marTop w:val="0"/>
                                      <w:marBottom w:val="0"/>
                                      <w:divBdr>
                                        <w:top w:val="none" w:sz="0" w:space="0" w:color="auto"/>
                                        <w:left w:val="none" w:sz="0" w:space="0" w:color="auto"/>
                                        <w:bottom w:val="none" w:sz="0" w:space="0" w:color="auto"/>
                                        <w:right w:val="none" w:sz="0" w:space="0" w:color="auto"/>
                                      </w:divBdr>
                                      <w:divsChild>
                                        <w:div w:id="1431513525">
                                          <w:marLeft w:val="0"/>
                                          <w:marRight w:val="0"/>
                                          <w:marTop w:val="0"/>
                                          <w:marBottom w:val="0"/>
                                          <w:divBdr>
                                            <w:top w:val="none" w:sz="0" w:space="0" w:color="auto"/>
                                            <w:left w:val="none" w:sz="0" w:space="0" w:color="auto"/>
                                            <w:bottom w:val="none" w:sz="0" w:space="0" w:color="auto"/>
                                            <w:right w:val="none" w:sz="0" w:space="0" w:color="auto"/>
                                          </w:divBdr>
                                          <w:divsChild>
                                            <w:div w:id="1816218989">
                                              <w:marLeft w:val="0"/>
                                              <w:marRight w:val="0"/>
                                              <w:marTop w:val="0"/>
                                              <w:marBottom w:val="0"/>
                                              <w:divBdr>
                                                <w:top w:val="none" w:sz="0" w:space="0" w:color="auto"/>
                                                <w:left w:val="none" w:sz="0" w:space="0" w:color="auto"/>
                                                <w:bottom w:val="none" w:sz="0" w:space="0" w:color="auto"/>
                                                <w:right w:val="none" w:sz="0" w:space="0" w:color="auto"/>
                                              </w:divBdr>
                                            </w:div>
                                            <w:div w:id="19054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0878">
                                  <w:marLeft w:val="0"/>
                                  <w:marRight w:val="0"/>
                                  <w:marTop w:val="0"/>
                                  <w:marBottom w:val="0"/>
                                  <w:divBdr>
                                    <w:top w:val="none" w:sz="0" w:space="0" w:color="auto"/>
                                    <w:left w:val="none" w:sz="0" w:space="0" w:color="auto"/>
                                    <w:bottom w:val="none" w:sz="0" w:space="0" w:color="auto"/>
                                    <w:right w:val="none" w:sz="0" w:space="0" w:color="auto"/>
                                  </w:divBdr>
                                  <w:divsChild>
                                    <w:div w:id="1641571294">
                                      <w:marLeft w:val="0"/>
                                      <w:marRight w:val="0"/>
                                      <w:marTop w:val="0"/>
                                      <w:marBottom w:val="0"/>
                                      <w:divBdr>
                                        <w:top w:val="none" w:sz="0" w:space="0" w:color="auto"/>
                                        <w:left w:val="none" w:sz="0" w:space="0" w:color="auto"/>
                                        <w:bottom w:val="none" w:sz="0" w:space="0" w:color="auto"/>
                                        <w:right w:val="none" w:sz="0" w:space="0" w:color="auto"/>
                                      </w:divBdr>
                                      <w:divsChild>
                                        <w:div w:id="478965725">
                                          <w:marLeft w:val="0"/>
                                          <w:marRight w:val="0"/>
                                          <w:marTop w:val="0"/>
                                          <w:marBottom w:val="0"/>
                                          <w:divBdr>
                                            <w:top w:val="none" w:sz="0" w:space="0" w:color="auto"/>
                                            <w:left w:val="none" w:sz="0" w:space="0" w:color="auto"/>
                                            <w:bottom w:val="none" w:sz="0" w:space="0" w:color="auto"/>
                                            <w:right w:val="none" w:sz="0" w:space="0" w:color="auto"/>
                                          </w:divBdr>
                                          <w:divsChild>
                                            <w:div w:id="25060852">
                                              <w:marLeft w:val="0"/>
                                              <w:marRight w:val="0"/>
                                              <w:marTop w:val="0"/>
                                              <w:marBottom w:val="0"/>
                                              <w:divBdr>
                                                <w:top w:val="none" w:sz="0" w:space="0" w:color="auto"/>
                                                <w:left w:val="none" w:sz="0" w:space="0" w:color="auto"/>
                                                <w:bottom w:val="none" w:sz="0" w:space="0" w:color="auto"/>
                                                <w:right w:val="none" w:sz="0" w:space="0" w:color="auto"/>
                                              </w:divBdr>
                                            </w:div>
                                            <w:div w:id="20100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9504">
                                  <w:marLeft w:val="0"/>
                                  <w:marRight w:val="0"/>
                                  <w:marTop w:val="0"/>
                                  <w:marBottom w:val="0"/>
                                  <w:divBdr>
                                    <w:top w:val="none" w:sz="0" w:space="0" w:color="auto"/>
                                    <w:left w:val="none" w:sz="0" w:space="0" w:color="auto"/>
                                    <w:bottom w:val="none" w:sz="0" w:space="0" w:color="auto"/>
                                    <w:right w:val="none" w:sz="0" w:space="0" w:color="auto"/>
                                  </w:divBdr>
                                  <w:divsChild>
                                    <w:div w:id="793909952">
                                      <w:marLeft w:val="0"/>
                                      <w:marRight w:val="0"/>
                                      <w:marTop w:val="0"/>
                                      <w:marBottom w:val="0"/>
                                      <w:divBdr>
                                        <w:top w:val="none" w:sz="0" w:space="0" w:color="auto"/>
                                        <w:left w:val="none" w:sz="0" w:space="0" w:color="auto"/>
                                        <w:bottom w:val="none" w:sz="0" w:space="0" w:color="auto"/>
                                        <w:right w:val="none" w:sz="0" w:space="0" w:color="auto"/>
                                      </w:divBdr>
                                      <w:divsChild>
                                        <w:div w:id="730273909">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 w:id="14557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85145">
                                  <w:marLeft w:val="0"/>
                                  <w:marRight w:val="0"/>
                                  <w:marTop w:val="0"/>
                                  <w:marBottom w:val="0"/>
                                  <w:divBdr>
                                    <w:top w:val="none" w:sz="0" w:space="0" w:color="auto"/>
                                    <w:left w:val="none" w:sz="0" w:space="0" w:color="auto"/>
                                    <w:bottom w:val="none" w:sz="0" w:space="0" w:color="auto"/>
                                    <w:right w:val="none" w:sz="0" w:space="0" w:color="auto"/>
                                  </w:divBdr>
                                  <w:divsChild>
                                    <w:div w:id="392699331">
                                      <w:marLeft w:val="0"/>
                                      <w:marRight w:val="0"/>
                                      <w:marTop w:val="0"/>
                                      <w:marBottom w:val="0"/>
                                      <w:divBdr>
                                        <w:top w:val="none" w:sz="0" w:space="0" w:color="auto"/>
                                        <w:left w:val="none" w:sz="0" w:space="0" w:color="auto"/>
                                        <w:bottom w:val="none" w:sz="0" w:space="0" w:color="auto"/>
                                        <w:right w:val="none" w:sz="0" w:space="0" w:color="auto"/>
                                      </w:divBdr>
                                      <w:divsChild>
                                        <w:div w:id="1814785437">
                                          <w:marLeft w:val="0"/>
                                          <w:marRight w:val="0"/>
                                          <w:marTop w:val="0"/>
                                          <w:marBottom w:val="0"/>
                                          <w:divBdr>
                                            <w:top w:val="none" w:sz="0" w:space="0" w:color="auto"/>
                                            <w:left w:val="none" w:sz="0" w:space="0" w:color="auto"/>
                                            <w:bottom w:val="none" w:sz="0" w:space="0" w:color="auto"/>
                                            <w:right w:val="none" w:sz="0" w:space="0" w:color="auto"/>
                                          </w:divBdr>
                                          <w:divsChild>
                                            <w:div w:id="1107584079">
                                              <w:marLeft w:val="0"/>
                                              <w:marRight w:val="0"/>
                                              <w:marTop w:val="0"/>
                                              <w:marBottom w:val="0"/>
                                              <w:divBdr>
                                                <w:top w:val="none" w:sz="0" w:space="0" w:color="auto"/>
                                                <w:left w:val="none" w:sz="0" w:space="0" w:color="auto"/>
                                                <w:bottom w:val="none" w:sz="0" w:space="0" w:color="auto"/>
                                                <w:right w:val="none" w:sz="0" w:space="0" w:color="auto"/>
                                              </w:divBdr>
                                            </w:div>
                                            <w:div w:id="11956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6274">
                                  <w:marLeft w:val="0"/>
                                  <w:marRight w:val="0"/>
                                  <w:marTop w:val="0"/>
                                  <w:marBottom w:val="0"/>
                                  <w:divBdr>
                                    <w:top w:val="none" w:sz="0" w:space="0" w:color="auto"/>
                                    <w:left w:val="none" w:sz="0" w:space="0" w:color="auto"/>
                                    <w:bottom w:val="none" w:sz="0" w:space="0" w:color="auto"/>
                                    <w:right w:val="none" w:sz="0" w:space="0" w:color="auto"/>
                                  </w:divBdr>
                                  <w:divsChild>
                                    <w:div w:id="1301230481">
                                      <w:marLeft w:val="0"/>
                                      <w:marRight w:val="0"/>
                                      <w:marTop w:val="0"/>
                                      <w:marBottom w:val="0"/>
                                      <w:divBdr>
                                        <w:top w:val="none" w:sz="0" w:space="0" w:color="auto"/>
                                        <w:left w:val="none" w:sz="0" w:space="0" w:color="auto"/>
                                        <w:bottom w:val="none" w:sz="0" w:space="0" w:color="auto"/>
                                        <w:right w:val="none" w:sz="0" w:space="0" w:color="auto"/>
                                      </w:divBdr>
                                      <w:divsChild>
                                        <w:div w:id="473759916">
                                          <w:marLeft w:val="0"/>
                                          <w:marRight w:val="0"/>
                                          <w:marTop w:val="0"/>
                                          <w:marBottom w:val="0"/>
                                          <w:divBdr>
                                            <w:top w:val="none" w:sz="0" w:space="0" w:color="auto"/>
                                            <w:left w:val="none" w:sz="0" w:space="0" w:color="auto"/>
                                            <w:bottom w:val="none" w:sz="0" w:space="0" w:color="auto"/>
                                            <w:right w:val="none" w:sz="0" w:space="0" w:color="auto"/>
                                          </w:divBdr>
                                          <w:divsChild>
                                            <w:div w:id="601382321">
                                              <w:marLeft w:val="0"/>
                                              <w:marRight w:val="0"/>
                                              <w:marTop w:val="0"/>
                                              <w:marBottom w:val="0"/>
                                              <w:divBdr>
                                                <w:top w:val="none" w:sz="0" w:space="0" w:color="auto"/>
                                                <w:left w:val="none" w:sz="0" w:space="0" w:color="auto"/>
                                                <w:bottom w:val="none" w:sz="0" w:space="0" w:color="auto"/>
                                                <w:right w:val="none" w:sz="0" w:space="0" w:color="auto"/>
                                              </w:divBdr>
                                            </w:div>
                                            <w:div w:id="21463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18537">
                      <w:marLeft w:val="0"/>
                      <w:marRight w:val="0"/>
                      <w:marTop w:val="0"/>
                      <w:marBottom w:val="0"/>
                      <w:divBdr>
                        <w:top w:val="none" w:sz="0" w:space="0" w:color="auto"/>
                        <w:left w:val="none" w:sz="0" w:space="0" w:color="auto"/>
                        <w:bottom w:val="none" w:sz="0" w:space="0" w:color="auto"/>
                        <w:right w:val="none" w:sz="0" w:space="0" w:color="auto"/>
                      </w:divBdr>
                      <w:divsChild>
                        <w:div w:id="995106745">
                          <w:marLeft w:val="0"/>
                          <w:marRight w:val="0"/>
                          <w:marTop w:val="0"/>
                          <w:marBottom w:val="0"/>
                          <w:divBdr>
                            <w:top w:val="none" w:sz="0" w:space="0" w:color="auto"/>
                            <w:left w:val="none" w:sz="0" w:space="0" w:color="auto"/>
                            <w:bottom w:val="none" w:sz="0" w:space="0" w:color="auto"/>
                            <w:right w:val="none" w:sz="0" w:space="0" w:color="auto"/>
                          </w:divBdr>
                          <w:divsChild>
                            <w:div w:id="2142649830">
                              <w:marLeft w:val="0"/>
                              <w:marRight w:val="0"/>
                              <w:marTop w:val="0"/>
                              <w:marBottom w:val="0"/>
                              <w:divBdr>
                                <w:top w:val="none" w:sz="0" w:space="0" w:color="auto"/>
                                <w:left w:val="none" w:sz="0" w:space="0" w:color="auto"/>
                                <w:bottom w:val="none" w:sz="0" w:space="0" w:color="auto"/>
                                <w:right w:val="none" w:sz="0" w:space="0" w:color="auto"/>
                              </w:divBdr>
                            </w:div>
                          </w:divsChild>
                        </w:div>
                        <w:div w:id="1619750936">
                          <w:marLeft w:val="0"/>
                          <w:marRight w:val="0"/>
                          <w:marTop w:val="0"/>
                          <w:marBottom w:val="0"/>
                          <w:divBdr>
                            <w:top w:val="none" w:sz="0" w:space="0" w:color="auto"/>
                            <w:left w:val="none" w:sz="0" w:space="0" w:color="auto"/>
                            <w:bottom w:val="none" w:sz="0" w:space="0" w:color="auto"/>
                            <w:right w:val="none" w:sz="0" w:space="0" w:color="auto"/>
                          </w:divBdr>
                          <w:divsChild>
                            <w:div w:id="1240553124">
                              <w:marLeft w:val="0"/>
                              <w:marRight w:val="0"/>
                              <w:marTop w:val="0"/>
                              <w:marBottom w:val="0"/>
                              <w:divBdr>
                                <w:top w:val="none" w:sz="0" w:space="0" w:color="auto"/>
                                <w:left w:val="none" w:sz="0" w:space="0" w:color="auto"/>
                                <w:bottom w:val="none" w:sz="0" w:space="0" w:color="auto"/>
                                <w:right w:val="none" w:sz="0" w:space="0" w:color="auto"/>
                              </w:divBdr>
                              <w:divsChild>
                                <w:div w:id="1877497817">
                                  <w:marLeft w:val="0"/>
                                  <w:marRight w:val="0"/>
                                  <w:marTop w:val="0"/>
                                  <w:marBottom w:val="0"/>
                                  <w:divBdr>
                                    <w:top w:val="none" w:sz="0" w:space="0" w:color="auto"/>
                                    <w:left w:val="none" w:sz="0" w:space="0" w:color="auto"/>
                                    <w:bottom w:val="none" w:sz="0" w:space="0" w:color="auto"/>
                                    <w:right w:val="none" w:sz="0" w:space="0" w:color="auto"/>
                                  </w:divBdr>
                                  <w:divsChild>
                                    <w:div w:id="1028069714">
                                      <w:marLeft w:val="0"/>
                                      <w:marRight w:val="0"/>
                                      <w:marTop w:val="0"/>
                                      <w:marBottom w:val="0"/>
                                      <w:divBdr>
                                        <w:top w:val="none" w:sz="0" w:space="0" w:color="auto"/>
                                        <w:left w:val="none" w:sz="0" w:space="0" w:color="auto"/>
                                        <w:bottom w:val="none" w:sz="0" w:space="0" w:color="auto"/>
                                        <w:right w:val="none" w:sz="0" w:space="0" w:color="auto"/>
                                      </w:divBdr>
                                      <w:divsChild>
                                        <w:div w:id="2095783834">
                                          <w:marLeft w:val="0"/>
                                          <w:marRight w:val="0"/>
                                          <w:marTop w:val="0"/>
                                          <w:marBottom w:val="0"/>
                                          <w:divBdr>
                                            <w:top w:val="none" w:sz="0" w:space="0" w:color="auto"/>
                                            <w:left w:val="none" w:sz="0" w:space="0" w:color="auto"/>
                                            <w:bottom w:val="none" w:sz="0" w:space="0" w:color="auto"/>
                                            <w:right w:val="none" w:sz="0" w:space="0" w:color="auto"/>
                                          </w:divBdr>
                                        </w:div>
                                        <w:div w:id="1464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7399">
                                  <w:marLeft w:val="0"/>
                                  <w:marRight w:val="0"/>
                                  <w:marTop w:val="0"/>
                                  <w:marBottom w:val="0"/>
                                  <w:divBdr>
                                    <w:top w:val="none" w:sz="0" w:space="0" w:color="auto"/>
                                    <w:left w:val="none" w:sz="0" w:space="0" w:color="auto"/>
                                    <w:bottom w:val="none" w:sz="0" w:space="0" w:color="auto"/>
                                    <w:right w:val="none" w:sz="0" w:space="0" w:color="auto"/>
                                  </w:divBdr>
                                  <w:divsChild>
                                    <w:div w:id="1960330704">
                                      <w:marLeft w:val="0"/>
                                      <w:marRight w:val="0"/>
                                      <w:marTop w:val="0"/>
                                      <w:marBottom w:val="0"/>
                                      <w:divBdr>
                                        <w:top w:val="none" w:sz="0" w:space="0" w:color="auto"/>
                                        <w:left w:val="none" w:sz="0" w:space="0" w:color="auto"/>
                                        <w:bottom w:val="none" w:sz="0" w:space="0" w:color="auto"/>
                                        <w:right w:val="none" w:sz="0" w:space="0" w:color="auto"/>
                                      </w:divBdr>
                                      <w:divsChild>
                                        <w:div w:id="1001665788">
                                          <w:marLeft w:val="0"/>
                                          <w:marRight w:val="0"/>
                                          <w:marTop w:val="0"/>
                                          <w:marBottom w:val="0"/>
                                          <w:divBdr>
                                            <w:top w:val="none" w:sz="0" w:space="0" w:color="auto"/>
                                            <w:left w:val="none" w:sz="0" w:space="0" w:color="auto"/>
                                            <w:bottom w:val="none" w:sz="0" w:space="0" w:color="auto"/>
                                            <w:right w:val="none" w:sz="0" w:space="0" w:color="auto"/>
                                          </w:divBdr>
                                        </w:div>
                                        <w:div w:id="10205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6712">
                                  <w:marLeft w:val="0"/>
                                  <w:marRight w:val="0"/>
                                  <w:marTop w:val="0"/>
                                  <w:marBottom w:val="0"/>
                                  <w:divBdr>
                                    <w:top w:val="none" w:sz="0" w:space="0" w:color="auto"/>
                                    <w:left w:val="none" w:sz="0" w:space="0" w:color="auto"/>
                                    <w:bottom w:val="none" w:sz="0" w:space="0" w:color="auto"/>
                                    <w:right w:val="none" w:sz="0" w:space="0" w:color="auto"/>
                                  </w:divBdr>
                                  <w:divsChild>
                                    <w:div w:id="1635452775">
                                      <w:marLeft w:val="0"/>
                                      <w:marRight w:val="0"/>
                                      <w:marTop w:val="0"/>
                                      <w:marBottom w:val="0"/>
                                      <w:divBdr>
                                        <w:top w:val="none" w:sz="0" w:space="0" w:color="auto"/>
                                        <w:left w:val="none" w:sz="0" w:space="0" w:color="auto"/>
                                        <w:bottom w:val="none" w:sz="0" w:space="0" w:color="auto"/>
                                        <w:right w:val="none" w:sz="0" w:space="0" w:color="auto"/>
                                      </w:divBdr>
                                      <w:divsChild>
                                        <w:div w:id="773018132">
                                          <w:marLeft w:val="0"/>
                                          <w:marRight w:val="0"/>
                                          <w:marTop w:val="0"/>
                                          <w:marBottom w:val="0"/>
                                          <w:divBdr>
                                            <w:top w:val="none" w:sz="0" w:space="0" w:color="auto"/>
                                            <w:left w:val="none" w:sz="0" w:space="0" w:color="auto"/>
                                            <w:bottom w:val="none" w:sz="0" w:space="0" w:color="auto"/>
                                            <w:right w:val="none" w:sz="0" w:space="0" w:color="auto"/>
                                          </w:divBdr>
                                        </w:div>
                                        <w:div w:id="15597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565">
                                  <w:marLeft w:val="0"/>
                                  <w:marRight w:val="0"/>
                                  <w:marTop w:val="0"/>
                                  <w:marBottom w:val="0"/>
                                  <w:divBdr>
                                    <w:top w:val="none" w:sz="0" w:space="0" w:color="auto"/>
                                    <w:left w:val="none" w:sz="0" w:space="0" w:color="auto"/>
                                    <w:bottom w:val="none" w:sz="0" w:space="0" w:color="auto"/>
                                    <w:right w:val="none" w:sz="0" w:space="0" w:color="auto"/>
                                  </w:divBdr>
                                  <w:divsChild>
                                    <w:div w:id="528758246">
                                      <w:marLeft w:val="0"/>
                                      <w:marRight w:val="0"/>
                                      <w:marTop w:val="0"/>
                                      <w:marBottom w:val="0"/>
                                      <w:divBdr>
                                        <w:top w:val="none" w:sz="0" w:space="0" w:color="auto"/>
                                        <w:left w:val="none" w:sz="0" w:space="0" w:color="auto"/>
                                        <w:bottom w:val="none" w:sz="0" w:space="0" w:color="auto"/>
                                        <w:right w:val="none" w:sz="0" w:space="0" w:color="auto"/>
                                      </w:divBdr>
                                      <w:divsChild>
                                        <w:div w:id="1787205">
                                          <w:marLeft w:val="0"/>
                                          <w:marRight w:val="0"/>
                                          <w:marTop w:val="0"/>
                                          <w:marBottom w:val="0"/>
                                          <w:divBdr>
                                            <w:top w:val="none" w:sz="0" w:space="0" w:color="auto"/>
                                            <w:left w:val="none" w:sz="0" w:space="0" w:color="auto"/>
                                            <w:bottom w:val="none" w:sz="0" w:space="0" w:color="auto"/>
                                            <w:right w:val="none" w:sz="0" w:space="0" w:color="auto"/>
                                          </w:divBdr>
                                        </w:div>
                                        <w:div w:id="1510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5248">
                              <w:marLeft w:val="0"/>
                              <w:marRight w:val="0"/>
                              <w:marTop w:val="0"/>
                              <w:marBottom w:val="0"/>
                              <w:divBdr>
                                <w:top w:val="none" w:sz="0" w:space="0" w:color="auto"/>
                                <w:left w:val="none" w:sz="0" w:space="0" w:color="auto"/>
                                <w:bottom w:val="none" w:sz="0" w:space="0" w:color="auto"/>
                                <w:right w:val="none" w:sz="0" w:space="0" w:color="auto"/>
                              </w:divBdr>
                              <w:divsChild>
                                <w:div w:id="1031952766">
                                  <w:marLeft w:val="0"/>
                                  <w:marRight w:val="0"/>
                                  <w:marTop w:val="0"/>
                                  <w:marBottom w:val="0"/>
                                  <w:divBdr>
                                    <w:top w:val="none" w:sz="0" w:space="0" w:color="auto"/>
                                    <w:left w:val="none" w:sz="0" w:space="0" w:color="auto"/>
                                    <w:bottom w:val="none" w:sz="0" w:space="0" w:color="auto"/>
                                    <w:right w:val="none" w:sz="0" w:space="0" w:color="auto"/>
                                  </w:divBdr>
                                  <w:divsChild>
                                    <w:div w:id="312681146">
                                      <w:marLeft w:val="0"/>
                                      <w:marRight w:val="0"/>
                                      <w:marTop w:val="0"/>
                                      <w:marBottom w:val="0"/>
                                      <w:divBdr>
                                        <w:top w:val="none" w:sz="0" w:space="0" w:color="auto"/>
                                        <w:left w:val="none" w:sz="0" w:space="0" w:color="auto"/>
                                        <w:bottom w:val="none" w:sz="0" w:space="0" w:color="auto"/>
                                        <w:right w:val="none" w:sz="0" w:space="0" w:color="auto"/>
                                      </w:divBdr>
                                      <w:divsChild>
                                        <w:div w:id="2110392298">
                                          <w:marLeft w:val="0"/>
                                          <w:marRight w:val="0"/>
                                          <w:marTop w:val="0"/>
                                          <w:marBottom w:val="0"/>
                                          <w:divBdr>
                                            <w:top w:val="none" w:sz="0" w:space="0" w:color="auto"/>
                                            <w:left w:val="none" w:sz="0" w:space="0" w:color="auto"/>
                                            <w:bottom w:val="none" w:sz="0" w:space="0" w:color="auto"/>
                                            <w:right w:val="none" w:sz="0" w:space="0" w:color="auto"/>
                                          </w:divBdr>
                                        </w:div>
                                        <w:div w:id="6140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4476">
                                  <w:marLeft w:val="0"/>
                                  <w:marRight w:val="0"/>
                                  <w:marTop w:val="0"/>
                                  <w:marBottom w:val="0"/>
                                  <w:divBdr>
                                    <w:top w:val="none" w:sz="0" w:space="0" w:color="auto"/>
                                    <w:left w:val="none" w:sz="0" w:space="0" w:color="auto"/>
                                    <w:bottom w:val="none" w:sz="0" w:space="0" w:color="auto"/>
                                    <w:right w:val="none" w:sz="0" w:space="0" w:color="auto"/>
                                  </w:divBdr>
                                  <w:divsChild>
                                    <w:div w:id="1380082495">
                                      <w:marLeft w:val="0"/>
                                      <w:marRight w:val="0"/>
                                      <w:marTop w:val="0"/>
                                      <w:marBottom w:val="0"/>
                                      <w:divBdr>
                                        <w:top w:val="none" w:sz="0" w:space="0" w:color="auto"/>
                                        <w:left w:val="none" w:sz="0" w:space="0" w:color="auto"/>
                                        <w:bottom w:val="none" w:sz="0" w:space="0" w:color="auto"/>
                                        <w:right w:val="none" w:sz="0" w:space="0" w:color="auto"/>
                                      </w:divBdr>
                                      <w:divsChild>
                                        <w:div w:id="1325889169">
                                          <w:marLeft w:val="0"/>
                                          <w:marRight w:val="0"/>
                                          <w:marTop w:val="0"/>
                                          <w:marBottom w:val="0"/>
                                          <w:divBdr>
                                            <w:top w:val="none" w:sz="0" w:space="0" w:color="auto"/>
                                            <w:left w:val="none" w:sz="0" w:space="0" w:color="auto"/>
                                            <w:bottom w:val="none" w:sz="0" w:space="0" w:color="auto"/>
                                            <w:right w:val="none" w:sz="0" w:space="0" w:color="auto"/>
                                          </w:divBdr>
                                        </w:div>
                                        <w:div w:id="13212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8524">
                                  <w:marLeft w:val="0"/>
                                  <w:marRight w:val="0"/>
                                  <w:marTop w:val="0"/>
                                  <w:marBottom w:val="0"/>
                                  <w:divBdr>
                                    <w:top w:val="none" w:sz="0" w:space="0" w:color="auto"/>
                                    <w:left w:val="none" w:sz="0" w:space="0" w:color="auto"/>
                                    <w:bottom w:val="none" w:sz="0" w:space="0" w:color="auto"/>
                                    <w:right w:val="none" w:sz="0" w:space="0" w:color="auto"/>
                                  </w:divBdr>
                                  <w:divsChild>
                                    <w:div w:id="1742749784">
                                      <w:marLeft w:val="0"/>
                                      <w:marRight w:val="0"/>
                                      <w:marTop w:val="0"/>
                                      <w:marBottom w:val="0"/>
                                      <w:divBdr>
                                        <w:top w:val="none" w:sz="0" w:space="0" w:color="auto"/>
                                        <w:left w:val="none" w:sz="0" w:space="0" w:color="auto"/>
                                        <w:bottom w:val="none" w:sz="0" w:space="0" w:color="auto"/>
                                        <w:right w:val="none" w:sz="0" w:space="0" w:color="auto"/>
                                      </w:divBdr>
                                      <w:divsChild>
                                        <w:div w:id="969632856">
                                          <w:marLeft w:val="0"/>
                                          <w:marRight w:val="0"/>
                                          <w:marTop w:val="0"/>
                                          <w:marBottom w:val="0"/>
                                          <w:divBdr>
                                            <w:top w:val="none" w:sz="0" w:space="0" w:color="auto"/>
                                            <w:left w:val="none" w:sz="0" w:space="0" w:color="auto"/>
                                            <w:bottom w:val="none" w:sz="0" w:space="0" w:color="auto"/>
                                            <w:right w:val="none" w:sz="0" w:space="0" w:color="auto"/>
                                          </w:divBdr>
                                        </w:div>
                                        <w:div w:id="204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2079">
                                  <w:marLeft w:val="0"/>
                                  <w:marRight w:val="0"/>
                                  <w:marTop w:val="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523087461">
                                          <w:marLeft w:val="0"/>
                                          <w:marRight w:val="0"/>
                                          <w:marTop w:val="0"/>
                                          <w:marBottom w:val="0"/>
                                          <w:divBdr>
                                            <w:top w:val="none" w:sz="0" w:space="0" w:color="auto"/>
                                            <w:left w:val="none" w:sz="0" w:space="0" w:color="auto"/>
                                            <w:bottom w:val="none" w:sz="0" w:space="0" w:color="auto"/>
                                            <w:right w:val="none" w:sz="0" w:space="0" w:color="auto"/>
                                          </w:divBdr>
                                        </w:div>
                                        <w:div w:id="19492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3822">
                              <w:marLeft w:val="0"/>
                              <w:marRight w:val="0"/>
                              <w:marTop w:val="0"/>
                              <w:marBottom w:val="0"/>
                              <w:divBdr>
                                <w:top w:val="none" w:sz="0" w:space="0" w:color="auto"/>
                                <w:left w:val="none" w:sz="0" w:space="0" w:color="auto"/>
                                <w:bottom w:val="none" w:sz="0" w:space="0" w:color="auto"/>
                                <w:right w:val="none" w:sz="0" w:space="0" w:color="auto"/>
                              </w:divBdr>
                              <w:divsChild>
                                <w:div w:id="611128446">
                                  <w:marLeft w:val="0"/>
                                  <w:marRight w:val="0"/>
                                  <w:marTop w:val="0"/>
                                  <w:marBottom w:val="0"/>
                                  <w:divBdr>
                                    <w:top w:val="none" w:sz="0" w:space="0" w:color="auto"/>
                                    <w:left w:val="none" w:sz="0" w:space="0" w:color="auto"/>
                                    <w:bottom w:val="none" w:sz="0" w:space="0" w:color="auto"/>
                                    <w:right w:val="none" w:sz="0" w:space="0" w:color="auto"/>
                                  </w:divBdr>
                                  <w:divsChild>
                                    <w:div w:id="1839880596">
                                      <w:marLeft w:val="0"/>
                                      <w:marRight w:val="0"/>
                                      <w:marTop w:val="0"/>
                                      <w:marBottom w:val="0"/>
                                      <w:divBdr>
                                        <w:top w:val="none" w:sz="0" w:space="0" w:color="auto"/>
                                        <w:left w:val="none" w:sz="0" w:space="0" w:color="auto"/>
                                        <w:bottom w:val="none" w:sz="0" w:space="0" w:color="auto"/>
                                        <w:right w:val="none" w:sz="0" w:space="0" w:color="auto"/>
                                      </w:divBdr>
                                      <w:divsChild>
                                        <w:div w:id="879392783">
                                          <w:marLeft w:val="0"/>
                                          <w:marRight w:val="0"/>
                                          <w:marTop w:val="0"/>
                                          <w:marBottom w:val="0"/>
                                          <w:divBdr>
                                            <w:top w:val="none" w:sz="0" w:space="0" w:color="auto"/>
                                            <w:left w:val="none" w:sz="0" w:space="0" w:color="auto"/>
                                            <w:bottom w:val="none" w:sz="0" w:space="0" w:color="auto"/>
                                            <w:right w:val="none" w:sz="0" w:space="0" w:color="auto"/>
                                          </w:divBdr>
                                        </w:div>
                                        <w:div w:id="509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6396">
                                  <w:marLeft w:val="0"/>
                                  <w:marRight w:val="0"/>
                                  <w:marTop w:val="0"/>
                                  <w:marBottom w:val="0"/>
                                  <w:divBdr>
                                    <w:top w:val="none" w:sz="0" w:space="0" w:color="auto"/>
                                    <w:left w:val="none" w:sz="0" w:space="0" w:color="auto"/>
                                    <w:bottom w:val="none" w:sz="0" w:space="0" w:color="auto"/>
                                    <w:right w:val="none" w:sz="0" w:space="0" w:color="auto"/>
                                  </w:divBdr>
                                  <w:divsChild>
                                    <w:div w:id="1353847965">
                                      <w:marLeft w:val="0"/>
                                      <w:marRight w:val="0"/>
                                      <w:marTop w:val="0"/>
                                      <w:marBottom w:val="0"/>
                                      <w:divBdr>
                                        <w:top w:val="none" w:sz="0" w:space="0" w:color="auto"/>
                                        <w:left w:val="none" w:sz="0" w:space="0" w:color="auto"/>
                                        <w:bottom w:val="none" w:sz="0" w:space="0" w:color="auto"/>
                                        <w:right w:val="none" w:sz="0" w:space="0" w:color="auto"/>
                                      </w:divBdr>
                                      <w:divsChild>
                                        <w:div w:id="1170294970">
                                          <w:marLeft w:val="0"/>
                                          <w:marRight w:val="0"/>
                                          <w:marTop w:val="0"/>
                                          <w:marBottom w:val="0"/>
                                          <w:divBdr>
                                            <w:top w:val="none" w:sz="0" w:space="0" w:color="auto"/>
                                            <w:left w:val="none" w:sz="0" w:space="0" w:color="auto"/>
                                            <w:bottom w:val="none" w:sz="0" w:space="0" w:color="auto"/>
                                            <w:right w:val="none" w:sz="0" w:space="0" w:color="auto"/>
                                          </w:divBdr>
                                        </w:div>
                                        <w:div w:id="6394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465">
                                  <w:marLeft w:val="0"/>
                                  <w:marRight w:val="0"/>
                                  <w:marTop w:val="0"/>
                                  <w:marBottom w:val="0"/>
                                  <w:divBdr>
                                    <w:top w:val="none" w:sz="0" w:space="0" w:color="auto"/>
                                    <w:left w:val="none" w:sz="0" w:space="0" w:color="auto"/>
                                    <w:bottom w:val="none" w:sz="0" w:space="0" w:color="auto"/>
                                    <w:right w:val="none" w:sz="0" w:space="0" w:color="auto"/>
                                  </w:divBdr>
                                  <w:divsChild>
                                    <w:div w:id="1660114878">
                                      <w:marLeft w:val="0"/>
                                      <w:marRight w:val="0"/>
                                      <w:marTop w:val="0"/>
                                      <w:marBottom w:val="0"/>
                                      <w:divBdr>
                                        <w:top w:val="none" w:sz="0" w:space="0" w:color="auto"/>
                                        <w:left w:val="none" w:sz="0" w:space="0" w:color="auto"/>
                                        <w:bottom w:val="none" w:sz="0" w:space="0" w:color="auto"/>
                                        <w:right w:val="none" w:sz="0" w:space="0" w:color="auto"/>
                                      </w:divBdr>
                                      <w:divsChild>
                                        <w:div w:id="1264265907">
                                          <w:marLeft w:val="0"/>
                                          <w:marRight w:val="0"/>
                                          <w:marTop w:val="0"/>
                                          <w:marBottom w:val="0"/>
                                          <w:divBdr>
                                            <w:top w:val="none" w:sz="0" w:space="0" w:color="auto"/>
                                            <w:left w:val="none" w:sz="0" w:space="0" w:color="auto"/>
                                            <w:bottom w:val="none" w:sz="0" w:space="0" w:color="auto"/>
                                            <w:right w:val="none" w:sz="0" w:space="0" w:color="auto"/>
                                          </w:divBdr>
                                        </w:div>
                                        <w:div w:id="5840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8447">
                                  <w:marLeft w:val="0"/>
                                  <w:marRight w:val="0"/>
                                  <w:marTop w:val="0"/>
                                  <w:marBottom w:val="0"/>
                                  <w:divBdr>
                                    <w:top w:val="none" w:sz="0" w:space="0" w:color="auto"/>
                                    <w:left w:val="none" w:sz="0" w:space="0" w:color="auto"/>
                                    <w:bottom w:val="none" w:sz="0" w:space="0" w:color="auto"/>
                                    <w:right w:val="none" w:sz="0" w:space="0" w:color="auto"/>
                                  </w:divBdr>
                                  <w:divsChild>
                                    <w:div w:id="1658726138">
                                      <w:marLeft w:val="0"/>
                                      <w:marRight w:val="0"/>
                                      <w:marTop w:val="0"/>
                                      <w:marBottom w:val="0"/>
                                      <w:divBdr>
                                        <w:top w:val="none" w:sz="0" w:space="0" w:color="auto"/>
                                        <w:left w:val="none" w:sz="0" w:space="0" w:color="auto"/>
                                        <w:bottom w:val="none" w:sz="0" w:space="0" w:color="auto"/>
                                        <w:right w:val="none" w:sz="0" w:space="0" w:color="auto"/>
                                      </w:divBdr>
                                      <w:divsChild>
                                        <w:div w:id="1382825380">
                                          <w:marLeft w:val="0"/>
                                          <w:marRight w:val="0"/>
                                          <w:marTop w:val="0"/>
                                          <w:marBottom w:val="0"/>
                                          <w:divBdr>
                                            <w:top w:val="none" w:sz="0" w:space="0" w:color="auto"/>
                                            <w:left w:val="none" w:sz="0" w:space="0" w:color="auto"/>
                                            <w:bottom w:val="none" w:sz="0" w:space="0" w:color="auto"/>
                                            <w:right w:val="none" w:sz="0" w:space="0" w:color="auto"/>
                                          </w:divBdr>
                                        </w:div>
                                        <w:div w:id="15990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83148">
                              <w:marLeft w:val="0"/>
                              <w:marRight w:val="0"/>
                              <w:marTop w:val="0"/>
                              <w:marBottom w:val="0"/>
                              <w:divBdr>
                                <w:top w:val="none" w:sz="0" w:space="0" w:color="auto"/>
                                <w:left w:val="none" w:sz="0" w:space="0" w:color="auto"/>
                                <w:bottom w:val="none" w:sz="0" w:space="0" w:color="auto"/>
                                <w:right w:val="none" w:sz="0" w:space="0" w:color="auto"/>
                              </w:divBdr>
                              <w:divsChild>
                                <w:div w:id="1206285994">
                                  <w:marLeft w:val="0"/>
                                  <w:marRight w:val="0"/>
                                  <w:marTop w:val="0"/>
                                  <w:marBottom w:val="0"/>
                                  <w:divBdr>
                                    <w:top w:val="none" w:sz="0" w:space="0" w:color="auto"/>
                                    <w:left w:val="none" w:sz="0" w:space="0" w:color="auto"/>
                                    <w:bottom w:val="none" w:sz="0" w:space="0" w:color="auto"/>
                                    <w:right w:val="none" w:sz="0" w:space="0" w:color="auto"/>
                                  </w:divBdr>
                                  <w:divsChild>
                                    <w:div w:id="1567490103">
                                      <w:marLeft w:val="0"/>
                                      <w:marRight w:val="0"/>
                                      <w:marTop w:val="0"/>
                                      <w:marBottom w:val="0"/>
                                      <w:divBdr>
                                        <w:top w:val="none" w:sz="0" w:space="0" w:color="auto"/>
                                        <w:left w:val="none" w:sz="0" w:space="0" w:color="auto"/>
                                        <w:bottom w:val="none" w:sz="0" w:space="0" w:color="auto"/>
                                        <w:right w:val="none" w:sz="0" w:space="0" w:color="auto"/>
                                      </w:divBdr>
                                      <w:divsChild>
                                        <w:div w:id="2139832947">
                                          <w:marLeft w:val="0"/>
                                          <w:marRight w:val="0"/>
                                          <w:marTop w:val="0"/>
                                          <w:marBottom w:val="0"/>
                                          <w:divBdr>
                                            <w:top w:val="none" w:sz="0" w:space="0" w:color="auto"/>
                                            <w:left w:val="none" w:sz="0" w:space="0" w:color="auto"/>
                                            <w:bottom w:val="none" w:sz="0" w:space="0" w:color="auto"/>
                                            <w:right w:val="none" w:sz="0" w:space="0" w:color="auto"/>
                                          </w:divBdr>
                                        </w:div>
                                        <w:div w:id="15753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2315">
                                  <w:marLeft w:val="0"/>
                                  <w:marRight w:val="0"/>
                                  <w:marTop w:val="0"/>
                                  <w:marBottom w:val="0"/>
                                  <w:divBdr>
                                    <w:top w:val="none" w:sz="0" w:space="0" w:color="auto"/>
                                    <w:left w:val="none" w:sz="0" w:space="0" w:color="auto"/>
                                    <w:bottom w:val="none" w:sz="0" w:space="0" w:color="auto"/>
                                    <w:right w:val="none" w:sz="0" w:space="0" w:color="auto"/>
                                  </w:divBdr>
                                  <w:divsChild>
                                    <w:div w:id="893277083">
                                      <w:marLeft w:val="0"/>
                                      <w:marRight w:val="0"/>
                                      <w:marTop w:val="0"/>
                                      <w:marBottom w:val="0"/>
                                      <w:divBdr>
                                        <w:top w:val="none" w:sz="0" w:space="0" w:color="auto"/>
                                        <w:left w:val="none" w:sz="0" w:space="0" w:color="auto"/>
                                        <w:bottom w:val="none" w:sz="0" w:space="0" w:color="auto"/>
                                        <w:right w:val="none" w:sz="0" w:space="0" w:color="auto"/>
                                      </w:divBdr>
                                      <w:divsChild>
                                        <w:div w:id="1009796261">
                                          <w:marLeft w:val="0"/>
                                          <w:marRight w:val="0"/>
                                          <w:marTop w:val="0"/>
                                          <w:marBottom w:val="0"/>
                                          <w:divBdr>
                                            <w:top w:val="none" w:sz="0" w:space="0" w:color="auto"/>
                                            <w:left w:val="none" w:sz="0" w:space="0" w:color="auto"/>
                                            <w:bottom w:val="none" w:sz="0" w:space="0" w:color="auto"/>
                                            <w:right w:val="none" w:sz="0" w:space="0" w:color="auto"/>
                                          </w:divBdr>
                                        </w:div>
                                        <w:div w:id="3253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2312">
                                  <w:marLeft w:val="0"/>
                                  <w:marRight w:val="0"/>
                                  <w:marTop w:val="0"/>
                                  <w:marBottom w:val="0"/>
                                  <w:divBdr>
                                    <w:top w:val="none" w:sz="0" w:space="0" w:color="auto"/>
                                    <w:left w:val="none" w:sz="0" w:space="0" w:color="auto"/>
                                    <w:bottom w:val="none" w:sz="0" w:space="0" w:color="auto"/>
                                    <w:right w:val="none" w:sz="0" w:space="0" w:color="auto"/>
                                  </w:divBdr>
                                  <w:divsChild>
                                    <w:div w:id="152722428">
                                      <w:marLeft w:val="0"/>
                                      <w:marRight w:val="0"/>
                                      <w:marTop w:val="0"/>
                                      <w:marBottom w:val="0"/>
                                      <w:divBdr>
                                        <w:top w:val="none" w:sz="0" w:space="0" w:color="auto"/>
                                        <w:left w:val="none" w:sz="0" w:space="0" w:color="auto"/>
                                        <w:bottom w:val="none" w:sz="0" w:space="0" w:color="auto"/>
                                        <w:right w:val="none" w:sz="0" w:space="0" w:color="auto"/>
                                      </w:divBdr>
                                      <w:divsChild>
                                        <w:div w:id="551774317">
                                          <w:marLeft w:val="0"/>
                                          <w:marRight w:val="0"/>
                                          <w:marTop w:val="0"/>
                                          <w:marBottom w:val="0"/>
                                          <w:divBdr>
                                            <w:top w:val="none" w:sz="0" w:space="0" w:color="auto"/>
                                            <w:left w:val="none" w:sz="0" w:space="0" w:color="auto"/>
                                            <w:bottom w:val="none" w:sz="0" w:space="0" w:color="auto"/>
                                            <w:right w:val="none" w:sz="0" w:space="0" w:color="auto"/>
                                          </w:divBdr>
                                        </w:div>
                                        <w:div w:id="11907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67196">
                                  <w:marLeft w:val="0"/>
                                  <w:marRight w:val="0"/>
                                  <w:marTop w:val="0"/>
                                  <w:marBottom w:val="0"/>
                                  <w:divBdr>
                                    <w:top w:val="none" w:sz="0" w:space="0" w:color="auto"/>
                                    <w:left w:val="none" w:sz="0" w:space="0" w:color="auto"/>
                                    <w:bottom w:val="none" w:sz="0" w:space="0" w:color="auto"/>
                                    <w:right w:val="none" w:sz="0" w:space="0" w:color="auto"/>
                                  </w:divBdr>
                                  <w:divsChild>
                                    <w:div w:id="741635645">
                                      <w:marLeft w:val="0"/>
                                      <w:marRight w:val="0"/>
                                      <w:marTop w:val="0"/>
                                      <w:marBottom w:val="0"/>
                                      <w:divBdr>
                                        <w:top w:val="none" w:sz="0" w:space="0" w:color="auto"/>
                                        <w:left w:val="none" w:sz="0" w:space="0" w:color="auto"/>
                                        <w:bottom w:val="none" w:sz="0" w:space="0" w:color="auto"/>
                                        <w:right w:val="none" w:sz="0" w:space="0" w:color="auto"/>
                                      </w:divBdr>
                                      <w:divsChild>
                                        <w:div w:id="1210649570">
                                          <w:marLeft w:val="0"/>
                                          <w:marRight w:val="0"/>
                                          <w:marTop w:val="0"/>
                                          <w:marBottom w:val="0"/>
                                          <w:divBdr>
                                            <w:top w:val="none" w:sz="0" w:space="0" w:color="auto"/>
                                            <w:left w:val="none" w:sz="0" w:space="0" w:color="auto"/>
                                            <w:bottom w:val="none" w:sz="0" w:space="0" w:color="auto"/>
                                            <w:right w:val="none" w:sz="0" w:space="0" w:color="auto"/>
                                          </w:divBdr>
                                        </w:div>
                                        <w:div w:id="17914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13959">
                              <w:marLeft w:val="0"/>
                              <w:marRight w:val="0"/>
                              <w:marTop w:val="0"/>
                              <w:marBottom w:val="0"/>
                              <w:divBdr>
                                <w:top w:val="none" w:sz="0" w:space="0" w:color="auto"/>
                                <w:left w:val="none" w:sz="0" w:space="0" w:color="auto"/>
                                <w:bottom w:val="none" w:sz="0" w:space="0" w:color="auto"/>
                                <w:right w:val="none" w:sz="0" w:space="0" w:color="auto"/>
                              </w:divBdr>
                              <w:divsChild>
                                <w:div w:id="3483414">
                                  <w:marLeft w:val="0"/>
                                  <w:marRight w:val="0"/>
                                  <w:marTop w:val="0"/>
                                  <w:marBottom w:val="0"/>
                                  <w:divBdr>
                                    <w:top w:val="none" w:sz="0" w:space="0" w:color="auto"/>
                                    <w:left w:val="none" w:sz="0" w:space="0" w:color="auto"/>
                                    <w:bottom w:val="none" w:sz="0" w:space="0" w:color="auto"/>
                                    <w:right w:val="none" w:sz="0" w:space="0" w:color="auto"/>
                                  </w:divBdr>
                                  <w:divsChild>
                                    <w:div w:id="2038580566">
                                      <w:marLeft w:val="0"/>
                                      <w:marRight w:val="0"/>
                                      <w:marTop w:val="0"/>
                                      <w:marBottom w:val="0"/>
                                      <w:divBdr>
                                        <w:top w:val="none" w:sz="0" w:space="0" w:color="auto"/>
                                        <w:left w:val="none" w:sz="0" w:space="0" w:color="auto"/>
                                        <w:bottom w:val="none" w:sz="0" w:space="0" w:color="auto"/>
                                        <w:right w:val="none" w:sz="0" w:space="0" w:color="auto"/>
                                      </w:divBdr>
                                      <w:divsChild>
                                        <w:div w:id="767433236">
                                          <w:marLeft w:val="0"/>
                                          <w:marRight w:val="0"/>
                                          <w:marTop w:val="0"/>
                                          <w:marBottom w:val="0"/>
                                          <w:divBdr>
                                            <w:top w:val="none" w:sz="0" w:space="0" w:color="auto"/>
                                            <w:left w:val="none" w:sz="0" w:space="0" w:color="auto"/>
                                            <w:bottom w:val="none" w:sz="0" w:space="0" w:color="auto"/>
                                            <w:right w:val="none" w:sz="0" w:space="0" w:color="auto"/>
                                          </w:divBdr>
                                        </w:div>
                                        <w:div w:id="52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7500">
                                  <w:marLeft w:val="0"/>
                                  <w:marRight w:val="0"/>
                                  <w:marTop w:val="0"/>
                                  <w:marBottom w:val="0"/>
                                  <w:divBdr>
                                    <w:top w:val="none" w:sz="0" w:space="0" w:color="auto"/>
                                    <w:left w:val="none" w:sz="0" w:space="0" w:color="auto"/>
                                    <w:bottom w:val="none" w:sz="0" w:space="0" w:color="auto"/>
                                    <w:right w:val="none" w:sz="0" w:space="0" w:color="auto"/>
                                  </w:divBdr>
                                  <w:divsChild>
                                    <w:div w:id="894698405">
                                      <w:marLeft w:val="0"/>
                                      <w:marRight w:val="0"/>
                                      <w:marTop w:val="0"/>
                                      <w:marBottom w:val="0"/>
                                      <w:divBdr>
                                        <w:top w:val="none" w:sz="0" w:space="0" w:color="auto"/>
                                        <w:left w:val="none" w:sz="0" w:space="0" w:color="auto"/>
                                        <w:bottom w:val="none" w:sz="0" w:space="0" w:color="auto"/>
                                        <w:right w:val="none" w:sz="0" w:space="0" w:color="auto"/>
                                      </w:divBdr>
                                      <w:divsChild>
                                        <w:div w:id="1626161175">
                                          <w:marLeft w:val="0"/>
                                          <w:marRight w:val="0"/>
                                          <w:marTop w:val="0"/>
                                          <w:marBottom w:val="0"/>
                                          <w:divBdr>
                                            <w:top w:val="none" w:sz="0" w:space="0" w:color="auto"/>
                                            <w:left w:val="none" w:sz="0" w:space="0" w:color="auto"/>
                                            <w:bottom w:val="none" w:sz="0" w:space="0" w:color="auto"/>
                                            <w:right w:val="none" w:sz="0" w:space="0" w:color="auto"/>
                                          </w:divBdr>
                                        </w:div>
                                        <w:div w:id="10035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0703">
                                  <w:marLeft w:val="0"/>
                                  <w:marRight w:val="0"/>
                                  <w:marTop w:val="0"/>
                                  <w:marBottom w:val="0"/>
                                  <w:divBdr>
                                    <w:top w:val="none" w:sz="0" w:space="0" w:color="auto"/>
                                    <w:left w:val="none" w:sz="0" w:space="0" w:color="auto"/>
                                    <w:bottom w:val="none" w:sz="0" w:space="0" w:color="auto"/>
                                    <w:right w:val="none" w:sz="0" w:space="0" w:color="auto"/>
                                  </w:divBdr>
                                  <w:divsChild>
                                    <w:div w:id="2104841269">
                                      <w:marLeft w:val="0"/>
                                      <w:marRight w:val="0"/>
                                      <w:marTop w:val="0"/>
                                      <w:marBottom w:val="0"/>
                                      <w:divBdr>
                                        <w:top w:val="none" w:sz="0" w:space="0" w:color="auto"/>
                                        <w:left w:val="none" w:sz="0" w:space="0" w:color="auto"/>
                                        <w:bottom w:val="none" w:sz="0" w:space="0" w:color="auto"/>
                                        <w:right w:val="none" w:sz="0" w:space="0" w:color="auto"/>
                                      </w:divBdr>
                                      <w:divsChild>
                                        <w:div w:id="795416540">
                                          <w:marLeft w:val="0"/>
                                          <w:marRight w:val="0"/>
                                          <w:marTop w:val="0"/>
                                          <w:marBottom w:val="0"/>
                                          <w:divBdr>
                                            <w:top w:val="none" w:sz="0" w:space="0" w:color="auto"/>
                                            <w:left w:val="none" w:sz="0" w:space="0" w:color="auto"/>
                                            <w:bottom w:val="none" w:sz="0" w:space="0" w:color="auto"/>
                                            <w:right w:val="none" w:sz="0" w:space="0" w:color="auto"/>
                                          </w:divBdr>
                                        </w:div>
                                        <w:div w:id="14246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2698">
                                  <w:marLeft w:val="0"/>
                                  <w:marRight w:val="0"/>
                                  <w:marTop w:val="0"/>
                                  <w:marBottom w:val="0"/>
                                  <w:divBdr>
                                    <w:top w:val="none" w:sz="0" w:space="0" w:color="auto"/>
                                    <w:left w:val="none" w:sz="0" w:space="0" w:color="auto"/>
                                    <w:bottom w:val="none" w:sz="0" w:space="0" w:color="auto"/>
                                    <w:right w:val="none" w:sz="0" w:space="0" w:color="auto"/>
                                  </w:divBdr>
                                  <w:divsChild>
                                    <w:div w:id="1377310370">
                                      <w:marLeft w:val="0"/>
                                      <w:marRight w:val="0"/>
                                      <w:marTop w:val="0"/>
                                      <w:marBottom w:val="0"/>
                                      <w:divBdr>
                                        <w:top w:val="none" w:sz="0" w:space="0" w:color="auto"/>
                                        <w:left w:val="none" w:sz="0" w:space="0" w:color="auto"/>
                                        <w:bottom w:val="none" w:sz="0" w:space="0" w:color="auto"/>
                                        <w:right w:val="none" w:sz="0" w:space="0" w:color="auto"/>
                                      </w:divBdr>
                                      <w:divsChild>
                                        <w:div w:id="1610241225">
                                          <w:marLeft w:val="0"/>
                                          <w:marRight w:val="0"/>
                                          <w:marTop w:val="0"/>
                                          <w:marBottom w:val="0"/>
                                          <w:divBdr>
                                            <w:top w:val="none" w:sz="0" w:space="0" w:color="auto"/>
                                            <w:left w:val="none" w:sz="0" w:space="0" w:color="auto"/>
                                            <w:bottom w:val="none" w:sz="0" w:space="0" w:color="auto"/>
                                            <w:right w:val="none" w:sz="0" w:space="0" w:color="auto"/>
                                          </w:divBdr>
                                        </w:div>
                                        <w:div w:id="10834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3658">
                              <w:marLeft w:val="0"/>
                              <w:marRight w:val="0"/>
                              <w:marTop w:val="0"/>
                              <w:marBottom w:val="0"/>
                              <w:divBdr>
                                <w:top w:val="none" w:sz="0" w:space="0" w:color="auto"/>
                                <w:left w:val="none" w:sz="0" w:space="0" w:color="auto"/>
                                <w:bottom w:val="none" w:sz="0" w:space="0" w:color="auto"/>
                                <w:right w:val="none" w:sz="0" w:space="0" w:color="auto"/>
                              </w:divBdr>
                              <w:divsChild>
                                <w:div w:id="1542785914">
                                  <w:marLeft w:val="0"/>
                                  <w:marRight w:val="0"/>
                                  <w:marTop w:val="0"/>
                                  <w:marBottom w:val="0"/>
                                  <w:divBdr>
                                    <w:top w:val="none" w:sz="0" w:space="0" w:color="auto"/>
                                    <w:left w:val="none" w:sz="0" w:space="0" w:color="auto"/>
                                    <w:bottom w:val="none" w:sz="0" w:space="0" w:color="auto"/>
                                    <w:right w:val="none" w:sz="0" w:space="0" w:color="auto"/>
                                  </w:divBdr>
                                  <w:divsChild>
                                    <w:div w:id="205262628">
                                      <w:marLeft w:val="0"/>
                                      <w:marRight w:val="0"/>
                                      <w:marTop w:val="0"/>
                                      <w:marBottom w:val="0"/>
                                      <w:divBdr>
                                        <w:top w:val="none" w:sz="0" w:space="0" w:color="auto"/>
                                        <w:left w:val="none" w:sz="0" w:space="0" w:color="auto"/>
                                        <w:bottom w:val="none" w:sz="0" w:space="0" w:color="auto"/>
                                        <w:right w:val="none" w:sz="0" w:space="0" w:color="auto"/>
                                      </w:divBdr>
                                      <w:divsChild>
                                        <w:div w:id="4481333">
                                          <w:marLeft w:val="0"/>
                                          <w:marRight w:val="0"/>
                                          <w:marTop w:val="0"/>
                                          <w:marBottom w:val="0"/>
                                          <w:divBdr>
                                            <w:top w:val="none" w:sz="0" w:space="0" w:color="auto"/>
                                            <w:left w:val="none" w:sz="0" w:space="0" w:color="auto"/>
                                            <w:bottom w:val="none" w:sz="0" w:space="0" w:color="auto"/>
                                            <w:right w:val="none" w:sz="0" w:space="0" w:color="auto"/>
                                          </w:divBdr>
                                        </w:div>
                                        <w:div w:id="13165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6512">
                                  <w:marLeft w:val="0"/>
                                  <w:marRight w:val="0"/>
                                  <w:marTop w:val="0"/>
                                  <w:marBottom w:val="0"/>
                                  <w:divBdr>
                                    <w:top w:val="none" w:sz="0" w:space="0" w:color="auto"/>
                                    <w:left w:val="none" w:sz="0" w:space="0" w:color="auto"/>
                                    <w:bottom w:val="none" w:sz="0" w:space="0" w:color="auto"/>
                                    <w:right w:val="none" w:sz="0" w:space="0" w:color="auto"/>
                                  </w:divBdr>
                                  <w:divsChild>
                                    <w:div w:id="1831435464">
                                      <w:marLeft w:val="0"/>
                                      <w:marRight w:val="0"/>
                                      <w:marTop w:val="0"/>
                                      <w:marBottom w:val="0"/>
                                      <w:divBdr>
                                        <w:top w:val="none" w:sz="0" w:space="0" w:color="auto"/>
                                        <w:left w:val="none" w:sz="0" w:space="0" w:color="auto"/>
                                        <w:bottom w:val="none" w:sz="0" w:space="0" w:color="auto"/>
                                        <w:right w:val="none" w:sz="0" w:space="0" w:color="auto"/>
                                      </w:divBdr>
                                      <w:divsChild>
                                        <w:div w:id="1316297799">
                                          <w:marLeft w:val="0"/>
                                          <w:marRight w:val="0"/>
                                          <w:marTop w:val="0"/>
                                          <w:marBottom w:val="0"/>
                                          <w:divBdr>
                                            <w:top w:val="none" w:sz="0" w:space="0" w:color="auto"/>
                                            <w:left w:val="none" w:sz="0" w:space="0" w:color="auto"/>
                                            <w:bottom w:val="none" w:sz="0" w:space="0" w:color="auto"/>
                                            <w:right w:val="none" w:sz="0" w:space="0" w:color="auto"/>
                                          </w:divBdr>
                                        </w:div>
                                        <w:div w:id="15716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9720">
                                  <w:marLeft w:val="0"/>
                                  <w:marRight w:val="0"/>
                                  <w:marTop w:val="0"/>
                                  <w:marBottom w:val="0"/>
                                  <w:divBdr>
                                    <w:top w:val="none" w:sz="0" w:space="0" w:color="auto"/>
                                    <w:left w:val="none" w:sz="0" w:space="0" w:color="auto"/>
                                    <w:bottom w:val="none" w:sz="0" w:space="0" w:color="auto"/>
                                    <w:right w:val="none" w:sz="0" w:space="0" w:color="auto"/>
                                  </w:divBdr>
                                  <w:divsChild>
                                    <w:div w:id="913122727">
                                      <w:marLeft w:val="0"/>
                                      <w:marRight w:val="0"/>
                                      <w:marTop w:val="0"/>
                                      <w:marBottom w:val="0"/>
                                      <w:divBdr>
                                        <w:top w:val="none" w:sz="0" w:space="0" w:color="auto"/>
                                        <w:left w:val="none" w:sz="0" w:space="0" w:color="auto"/>
                                        <w:bottom w:val="none" w:sz="0" w:space="0" w:color="auto"/>
                                        <w:right w:val="none" w:sz="0" w:space="0" w:color="auto"/>
                                      </w:divBdr>
                                      <w:divsChild>
                                        <w:div w:id="628053221">
                                          <w:marLeft w:val="0"/>
                                          <w:marRight w:val="0"/>
                                          <w:marTop w:val="0"/>
                                          <w:marBottom w:val="0"/>
                                          <w:divBdr>
                                            <w:top w:val="none" w:sz="0" w:space="0" w:color="auto"/>
                                            <w:left w:val="none" w:sz="0" w:space="0" w:color="auto"/>
                                            <w:bottom w:val="none" w:sz="0" w:space="0" w:color="auto"/>
                                            <w:right w:val="none" w:sz="0" w:space="0" w:color="auto"/>
                                          </w:divBdr>
                                        </w:div>
                                        <w:div w:id="1059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8762">
                                  <w:marLeft w:val="0"/>
                                  <w:marRight w:val="0"/>
                                  <w:marTop w:val="0"/>
                                  <w:marBottom w:val="0"/>
                                  <w:divBdr>
                                    <w:top w:val="none" w:sz="0" w:space="0" w:color="auto"/>
                                    <w:left w:val="none" w:sz="0" w:space="0" w:color="auto"/>
                                    <w:bottom w:val="none" w:sz="0" w:space="0" w:color="auto"/>
                                    <w:right w:val="none" w:sz="0" w:space="0" w:color="auto"/>
                                  </w:divBdr>
                                  <w:divsChild>
                                    <w:div w:id="267858815">
                                      <w:marLeft w:val="0"/>
                                      <w:marRight w:val="0"/>
                                      <w:marTop w:val="0"/>
                                      <w:marBottom w:val="0"/>
                                      <w:divBdr>
                                        <w:top w:val="none" w:sz="0" w:space="0" w:color="auto"/>
                                        <w:left w:val="none" w:sz="0" w:space="0" w:color="auto"/>
                                        <w:bottom w:val="none" w:sz="0" w:space="0" w:color="auto"/>
                                        <w:right w:val="none" w:sz="0" w:space="0" w:color="auto"/>
                                      </w:divBdr>
                                      <w:divsChild>
                                        <w:div w:id="1481727065">
                                          <w:marLeft w:val="0"/>
                                          <w:marRight w:val="0"/>
                                          <w:marTop w:val="0"/>
                                          <w:marBottom w:val="0"/>
                                          <w:divBdr>
                                            <w:top w:val="none" w:sz="0" w:space="0" w:color="auto"/>
                                            <w:left w:val="none" w:sz="0" w:space="0" w:color="auto"/>
                                            <w:bottom w:val="none" w:sz="0" w:space="0" w:color="auto"/>
                                            <w:right w:val="none" w:sz="0" w:space="0" w:color="auto"/>
                                          </w:divBdr>
                                        </w:div>
                                        <w:div w:id="16540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7264">
                              <w:marLeft w:val="0"/>
                              <w:marRight w:val="0"/>
                              <w:marTop w:val="0"/>
                              <w:marBottom w:val="0"/>
                              <w:divBdr>
                                <w:top w:val="none" w:sz="0" w:space="0" w:color="auto"/>
                                <w:left w:val="none" w:sz="0" w:space="0" w:color="auto"/>
                                <w:bottom w:val="none" w:sz="0" w:space="0" w:color="auto"/>
                                <w:right w:val="none" w:sz="0" w:space="0" w:color="auto"/>
                              </w:divBdr>
                              <w:divsChild>
                                <w:div w:id="896356020">
                                  <w:marLeft w:val="0"/>
                                  <w:marRight w:val="0"/>
                                  <w:marTop w:val="0"/>
                                  <w:marBottom w:val="0"/>
                                  <w:divBdr>
                                    <w:top w:val="none" w:sz="0" w:space="0" w:color="auto"/>
                                    <w:left w:val="none" w:sz="0" w:space="0" w:color="auto"/>
                                    <w:bottom w:val="none" w:sz="0" w:space="0" w:color="auto"/>
                                    <w:right w:val="none" w:sz="0" w:space="0" w:color="auto"/>
                                  </w:divBdr>
                                  <w:divsChild>
                                    <w:div w:id="1834829570">
                                      <w:marLeft w:val="0"/>
                                      <w:marRight w:val="0"/>
                                      <w:marTop w:val="0"/>
                                      <w:marBottom w:val="0"/>
                                      <w:divBdr>
                                        <w:top w:val="none" w:sz="0" w:space="0" w:color="auto"/>
                                        <w:left w:val="none" w:sz="0" w:space="0" w:color="auto"/>
                                        <w:bottom w:val="none" w:sz="0" w:space="0" w:color="auto"/>
                                        <w:right w:val="none" w:sz="0" w:space="0" w:color="auto"/>
                                      </w:divBdr>
                                      <w:divsChild>
                                        <w:div w:id="13657432">
                                          <w:marLeft w:val="0"/>
                                          <w:marRight w:val="0"/>
                                          <w:marTop w:val="0"/>
                                          <w:marBottom w:val="0"/>
                                          <w:divBdr>
                                            <w:top w:val="none" w:sz="0" w:space="0" w:color="auto"/>
                                            <w:left w:val="none" w:sz="0" w:space="0" w:color="auto"/>
                                            <w:bottom w:val="none" w:sz="0" w:space="0" w:color="auto"/>
                                            <w:right w:val="none" w:sz="0" w:space="0" w:color="auto"/>
                                          </w:divBdr>
                                        </w:div>
                                        <w:div w:id="19750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9245">
                                  <w:marLeft w:val="0"/>
                                  <w:marRight w:val="0"/>
                                  <w:marTop w:val="0"/>
                                  <w:marBottom w:val="0"/>
                                  <w:divBdr>
                                    <w:top w:val="none" w:sz="0" w:space="0" w:color="auto"/>
                                    <w:left w:val="none" w:sz="0" w:space="0" w:color="auto"/>
                                    <w:bottom w:val="none" w:sz="0" w:space="0" w:color="auto"/>
                                    <w:right w:val="none" w:sz="0" w:space="0" w:color="auto"/>
                                  </w:divBdr>
                                  <w:divsChild>
                                    <w:div w:id="1268081669">
                                      <w:marLeft w:val="0"/>
                                      <w:marRight w:val="0"/>
                                      <w:marTop w:val="0"/>
                                      <w:marBottom w:val="0"/>
                                      <w:divBdr>
                                        <w:top w:val="none" w:sz="0" w:space="0" w:color="auto"/>
                                        <w:left w:val="none" w:sz="0" w:space="0" w:color="auto"/>
                                        <w:bottom w:val="none" w:sz="0" w:space="0" w:color="auto"/>
                                        <w:right w:val="none" w:sz="0" w:space="0" w:color="auto"/>
                                      </w:divBdr>
                                      <w:divsChild>
                                        <w:div w:id="236790623">
                                          <w:marLeft w:val="0"/>
                                          <w:marRight w:val="0"/>
                                          <w:marTop w:val="0"/>
                                          <w:marBottom w:val="0"/>
                                          <w:divBdr>
                                            <w:top w:val="none" w:sz="0" w:space="0" w:color="auto"/>
                                            <w:left w:val="none" w:sz="0" w:space="0" w:color="auto"/>
                                            <w:bottom w:val="none" w:sz="0" w:space="0" w:color="auto"/>
                                            <w:right w:val="none" w:sz="0" w:space="0" w:color="auto"/>
                                          </w:divBdr>
                                        </w:div>
                                        <w:div w:id="19313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119">
                                  <w:marLeft w:val="0"/>
                                  <w:marRight w:val="0"/>
                                  <w:marTop w:val="0"/>
                                  <w:marBottom w:val="0"/>
                                  <w:divBdr>
                                    <w:top w:val="none" w:sz="0" w:space="0" w:color="auto"/>
                                    <w:left w:val="none" w:sz="0" w:space="0" w:color="auto"/>
                                    <w:bottom w:val="none" w:sz="0" w:space="0" w:color="auto"/>
                                    <w:right w:val="none" w:sz="0" w:space="0" w:color="auto"/>
                                  </w:divBdr>
                                  <w:divsChild>
                                    <w:div w:id="1674453685">
                                      <w:marLeft w:val="0"/>
                                      <w:marRight w:val="0"/>
                                      <w:marTop w:val="0"/>
                                      <w:marBottom w:val="0"/>
                                      <w:divBdr>
                                        <w:top w:val="none" w:sz="0" w:space="0" w:color="auto"/>
                                        <w:left w:val="none" w:sz="0" w:space="0" w:color="auto"/>
                                        <w:bottom w:val="none" w:sz="0" w:space="0" w:color="auto"/>
                                        <w:right w:val="none" w:sz="0" w:space="0" w:color="auto"/>
                                      </w:divBdr>
                                      <w:divsChild>
                                        <w:div w:id="226038514">
                                          <w:marLeft w:val="0"/>
                                          <w:marRight w:val="0"/>
                                          <w:marTop w:val="0"/>
                                          <w:marBottom w:val="0"/>
                                          <w:divBdr>
                                            <w:top w:val="none" w:sz="0" w:space="0" w:color="auto"/>
                                            <w:left w:val="none" w:sz="0" w:space="0" w:color="auto"/>
                                            <w:bottom w:val="none" w:sz="0" w:space="0" w:color="auto"/>
                                            <w:right w:val="none" w:sz="0" w:space="0" w:color="auto"/>
                                          </w:divBdr>
                                        </w:div>
                                        <w:div w:id="12506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4073">
                                  <w:marLeft w:val="0"/>
                                  <w:marRight w:val="0"/>
                                  <w:marTop w:val="0"/>
                                  <w:marBottom w:val="0"/>
                                  <w:divBdr>
                                    <w:top w:val="none" w:sz="0" w:space="0" w:color="auto"/>
                                    <w:left w:val="none" w:sz="0" w:space="0" w:color="auto"/>
                                    <w:bottom w:val="none" w:sz="0" w:space="0" w:color="auto"/>
                                    <w:right w:val="none" w:sz="0" w:space="0" w:color="auto"/>
                                  </w:divBdr>
                                  <w:divsChild>
                                    <w:div w:id="206308385">
                                      <w:marLeft w:val="0"/>
                                      <w:marRight w:val="0"/>
                                      <w:marTop w:val="0"/>
                                      <w:marBottom w:val="0"/>
                                      <w:divBdr>
                                        <w:top w:val="none" w:sz="0" w:space="0" w:color="auto"/>
                                        <w:left w:val="none" w:sz="0" w:space="0" w:color="auto"/>
                                        <w:bottom w:val="none" w:sz="0" w:space="0" w:color="auto"/>
                                        <w:right w:val="none" w:sz="0" w:space="0" w:color="auto"/>
                                      </w:divBdr>
                                      <w:divsChild>
                                        <w:div w:id="1819300742">
                                          <w:marLeft w:val="0"/>
                                          <w:marRight w:val="0"/>
                                          <w:marTop w:val="0"/>
                                          <w:marBottom w:val="0"/>
                                          <w:divBdr>
                                            <w:top w:val="none" w:sz="0" w:space="0" w:color="auto"/>
                                            <w:left w:val="none" w:sz="0" w:space="0" w:color="auto"/>
                                            <w:bottom w:val="none" w:sz="0" w:space="0" w:color="auto"/>
                                            <w:right w:val="none" w:sz="0" w:space="0" w:color="auto"/>
                                          </w:divBdr>
                                        </w:div>
                                        <w:div w:id="17548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41566">
                              <w:marLeft w:val="0"/>
                              <w:marRight w:val="0"/>
                              <w:marTop w:val="0"/>
                              <w:marBottom w:val="0"/>
                              <w:divBdr>
                                <w:top w:val="none" w:sz="0" w:space="0" w:color="auto"/>
                                <w:left w:val="none" w:sz="0" w:space="0" w:color="auto"/>
                                <w:bottom w:val="none" w:sz="0" w:space="0" w:color="auto"/>
                                <w:right w:val="none" w:sz="0" w:space="0" w:color="auto"/>
                              </w:divBdr>
                              <w:divsChild>
                                <w:div w:id="262567426">
                                  <w:marLeft w:val="0"/>
                                  <w:marRight w:val="0"/>
                                  <w:marTop w:val="0"/>
                                  <w:marBottom w:val="0"/>
                                  <w:divBdr>
                                    <w:top w:val="none" w:sz="0" w:space="0" w:color="auto"/>
                                    <w:left w:val="none" w:sz="0" w:space="0" w:color="auto"/>
                                    <w:bottom w:val="none" w:sz="0" w:space="0" w:color="auto"/>
                                    <w:right w:val="none" w:sz="0" w:space="0" w:color="auto"/>
                                  </w:divBdr>
                                  <w:divsChild>
                                    <w:div w:id="431097183">
                                      <w:marLeft w:val="0"/>
                                      <w:marRight w:val="0"/>
                                      <w:marTop w:val="0"/>
                                      <w:marBottom w:val="0"/>
                                      <w:divBdr>
                                        <w:top w:val="none" w:sz="0" w:space="0" w:color="auto"/>
                                        <w:left w:val="none" w:sz="0" w:space="0" w:color="auto"/>
                                        <w:bottom w:val="none" w:sz="0" w:space="0" w:color="auto"/>
                                        <w:right w:val="none" w:sz="0" w:space="0" w:color="auto"/>
                                      </w:divBdr>
                                      <w:divsChild>
                                        <w:div w:id="418453015">
                                          <w:marLeft w:val="0"/>
                                          <w:marRight w:val="0"/>
                                          <w:marTop w:val="0"/>
                                          <w:marBottom w:val="0"/>
                                          <w:divBdr>
                                            <w:top w:val="none" w:sz="0" w:space="0" w:color="auto"/>
                                            <w:left w:val="none" w:sz="0" w:space="0" w:color="auto"/>
                                            <w:bottom w:val="none" w:sz="0" w:space="0" w:color="auto"/>
                                            <w:right w:val="none" w:sz="0" w:space="0" w:color="auto"/>
                                          </w:divBdr>
                                        </w:div>
                                        <w:div w:id="19077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854">
                                  <w:marLeft w:val="0"/>
                                  <w:marRight w:val="0"/>
                                  <w:marTop w:val="0"/>
                                  <w:marBottom w:val="0"/>
                                  <w:divBdr>
                                    <w:top w:val="none" w:sz="0" w:space="0" w:color="auto"/>
                                    <w:left w:val="none" w:sz="0" w:space="0" w:color="auto"/>
                                    <w:bottom w:val="none" w:sz="0" w:space="0" w:color="auto"/>
                                    <w:right w:val="none" w:sz="0" w:space="0" w:color="auto"/>
                                  </w:divBdr>
                                  <w:divsChild>
                                    <w:div w:id="1664697427">
                                      <w:marLeft w:val="0"/>
                                      <w:marRight w:val="0"/>
                                      <w:marTop w:val="0"/>
                                      <w:marBottom w:val="0"/>
                                      <w:divBdr>
                                        <w:top w:val="none" w:sz="0" w:space="0" w:color="auto"/>
                                        <w:left w:val="none" w:sz="0" w:space="0" w:color="auto"/>
                                        <w:bottom w:val="none" w:sz="0" w:space="0" w:color="auto"/>
                                        <w:right w:val="none" w:sz="0" w:space="0" w:color="auto"/>
                                      </w:divBdr>
                                      <w:divsChild>
                                        <w:div w:id="915557018">
                                          <w:marLeft w:val="0"/>
                                          <w:marRight w:val="0"/>
                                          <w:marTop w:val="0"/>
                                          <w:marBottom w:val="0"/>
                                          <w:divBdr>
                                            <w:top w:val="none" w:sz="0" w:space="0" w:color="auto"/>
                                            <w:left w:val="none" w:sz="0" w:space="0" w:color="auto"/>
                                            <w:bottom w:val="none" w:sz="0" w:space="0" w:color="auto"/>
                                            <w:right w:val="none" w:sz="0" w:space="0" w:color="auto"/>
                                          </w:divBdr>
                                        </w:div>
                                        <w:div w:id="4475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7869">
                              <w:marLeft w:val="0"/>
                              <w:marRight w:val="0"/>
                              <w:marTop w:val="0"/>
                              <w:marBottom w:val="0"/>
                              <w:divBdr>
                                <w:top w:val="none" w:sz="0" w:space="0" w:color="auto"/>
                                <w:left w:val="none" w:sz="0" w:space="0" w:color="auto"/>
                                <w:bottom w:val="none" w:sz="0" w:space="0" w:color="auto"/>
                                <w:right w:val="none" w:sz="0" w:space="0" w:color="auto"/>
                              </w:divBdr>
                            </w:div>
                          </w:divsChild>
                        </w:div>
                        <w:div w:id="623006845">
                          <w:marLeft w:val="0"/>
                          <w:marRight w:val="0"/>
                          <w:marTop w:val="0"/>
                          <w:marBottom w:val="0"/>
                          <w:divBdr>
                            <w:top w:val="none" w:sz="0" w:space="0" w:color="auto"/>
                            <w:left w:val="none" w:sz="0" w:space="0" w:color="auto"/>
                            <w:bottom w:val="none" w:sz="0" w:space="0" w:color="auto"/>
                            <w:right w:val="none" w:sz="0" w:space="0" w:color="auto"/>
                          </w:divBdr>
                          <w:divsChild>
                            <w:div w:id="1389765202">
                              <w:marLeft w:val="0"/>
                              <w:marRight w:val="0"/>
                              <w:marTop w:val="0"/>
                              <w:marBottom w:val="0"/>
                              <w:divBdr>
                                <w:top w:val="none" w:sz="0" w:space="0" w:color="auto"/>
                                <w:left w:val="none" w:sz="0" w:space="0" w:color="auto"/>
                                <w:bottom w:val="none" w:sz="0" w:space="0" w:color="auto"/>
                                <w:right w:val="none" w:sz="0" w:space="0" w:color="auto"/>
                              </w:divBdr>
                              <w:divsChild>
                                <w:div w:id="8982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134286">
      <w:bodyDiv w:val="1"/>
      <w:marLeft w:val="0"/>
      <w:marRight w:val="0"/>
      <w:marTop w:val="0"/>
      <w:marBottom w:val="0"/>
      <w:divBdr>
        <w:top w:val="none" w:sz="0" w:space="0" w:color="auto"/>
        <w:left w:val="none" w:sz="0" w:space="0" w:color="auto"/>
        <w:bottom w:val="none" w:sz="0" w:space="0" w:color="auto"/>
        <w:right w:val="none" w:sz="0" w:space="0" w:color="auto"/>
      </w:divBdr>
      <w:divsChild>
        <w:div w:id="696152350">
          <w:marLeft w:val="0"/>
          <w:marRight w:val="0"/>
          <w:marTop w:val="0"/>
          <w:marBottom w:val="0"/>
          <w:divBdr>
            <w:top w:val="none" w:sz="0" w:space="0" w:color="auto"/>
            <w:left w:val="none" w:sz="0" w:space="0" w:color="auto"/>
            <w:bottom w:val="none" w:sz="0" w:space="0" w:color="auto"/>
            <w:right w:val="none" w:sz="0" w:space="0" w:color="auto"/>
          </w:divBdr>
          <w:divsChild>
            <w:div w:id="286937208">
              <w:marLeft w:val="0"/>
              <w:marRight w:val="0"/>
              <w:marTop w:val="0"/>
              <w:marBottom w:val="0"/>
              <w:divBdr>
                <w:top w:val="none" w:sz="0" w:space="0" w:color="auto"/>
                <w:left w:val="none" w:sz="0" w:space="0" w:color="auto"/>
                <w:bottom w:val="none" w:sz="0" w:space="0" w:color="auto"/>
                <w:right w:val="none" w:sz="0" w:space="0" w:color="auto"/>
              </w:divBdr>
              <w:divsChild>
                <w:div w:id="984550384">
                  <w:marLeft w:val="0"/>
                  <w:marRight w:val="0"/>
                  <w:marTop w:val="0"/>
                  <w:marBottom w:val="0"/>
                  <w:divBdr>
                    <w:top w:val="none" w:sz="0" w:space="0" w:color="auto"/>
                    <w:left w:val="none" w:sz="0" w:space="0" w:color="auto"/>
                    <w:bottom w:val="none" w:sz="0" w:space="0" w:color="auto"/>
                    <w:right w:val="none" w:sz="0" w:space="0" w:color="auto"/>
                  </w:divBdr>
                  <w:divsChild>
                    <w:div w:id="891623831">
                      <w:marLeft w:val="0"/>
                      <w:marRight w:val="0"/>
                      <w:marTop w:val="0"/>
                      <w:marBottom w:val="0"/>
                      <w:divBdr>
                        <w:top w:val="none" w:sz="0" w:space="0" w:color="auto"/>
                        <w:left w:val="none" w:sz="0" w:space="0" w:color="auto"/>
                        <w:bottom w:val="none" w:sz="0" w:space="0" w:color="auto"/>
                        <w:right w:val="none" w:sz="0" w:space="0" w:color="auto"/>
                      </w:divBdr>
                      <w:divsChild>
                        <w:div w:id="1259825601">
                          <w:marLeft w:val="0"/>
                          <w:marRight w:val="0"/>
                          <w:marTop w:val="0"/>
                          <w:marBottom w:val="0"/>
                          <w:divBdr>
                            <w:top w:val="none" w:sz="0" w:space="0" w:color="auto"/>
                            <w:left w:val="none" w:sz="0" w:space="0" w:color="auto"/>
                            <w:bottom w:val="none" w:sz="0" w:space="0" w:color="auto"/>
                            <w:right w:val="none" w:sz="0" w:space="0" w:color="auto"/>
                          </w:divBdr>
                          <w:divsChild>
                            <w:div w:id="12863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56309">
      <w:bodyDiv w:val="1"/>
      <w:marLeft w:val="0"/>
      <w:marRight w:val="0"/>
      <w:marTop w:val="0"/>
      <w:marBottom w:val="0"/>
      <w:divBdr>
        <w:top w:val="none" w:sz="0" w:space="0" w:color="auto"/>
        <w:left w:val="none" w:sz="0" w:space="0" w:color="auto"/>
        <w:bottom w:val="none" w:sz="0" w:space="0" w:color="auto"/>
        <w:right w:val="none" w:sz="0" w:space="0" w:color="auto"/>
      </w:divBdr>
    </w:div>
    <w:div w:id="1005740690">
      <w:bodyDiv w:val="1"/>
      <w:marLeft w:val="0"/>
      <w:marRight w:val="0"/>
      <w:marTop w:val="0"/>
      <w:marBottom w:val="0"/>
      <w:divBdr>
        <w:top w:val="none" w:sz="0" w:space="0" w:color="auto"/>
        <w:left w:val="none" w:sz="0" w:space="0" w:color="auto"/>
        <w:bottom w:val="none" w:sz="0" w:space="0" w:color="auto"/>
        <w:right w:val="none" w:sz="0" w:space="0" w:color="auto"/>
      </w:divBdr>
    </w:div>
    <w:div w:id="1367801990">
      <w:bodyDiv w:val="1"/>
      <w:marLeft w:val="0"/>
      <w:marRight w:val="0"/>
      <w:marTop w:val="0"/>
      <w:marBottom w:val="0"/>
      <w:divBdr>
        <w:top w:val="none" w:sz="0" w:space="0" w:color="auto"/>
        <w:left w:val="none" w:sz="0" w:space="0" w:color="auto"/>
        <w:bottom w:val="none" w:sz="0" w:space="0" w:color="auto"/>
        <w:right w:val="none" w:sz="0" w:space="0" w:color="auto"/>
      </w:divBdr>
    </w:div>
    <w:div w:id="1385063742">
      <w:bodyDiv w:val="1"/>
      <w:marLeft w:val="0"/>
      <w:marRight w:val="0"/>
      <w:marTop w:val="0"/>
      <w:marBottom w:val="0"/>
      <w:divBdr>
        <w:top w:val="none" w:sz="0" w:space="0" w:color="auto"/>
        <w:left w:val="none" w:sz="0" w:space="0" w:color="auto"/>
        <w:bottom w:val="none" w:sz="0" w:space="0" w:color="auto"/>
        <w:right w:val="none" w:sz="0" w:space="0" w:color="auto"/>
      </w:divBdr>
    </w:div>
    <w:div w:id="1874927111">
      <w:bodyDiv w:val="1"/>
      <w:marLeft w:val="0"/>
      <w:marRight w:val="0"/>
      <w:marTop w:val="0"/>
      <w:marBottom w:val="0"/>
      <w:divBdr>
        <w:top w:val="none" w:sz="0" w:space="0" w:color="auto"/>
        <w:left w:val="none" w:sz="0" w:space="0" w:color="auto"/>
        <w:bottom w:val="none" w:sz="0" w:space="0" w:color="auto"/>
        <w:right w:val="none" w:sz="0" w:space="0" w:color="auto"/>
      </w:divBdr>
      <w:divsChild>
        <w:div w:id="312026504">
          <w:marLeft w:val="0"/>
          <w:marRight w:val="0"/>
          <w:marTop w:val="0"/>
          <w:marBottom w:val="0"/>
          <w:divBdr>
            <w:top w:val="none" w:sz="0" w:space="0" w:color="auto"/>
            <w:left w:val="none" w:sz="0" w:space="0" w:color="auto"/>
            <w:bottom w:val="none" w:sz="0" w:space="0" w:color="auto"/>
            <w:right w:val="none" w:sz="0" w:space="0" w:color="auto"/>
          </w:divBdr>
          <w:divsChild>
            <w:div w:id="911543064">
              <w:marLeft w:val="0"/>
              <w:marRight w:val="0"/>
              <w:marTop w:val="0"/>
              <w:marBottom w:val="0"/>
              <w:divBdr>
                <w:top w:val="none" w:sz="0" w:space="0" w:color="auto"/>
                <w:left w:val="none" w:sz="0" w:space="0" w:color="auto"/>
                <w:bottom w:val="none" w:sz="0" w:space="0" w:color="auto"/>
                <w:right w:val="none" w:sz="0" w:space="0" w:color="auto"/>
              </w:divBdr>
              <w:divsChild>
                <w:div w:id="388578386">
                  <w:marLeft w:val="0"/>
                  <w:marRight w:val="0"/>
                  <w:marTop w:val="0"/>
                  <w:marBottom w:val="0"/>
                  <w:divBdr>
                    <w:top w:val="none" w:sz="0" w:space="0" w:color="auto"/>
                    <w:left w:val="none" w:sz="0" w:space="0" w:color="auto"/>
                    <w:bottom w:val="none" w:sz="0" w:space="0" w:color="auto"/>
                    <w:right w:val="none" w:sz="0" w:space="0" w:color="auto"/>
                  </w:divBdr>
                  <w:divsChild>
                    <w:div w:id="1649476075">
                      <w:marLeft w:val="0"/>
                      <w:marRight w:val="0"/>
                      <w:marTop w:val="0"/>
                      <w:marBottom w:val="0"/>
                      <w:divBdr>
                        <w:top w:val="none" w:sz="0" w:space="0" w:color="auto"/>
                        <w:left w:val="none" w:sz="0" w:space="0" w:color="auto"/>
                        <w:bottom w:val="none" w:sz="0" w:space="0" w:color="auto"/>
                        <w:right w:val="none" w:sz="0" w:space="0" w:color="auto"/>
                      </w:divBdr>
                      <w:divsChild>
                        <w:div w:id="668480495">
                          <w:marLeft w:val="0"/>
                          <w:marRight w:val="0"/>
                          <w:marTop w:val="0"/>
                          <w:marBottom w:val="0"/>
                          <w:divBdr>
                            <w:top w:val="none" w:sz="0" w:space="0" w:color="auto"/>
                            <w:left w:val="none" w:sz="0" w:space="0" w:color="auto"/>
                            <w:bottom w:val="none" w:sz="0" w:space="0" w:color="auto"/>
                            <w:right w:val="none" w:sz="0" w:space="0" w:color="auto"/>
                          </w:divBdr>
                          <w:divsChild>
                            <w:div w:id="239367831">
                              <w:marLeft w:val="0"/>
                              <w:marRight w:val="0"/>
                              <w:marTop w:val="0"/>
                              <w:marBottom w:val="0"/>
                              <w:divBdr>
                                <w:top w:val="none" w:sz="0" w:space="0" w:color="auto"/>
                                <w:left w:val="none" w:sz="0" w:space="0" w:color="auto"/>
                                <w:bottom w:val="none" w:sz="0" w:space="0" w:color="auto"/>
                                <w:right w:val="none" w:sz="0" w:space="0" w:color="auto"/>
                              </w:divBdr>
                              <w:divsChild>
                                <w:div w:id="766776518">
                                  <w:marLeft w:val="0"/>
                                  <w:marRight w:val="0"/>
                                  <w:marTop w:val="0"/>
                                  <w:marBottom w:val="0"/>
                                  <w:divBdr>
                                    <w:top w:val="none" w:sz="0" w:space="0" w:color="auto"/>
                                    <w:left w:val="none" w:sz="0" w:space="0" w:color="auto"/>
                                    <w:bottom w:val="none" w:sz="0" w:space="0" w:color="auto"/>
                                    <w:right w:val="none" w:sz="0" w:space="0" w:color="auto"/>
                                  </w:divBdr>
                                  <w:divsChild>
                                    <w:div w:id="1190485070">
                                      <w:marLeft w:val="0"/>
                                      <w:marRight w:val="0"/>
                                      <w:marTop w:val="0"/>
                                      <w:marBottom w:val="0"/>
                                      <w:divBdr>
                                        <w:top w:val="none" w:sz="0" w:space="0" w:color="auto"/>
                                        <w:left w:val="none" w:sz="0" w:space="0" w:color="auto"/>
                                        <w:bottom w:val="none" w:sz="0" w:space="0" w:color="auto"/>
                                        <w:right w:val="none" w:sz="0" w:space="0" w:color="auto"/>
                                      </w:divBdr>
                                      <w:divsChild>
                                        <w:div w:id="7854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565161">
      <w:bodyDiv w:val="1"/>
      <w:marLeft w:val="0"/>
      <w:marRight w:val="0"/>
      <w:marTop w:val="0"/>
      <w:marBottom w:val="0"/>
      <w:divBdr>
        <w:top w:val="none" w:sz="0" w:space="0" w:color="auto"/>
        <w:left w:val="none" w:sz="0" w:space="0" w:color="auto"/>
        <w:bottom w:val="none" w:sz="0" w:space="0" w:color="auto"/>
        <w:right w:val="none" w:sz="0" w:space="0" w:color="auto"/>
      </w:divBdr>
      <w:divsChild>
        <w:div w:id="349841153">
          <w:marLeft w:val="0"/>
          <w:marRight w:val="0"/>
          <w:marTop w:val="0"/>
          <w:marBottom w:val="0"/>
          <w:divBdr>
            <w:top w:val="none" w:sz="0" w:space="0" w:color="auto"/>
            <w:left w:val="none" w:sz="0" w:space="0" w:color="auto"/>
            <w:bottom w:val="none" w:sz="0" w:space="0" w:color="auto"/>
            <w:right w:val="none" w:sz="0" w:space="0" w:color="auto"/>
          </w:divBdr>
          <w:divsChild>
            <w:div w:id="1438134693">
              <w:marLeft w:val="0"/>
              <w:marRight w:val="0"/>
              <w:marTop w:val="0"/>
              <w:marBottom w:val="0"/>
              <w:divBdr>
                <w:top w:val="none" w:sz="0" w:space="0" w:color="auto"/>
                <w:left w:val="none" w:sz="0" w:space="0" w:color="auto"/>
                <w:bottom w:val="none" w:sz="0" w:space="0" w:color="auto"/>
                <w:right w:val="none" w:sz="0" w:space="0" w:color="auto"/>
              </w:divBdr>
              <w:divsChild>
                <w:div w:id="4288892">
                  <w:marLeft w:val="0"/>
                  <w:marRight w:val="0"/>
                  <w:marTop w:val="0"/>
                  <w:marBottom w:val="0"/>
                  <w:divBdr>
                    <w:top w:val="none" w:sz="0" w:space="0" w:color="auto"/>
                    <w:left w:val="none" w:sz="0" w:space="0" w:color="auto"/>
                    <w:bottom w:val="none" w:sz="0" w:space="0" w:color="auto"/>
                    <w:right w:val="none" w:sz="0" w:space="0" w:color="auto"/>
                  </w:divBdr>
                  <w:divsChild>
                    <w:div w:id="661005915">
                      <w:marLeft w:val="0"/>
                      <w:marRight w:val="0"/>
                      <w:marTop w:val="0"/>
                      <w:marBottom w:val="0"/>
                      <w:divBdr>
                        <w:top w:val="none" w:sz="0" w:space="0" w:color="auto"/>
                        <w:left w:val="none" w:sz="0" w:space="0" w:color="auto"/>
                        <w:bottom w:val="none" w:sz="0" w:space="0" w:color="auto"/>
                        <w:right w:val="none" w:sz="0" w:space="0" w:color="auto"/>
                      </w:divBdr>
                      <w:divsChild>
                        <w:div w:id="377895334">
                          <w:marLeft w:val="0"/>
                          <w:marRight w:val="0"/>
                          <w:marTop w:val="360"/>
                          <w:marBottom w:val="0"/>
                          <w:divBdr>
                            <w:top w:val="none" w:sz="0" w:space="0" w:color="auto"/>
                            <w:left w:val="none" w:sz="0" w:space="0" w:color="auto"/>
                            <w:bottom w:val="none" w:sz="0" w:space="0" w:color="auto"/>
                            <w:right w:val="none" w:sz="0" w:space="0" w:color="auto"/>
                          </w:divBdr>
                        </w:div>
                        <w:div w:id="2107918289">
                          <w:marLeft w:val="0"/>
                          <w:marRight w:val="0"/>
                          <w:marTop w:val="0"/>
                          <w:marBottom w:val="0"/>
                          <w:divBdr>
                            <w:top w:val="none" w:sz="0" w:space="0" w:color="auto"/>
                            <w:left w:val="none" w:sz="0" w:space="0" w:color="auto"/>
                            <w:bottom w:val="none" w:sz="0" w:space="0" w:color="auto"/>
                            <w:right w:val="none" w:sz="0" w:space="0" w:color="auto"/>
                          </w:divBdr>
                          <w:divsChild>
                            <w:div w:id="1450202528">
                              <w:marLeft w:val="0"/>
                              <w:marRight w:val="0"/>
                              <w:marTop w:val="240"/>
                              <w:marBottom w:val="240"/>
                              <w:divBdr>
                                <w:top w:val="none" w:sz="0" w:space="0" w:color="auto"/>
                                <w:left w:val="none" w:sz="0" w:space="0" w:color="auto"/>
                                <w:bottom w:val="none" w:sz="0" w:space="0" w:color="auto"/>
                                <w:right w:val="none" w:sz="0" w:space="0" w:color="auto"/>
                              </w:divBdr>
                              <w:divsChild>
                                <w:div w:id="1544751477">
                                  <w:marLeft w:val="0"/>
                                  <w:marRight w:val="0"/>
                                  <w:marTop w:val="0"/>
                                  <w:marBottom w:val="0"/>
                                  <w:divBdr>
                                    <w:top w:val="none" w:sz="0" w:space="0" w:color="auto"/>
                                    <w:left w:val="none" w:sz="0" w:space="0" w:color="auto"/>
                                    <w:bottom w:val="none" w:sz="0" w:space="0" w:color="auto"/>
                                    <w:right w:val="none" w:sz="0" w:space="0" w:color="auto"/>
                                  </w:divBdr>
                                  <w:divsChild>
                                    <w:div w:id="5976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98001">
      <w:bodyDiv w:val="1"/>
      <w:marLeft w:val="0"/>
      <w:marRight w:val="0"/>
      <w:marTop w:val="0"/>
      <w:marBottom w:val="0"/>
      <w:divBdr>
        <w:top w:val="none" w:sz="0" w:space="0" w:color="auto"/>
        <w:left w:val="none" w:sz="0" w:space="0" w:color="auto"/>
        <w:bottom w:val="none" w:sz="0" w:space="0" w:color="auto"/>
        <w:right w:val="none" w:sz="0" w:space="0" w:color="auto"/>
      </w:divBdr>
    </w:div>
    <w:div w:id="21100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us-salam.com/inside/H01-Bukhari_Vol-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nnah.co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ip-watch.org/2013/05/15/ipr-lists-for-ttip-still-growing-risk-of-locking-in-old-ipr-regimes/" TargetMode="External"/><Relationship Id="rId18" Type="http://schemas.openxmlformats.org/officeDocument/2006/relationships/hyperlink" Target="http://www.neurope.eu/article/de-gucht-ttip-strengthening-our-values" TargetMode="External"/><Relationship Id="rId26" Type="http://schemas.openxmlformats.org/officeDocument/2006/relationships/hyperlink" Target="http://trade.ec.europa.eu/doclib/docs/2013/september/tradoc_151787.pdf" TargetMode="External"/><Relationship Id="rId39" Type="http://schemas.openxmlformats.org/officeDocument/2006/relationships/hyperlink" Target="http://www.theguardian.com/commentisfree/2014/jul/17/nhs-taken-over-wall-street-cameron-health-service-privatisation" TargetMode="External"/><Relationship Id="rId21" Type="http://schemas.openxmlformats.org/officeDocument/2006/relationships/hyperlink" Target="http://www.paneuropeannetworks.com/government/malmstrom-and-meps-debate-ttip-talks/" TargetMode="External"/><Relationship Id="rId34" Type="http://schemas.openxmlformats.org/officeDocument/2006/relationships/hyperlink" Target="http://unctad.org/en/PublicationsLibrary/diaeia2013d2_en.pdf" TargetMode="External"/><Relationship Id="rId42" Type="http://schemas.openxmlformats.org/officeDocument/2006/relationships/hyperlink" Target="http://unctad.org/en/PublicationsLibrary/webdiaepcb2014d3_en.pdf" TargetMode="External"/><Relationship Id="rId47" Type="http://schemas.openxmlformats.org/officeDocument/2006/relationships/hyperlink" Target="http://www.undp.org.sa/sa/index.php?option=com_content&amp;view=article&amp;id=3&amp;Itemid=5" TargetMode="External"/><Relationship Id="rId50" Type="http://schemas.openxmlformats.org/officeDocument/2006/relationships/hyperlink" Target="http://www.nyulawglobal.org/globalex/saudi_arabia.htm" TargetMode="External"/><Relationship Id="rId55" Type="http://schemas.openxmlformats.org/officeDocument/2006/relationships/hyperlink" Target="https://icsid.worldbank.org/apps/ICSIDWEB/resources/Documents/Background%20Report%20on%20Annulment_English.pdf" TargetMode="External"/><Relationship Id="rId7" Type="http://schemas.openxmlformats.org/officeDocument/2006/relationships/hyperlink" Target="http://www.euractiv.com/sections/trade-industry/ttip-negotiating-mandate-finally-declassified-309073" TargetMode="External"/><Relationship Id="rId12" Type="http://schemas.openxmlformats.org/officeDocument/2006/relationships/hyperlink" Target="http://www.youtube.com/watch?v=1mpu_wdEtMc" TargetMode="External"/><Relationship Id="rId17" Type="http://schemas.openxmlformats.org/officeDocument/2006/relationships/hyperlink" Target="http://corporateeurope.org/sites/default/files/attachments/brave_new_transatlantic_partnership.pdf" TargetMode="External"/><Relationship Id="rId25" Type="http://schemas.openxmlformats.org/officeDocument/2006/relationships/hyperlink" Target="http://www.bfna.org/sites/default/files/TTIP-GED%20study%2017June%202013.pdf" TargetMode="External"/><Relationship Id="rId33" Type="http://schemas.openxmlformats.org/officeDocument/2006/relationships/hyperlink" Target="http://www.twnside.org.sg/title2/twe/2013/pdf/twe552.pdf" TargetMode="External"/><Relationship Id="rId38" Type="http://schemas.openxmlformats.org/officeDocument/2006/relationships/hyperlink" Target="http://www.independent.co.uk/life-style/health-and-families/health-news/david-cameron-urged-to-exempt-the-nhs-from-ttip-deal-after-unions-claim-it-is-at-risk-from-being-sold-to-american-corporations-9613124.html" TargetMode="External"/><Relationship Id="rId46" Type="http://schemas.openxmlformats.org/officeDocument/2006/relationships/hyperlink" Target="http://www.undp.org.sa/sa/index.php?option=com_content&amp;view=article&amp;id=3&amp;Itemid=5" TargetMode="External"/><Relationship Id="rId2" Type="http://schemas.openxmlformats.org/officeDocument/2006/relationships/hyperlink" Target="http://www.bilaterals.org/?proposed-us-eu-trade-deal-may" TargetMode="External"/><Relationship Id="rId16" Type="http://schemas.openxmlformats.org/officeDocument/2006/relationships/hyperlink" Target="http://csis.org/publication/keeping-i-ttip-investor-experience-eu" TargetMode="External"/><Relationship Id="rId20" Type="http://schemas.openxmlformats.org/officeDocument/2006/relationships/hyperlink" Target="http://www.neurope.eu/article/trade-commissioner-defends-ttip" TargetMode="External"/><Relationship Id="rId29" Type="http://schemas.openxmlformats.org/officeDocument/2006/relationships/hyperlink" Target="http://newseurope.me/2014/12/04/million-sign-petition-eu-us-trade-talks/" TargetMode="External"/><Relationship Id="rId41" Type="http://schemas.openxmlformats.org/officeDocument/2006/relationships/hyperlink" Target="http://unctad.org/en/PublicationsLibrary/webdiaepcb2013d3_en.pdf" TargetMode="External"/><Relationship Id="rId54" Type="http://schemas.openxmlformats.org/officeDocument/2006/relationships/hyperlink" Target="http://www.bilaterals.org/?proposed-us-eu-trade-deal-may" TargetMode="External"/><Relationship Id="rId1" Type="http://schemas.openxmlformats.org/officeDocument/2006/relationships/hyperlink" Target="http://trade.ec.europa.eu/doclib/docs/2013/march/tradoc_150737.pdf" TargetMode="External"/><Relationship Id="rId6" Type="http://schemas.openxmlformats.org/officeDocument/2006/relationships/hyperlink" Target="http://www.cfr.org/us-strategy-and-politics/global-finance-regime/p20177" TargetMode="External"/><Relationship Id="rId11" Type="http://schemas.openxmlformats.org/officeDocument/2006/relationships/hyperlink" Target="http://www.salzburg24.at/2014/10/TTIP.pdf" TargetMode="External"/><Relationship Id="rId24" Type="http://schemas.openxmlformats.org/officeDocument/2006/relationships/hyperlink" Target="http://trade.ec.europa.eu/doclib/docs/2013/march/tradoc_150737.pdf" TargetMode="External"/><Relationship Id="rId32" Type="http://schemas.openxmlformats.org/officeDocument/2006/relationships/hyperlink" Target="http://www.saudiembassy.net/about/country-information/laws/The_Basic_Law_Of_Governance.aspx" TargetMode="External"/><Relationship Id="rId37" Type="http://schemas.openxmlformats.org/officeDocument/2006/relationships/hyperlink" Target="http://www.foeeurope.org/sites/default/files/publications/hidden_cost_of_eu_trade_deals.pdf" TargetMode="External"/><Relationship Id="rId40" Type="http://schemas.openxmlformats.org/officeDocument/2006/relationships/hyperlink" Target="https://www.gov.uk/government/news/response-to-the-peoples-nhs-campaign-about-ttip" TargetMode="External"/><Relationship Id="rId45" Type="http://schemas.openxmlformats.org/officeDocument/2006/relationships/hyperlink" Target="http://www.oecd.org/mena/investment/Preliminary%20assessment%20GCC%20invt%20policies.pdf" TargetMode="External"/><Relationship Id="rId53" Type="http://schemas.openxmlformats.org/officeDocument/2006/relationships/hyperlink" Target="http://www.bilaterals.org/?proposed-us-eu-trade-deal-may" TargetMode="External"/><Relationship Id="rId5" Type="http://schemas.openxmlformats.org/officeDocument/2006/relationships/hyperlink" Target="http://ssrn.com/abstract=1405430" TargetMode="External"/><Relationship Id="rId15" Type="http://schemas.openxmlformats.org/officeDocument/2006/relationships/hyperlink" Target="http://www.bdi.eu/BDI_english/download_content/BDI_The_I_in__TTIP_140930.pdf" TargetMode="External"/><Relationship Id="rId23" Type="http://schemas.openxmlformats.org/officeDocument/2006/relationships/hyperlink" Target="http://www.vieuws.eu/foreign-affairs/5-toughest-questions-faced-by-cecilia-malmstrom-trade-hearings-of-juncker-commission/" TargetMode="External"/><Relationship Id="rId28" Type="http://schemas.openxmlformats.org/officeDocument/2006/relationships/hyperlink" Target="http://www.europeanvoice.com/article/eu-rejects-citizens-petition-against-us-trade-deal/" TargetMode="External"/><Relationship Id="rId36" Type="http://schemas.openxmlformats.org/officeDocument/2006/relationships/hyperlink" Target="http://www.ttip2014.eu/blog-detail/blog/id-30-reasons-why-greens-oppose-ttip.html" TargetMode="External"/><Relationship Id="rId49" Type="http://schemas.openxmlformats.org/officeDocument/2006/relationships/hyperlink" Target="http://www.saudiembassy.net/about/countryinformation/laws/The_Basic_Law_Of_Governance.aspx%20Accessed%20on%2010.02.2014" TargetMode="External"/><Relationship Id="rId57" Type="http://schemas.openxmlformats.org/officeDocument/2006/relationships/hyperlink" Target="http://gulfnews.com/business/economy/united-states-european-union-alliance-could-benefit-dubai-trade-dubai-chamber-1.1271122" TargetMode="External"/><Relationship Id="rId10" Type="http://schemas.openxmlformats.org/officeDocument/2006/relationships/hyperlink" Target="http://www.europarl.europa.eu/RegData/bibliotheque/briefing/2014/140760/LDM_BRI(2014)140760_REV1_EN.pdf" TargetMode="External"/><Relationship Id="rId19" Type="http://schemas.openxmlformats.org/officeDocument/2006/relationships/hyperlink" Target="http://www.neurope.eu/article/de-gucht-fresh-momentum-transatlantic-economic-partnership" TargetMode="External"/><Relationship Id="rId31" Type="http://schemas.openxmlformats.org/officeDocument/2006/relationships/hyperlink" Target="http://www.scribd.com/doc/239155935/The-Impact-of-Investor-State-Dispute-Settlement-ISDS-in-TTIP" TargetMode="External"/><Relationship Id="rId44" Type="http://schemas.openxmlformats.org/officeDocument/2006/relationships/hyperlink" Target="http://www.ft.com/cms/s/0/7ff2210c-cec0-11e3-ac8d-00144feabdc0.html" TargetMode="External"/><Relationship Id="rId52" Type="http://schemas.openxmlformats.org/officeDocument/2006/relationships/hyperlink" Target="http://www.wipo.int/wipolex/en/details.jsp?id=10673" TargetMode="External"/><Relationship Id="rId4" Type="http://schemas.openxmlformats.org/officeDocument/2006/relationships/hyperlink" Target="http://unctad.org/en/publicationslibrary/wir2013_en.pdf" TargetMode="External"/><Relationship Id="rId9" Type="http://schemas.openxmlformats.org/officeDocument/2006/relationships/hyperlink" Target="http://www.euractiv.com/sections/trade-industry/eu-ombudsman-demands-more-ttip-transparency-303831" TargetMode="External"/><Relationship Id="rId14" Type="http://schemas.openxmlformats.org/officeDocument/2006/relationships/hyperlink" Target="http://www.europarl.europa.eu/news/en/news-room/content/20120703ipr48247/html/European-Parliament-rejects-ACTA" TargetMode="External"/><Relationship Id="rId22" Type="http://schemas.openxmlformats.org/officeDocument/2006/relationships/hyperlink" Target="https://www.youtube.com/watch?v=OfBXhtdBnSg" TargetMode="External"/><Relationship Id="rId27" Type="http://schemas.openxmlformats.org/officeDocument/2006/relationships/hyperlink" Target="http://www.heritage.org/research/reports/2013/12/transatlantic-trade-and-investment-partnership-ttip-pitfalls-and-promises" TargetMode="External"/><Relationship Id="rId30" Type="http://schemas.openxmlformats.org/officeDocument/2006/relationships/hyperlink" Target="http://www.gmfus.org/wp-content/blogs.dir/1/files_mf/1415910407Sparding_TTIPGermanyPivotalRole_Nov14_complete.pdf" TargetMode="External"/><Relationship Id="rId35" Type="http://schemas.openxmlformats.org/officeDocument/2006/relationships/hyperlink" Target="http://www.ibtimes.co.uk/ttip-1m-protestors-sign-petition-against-controversial-eu-us-trade-deal-1477958" TargetMode="External"/><Relationship Id="rId43" Type="http://schemas.openxmlformats.org/officeDocument/2006/relationships/hyperlink" Target="http://investmentpolicyhub.unctad.org/Download/TreatyFile/1103" TargetMode="External"/><Relationship Id="rId48" Type="http://schemas.openxmlformats.org/officeDocument/2006/relationships/hyperlink" Target="http://www.saudiembassy.net/about/country-information/laws/CriminalProcedures2001-2of3.aspx" TargetMode="External"/><Relationship Id="rId56" Type="http://schemas.openxmlformats.org/officeDocument/2006/relationships/hyperlink" Target="http://www.cla.asn.au/News/isds-a-cut-above-the-courts/" TargetMode="External"/><Relationship Id="rId8" Type="http://schemas.openxmlformats.org/officeDocument/2006/relationships/hyperlink" Target="http://www.ibtimes.co.uk/ttip-opponents-attack-negotiations-undemocratic-lacking-transparency-1449406" TargetMode="External"/><Relationship Id="rId51" Type="http://schemas.openxmlformats.org/officeDocument/2006/relationships/hyperlink" Target="https://www.cia.gov/library/publications/the-world-factbook/geos/sa.html" TargetMode="External"/><Relationship Id="rId3" Type="http://schemas.openxmlformats.org/officeDocument/2006/relationships/hyperlink" Target="http://www.foeeurope.org/sites/default/files/foee_factsheet_isds_oct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EE9C-F9A6-4999-AE78-53500B44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5616</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nn15aab</cp:lastModifiedBy>
  <cp:revision>2</cp:revision>
  <dcterms:created xsi:type="dcterms:W3CDTF">2017-07-21T13:40:00Z</dcterms:created>
  <dcterms:modified xsi:type="dcterms:W3CDTF">2017-07-21T13:40:00Z</dcterms:modified>
</cp:coreProperties>
</file>