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031024" w14:textId="551779C4" w:rsidR="00C52582" w:rsidRPr="00DB56CA" w:rsidRDefault="0091385A" w:rsidP="001B35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afterAutospacing="1" w:line="480" w:lineRule="auto"/>
        <w:contextualSpacing/>
        <w:jc w:val="center"/>
        <w:rPr>
          <w:b/>
          <w:bCs/>
          <w:color w:val="000000"/>
          <w:lang w:val="en-GB"/>
        </w:rPr>
      </w:pPr>
      <w:r w:rsidRPr="00DB56CA">
        <w:rPr>
          <w:b/>
          <w:bCs/>
          <w:color w:val="000000"/>
          <w:lang w:val="en-GB"/>
        </w:rPr>
        <w:t>Variation</w:t>
      </w:r>
      <w:r w:rsidR="00C72320" w:rsidRPr="00DB56CA">
        <w:rPr>
          <w:b/>
          <w:bCs/>
          <w:color w:val="000000"/>
          <w:lang w:val="en-GB"/>
        </w:rPr>
        <w:t xml:space="preserve"> i</w:t>
      </w:r>
      <w:r w:rsidR="006D655A" w:rsidRPr="00DB56CA">
        <w:rPr>
          <w:b/>
          <w:bCs/>
          <w:color w:val="000000"/>
          <w:lang w:val="en-GB"/>
        </w:rPr>
        <w:t xml:space="preserve">n the </w:t>
      </w:r>
      <w:r w:rsidR="00EA7F74" w:rsidRPr="00DB56CA">
        <w:rPr>
          <w:b/>
          <w:bCs/>
          <w:color w:val="000000"/>
          <w:lang w:val="en-GB"/>
        </w:rPr>
        <w:t xml:space="preserve">correlation </w:t>
      </w:r>
      <w:r w:rsidR="00D3335D" w:rsidRPr="00DB56CA">
        <w:rPr>
          <w:b/>
          <w:bCs/>
          <w:color w:val="000000"/>
          <w:lang w:val="en-GB"/>
        </w:rPr>
        <w:t>between</w:t>
      </w:r>
      <w:r w:rsidR="00EA7F74" w:rsidRPr="00DB56CA">
        <w:rPr>
          <w:b/>
          <w:bCs/>
          <w:color w:val="000000"/>
          <w:lang w:val="en-GB"/>
        </w:rPr>
        <w:t xml:space="preserve"> </w:t>
      </w:r>
      <w:r w:rsidR="00B75F05" w:rsidRPr="00DB56CA">
        <w:rPr>
          <w:b/>
          <w:bCs/>
          <w:color w:val="000000"/>
          <w:lang w:val="en-GB"/>
        </w:rPr>
        <w:t>h</w:t>
      </w:r>
      <w:r w:rsidR="00AC0C53" w:rsidRPr="00DB56CA">
        <w:rPr>
          <w:b/>
          <w:bCs/>
          <w:color w:val="000000"/>
          <w:lang w:val="en-GB"/>
        </w:rPr>
        <w:t xml:space="preserve">eart </w:t>
      </w:r>
      <w:r w:rsidR="00B75F05" w:rsidRPr="00DB56CA">
        <w:rPr>
          <w:b/>
          <w:bCs/>
          <w:color w:val="000000"/>
          <w:lang w:val="en-GB"/>
        </w:rPr>
        <w:t>r</w:t>
      </w:r>
      <w:r w:rsidR="006D655A" w:rsidRPr="00DB56CA">
        <w:rPr>
          <w:b/>
          <w:bCs/>
          <w:color w:val="000000"/>
          <w:lang w:val="en-GB"/>
        </w:rPr>
        <w:t>ate</w:t>
      </w:r>
      <w:r w:rsidR="00AC0C53" w:rsidRPr="00DB56CA">
        <w:rPr>
          <w:b/>
          <w:bCs/>
          <w:color w:val="000000"/>
          <w:lang w:val="en-GB"/>
        </w:rPr>
        <w:t xml:space="preserve"> and </w:t>
      </w:r>
      <w:r w:rsidR="00AC0C53" w:rsidRPr="00DB56CA">
        <w:rPr>
          <w:b/>
          <w:bCs/>
          <w:color w:val="000000"/>
          <w:highlight w:val="yellow"/>
          <w:lang w:val="en-GB"/>
        </w:rPr>
        <w:t>session</w:t>
      </w:r>
      <w:r w:rsidR="00AC0C53" w:rsidRPr="00DB56CA">
        <w:rPr>
          <w:b/>
          <w:bCs/>
          <w:color w:val="000000"/>
          <w:lang w:val="en-GB"/>
        </w:rPr>
        <w:t xml:space="preserve"> </w:t>
      </w:r>
      <w:r w:rsidR="00B75F05" w:rsidRPr="00DB56CA">
        <w:rPr>
          <w:b/>
          <w:bCs/>
          <w:color w:val="000000"/>
          <w:lang w:val="en-GB"/>
        </w:rPr>
        <w:t>r</w:t>
      </w:r>
      <w:r w:rsidR="00AC0C53" w:rsidRPr="00DB56CA">
        <w:rPr>
          <w:b/>
          <w:bCs/>
          <w:color w:val="000000"/>
          <w:lang w:val="en-GB"/>
        </w:rPr>
        <w:t xml:space="preserve">ating of </w:t>
      </w:r>
      <w:r w:rsidR="00B75F05" w:rsidRPr="00DB56CA">
        <w:rPr>
          <w:b/>
          <w:bCs/>
          <w:color w:val="000000"/>
          <w:lang w:val="en-GB"/>
        </w:rPr>
        <w:t>p</w:t>
      </w:r>
      <w:r w:rsidR="00AC0C53" w:rsidRPr="00DB56CA">
        <w:rPr>
          <w:b/>
          <w:bCs/>
          <w:color w:val="000000"/>
          <w:lang w:val="en-GB"/>
        </w:rPr>
        <w:t>erceived</w:t>
      </w:r>
      <w:r w:rsidR="00634CFD" w:rsidRPr="00DB56CA">
        <w:rPr>
          <w:b/>
          <w:bCs/>
          <w:color w:val="000000"/>
          <w:lang w:val="en-GB"/>
        </w:rPr>
        <w:t xml:space="preserve"> </w:t>
      </w:r>
      <w:r w:rsidR="00B75F05" w:rsidRPr="00DB56CA">
        <w:rPr>
          <w:b/>
          <w:bCs/>
          <w:color w:val="000000"/>
          <w:lang w:val="en-GB"/>
        </w:rPr>
        <w:t>e</w:t>
      </w:r>
      <w:r w:rsidR="006D655A" w:rsidRPr="00DB56CA">
        <w:rPr>
          <w:b/>
          <w:bCs/>
          <w:color w:val="000000"/>
          <w:lang w:val="en-GB"/>
        </w:rPr>
        <w:t>xertion</w:t>
      </w:r>
      <w:r w:rsidR="00EA7F74" w:rsidRPr="00DB56CA">
        <w:rPr>
          <w:b/>
          <w:bCs/>
          <w:color w:val="000000"/>
          <w:lang w:val="en-GB"/>
        </w:rPr>
        <w:t xml:space="preserve"> based estimations of </w:t>
      </w:r>
      <w:r w:rsidR="007D2F5D" w:rsidRPr="00DB56CA">
        <w:rPr>
          <w:b/>
          <w:bCs/>
          <w:color w:val="000000"/>
          <w:lang w:val="en-GB"/>
        </w:rPr>
        <w:t xml:space="preserve">internal </w:t>
      </w:r>
      <w:r w:rsidR="00EA7F74" w:rsidRPr="00DB56CA">
        <w:rPr>
          <w:b/>
          <w:bCs/>
          <w:color w:val="000000"/>
          <w:lang w:val="en-GB"/>
        </w:rPr>
        <w:t>training load in youth soccer players</w:t>
      </w:r>
    </w:p>
    <w:p w14:paraId="25A91C10" w14:textId="77777777" w:rsidR="00BB61C6" w:rsidRPr="00DB56CA" w:rsidRDefault="00BB61C6" w:rsidP="001B35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afterAutospacing="1" w:line="480" w:lineRule="auto"/>
        <w:contextualSpacing/>
        <w:jc w:val="both"/>
        <w:outlineLvl w:val="0"/>
        <w:rPr>
          <w:b/>
          <w:bCs/>
          <w:color w:val="000000"/>
          <w:lang w:val="en-GB"/>
        </w:rPr>
      </w:pPr>
    </w:p>
    <w:p w14:paraId="18BF083E" w14:textId="5A528934" w:rsidR="00C52582" w:rsidRPr="00DB56CA" w:rsidRDefault="00C52582" w:rsidP="001B35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afterAutospacing="1" w:line="480" w:lineRule="auto"/>
        <w:contextualSpacing/>
        <w:jc w:val="both"/>
        <w:outlineLvl w:val="0"/>
        <w:rPr>
          <w:color w:val="FF0000"/>
          <w:lang w:val="en-GB"/>
        </w:rPr>
      </w:pPr>
      <w:r w:rsidRPr="00DB56CA">
        <w:rPr>
          <w:b/>
          <w:bCs/>
          <w:color w:val="000000"/>
          <w:lang w:val="en-GB"/>
        </w:rPr>
        <w:t>Abstract:</w:t>
      </w:r>
    </w:p>
    <w:p w14:paraId="70B943CA" w14:textId="6C3077A0" w:rsidR="00AE1AF2" w:rsidRPr="00DB56CA" w:rsidRDefault="00AE1AF2" w:rsidP="001B3525">
      <w:pPr>
        <w:spacing w:after="100" w:afterAutospacing="1" w:line="480" w:lineRule="auto"/>
        <w:contextualSpacing/>
        <w:jc w:val="both"/>
        <w:rPr>
          <w:color w:val="000000" w:themeColor="text1"/>
          <w:lang w:val="en-GB"/>
        </w:rPr>
      </w:pPr>
      <w:r w:rsidRPr="00DB56CA">
        <w:rPr>
          <w:rFonts w:eastAsia="Times New Roman"/>
          <w:i/>
          <w:color w:val="000000"/>
          <w:shd w:val="clear" w:color="auto" w:fill="FFFFFF"/>
          <w:lang w:val="en-GB"/>
        </w:rPr>
        <w:t>Purpose:</w:t>
      </w:r>
      <w:r w:rsidRPr="00DB56CA">
        <w:rPr>
          <w:rFonts w:eastAsia="Times New Roman"/>
          <w:i/>
          <w:color w:val="000000" w:themeColor="text1"/>
          <w:shd w:val="clear" w:color="auto" w:fill="FFFFFF"/>
          <w:lang w:val="en-GB"/>
        </w:rPr>
        <w:t xml:space="preserve"> </w:t>
      </w:r>
      <w:r w:rsidRPr="00DB56CA">
        <w:rPr>
          <w:rFonts w:eastAsia="Times New Roman"/>
          <w:color w:val="000000" w:themeColor="text1"/>
          <w:lang w:val="en-GB"/>
        </w:rPr>
        <w:t xml:space="preserve">When </w:t>
      </w:r>
      <w:r w:rsidR="001F6438" w:rsidRPr="00DB56CA">
        <w:rPr>
          <w:rFonts w:eastAsia="Times New Roman"/>
          <w:color w:val="000000" w:themeColor="text1"/>
          <w:lang w:val="en-GB"/>
        </w:rPr>
        <w:t xml:space="preserve">exposed </w:t>
      </w:r>
      <w:r w:rsidRPr="00DB56CA">
        <w:rPr>
          <w:rFonts w:eastAsia="Times New Roman"/>
          <w:color w:val="000000" w:themeColor="text1"/>
          <w:lang w:val="en-GB"/>
        </w:rPr>
        <w:t xml:space="preserve">to the same external load, players receive different internal load resulting in varied adaptations in fitness. In </w:t>
      </w:r>
      <w:r w:rsidR="005E448F" w:rsidRPr="00DB56CA">
        <w:rPr>
          <w:rFonts w:eastAsia="Times New Roman"/>
          <w:color w:val="000000" w:themeColor="text1"/>
          <w:lang w:val="en-GB"/>
        </w:rPr>
        <w:t xml:space="preserve">adult </w:t>
      </w:r>
      <w:r w:rsidR="007F2E73" w:rsidRPr="00DB56CA">
        <w:rPr>
          <w:rFonts w:eastAsia="Times New Roman"/>
          <w:color w:val="000000" w:themeColor="text1"/>
          <w:lang w:val="en-GB"/>
        </w:rPr>
        <w:t>soccer</w:t>
      </w:r>
      <w:r w:rsidRPr="00DB56CA">
        <w:rPr>
          <w:rFonts w:eastAsia="Times New Roman"/>
          <w:color w:val="000000" w:themeColor="text1"/>
          <w:lang w:val="en-GB"/>
        </w:rPr>
        <w:t xml:space="preserve">, </w:t>
      </w:r>
      <w:r w:rsidR="00360442" w:rsidRPr="00DB56CA">
        <w:rPr>
          <w:rFonts w:eastAsia="Times New Roman"/>
          <w:color w:val="000000" w:themeColor="text1"/>
          <w:lang w:val="en-GB"/>
        </w:rPr>
        <w:t>I</w:t>
      </w:r>
      <w:r w:rsidRPr="00DB56CA">
        <w:rPr>
          <w:rFonts w:eastAsia="Times New Roman"/>
          <w:color w:val="000000" w:themeColor="text1"/>
          <w:lang w:val="en-GB"/>
        </w:rPr>
        <w:t xml:space="preserve">nternal </w:t>
      </w:r>
      <w:r w:rsidR="00360442" w:rsidRPr="00DB56CA">
        <w:rPr>
          <w:rFonts w:eastAsia="Times New Roman"/>
          <w:color w:val="000000" w:themeColor="text1"/>
          <w:lang w:val="en-GB"/>
        </w:rPr>
        <w:t>T</w:t>
      </w:r>
      <w:r w:rsidRPr="00DB56CA">
        <w:rPr>
          <w:rFonts w:eastAsia="Times New Roman"/>
          <w:color w:val="000000" w:themeColor="text1"/>
          <w:lang w:val="en-GB"/>
        </w:rPr>
        <w:t xml:space="preserve">raining </w:t>
      </w:r>
      <w:r w:rsidR="00360442" w:rsidRPr="00DB56CA">
        <w:rPr>
          <w:rFonts w:eastAsia="Times New Roman"/>
          <w:color w:val="000000" w:themeColor="text1"/>
          <w:lang w:val="en-GB"/>
        </w:rPr>
        <w:t>L</w:t>
      </w:r>
      <w:r w:rsidRPr="00DB56CA">
        <w:rPr>
          <w:rFonts w:eastAsia="Times New Roman"/>
          <w:color w:val="000000" w:themeColor="text1"/>
          <w:lang w:val="en-GB"/>
        </w:rPr>
        <w:t xml:space="preserve">oad (ITL) is measured using Heart Rate (HR) </w:t>
      </w:r>
      <w:r w:rsidR="008675F6" w:rsidRPr="00DB56CA">
        <w:rPr>
          <w:rFonts w:eastAsia="Times New Roman"/>
          <w:color w:val="000000" w:themeColor="text1"/>
          <w:lang w:val="en-GB"/>
        </w:rPr>
        <w:t>and</w:t>
      </w:r>
      <w:r w:rsidRPr="00DB56CA">
        <w:rPr>
          <w:rFonts w:eastAsia="Times New Roman"/>
          <w:color w:val="000000" w:themeColor="text1"/>
          <w:lang w:val="en-GB"/>
        </w:rPr>
        <w:t xml:space="preserve"> session Rating of Perceived Exertion (sRPE) scale</w:t>
      </w:r>
      <w:r w:rsidR="005E448F" w:rsidRPr="00DB56CA">
        <w:rPr>
          <w:rFonts w:eastAsia="Times New Roman"/>
          <w:color w:val="000000" w:themeColor="text1"/>
          <w:lang w:val="en-GB"/>
        </w:rPr>
        <w:t>, but has been under-utilised in youth soccer</w:t>
      </w:r>
      <w:r w:rsidR="008675F6" w:rsidRPr="00DB56CA">
        <w:rPr>
          <w:rFonts w:eastAsia="Times New Roman"/>
          <w:color w:val="000000" w:themeColor="text1"/>
          <w:lang w:val="en-GB"/>
        </w:rPr>
        <w:t xml:space="preserve">. This study investigated the in-season variation in correlation between HR and sRPE estimations of training load for </w:t>
      </w:r>
      <w:r w:rsidR="007216CD" w:rsidRPr="00DB56CA">
        <w:rPr>
          <w:rFonts w:eastAsia="Times New Roman"/>
          <w:color w:val="000000" w:themeColor="text1"/>
          <w:lang w:val="en-GB"/>
        </w:rPr>
        <w:t>adolescent</w:t>
      </w:r>
      <w:r w:rsidR="008675F6" w:rsidRPr="00DB56CA">
        <w:rPr>
          <w:rFonts w:eastAsia="Times New Roman"/>
          <w:color w:val="000000" w:themeColor="text1"/>
          <w:lang w:val="en-GB"/>
        </w:rPr>
        <w:t xml:space="preserve"> soccer players</w:t>
      </w:r>
      <w:r w:rsidRPr="00DB56CA">
        <w:rPr>
          <w:rFonts w:eastAsia="Times New Roman"/>
          <w:color w:val="000000" w:themeColor="text1"/>
          <w:lang w:val="en-GB"/>
        </w:rPr>
        <w:t>.</w:t>
      </w:r>
      <w:r w:rsidR="008675F6" w:rsidRPr="00DB56CA">
        <w:rPr>
          <w:rFonts w:eastAsia="Times New Roman"/>
          <w:i/>
          <w:color w:val="000000"/>
          <w:shd w:val="clear" w:color="auto" w:fill="FFFFFF"/>
          <w:lang w:val="en-GB"/>
        </w:rPr>
        <w:t xml:space="preserve"> </w:t>
      </w:r>
      <w:r w:rsidRPr="00DB56CA">
        <w:rPr>
          <w:rFonts w:eastAsia="Times New Roman"/>
          <w:i/>
          <w:color w:val="000000"/>
          <w:shd w:val="clear" w:color="auto" w:fill="FFFFFF"/>
          <w:lang w:val="en-GB"/>
        </w:rPr>
        <w:t>Method:</w:t>
      </w:r>
      <w:r w:rsidRPr="00DB56CA">
        <w:rPr>
          <w:rFonts w:eastAsia="Times New Roman"/>
          <w:color w:val="000000"/>
          <w:shd w:val="clear" w:color="auto" w:fill="FFFFFF"/>
          <w:lang w:val="en-GB"/>
        </w:rPr>
        <w:t xml:space="preserve"> </w:t>
      </w:r>
      <w:r w:rsidR="008675F6" w:rsidRPr="00DB56CA">
        <w:rPr>
          <w:rFonts w:eastAsia="Times New Roman"/>
          <w:color w:val="000000"/>
          <w:shd w:val="clear" w:color="auto" w:fill="FFFFFF"/>
          <w:lang w:val="en-GB"/>
        </w:rPr>
        <w:t xml:space="preserve">Fifteen </w:t>
      </w:r>
      <w:r w:rsidRPr="00DB56CA">
        <w:rPr>
          <w:rFonts w:eastAsia="Times New Roman"/>
          <w:color w:val="000000"/>
          <w:shd w:val="clear" w:color="auto" w:fill="FFFFFF"/>
          <w:lang w:val="en-GB"/>
        </w:rPr>
        <w:t xml:space="preserve">male professional adolescent </w:t>
      </w:r>
      <w:r w:rsidR="007F2E73" w:rsidRPr="00DB56CA">
        <w:rPr>
          <w:rFonts w:eastAsia="Times New Roman"/>
          <w:color w:val="000000"/>
          <w:shd w:val="clear" w:color="auto" w:fill="FFFFFF"/>
          <w:lang w:val="en-GB"/>
        </w:rPr>
        <w:t xml:space="preserve">players </w:t>
      </w:r>
      <w:r w:rsidRPr="00DB56CA">
        <w:rPr>
          <w:rFonts w:eastAsia="Times New Roman"/>
          <w:color w:val="000000"/>
          <w:shd w:val="clear" w:color="auto" w:fill="FFFFFF"/>
          <w:lang w:val="en-GB"/>
        </w:rPr>
        <w:t>were monitored for 7 months. Within-participant correlations and Bland-A</w:t>
      </w:r>
      <w:r w:rsidR="008675F6" w:rsidRPr="00DB56CA">
        <w:rPr>
          <w:rFonts w:eastAsia="Times New Roman"/>
          <w:color w:val="000000"/>
          <w:shd w:val="clear" w:color="auto" w:fill="FFFFFF"/>
          <w:lang w:val="en-GB"/>
        </w:rPr>
        <w:t>ltman agreement plots fo</w:t>
      </w:r>
      <w:r w:rsidRPr="00DB56CA">
        <w:rPr>
          <w:rFonts w:eastAsia="Times New Roman"/>
          <w:color w:val="000000"/>
          <w:shd w:val="clear" w:color="auto" w:fill="FFFFFF"/>
          <w:lang w:val="en-GB"/>
        </w:rPr>
        <w:t>r HR and sRPE were calculated for each month to analyse the variation over the season, and for individu</w:t>
      </w:r>
      <w:r w:rsidRPr="00DB56CA">
        <w:rPr>
          <w:rFonts w:eastAsia="Times New Roman"/>
          <w:color w:val="000000" w:themeColor="text1"/>
          <w:shd w:val="clear" w:color="auto" w:fill="FFFFFF"/>
          <w:lang w:val="en-GB"/>
        </w:rPr>
        <w:t xml:space="preserve">al players to analyse the validity of the scale. </w:t>
      </w:r>
      <w:r w:rsidRPr="00DB56CA">
        <w:rPr>
          <w:rFonts w:eastAsia="Times New Roman"/>
          <w:i/>
          <w:color w:val="000000" w:themeColor="text1"/>
          <w:shd w:val="clear" w:color="auto" w:fill="FFFFFF"/>
          <w:lang w:val="en-GB"/>
        </w:rPr>
        <w:t>Results:</w:t>
      </w:r>
      <w:r w:rsidRPr="00DB56CA">
        <w:rPr>
          <w:rFonts w:eastAsia="Times New Roman"/>
          <w:color w:val="000000" w:themeColor="text1"/>
          <w:shd w:val="clear" w:color="auto" w:fill="FFFFFF"/>
          <w:lang w:val="en-GB"/>
        </w:rPr>
        <w:t xml:space="preserve"> </w:t>
      </w:r>
      <w:r w:rsidR="009B72C2" w:rsidRPr="00DB56CA">
        <w:rPr>
          <w:rFonts w:eastAsia="Times New Roman"/>
          <w:color w:val="000000" w:themeColor="text1"/>
          <w:highlight w:val="yellow"/>
          <w:shd w:val="clear" w:color="auto" w:fill="FFFFFF"/>
          <w:lang w:val="en-GB"/>
        </w:rPr>
        <w:t xml:space="preserve">The monthly correlations ranged from </w:t>
      </w:r>
      <w:r w:rsidR="009B72C2" w:rsidRPr="00DB56CA">
        <w:rPr>
          <w:rFonts w:eastAsia="Times New Roman"/>
          <w:i/>
          <w:color w:val="000000" w:themeColor="text1"/>
          <w:highlight w:val="yellow"/>
          <w:shd w:val="clear" w:color="auto" w:fill="FFFFFF"/>
          <w:lang w:val="en-GB"/>
        </w:rPr>
        <w:t>r=</w:t>
      </w:r>
      <w:r w:rsidR="009B72C2" w:rsidRPr="00DB56CA">
        <w:rPr>
          <w:rFonts w:eastAsia="Times New Roman"/>
          <w:color w:val="000000" w:themeColor="text1"/>
          <w:highlight w:val="yellow"/>
          <w:shd w:val="clear" w:color="auto" w:fill="FFFFFF"/>
          <w:lang w:val="en-GB"/>
        </w:rPr>
        <w:t xml:space="preserve">0.60 to </w:t>
      </w:r>
      <w:r w:rsidR="009B72C2" w:rsidRPr="00DB56CA">
        <w:rPr>
          <w:rFonts w:eastAsia="Times New Roman"/>
          <w:i/>
          <w:color w:val="000000" w:themeColor="text1"/>
          <w:highlight w:val="yellow"/>
          <w:shd w:val="clear" w:color="auto" w:fill="FFFFFF"/>
          <w:lang w:val="en-GB"/>
        </w:rPr>
        <w:t>r=</w:t>
      </w:r>
      <w:r w:rsidR="009B72C2" w:rsidRPr="00DB56CA">
        <w:rPr>
          <w:rFonts w:eastAsia="Times New Roman"/>
          <w:color w:val="000000" w:themeColor="text1"/>
          <w:highlight w:val="yellow"/>
          <w:shd w:val="clear" w:color="auto" w:fill="FFFFFF"/>
          <w:lang w:val="en-GB"/>
        </w:rPr>
        <w:t>0.73 (</w:t>
      </w:r>
      <w:r w:rsidR="009B72C2" w:rsidRPr="00DB56CA">
        <w:rPr>
          <w:rFonts w:eastAsia="Times New Roman"/>
          <w:i/>
          <w:color w:val="000000" w:themeColor="text1"/>
          <w:highlight w:val="yellow"/>
          <w:shd w:val="clear" w:color="auto" w:fill="FFFFFF"/>
          <w:lang w:val="en-GB"/>
        </w:rPr>
        <w:t>p</w:t>
      </w:r>
      <w:r w:rsidR="009B72C2" w:rsidRPr="00DB56CA">
        <w:rPr>
          <w:rFonts w:eastAsia="Times New Roman"/>
          <w:color w:val="000000" w:themeColor="text1"/>
          <w:highlight w:val="yellow"/>
          <w:shd w:val="clear" w:color="auto" w:fill="FFFFFF"/>
          <w:lang w:val="en-GB"/>
        </w:rPr>
        <w:t>&lt;0.05)</w:t>
      </w:r>
      <w:r w:rsidR="009B72C2" w:rsidRPr="00DB56CA">
        <w:rPr>
          <w:rFonts w:eastAsia="Times New Roman"/>
          <w:color w:val="000000" w:themeColor="text1"/>
          <w:shd w:val="clear" w:color="auto" w:fill="FFFFFF"/>
          <w:lang w:val="en-GB"/>
        </w:rPr>
        <w:t xml:space="preserve"> and</w:t>
      </w:r>
      <w:r w:rsidR="009B72C2" w:rsidRPr="00DB56CA">
        <w:rPr>
          <w:rFonts w:eastAsia="Times New Roman"/>
          <w:i/>
          <w:color w:val="000000" w:themeColor="text1"/>
          <w:lang w:val="en-GB"/>
        </w:rPr>
        <w:t xml:space="preserve"> </w:t>
      </w:r>
      <w:r w:rsidR="009B72C2" w:rsidRPr="00DB56CA">
        <w:rPr>
          <w:rFonts w:eastAsia="Times New Roman"/>
          <w:color w:val="000000" w:themeColor="text1"/>
          <w:lang w:val="en-GB"/>
        </w:rPr>
        <w:t xml:space="preserve">the </w:t>
      </w:r>
      <w:r w:rsidRPr="00DB56CA">
        <w:rPr>
          <w:rFonts w:eastAsia="Times New Roman"/>
          <w:color w:val="000000" w:themeColor="text1"/>
          <w:lang w:val="en-GB"/>
        </w:rPr>
        <w:t xml:space="preserve">overall correlation was </w:t>
      </w:r>
      <w:r w:rsidRPr="00DB56CA">
        <w:rPr>
          <w:i/>
          <w:color w:val="000000" w:themeColor="text1"/>
          <w:lang w:val="en-GB"/>
        </w:rPr>
        <w:t>r=</w:t>
      </w:r>
      <w:r w:rsidRPr="00DB56CA">
        <w:rPr>
          <w:color w:val="000000" w:themeColor="text1"/>
          <w:lang w:val="en-GB"/>
        </w:rPr>
        <w:t xml:space="preserve">0.64 (95%CI 0.60-0.68; </w:t>
      </w:r>
      <w:r w:rsidRPr="00DB56CA">
        <w:rPr>
          <w:i/>
          <w:color w:val="000000" w:themeColor="text1"/>
          <w:lang w:val="en-GB"/>
        </w:rPr>
        <w:t>p&lt;</w:t>
      </w:r>
      <w:r w:rsidRPr="00DB56CA">
        <w:rPr>
          <w:color w:val="000000" w:themeColor="text1"/>
          <w:lang w:val="en-GB"/>
        </w:rPr>
        <w:t xml:space="preserve">0.001). Bland-Altman plots showed an agreement of methods. </w:t>
      </w:r>
      <w:r w:rsidR="00344EA1" w:rsidRPr="00DB56CA">
        <w:rPr>
          <w:rFonts w:eastAsia="Times New Roman"/>
          <w:i/>
          <w:color w:val="000000"/>
          <w:shd w:val="clear" w:color="auto" w:fill="FFFFFF"/>
          <w:lang w:val="en-GB"/>
        </w:rPr>
        <w:t>Conclusion</w:t>
      </w:r>
      <w:r w:rsidRPr="00DB56CA">
        <w:rPr>
          <w:rFonts w:eastAsia="Times New Roman"/>
          <w:i/>
          <w:color w:val="000000"/>
          <w:shd w:val="clear" w:color="auto" w:fill="FFFFFF"/>
          <w:lang w:val="en-GB"/>
        </w:rPr>
        <w:t>:</w:t>
      </w:r>
      <w:r w:rsidRPr="00DB56CA">
        <w:rPr>
          <w:rFonts w:eastAsia="Times New Roman"/>
          <w:color w:val="000000"/>
          <w:shd w:val="clear" w:color="auto" w:fill="FFFFFF"/>
          <w:lang w:val="en-GB"/>
        </w:rPr>
        <w:t xml:space="preserve"> </w:t>
      </w:r>
      <w:r w:rsidRPr="00DB56CA">
        <w:rPr>
          <w:color w:val="000000" w:themeColor="text1"/>
          <w:lang w:val="en-GB"/>
        </w:rPr>
        <w:t xml:space="preserve">Results showed </w:t>
      </w:r>
      <w:r w:rsidR="00E56DC7" w:rsidRPr="00DB56CA">
        <w:rPr>
          <w:color w:val="000000" w:themeColor="text1"/>
          <w:lang w:val="en-GB"/>
        </w:rPr>
        <w:t>consistently large</w:t>
      </w:r>
      <w:r w:rsidRPr="00DB56CA">
        <w:rPr>
          <w:color w:val="000000" w:themeColor="text1"/>
          <w:lang w:val="en-GB"/>
        </w:rPr>
        <w:t xml:space="preserve"> correlations </w:t>
      </w:r>
      <w:r w:rsidR="00020D65" w:rsidRPr="00DB56CA">
        <w:rPr>
          <w:color w:val="000000" w:themeColor="text1"/>
          <w:lang w:val="en-GB"/>
        </w:rPr>
        <w:t xml:space="preserve">for all </w:t>
      </w:r>
      <w:r w:rsidRPr="00DB56CA">
        <w:rPr>
          <w:color w:val="000000" w:themeColor="text1"/>
          <w:lang w:val="en-GB"/>
        </w:rPr>
        <w:t>months. sRPE is a consistent method of measure of internal training load for the entire season</w:t>
      </w:r>
      <w:r w:rsidR="00E56DC7" w:rsidRPr="00DB56CA">
        <w:rPr>
          <w:color w:val="000000" w:themeColor="text1"/>
          <w:lang w:val="en-GB"/>
        </w:rPr>
        <w:t>. V</w:t>
      </w:r>
      <w:r w:rsidRPr="00DB56CA">
        <w:rPr>
          <w:color w:val="000000" w:themeColor="text1"/>
          <w:lang w:val="en-GB"/>
        </w:rPr>
        <w:t>alid</w:t>
      </w:r>
      <w:r w:rsidR="00E56DC7" w:rsidRPr="00DB56CA">
        <w:rPr>
          <w:color w:val="000000" w:themeColor="text1"/>
          <w:lang w:val="en-GB"/>
        </w:rPr>
        <w:t>ity analysis found no bias in sRPE</w:t>
      </w:r>
      <w:r w:rsidRPr="00DB56CA">
        <w:rPr>
          <w:color w:val="000000" w:themeColor="text1"/>
          <w:lang w:val="en-GB"/>
        </w:rPr>
        <w:t xml:space="preserve"> measure</w:t>
      </w:r>
      <w:r w:rsidR="00E56DC7" w:rsidRPr="00DB56CA">
        <w:rPr>
          <w:color w:val="000000" w:themeColor="text1"/>
          <w:lang w:val="en-GB"/>
        </w:rPr>
        <w:t>ments</w:t>
      </w:r>
      <w:r w:rsidRPr="00DB56CA">
        <w:rPr>
          <w:color w:val="000000" w:themeColor="text1"/>
          <w:lang w:val="en-GB"/>
        </w:rPr>
        <w:t xml:space="preserve"> when compared to HR for all players in the study.</w:t>
      </w:r>
    </w:p>
    <w:p w14:paraId="4CF6931C" w14:textId="77777777" w:rsidR="000365F5" w:rsidRPr="00DB56CA" w:rsidRDefault="000365F5" w:rsidP="001B3525">
      <w:pPr>
        <w:spacing w:after="100" w:afterAutospacing="1" w:line="480" w:lineRule="auto"/>
        <w:contextualSpacing/>
        <w:jc w:val="both"/>
        <w:rPr>
          <w:color w:val="000000" w:themeColor="text1"/>
          <w:lang w:val="en-GB"/>
        </w:rPr>
      </w:pPr>
    </w:p>
    <w:p w14:paraId="03095303" w14:textId="75B2EC63" w:rsidR="0035447B" w:rsidRPr="00DB56CA" w:rsidRDefault="00BB61C6" w:rsidP="001B3525">
      <w:pPr>
        <w:spacing w:after="100" w:afterAutospacing="1" w:line="480" w:lineRule="auto"/>
        <w:contextualSpacing/>
        <w:jc w:val="both"/>
        <w:rPr>
          <w:color w:val="FF0000"/>
          <w:lang w:val="en-GB"/>
        </w:rPr>
      </w:pPr>
      <w:r w:rsidRPr="00DB56CA">
        <w:rPr>
          <w:color w:val="000000" w:themeColor="text1"/>
          <w:lang w:val="en-GB"/>
        </w:rPr>
        <w:t>Key</w:t>
      </w:r>
      <w:r w:rsidR="00DD7A83" w:rsidRPr="00DB56CA">
        <w:rPr>
          <w:color w:val="000000" w:themeColor="text1"/>
          <w:lang w:val="en-GB"/>
        </w:rPr>
        <w:t xml:space="preserve"> </w:t>
      </w:r>
      <w:r w:rsidRPr="00DB56CA">
        <w:rPr>
          <w:color w:val="000000" w:themeColor="text1"/>
          <w:lang w:val="en-GB"/>
        </w:rPr>
        <w:t>words:</w:t>
      </w:r>
      <w:r w:rsidR="00DD7A83" w:rsidRPr="00DB56CA">
        <w:rPr>
          <w:color w:val="000000" w:themeColor="text1"/>
          <w:lang w:val="en-GB"/>
        </w:rPr>
        <w:t xml:space="preserve"> perceived exertion, </w:t>
      </w:r>
      <w:r w:rsidR="004308A4" w:rsidRPr="00DB56CA">
        <w:rPr>
          <w:color w:val="000000" w:themeColor="text1"/>
          <w:lang w:val="en-GB"/>
        </w:rPr>
        <w:t xml:space="preserve">heart rate, adolescents, </w:t>
      </w:r>
      <w:r w:rsidR="001F6438" w:rsidRPr="00DB56CA">
        <w:rPr>
          <w:color w:val="000000" w:themeColor="text1"/>
          <w:lang w:val="en-GB"/>
        </w:rPr>
        <w:t>youth soccer, training load</w:t>
      </w:r>
      <w:r w:rsidR="0035447B" w:rsidRPr="00DB56CA">
        <w:rPr>
          <w:b/>
          <w:bCs/>
          <w:color w:val="000000" w:themeColor="text1"/>
          <w:lang w:val="en-GB"/>
        </w:rPr>
        <w:br w:type="page"/>
      </w:r>
    </w:p>
    <w:p w14:paraId="1CF958F7" w14:textId="11877CDF" w:rsidR="00311514" w:rsidRPr="00DB56CA" w:rsidRDefault="003D04E7" w:rsidP="001B3525">
      <w:pPr>
        <w:widowControl w:val="0"/>
        <w:tabs>
          <w:tab w:val="left" w:pos="560"/>
          <w:tab w:val="left" w:pos="1120"/>
          <w:tab w:val="left" w:pos="1680"/>
          <w:tab w:val="left" w:pos="2160"/>
          <w:tab w:val="left" w:pos="2880"/>
          <w:tab w:val="left" w:pos="3600"/>
          <w:tab w:val="left" w:pos="4320"/>
        </w:tabs>
        <w:autoSpaceDE w:val="0"/>
        <w:autoSpaceDN w:val="0"/>
        <w:adjustRightInd w:val="0"/>
        <w:spacing w:after="100" w:afterAutospacing="1" w:line="480" w:lineRule="auto"/>
        <w:contextualSpacing/>
        <w:jc w:val="both"/>
        <w:outlineLvl w:val="0"/>
        <w:rPr>
          <w:b/>
          <w:bCs/>
          <w:color w:val="000000" w:themeColor="text1"/>
          <w:lang w:val="en-GB"/>
        </w:rPr>
      </w:pPr>
      <w:r w:rsidRPr="00DB56CA">
        <w:rPr>
          <w:b/>
          <w:bCs/>
          <w:color w:val="000000" w:themeColor="text1"/>
          <w:lang w:val="en-GB"/>
        </w:rPr>
        <w:lastRenderedPageBreak/>
        <w:t>Introduction</w:t>
      </w:r>
      <w:r w:rsidR="00EA7F74" w:rsidRPr="00DB56CA">
        <w:rPr>
          <w:b/>
          <w:bCs/>
          <w:color w:val="000000" w:themeColor="text1"/>
          <w:lang w:val="en-GB"/>
        </w:rPr>
        <w:t>:</w:t>
      </w:r>
      <w:r w:rsidR="00311514" w:rsidRPr="00DB56CA">
        <w:rPr>
          <w:b/>
          <w:bCs/>
          <w:color w:val="000000" w:themeColor="text1"/>
          <w:lang w:val="en-GB"/>
        </w:rPr>
        <w:tab/>
      </w:r>
      <w:r w:rsidR="00311514" w:rsidRPr="00DB56CA">
        <w:rPr>
          <w:b/>
          <w:bCs/>
          <w:color w:val="000000" w:themeColor="text1"/>
          <w:lang w:val="en-GB"/>
        </w:rPr>
        <w:tab/>
      </w:r>
      <w:r w:rsidR="00311514" w:rsidRPr="00DB56CA">
        <w:rPr>
          <w:b/>
          <w:bCs/>
          <w:color w:val="000000" w:themeColor="text1"/>
          <w:lang w:val="en-GB"/>
        </w:rPr>
        <w:tab/>
      </w:r>
      <w:r w:rsidR="00311514" w:rsidRPr="00DB56CA">
        <w:rPr>
          <w:b/>
          <w:bCs/>
          <w:color w:val="000000" w:themeColor="text1"/>
          <w:lang w:val="en-GB"/>
        </w:rPr>
        <w:tab/>
      </w:r>
      <w:r w:rsidR="00311514" w:rsidRPr="00DB56CA">
        <w:rPr>
          <w:b/>
          <w:bCs/>
          <w:color w:val="000000" w:themeColor="text1"/>
          <w:lang w:val="en-GB"/>
        </w:rPr>
        <w:tab/>
      </w:r>
    </w:p>
    <w:p w14:paraId="3B225ADA" w14:textId="760E5A89" w:rsidR="008C3B55" w:rsidRPr="00DB56CA" w:rsidRDefault="003232A9" w:rsidP="001B35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afterAutospacing="1" w:line="480" w:lineRule="auto"/>
        <w:contextualSpacing/>
        <w:jc w:val="both"/>
        <w:rPr>
          <w:color w:val="000000"/>
          <w:lang w:val="en-GB"/>
        </w:rPr>
      </w:pPr>
      <w:r w:rsidRPr="00DB56CA">
        <w:rPr>
          <w:color w:val="000000"/>
          <w:lang w:val="en-GB"/>
        </w:rPr>
        <w:t xml:space="preserve">The </w:t>
      </w:r>
      <w:r w:rsidR="0082673C" w:rsidRPr="00DB56CA">
        <w:rPr>
          <w:color w:val="000000"/>
          <w:lang w:val="en-GB"/>
        </w:rPr>
        <w:t>professional</w:t>
      </w:r>
      <w:r w:rsidR="00351AFF" w:rsidRPr="00DB56CA">
        <w:rPr>
          <w:color w:val="000000"/>
          <w:lang w:val="en-GB"/>
        </w:rPr>
        <w:t xml:space="preserve"> </w:t>
      </w:r>
      <w:r w:rsidR="00F04732" w:rsidRPr="00DB56CA">
        <w:rPr>
          <w:color w:val="000000"/>
          <w:lang w:val="en-GB"/>
        </w:rPr>
        <w:t xml:space="preserve">youth </w:t>
      </w:r>
      <w:r w:rsidR="007F2E73" w:rsidRPr="00DB56CA">
        <w:rPr>
          <w:color w:val="000000"/>
          <w:lang w:val="en-GB"/>
        </w:rPr>
        <w:t>soccer</w:t>
      </w:r>
      <w:r w:rsidR="00351AFF" w:rsidRPr="00DB56CA">
        <w:rPr>
          <w:color w:val="000000"/>
          <w:lang w:val="en-GB"/>
        </w:rPr>
        <w:t xml:space="preserve"> </w:t>
      </w:r>
      <w:r w:rsidR="00754910" w:rsidRPr="00DB56CA">
        <w:rPr>
          <w:color w:val="000000"/>
          <w:lang w:val="en-GB"/>
        </w:rPr>
        <w:t>se</w:t>
      </w:r>
      <w:r w:rsidR="00351AFF" w:rsidRPr="00DB56CA">
        <w:rPr>
          <w:color w:val="000000"/>
          <w:lang w:val="en-GB"/>
        </w:rPr>
        <w:t>a</w:t>
      </w:r>
      <w:r w:rsidR="00754910" w:rsidRPr="00DB56CA">
        <w:rPr>
          <w:color w:val="000000"/>
          <w:lang w:val="en-GB"/>
        </w:rPr>
        <w:t xml:space="preserve">son </w:t>
      </w:r>
      <w:r w:rsidR="00351AFF" w:rsidRPr="00DB56CA">
        <w:rPr>
          <w:color w:val="000000"/>
          <w:lang w:val="en-GB"/>
        </w:rPr>
        <w:t xml:space="preserve">typically runs for </w:t>
      </w:r>
      <w:r w:rsidR="008709AF" w:rsidRPr="00DB56CA">
        <w:rPr>
          <w:color w:val="000000"/>
          <w:lang w:val="en-GB"/>
        </w:rPr>
        <w:t xml:space="preserve">ten </w:t>
      </w:r>
      <w:r w:rsidR="00754910" w:rsidRPr="00DB56CA">
        <w:rPr>
          <w:color w:val="000000"/>
          <w:lang w:val="en-GB"/>
        </w:rPr>
        <w:t xml:space="preserve">months from </w:t>
      </w:r>
      <w:r w:rsidR="008709AF" w:rsidRPr="00DB56CA">
        <w:rPr>
          <w:color w:val="000000"/>
          <w:lang w:val="en-GB"/>
        </w:rPr>
        <w:t xml:space="preserve">July </w:t>
      </w:r>
      <w:r w:rsidR="00B06F9C" w:rsidRPr="00DB56CA">
        <w:rPr>
          <w:color w:val="000000"/>
          <w:lang w:val="en-GB"/>
        </w:rPr>
        <w:t>to April</w:t>
      </w:r>
      <w:r w:rsidR="00172201" w:rsidRPr="00DB56CA">
        <w:rPr>
          <w:color w:val="000000"/>
          <w:lang w:val="en-GB"/>
        </w:rPr>
        <w:t xml:space="preserve">. </w:t>
      </w:r>
      <w:r w:rsidR="007B7F38" w:rsidRPr="00DB56CA">
        <w:rPr>
          <w:color w:val="000000"/>
          <w:lang w:val="en-GB"/>
        </w:rPr>
        <w:t>T</w:t>
      </w:r>
      <w:r w:rsidR="00351AFF" w:rsidRPr="00DB56CA">
        <w:rPr>
          <w:color w:val="000000"/>
          <w:lang w:val="en-GB"/>
        </w:rPr>
        <w:t>he high demand and long dur</w:t>
      </w:r>
      <w:r w:rsidR="004875CA" w:rsidRPr="00DB56CA">
        <w:rPr>
          <w:color w:val="000000"/>
          <w:lang w:val="en-GB"/>
        </w:rPr>
        <w:t xml:space="preserve">ation of professional </w:t>
      </w:r>
      <w:r w:rsidR="007F2E73" w:rsidRPr="00DB56CA">
        <w:rPr>
          <w:color w:val="000000"/>
          <w:lang w:val="en-GB"/>
        </w:rPr>
        <w:t>soccer</w:t>
      </w:r>
      <w:r w:rsidR="004875CA" w:rsidRPr="00DB56CA">
        <w:rPr>
          <w:color w:val="000000"/>
          <w:lang w:val="en-GB"/>
        </w:rPr>
        <w:t xml:space="preserve"> puts </w:t>
      </w:r>
      <w:r w:rsidR="00351AFF" w:rsidRPr="00DB56CA">
        <w:rPr>
          <w:color w:val="000000"/>
          <w:lang w:val="en-GB"/>
        </w:rPr>
        <w:t xml:space="preserve">coaches under pressure to produce results, maintain match fitness and allow </w:t>
      </w:r>
      <w:r w:rsidR="0007643F" w:rsidRPr="00DB56CA">
        <w:rPr>
          <w:color w:val="000000"/>
          <w:highlight w:val="yellow"/>
          <w:lang w:val="en-GB"/>
        </w:rPr>
        <w:t xml:space="preserve">sufficient </w:t>
      </w:r>
      <w:r w:rsidR="00351AFF" w:rsidRPr="00DB56CA">
        <w:rPr>
          <w:color w:val="000000"/>
          <w:highlight w:val="yellow"/>
          <w:lang w:val="en-GB"/>
        </w:rPr>
        <w:t>time</w:t>
      </w:r>
      <w:r w:rsidR="00351AFF" w:rsidRPr="00DB56CA">
        <w:rPr>
          <w:color w:val="000000"/>
          <w:lang w:val="en-GB"/>
        </w:rPr>
        <w:t xml:space="preserve"> for recovery (</w:t>
      </w:r>
      <w:r w:rsidR="008C35CF" w:rsidRPr="00DB56CA">
        <w:rPr>
          <w:color w:val="000000"/>
          <w:lang w:val="en-GB"/>
        </w:rPr>
        <w:t>5</w:t>
      </w:r>
      <w:r w:rsidR="00B06F9C" w:rsidRPr="00DB56CA">
        <w:rPr>
          <w:color w:val="000000"/>
          <w:lang w:val="en-GB"/>
        </w:rPr>
        <w:t>)</w:t>
      </w:r>
      <w:r w:rsidR="000C6FC3" w:rsidRPr="00DB56CA">
        <w:rPr>
          <w:color w:val="000000"/>
          <w:lang w:val="en-GB"/>
        </w:rPr>
        <w:t xml:space="preserve">. </w:t>
      </w:r>
      <w:r w:rsidR="00C14002" w:rsidRPr="00DB56CA">
        <w:rPr>
          <w:color w:val="000000"/>
          <w:lang w:val="en-GB"/>
        </w:rPr>
        <w:t xml:space="preserve">With limited time, </w:t>
      </w:r>
      <w:r w:rsidR="00F04732" w:rsidRPr="00DB56CA">
        <w:rPr>
          <w:color w:val="000000"/>
          <w:lang w:val="en-GB"/>
        </w:rPr>
        <w:t xml:space="preserve">staff resources, </w:t>
      </w:r>
      <w:r w:rsidR="009859CB" w:rsidRPr="00DB56CA">
        <w:rPr>
          <w:color w:val="000000"/>
          <w:lang w:val="en-GB"/>
        </w:rPr>
        <w:t>and c</w:t>
      </w:r>
      <w:r w:rsidR="00C14002" w:rsidRPr="00DB56CA">
        <w:rPr>
          <w:color w:val="000000"/>
          <w:lang w:val="en-GB"/>
        </w:rPr>
        <w:t>ompetitive matches each week</w:t>
      </w:r>
      <w:r w:rsidR="00435223" w:rsidRPr="00DB56CA">
        <w:rPr>
          <w:color w:val="000000"/>
          <w:lang w:val="en-GB"/>
        </w:rPr>
        <w:t>,</w:t>
      </w:r>
      <w:r w:rsidR="009859CB" w:rsidRPr="00DB56CA">
        <w:rPr>
          <w:color w:val="000000"/>
          <w:lang w:val="en-GB"/>
        </w:rPr>
        <w:t xml:space="preserve"> c</w:t>
      </w:r>
      <w:r w:rsidR="0091477F" w:rsidRPr="00DB56CA">
        <w:rPr>
          <w:color w:val="000000"/>
          <w:lang w:val="en-GB"/>
        </w:rPr>
        <w:t>oaches</w:t>
      </w:r>
      <w:r w:rsidR="009859CB" w:rsidRPr="00DB56CA">
        <w:rPr>
          <w:color w:val="000000"/>
          <w:lang w:val="en-GB"/>
        </w:rPr>
        <w:t xml:space="preserve"> </w:t>
      </w:r>
      <w:r w:rsidR="00435223" w:rsidRPr="00DB56CA">
        <w:rPr>
          <w:color w:val="000000"/>
          <w:lang w:val="en-GB"/>
        </w:rPr>
        <w:t xml:space="preserve">often </w:t>
      </w:r>
      <w:r w:rsidR="009859CB" w:rsidRPr="00DB56CA">
        <w:rPr>
          <w:color w:val="000000"/>
          <w:lang w:val="en-GB"/>
        </w:rPr>
        <w:t>conduct training</w:t>
      </w:r>
      <w:r w:rsidR="0091477F" w:rsidRPr="00DB56CA">
        <w:rPr>
          <w:color w:val="000000"/>
          <w:lang w:val="en-GB"/>
        </w:rPr>
        <w:t xml:space="preserve"> in groups</w:t>
      </w:r>
      <w:r w:rsidR="009859CB" w:rsidRPr="00DB56CA">
        <w:rPr>
          <w:color w:val="000000"/>
          <w:lang w:val="en-GB"/>
        </w:rPr>
        <w:t>, focusing on multiple aspects of the sport within a training session</w:t>
      </w:r>
      <w:r w:rsidR="00F04581" w:rsidRPr="00DB56CA">
        <w:rPr>
          <w:color w:val="000000"/>
          <w:lang w:val="en-GB"/>
        </w:rPr>
        <w:t xml:space="preserve"> (</w:t>
      </w:r>
      <w:r w:rsidR="00577B53" w:rsidRPr="00DB56CA">
        <w:rPr>
          <w:color w:val="000000"/>
          <w:lang w:val="en-GB"/>
        </w:rPr>
        <w:t xml:space="preserve">2, </w:t>
      </w:r>
      <w:r w:rsidR="008C35CF" w:rsidRPr="00DB56CA">
        <w:rPr>
          <w:color w:val="000000"/>
          <w:lang w:val="en-GB"/>
        </w:rPr>
        <w:t>5</w:t>
      </w:r>
      <w:r w:rsidR="00F04581" w:rsidRPr="00DB56CA">
        <w:rPr>
          <w:color w:val="000000"/>
          <w:lang w:val="en-GB"/>
        </w:rPr>
        <w:t>)</w:t>
      </w:r>
      <w:r w:rsidR="000C6FC3" w:rsidRPr="00DB56CA">
        <w:rPr>
          <w:color w:val="000000"/>
          <w:lang w:val="en-GB"/>
        </w:rPr>
        <w:t>.</w:t>
      </w:r>
      <w:r w:rsidR="00172201" w:rsidRPr="00DB56CA">
        <w:rPr>
          <w:color w:val="000000"/>
          <w:lang w:val="en-GB"/>
        </w:rPr>
        <w:t xml:space="preserve"> </w:t>
      </w:r>
      <w:r w:rsidR="00C80AB1" w:rsidRPr="00DB56CA">
        <w:rPr>
          <w:color w:val="000000"/>
          <w:lang w:val="en-GB"/>
        </w:rPr>
        <w:t xml:space="preserve">The </w:t>
      </w:r>
      <w:r w:rsidR="00435223" w:rsidRPr="00DB56CA">
        <w:rPr>
          <w:color w:val="000000"/>
          <w:lang w:val="en-GB"/>
        </w:rPr>
        <w:t xml:space="preserve">organisation of the training for team </w:t>
      </w:r>
      <w:r w:rsidR="008A67A7" w:rsidRPr="00DB56CA">
        <w:rPr>
          <w:color w:val="000000"/>
          <w:lang w:val="en-GB"/>
        </w:rPr>
        <w:t>sport</w:t>
      </w:r>
      <w:r w:rsidR="00435223" w:rsidRPr="00DB56CA">
        <w:rPr>
          <w:color w:val="000000"/>
          <w:lang w:val="en-GB"/>
        </w:rPr>
        <w:t>s</w:t>
      </w:r>
      <w:r w:rsidR="00C80AB1" w:rsidRPr="00DB56CA">
        <w:rPr>
          <w:color w:val="000000"/>
          <w:lang w:val="en-GB"/>
        </w:rPr>
        <w:t xml:space="preserve"> makes </w:t>
      </w:r>
      <w:r w:rsidR="00401CB7" w:rsidRPr="00DB56CA">
        <w:rPr>
          <w:color w:val="000000"/>
          <w:lang w:val="en-GB"/>
        </w:rPr>
        <w:t>group</w:t>
      </w:r>
      <w:r w:rsidR="001F6438" w:rsidRPr="00DB56CA">
        <w:rPr>
          <w:color w:val="000000"/>
          <w:lang w:val="en-GB"/>
        </w:rPr>
        <w:t xml:space="preserve"> session</w:t>
      </w:r>
      <w:r w:rsidR="00A95865" w:rsidRPr="00DB56CA">
        <w:rPr>
          <w:color w:val="000000"/>
          <w:lang w:val="en-GB"/>
        </w:rPr>
        <w:t>s</w:t>
      </w:r>
      <w:r w:rsidR="00C80AB1" w:rsidRPr="00DB56CA">
        <w:rPr>
          <w:color w:val="000000"/>
          <w:lang w:val="en-GB"/>
        </w:rPr>
        <w:t xml:space="preserve"> </w:t>
      </w:r>
      <w:r w:rsidR="001F6438" w:rsidRPr="00DB56CA">
        <w:rPr>
          <w:color w:val="000000"/>
          <w:lang w:val="en-GB"/>
        </w:rPr>
        <w:t xml:space="preserve">essential </w:t>
      </w:r>
      <w:r w:rsidR="00C80AB1" w:rsidRPr="00DB56CA">
        <w:rPr>
          <w:color w:val="000000"/>
          <w:lang w:val="en-GB"/>
        </w:rPr>
        <w:t xml:space="preserve">for appropriate match related </w:t>
      </w:r>
      <w:r w:rsidR="001F6438" w:rsidRPr="00DB56CA">
        <w:rPr>
          <w:color w:val="000000"/>
          <w:lang w:val="en-GB"/>
        </w:rPr>
        <w:t xml:space="preserve">and developmental </w:t>
      </w:r>
      <w:r w:rsidR="00C80AB1" w:rsidRPr="00DB56CA">
        <w:rPr>
          <w:color w:val="000000"/>
          <w:lang w:val="en-GB"/>
        </w:rPr>
        <w:t>adaptations</w:t>
      </w:r>
      <w:r w:rsidR="000C6FC3" w:rsidRPr="00DB56CA">
        <w:rPr>
          <w:color w:val="000000"/>
          <w:lang w:val="en-GB"/>
        </w:rPr>
        <w:t xml:space="preserve">. </w:t>
      </w:r>
      <w:r w:rsidR="00435223" w:rsidRPr="00DB56CA">
        <w:rPr>
          <w:color w:val="000000"/>
          <w:lang w:val="en-GB"/>
        </w:rPr>
        <w:t>Consequently, t</w:t>
      </w:r>
      <w:r w:rsidR="00047AE9" w:rsidRPr="00DB56CA">
        <w:rPr>
          <w:color w:val="000000"/>
          <w:lang w:val="en-GB"/>
        </w:rPr>
        <w:t xml:space="preserve">his makes it difficult to design training sessions to cater to </w:t>
      </w:r>
      <w:r w:rsidR="001F6438" w:rsidRPr="00DB56CA">
        <w:rPr>
          <w:color w:val="000000"/>
          <w:lang w:val="en-GB"/>
        </w:rPr>
        <w:t xml:space="preserve">each </w:t>
      </w:r>
      <w:r w:rsidR="00047AE9" w:rsidRPr="00DB56CA">
        <w:rPr>
          <w:color w:val="000000"/>
          <w:lang w:val="en-GB"/>
        </w:rPr>
        <w:t>in</w:t>
      </w:r>
      <w:r w:rsidR="009553CF" w:rsidRPr="00DB56CA">
        <w:rPr>
          <w:color w:val="000000"/>
          <w:lang w:val="en-GB"/>
        </w:rPr>
        <w:t>dividual player’s</w:t>
      </w:r>
      <w:r w:rsidR="002538B9" w:rsidRPr="00DB56CA">
        <w:rPr>
          <w:color w:val="000000"/>
          <w:lang w:val="en-GB"/>
        </w:rPr>
        <w:t xml:space="preserve"> requirements, leading</w:t>
      </w:r>
      <w:r w:rsidR="009859CB" w:rsidRPr="00DB56CA">
        <w:rPr>
          <w:color w:val="000000"/>
          <w:lang w:val="en-GB"/>
        </w:rPr>
        <w:t xml:space="preserve"> to varied inter-player responses</w:t>
      </w:r>
      <w:r w:rsidR="002221D9" w:rsidRPr="00DB56CA">
        <w:rPr>
          <w:color w:val="000000"/>
          <w:lang w:val="en-GB"/>
        </w:rPr>
        <w:t xml:space="preserve"> </w:t>
      </w:r>
      <w:r w:rsidR="00C80AB1" w:rsidRPr="00DB56CA">
        <w:rPr>
          <w:color w:val="000000"/>
          <w:lang w:val="en-GB"/>
        </w:rPr>
        <w:t>(</w:t>
      </w:r>
      <w:r w:rsidR="00103903" w:rsidRPr="00DB56CA">
        <w:rPr>
          <w:color w:val="000000"/>
          <w:lang w:val="en-GB"/>
        </w:rPr>
        <w:t>6</w:t>
      </w:r>
      <w:r w:rsidR="00C80AB1" w:rsidRPr="00DB56CA">
        <w:rPr>
          <w:color w:val="000000"/>
          <w:lang w:val="en-GB"/>
        </w:rPr>
        <w:t>)</w:t>
      </w:r>
      <w:r w:rsidR="00172201" w:rsidRPr="00DB56CA">
        <w:rPr>
          <w:color w:val="000000"/>
          <w:lang w:val="en-GB"/>
        </w:rPr>
        <w:t xml:space="preserve">. </w:t>
      </w:r>
      <w:r w:rsidR="009859CB" w:rsidRPr="00DB56CA">
        <w:rPr>
          <w:color w:val="000000"/>
          <w:lang w:val="en-GB"/>
        </w:rPr>
        <w:t xml:space="preserve">While the </w:t>
      </w:r>
      <w:r w:rsidR="00F83996" w:rsidRPr="00DB56CA">
        <w:rPr>
          <w:color w:val="000000"/>
          <w:lang w:val="en-GB"/>
        </w:rPr>
        <w:t>E</w:t>
      </w:r>
      <w:r w:rsidR="009859CB" w:rsidRPr="00DB56CA">
        <w:rPr>
          <w:color w:val="000000"/>
          <w:lang w:val="en-GB"/>
        </w:rPr>
        <w:t>xternal</w:t>
      </w:r>
      <w:r w:rsidR="006B036E" w:rsidRPr="00DB56CA">
        <w:rPr>
          <w:color w:val="000000"/>
          <w:lang w:val="en-GB"/>
        </w:rPr>
        <w:t xml:space="preserve"> </w:t>
      </w:r>
      <w:r w:rsidR="00F83996" w:rsidRPr="00DB56CA">
        <w:rPr>
          <w:color w:val="000000"/>
          <w:lang w:val="en-GB"/>
        </w:rPr>
        <w:t>T</w:t>
      </w:r>
      <w:r w:rsidR="006B036E" w:rsidRPr="00DB56CA">
        <w:rPr>
          <w:color w:val="000000"/>
          <w:lang w:val="en-GB"/>
        </w:rPr>
        <w:t>raining</w:t>
      </w:r>
      <w:r w:rsidR="009859CB" w:rsidRPr="00DB56CA">
        <w:rPr>
          <w:color w:val="000000"/>
          <w:lang w:val="en-GB"/>
        </w:rPr>
        <w:t xml:space="preserve"> </w:t>
      </w:r>
      <w:r w:rsidR="00F83996" w:rsidRPr="00DB56CA">
        <w:rPr>
          <w:color w:val="000000"/>
          <w:lang w:val="en-GB"/>
        </w:rPr>
        <w:t>L</w:t>
      </w:r>
      <w:r w:rsidR="009859CB" w:rsidRPr="00DB56CA">
        <w:rPr>
          <w:color w:val="000000"/>
          <w:lang w:val="en-GB"/>
        </w:rPr>
        <w:t>oad</w:t>
      </w:r>
      <w:r w:rsidR="006B036E" w:rsidRPr="00DB56CA">
        <w:rPr>
          <w:color w:val="000000"/>
          <w:lang w:val="en-GB"/>
        </w:rPr>
        <w:t xml:space="preserve"> (ETL)</w:t>
      </w:r>
      <w:r w:rsidR="009859CB" w:rsidRPr="00DB56CA">
        <w:rPr>
          <w:color w:val="000000"/>
          <w:lang w:val="en-GB"/>
        </w:rPr>
        <w:t xml:space="preserve"> for all players is the same, individual characte</w:t>
      </w:r>
      <w:r w:rsidR="00993893" w:rsidRPr="00DB56CA">
        <w:rPr>
          <w:color w:val="000000"/>
          <w:lang w:val="en-GB"/>
        </w:rPr>
        <w:t>ristics like base</w:t>
      </w:r>
      <w:r w:rsidR="004875CA" w:rsidRPr="00DB56CA">
        <w:rPr>
          <w:color w:val="000000"/>
          <w:lang w:val="en-GB"/>
        </w:rPr>
        <w:t>line fitness</w:t>
      </w:r>
      <w:r w:rsidR="009859CB" w:rsidRPr="00DB56CA">
        <w:rPr>
          <w:color w:val="000000"/>
          <w:lang w:val="en-GB"/>
        </w:rPr>
        <w:t>, illness, weather,</w:t>
      </w:r>
      <w:r w:rsidR="00D05DF0" w:rsidRPr="00DB56CA">
        <w:rPr>
          <w:color w:val="000000"/>
          <w:lang w:val="en-GB"/>
        </w:rPr>
        <w:t xml:space="preserve"> nutrition</w:t>
      </w:r>
      <w:r w:rsidR="009859CB" w:rsidRPr="00DB56CA">
        <w:rPr>
          <w:color w:val="000000"/>
          <w:lang w:val="en-GB"/>
        </w:rPr>
        <w:t>, cause different</w:t>
      </w:r>
      <w:r w:rsidR="00F539A2" w:rsidRPr="00DB56CA">
        <w:rPr>
          <w:color w:val="000000"/>
          <w:lang w:val="en-GB"/>
        </w:rPr>
        <w:t xml:space="preserve"> </w:t>
      </w:r>
      <w:r w:rsidR="00C0494D" w:rsidRPr="00DB56CA">
        <w:rPr>
          <w:color w:val="000000"/>
          <w:lang w:val="en-GB"/>
        </w:rPr>
        <w:t>adaptations</w:t>
      </w:r>
      <w:r w:rsidR="00F539A2" w:rsidRPr="00DB56CA">
        <w:rPr>
          <w:color w:val="000000"/>
          <w:lang w:val="en-GB"/>
        </w:rPr>
        <w:t xml:space="preserve"> among players </w:t>
      </w:r>
      <w:r w:rsidR="009859CB" w:rsidRPr="00DB56CA">
        <w:rPr>
          <w:color w:val="000000"/>
          <w:lang w:val="en-GB"/>
        </w:rPr>
        <w:t>(</w:t>
      </w:r>
      <w:r w:rsidR="00554E0B" w:rsidRPr="00DB56CA">
        <w:rPr>
          <w:color w:val="000000"/>
          <w:lang w:val="en-GB"/>
        </w:rPr>
        <w:t>16</w:t>
      </w:r>
      <w:r w:rsidR="009859CB" w:rsidRPr="00DB56CA">
        <w:rPr>
          <w:color w:val="000000"/>
          <w:lang w:val="en-GB"/>
        </w:rPr>
        <w:t>)</w:t>
      </w:r>
      <w:r w:rsidR="001C0E5E" w:rsidRPr="00DB56CA">
        <w:rPr>
          <w:color w:val="000000"/>
          <w:lang w:val="en-GB"/>
        </w:rPr>
        <w:t>.</w:t>
      </w:r>
      <w:r w:rsidR="00B06F9C" w:rsidRPr="00DB56CA">
        <w:rPr>
          <w:color w:val="000000"/>
          <w:lang w:val="en-GB"/>
        </w:rPr>
        <w:t xml:space="preserve"> </w:t>
      </w:r>
      <w:r w:rsidR="009859CB" w:rsidRPr="00DB56CA">
        <w:rPr>
          <w:color w:val="000000"/>
          <w:lang w:val="en-GB"/>
        </w:rPr>
        <w:t xml:space="preserve">For the same </w:t>
      </w:r>
      <w:r w:rsidR="006B036E" w:rsidRPr="00DB56CA">
        <w:rPr>
          <w:color w:val="000000"/>
          <w:lang w:val="en-GB"/>
        </w:rPr>
        <w:t>ETL (training drills)</w:t>
      </w:r>
      <w:r w:rsidR="00FE6FBF" w:rsidRPr="00DB56CA">
        <w:rPr>
          <w:color w:val="000000"/>
          <w:lang w:val="en-GB"/>
        </w:rPr>
        <w:t>,</w:t>
      </w:r>
      <w:r w:rsidR="009859CB" w:rsidRPr="00DB56CA">
        <w:rPr>
          <w:color w:val="000000"/>
          <w:lang w:val="en-GB"/>
        </w:rPr>
        <w:t xml:space="preserve"> players experience different internal </w:t>
      </w:r>
      <w:r w:rsidR="006B036E" w:rsidRPr="00DB56CA">
        <w:rPr>
          <w:color w:val="000000"/>
          <w:lang w:val="en-GB"/>
        </w:rPr>
        <w:t xml:space="preserve">training </w:t>
      </w:r>
      <w:r w:rsidR="009859CB" w:rsidRPr="00DB56CA">
        <w:rPr>
          <w:color w:val="000000"/>
          <w:lang w:val="en-GB"/>
        </w:rPr>
        <w:t>loads</w:t>
      </w:r>
      <w:r w:rsidR="006B036E" w:rsidRPr="00DB56CA">
        <w:rPr>
          <w:color w:val="000000"/>
          <w:lang w:val="en-GB"/>
        </w:rPr>
        <w:t xml:space="preserve"> (response to ETL)</w:t>
      </w:r>
      <w:r w:rsidR="00172201" w:rsidRPr="00DB56CA">
        <w:rPr>
          <w:color w:val="000000"/>
          <w:lang w:val="en-GB"/>
        </w:rPr>
        <w:t>.</w:t>
      </w:r>
      <w:r w:rsidR="007C03C7" w:rsidRPr="00DB56CA">
        <w:rPr>
          <w:color w:val="000000"/>
          <w:lang w:val="en-GB"/>
        </w:rPr>
        <w:t xml:space="preserve"> </w:t>
      </w:r>
      <w:r w:rsidR="00E27932" w:rsidRPr="00DB56CA">
        <w:rPr>
          <w:color w:val="000000" w:themeColor="text1"/>
          <w:lang w:val="en-GB"/>
        </w:rPr>
        <w:t>P</w:t>
      </w:r>
      <w:r w:rsidR="00FE6FBF" w:rsidRPr="00DB56CA">
        <w:rPr>
          <w:color w:val="000000"/>
          <w:lang w:val="en-GB"/>
        </w:rPr>
        <w:t xml:space="preserve">layers with higher levels of fitness often do not receive </w:t>
      </w:r>
      <w:r w:rsidR="0007643F" w:rsidRPr="00DB56CA">
        <w:rPr>
          <w:color w:val="000000"/>
          <w:lang w:val="en-GB"/>
        </w:rPr>
        <w:t xml:space="preserve">sufficient </w:t>
      </w:r>
      <w:r w:rsidR="00FE6FBF" w:rsidRPr="00DB56CA">
        <w:rPr>
          <w:color w:val="000000"/>
          <w:lang w:val="en-GB"/>
        </w:rPr>
        <w:t>stimulus to improve their fitness levels during group training sessions (</w:t>
      </w:r>
      <w:r w:rsidR="00554E0B" w:rsidRPr="00DB56CA">
        <w:rPr>
          <w:color w:val="000000"/>
          <w:lang w:val="en-GB"/>
        </w:rPr>
        <w:t>14</w:t>
      </w:r>
      <w:r w:rsidR="00E27932" w:rsidRPr="00DB56CA">
        <w:rPr>
          <w:color w:val="000000"/>
          <w:lang w:val="en-GB"/>
        </w:rPr>
        <w:t>) while</w:t>
      </w:r>
      <w:r w:rsidR="00FE6FBF" w:rsidRPr="00DB56CA">
        <w:rPr>
          <w:color w:val="000000"/>
          <w:lang w:val="en-GB"/>
        </w:rPr>
        <w:t xml:space="preserve"> players with lower fitness levels show increased stress, fatigue and </w:t>
      </w:r>
      <w:r w:rsidR="00D80619" w:rsidRPr="00DB56CA">
        <w:rPr>
          <w:color w:val="000000"/>
          <w:lang w:val="en-GB"/>
        </w:rPr>
        <w:t xml:space="preserve">potential risk of </w:t>
      </w:r>
      <w:r w:rsidR="00FE6FBF" w:rsidRPr="00DB56CA">
        <w:rPr>
          <w:color w:val="000000"/>
          <w:lang w:val="en-GB"/>
        </w:rPr>
        <w:t>injury (</w:t>
      </w:r>
      <w:r w:rsidR="00577B53" w:rsidRPr="00DB56CA">
        <w:rPr>
          <w:color w:val="000000"/>
          <w:lang w:val="en-GB"/>
        </w:rPr>
        <w:t>2</w:t>
      </w:r>
      <w:r w:rsidR="00FE6FBF" w:rsidRPr="00DB56CA">
        <w:rPr>
          <w:color w:val="000000"/>
          <w:lang w:val="en-GB"/>
        </w:rPr>
        <w:t>)</w:t>
      </w:r>
      <w:r w:rsidR="00172201" w:rsidRPr="00DB56CA">
        <w:rPr>
          <w:color w:val="000000"/>
          <w:lang w:val="en-GB"/>
        </w:rPr>
        <w:t>.</w:t>
      </w:r>
      <w:r w:rsidR="000D47DC" w:rsidRPr="00DB56CA">
        <w:rPr>
          <w:color w:val="000000"/>
          <w:lang w:val="en-GB"/>
        </w:rPr>
        <w:t xml:space="preserve"> T</w:t>
      </w:r>
      <w:r w:rsidR="00FE6FBF" w:rsidRPr="00DB56CA">
        <w:rPr>
          <w:color w:val="000000"/>
          <w:lang w:val="en-GB"/>
        </w:rPr>
        <w:t>o ascertain appropriate load on each player throughout the season</w:t>
      </w:r>
      <w:r w:rsidR="004E0AD3" w:rsidRPr="00DB56CA">
        <w:rPr>
          <w:color w:val="000000"/>
          <w:lang w:val="en-GB"/>
        </w:rPr>
        <w:t>,</w:t>
      </w:r>
      <w:r w:rsidR="00053D5B" w:rsidRPr="00DB56CA">
        <w:rPr>
          <w:color w:val="000000"/>
          <w:lang w:val="en-GB"/>
        </w:rPr>
        <w:t xml:space="preserve"> it is imp</w:t>
      </w:r>
      <w:r w:rsidR="00435223" w:rsidRPr="00DB56CA">
        <w:rPr>
          <w:color w:val="000000"/>
          <w:lang w:val="en-GB"/>
        </w:rPr>
        <w:t>ortant</w:t>
      </w:r>
      <w:r w:rsidR="00053D5B" w:rsidRPr="00DB56CA">
        <w:rPr>
          <w:color w:val="000000"/>
          <w:lang w:val="en-GB"/>
        </w:rPr>
        <w:t xml:space="preserve"> to monitor the training load on individual players</w:t>
      </w:r>
      <w:r w:rsidR="00FE6FBF" w:rsidRPr="00DB56CA">
        <w:rPr>
          <w:color w:val="000000"/>
          <w:lang w:val="en-GB"/>
        </w:rPr>
        <w:t>.</w:t>
      </w:r>
    </w:p>
    <w:p w14:paraId="6365E3CE" w14:textId="309EC3BC" w:rsidR="007B58EE" w:rsidRPr="00DB56CA" w:rsidRDefault="00435223" w:rsidP="001B35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afterAutospacing="1" w:line="480" w:lineRule="auto"/>
        <w:contextualSpacing/>
        <w:jc w:val="both"/>
        <w:rPr>
          <w:color w:val="000000"/>
          <w:lang w:val="en-GB"/>
        </w:rPr>
      </w:pPr>
      <w:r w:rsidRPr="00DB56CA">
        <w:rPr>
          <w:color w:val="000000"/>
          <w:lang w:val="en-GB"/>
        </w:rPr>
        <w:t xml:space="preserve">Research has </w:t>
      </w:r>
      <w:r w:rsidR="007B135C" w:rsidRPr="00DB56CA">
        <w:rPr>
          <w:color w:val="000000"/>
          <w:lang w:val="en-GB"/>
        </w:rPr>
        <w:t>s</w:t>
      </w:r>
      <w:r w:rsidRPr="00DB56CA">
        <w:rPr>
          <w:color w:val="000000"/>
          <w:lang w:val="en-GB"/>
        </w:rPr>
        <w:t>hown</w:t>
      </w:r>
      <w:r w:rsidR="007B135C" w:rsidRPr="00DB56CA">
        <w:rPr>
          <w:color w:val="000000"/>
          <w:lang w:val="en-GB"/>
        </w:rPr>
        <w:t xml:space="preserve"> that rather than the </w:t>
      </w:r>
      <w:r w:rsidR="004E0AD3" w:rsidRPr="00DB56CA">
        <w:rPr>
          <w:color w:val="000000"/>
          <w:lang w:val="en-GB"/>
        </w:rPr>
        <w:t>ETL</w:t>
      </w:r>
      <w:r w:rsidR="007B135C" w:rsidRPr="00DB56CA">
        <w:rPr>
          <w:color w:val="000000"/>
          <w:lang w:val="en-GB"/>
        </w:rPr>
        <w:t>, it is the</w:t>
      </w:r>
      <w:r w:rsidR="006B036E" w:rsidRPr="00DB56CA">
        <w:rPr>
          <w:color w:val="000000"/>
          <w:lang w:val="en-GB"/>
        </w:rPr>
        <w:t xml:space="preserve"> player specific</w:t>
      </w:r>
      <w:r w:rsidR="000772B9" w:rsidRPr="00DB56CA">
        <w:rPr>
          <w:color w:val="000000"/>
          <w:lang w:val="en-GB"/>
        </w:rPr>
        <w:t xml:space="preserve"> internal response to the external</w:t>
      </w:r>
      <w:r w:rsidR="007B135C" w:rsidRPr="00DB56CA">
        <w:rPr>
          <w:color w:val="000000"/>
          <w:lang w:val="en-GB"/>
        </w:rPr>
        <w:t xml:space="preserve"> load that causes changes in fitness (</w:t>
      </w:r>
      <w:r w:rsidR="00103903" w:rsidRPr="00DB56CA">
        <w:rPr>
          <w:color w:val="000000"/>
          <w:lang w:val="en-GB"/>
        </w:rPr>
        <w:t xml:space="preserve">5, </w:t>
      </w:r>
      <w:r w:rsidR="00554E0B" w:rsidRPr="00DB56CA">
        <w:rPr>
          <w:color w:val="000000"/>
          <w:lang w:val="en-GB"/>
        </w:rPr>
        <w:t>14</w:t>
      </w:r>
      <w:r w:rsidR="00103903" w:rsidRPr="00DB56CA">
        <w:rPr>
          <w:color w:val="000000"/>
          <w:lang w:val="en-GB"/>
        </w:rPr>
        <w:t xml:space="preserve">, </w:t>
      </w:r>
      <w:r w:rsidR="00554E0B" w:rsidRPr="00DB56CA">
        <w:rPr>
          <w:color w:val="000000"/>
          <w:lang w:val="en-GB"/>
        </w:rPr>
        <w:t>16</w:t>
      </w:r>
      <w:r w:rsidR="00103903" w:rsidRPr="00DB56CA">
        <w:rPr>
          <w:color w:val="000000"/>
          <w:lang w:val="en-GB"/>
        </w:rPr>
        <w:t>)</w:t>
      </w:r>
      <w:r w:rsidR="00172201" w:rsidRPr="00DB56CA">
        <w:rPr>
          <w:color w:val="000000"/>
          <w:lang w:val="en-GB"/>
        </w:rPr>
        <w:t xml:space="preserve">. </w:t>
      </w:r>
      <w:r w:rsidR="004875CA" w:rsidRPr="00DB56CA">
        <w:rPr>
          <w:color w:val="000000"/>
          <w:lang w:val="en-GB"/>
        </w:rPr>
        <w:t>W</w:t>
      </w:r>
      <w:r w:rsidR="00266EC0" w:rsidRPr="00DB56CA">
        <w:rPr>
          <w:color w:val="000000"/>
          <w:lang w:val="en-GB"/>
        </w:rPr>
        <w:t xml:space="preserve">ith the demand for consistent performance throughout the season, teams commonly use </w:t>
      </w:r>
      <w:r w:rsidR="007B135C" w:rsidRPr="00DB56CA">
        <w:rPr>
          <w:color w:val="000000"/>
          <w:lang w:val="en-GB"/>
        </w:rPr>
        <w:t xml:space="preserve">measures of </w:t>
      </w:r>
      <w:r w:rsidR="00266EC0" w:rsidRPr="00DB56CA">
        <w:rPr>
          <w:color w:val="000000"/>
          <w:lang w:val="en-GB"/>
        </w:rPr>
        <w:t>I</w:t>
      </w:r>
      <w:r w:rsidR="003435A3" w:rsidRPr="00DB56CA">
        <w:rPr>
          <w:color w:val="000000"/>
          <w:lang w:val="en-GB"/>
        </w:rPr>
        <w:t>TL as marker</w:t>
      </w:r>
      <w:r w:rsidR="00FC1E3B" w:rsidRPr="00DB56CA">
        <w:rPr>
          <w:color w:val="000000"/>
          <w:lang w:val="en-GB"/>
        </w:rPr>
        <w:t>s</w:t>
      </w:r>
      <w:r w:rsidR="003435A3" w:rsidRPr="00DB56CA">
        <w:rPr>
          <w:color w:val="000000"/>
          <w:lang w:val="en-GB"/>
        </w:rPr>
        <w:t xml:space="preserve"> of match fitness and</w:t>
      </w:r>
      <w:r w:rsidR="00266EC0" w:rsidRPr="00DB56CA">
        <w:rPr>
          <w:color w:val="000000"/>
          <w:lang w:val="en-GB"/>
        </w:rPr>
        <w:t xml:space="preserve"> fatigue levels</w:t>
      </w:r>
      <w:r w:rsidR="003435A3" w:rsidRPr="00DB56CA">
        <w:rPr>
          <w:color w:val="000000"/>
          <w:lang w:val="en-GB"/>
        </w:rPr>
        <w:t xml:space="preserve"> (</w:t>
      </w:r>
      <w:r w:rsidR="00554E0B" w:rsidRPr="00DB56CA">
        <w:rPr>
          <w:color w:val="000000"/>
          <w:lang w:val="en-GB"/>
        </w:rPr>
        <w:t>13</w:t>
      </w:r>
      <w:r w:rsidR="00103903" w:rsidRPr="00DB56CA">
        <w:rPr>
          <w:color w:val="000000"/>
          <w:lang w:val="en-GB"/>
        </w:rPr>
        <w:t>,</w:t>
      </w:r>
      <w:r w:rsidR="00916DD6" w:rsidRPr="00DB56CA">
        <w:rPr>
          <w:color w:val="000000"/>
          <w:lang w:val="en-GB"/>
        </w:rPr>
        <w:t xml:space="preserve"> </w:t>
      </w:r>
      <w:r w:rsidR="00554E0B" w:rsidRPr="00DB56CA">
        <w:rPr>
          <w:color w:val="000000"/>
          <w:lang w:val="en-GB"/>
        </w:rPr>
        <w:t>16</w:t>
      </w:r>
      <w:r w:rsidR="003435A3" w:rsidRPr="00DB56CA">
        <w:rPr>
          <w:color w:val="000000"/>
          <w:lang w:val="en-GB"/>
        </w:rPr>
        <w:t>)</w:t>
      </w:r>
      <w:r w:rsidR="001C0E5E" w:rsidRPr="00DB56CA">
        <w:rPr>
          <w:color w:val="000000"/>
          <w:lang w:val="en-GB"/>
        </w:rPr>
        <w:t xml:space="preserve">. </w:t>
      </w:r>
      <w:r w:rsidR="004875CA" w:rsidRPr="00DB56CA">
        <w:rPr>
          <w:color w:val="000000"/>
          <w:lang w:val="en-GB"/>
        </w:rPr>
        <w:t>ITL</w:t>
      </w:r>
      <w:r w:rsidR="00266EC0" w:rsidRPr="00DB56CA">
        <w:rPr>
          <w:color w:val="000000"/>
          <w:lang w:val="en-GB"/>
        </w:rPr>
        <w:t xml:space="preserve"> is quantified</w:t>
      </w:r>
      <w:r w:rsidR="00ED6F4C" w:rsidRPr="00DB56CA">
        <w:rPr>
          <w:color w:val="000000"/>
          <w:lang w:val="en-GB"/>
        </w:rPr>
        <w:t xml:space="preserve"> </w:t>
      </w:r>
      <w:r w:rsidR="00266EC0" w:rsidRPr="00DB56CA">
        <w:rPr>
          <w:color w:val="000000"/>
          <w:lang w:val="en-GB"/>
        </w:rPr>
        <w:t>as the product of exercise intensity and duration of the exercise</w:t>
      </w:r>
      <w:r w:rsidR="00ED6F4C" w:rsidRPr="00DB56CA">
        <w:rPr>
          <w:color w:val="000000"/>
          <w:lang w:val="en-GB"/>
        </w:rPr>
        <w:t xml:space="preserve"> (Eq. 1)</w:t>
      </w:r>
      <w:r w:rsidRPr="00DB56CA">
        <w:rPr>
          <w:color w:val="000000"/>
          <w:lang w:val="en-GB"/>
        </w:rPr>
        <w:t>;</w:t>
      </w:r>
      <w:r w:rsidR="001C0E5E" w:rsidRPr="00DB56CA">
        <w:rPr>
          <w:color w:val="000000"/>
          <w:lang w:val="en-GB"/>
        </w:rPr>
        <w:t xml:space="preserve"> </w:t>
      </w:r>
    </w:p>
    <w:p w14:paraId="784B08F4" w14:textId="77777777" w:rsidR="006F4F7E" w:rsidRPr="00DB56CA" w:rsidRDefault="006F4F7E" w:rsidP="00A418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afterAutospacing="1" w:line="480" w:lineRule="auto"/>
        <w:contextualSpacing/>
        <w:jc w:val="center"/>
        <w:rPr>
          <w:bCs/>
          <w:i/>
          <w:iCs/>
          <w:color w:val="000000"/>
          <w:lang w:val="en-GB"/>
        </w:rPr>
      </w:pPr>
    </w:p>
    <w:p w14:paraId="0BE827CE" w14:textId="1C93A35C" w:rsidR="007B58EE" w:rsidRPr="00DB56CA" w:rsidRDefault="00266EC0" w:rsidP="00A418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afterAutospacing="1" w:line="480" w:lineRule="auto"/>
        <w:contextualSpacing/>
        <w:jc w:val="center"/>
        <w:rPr>
          <w:color w:val="000000"/>
          <w:lang w:val="en-GB"/>
        </w:rPr>
      </w:pPr>
      <w:r w:rsidRPr="00DB56CA">
        <w:rPr>
          <w:bCs/>
          <w:i/>
          <w:iCs/>
          <w:color w:val="000000"/>
          <w:lang w:val="en-GB"/>
        </w:rPr>
        <w:lastRenderedPageBreak/>
        <w:t>Internal training Load (AU) = exercise intensity</w:t>
      </w:r>
      <w:r w:rsidR="00FE6FBF" w:rsidRPr="00DB56CA">
        <w:rPr>
          <w:bCs/>
          <w:i/>
          <w:iCs/>
          <w:color w:val="000000"/>
          <w:lang w:val="en-GB"/>
        </w:rPr>
        <w:t xml:space="preserve"> </w:t>
      </w:r>
      <w:r w:rsidR="00F04732" w:rsidRPr="00DB56CA">
        <w:rPr>
          <w:bCs/>
          <w:i/>
          <w:iCs/>
          <w:color w:val="000000"/>
          <w:lang w:val="en-GB"/>
        </w:rPr>
        <w:t>(AU) x duration of exercise</w:t>
      </w:r>
      <w:r w:rsidR="00FE6FBF" w:rsidRPr="00DB56CA">
        <w:rPr>
          <w:bCs/>
          <w:i/>
          <w:iCs/>
          <w:color w:val="000000"/>
          <w:lang w:val="en-GB"/>
        </w:rPr>
        <w:t xml:space="preserve"> </w:t>
      </w:r>
      <w:r w:rsidR="00F04732" w:rsidRPr="00DB56CA">
        <w:rPr>
          <w:bCs/>
          <w:i/>
          <w:iCs/>
          <w:color w:val="000000"/>
          <w:lang w:val="en-GB"/>
        </w:rPr>
        <w:t>(min</w:t>
      </w:r>
      <w:r w:rsidRPr="00DB56CA">
        <w:rPr>
          <w:bCs/>
          <w:i/>
          <w:iCs/>
          <w:color w:val="000000"/>
          <w:lang w:val="en-GB"/>
        </w:rPr>
        <w:t>)</w:t>
      </w:r>
      <w:r w:rsidR="00435223" w:rsidRPr="00DB56CA">
        <w:rPr>
          <w:bCs/>
          <w:i/>
          <w:iCs/>
          <w:color w:val="000000"/>
          <w:lang w:val="en-GB"/>
        </w:rPr>
        <w:t xml:space="preserve"> </w:t>
      </w:r>
      <w:r w:rsidR="00435223" w:rsidRPr="00DB56CA">
        <w:rPr>
          <w:bCs/>
          <w:i/>
          <w:iCs/>
          <w:color w:val="000000"/>
          <w:lang w:val="en-GB"/>
        </w:rPr>
        <w:tab/>
      </w:r>
      <w:r w:rsidR="00435223" w:rsidRPr="00DB56CA">
        <w:rPr>
          <w:bCs/>
          <w:i/>
          <w:iCs/>
          <w:color w:val="000000"/>
          <w:lang w:val="en-GB"/>
        </w:rPr>
        <w:tab/>
      </w:r>
      <w:r w:rsidR="00435223" w:rsidRPr="00DB56CA">
        <w:rPr>
          <w:bCs/>
          <w:i/>
          <w:iCs/>
          <w:color w:val="000000"/>
          <w:lang w:val="en-GB"/>
        </w:rPr>
        <w:tab/>
      </w:r>
      <w:r w:rsidR="00435223" w:rsidRPr="00DB56CA">
        <w:rPr>
          <w:bCs/>
          <w:i/>
          <w:iCs/>
          <w:color w:val="000000"/>
          <w:lang w:val="en-GB"/>
        </w:rPr>
        <w:tab/>
      </w:r>
      <w:r w:rsidR="00435223" w:rsidRPr="00DB56CA">
        <w:rPr>
          <w:bCs/>
          <w:i/>
          <w:iCs/>
          <w:color w:val="000000"/>
          <w:lang w:val="en-GB"/>
        </w:rPr>
        <w:tab/>
      </w:r>
      <w:r w:rsidR="00435223" w:rsidRPr="00DB56CA">
        <w:rPr>
          <w:bCs/>
          <w:i/>
          <w:iCs/>
          <w:color w:val="000000"/>
          <w:lang w:val="en-GB"/>
        </w:rPr>
        <w:tab/>
      </w:r>
      <w:r w:rsidR="00435223" w:rsidRPr="00DB56CA">
        <w:rPr>
          <w:bCs/>
          <w:i/>
          <w:iCs/>
          <w:color w:val="000000"/>
          <w:lang w:val="en-GB"/>
        </w:rPr>
        <w:tab/>
      </w:r>
      <w:r w:rsidR="00435223" w:rsidRPr="00DB56CA">
        <w:rPr>
          <w:bCs/>
          <w:i/>
          <w:iCs/>
          <w:color w:val="000000"/>
          <w:lang w:val="en-GB"/>
        </w:rPr>
        <w:tab/>
      </w:r>
      <w:r w:rsidR="00435223" w:rsidRPr="00DB56CA">
        <w:rPr>
          <w:bCs/>
          <w:i/>
          <w:iCs/>
          <w:color w:val="000000"/>
          <w:lang w:val="en-GB"/>
        </w:rPr>
        <w:tab/>
      </w:r>
      <w:r w:rsidR="00435223" w:rsidRPr="00DB56CA">
        <w:rPr>
          <w:bCs/>
          <w:i/>
          <w:iCs/>
          <w:color w:val="000000"/>
          <w:lang w:val="en-GB"/>
        </w:rPr>
        <w:tab/>
      </w:r>
      <w:r w:rsidR="00435223" w:rsidRPr="00DB56CA">
        <w:rPr>
          <w:bCs/>
          <w:i/>
          <w:iCs/>
          <w:color w:val="000000"/>
          <w:lang w:val="en-GB"/>
        </w:rPr>
        <w:tab/>
      </w:r>
      <w:r w:rsidR="00435223" w:rsidRPr="00DB56CA">
        <w:rPr>
          <w:bCs/>
          <w:i/>
          <w:iCs/>
          <w:color w:val="000000"/>
          <w:lang w:val="en-GB"/>
        </w:rPr>
        <w:tab/>
      </w:r>
      <w:r w:rsidR="00435223" w:rsidRPr="00DB56CA">
        <w:rPr>
          <w:bCs/>
          <w:i/>
          <w:iCs/>
          <w:color w:val="000000"/>
          <w:lang w:val="en-GB"/>
        </w:rPr>
        <w:tab/>
        <w:t>(Eq.1)</w:t>
      </w:r>
    </w:p>
    <w:p w14:paraId="52CC4307" w14:textId="386D56AF" w:rsidR="007B58EE" w:rsidRPr="00DB56CA" w:rsidRDefault="00ED6F4C" w:rsidP="001B35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afterAutospacing="1" w:line="480" w:lineRule="auto"/>
        <w:contextualSpacing/>
        <w:jc w:val="both"/>
        <w:rPr>
          <w:color w:val="000000"/>
          <w:lang w:val="en-GB"/>
        </w:rPr>
      </w:pPr>
      <w:r w:rsidRPr="00DB56CA">
        <w:rPr>
          <w:color w:val="000000"/>
          <w:lang w:val="en-GB"/>
        </w:rPr>
        <w:t>Thus, t</w:t>
      </w:r>
      <w:r w:rsidR="00435223" w:rsidRPr="00DB56CA">
        <w:rPr>
          <w:color w:val="000000"/>
          <w:lang w:val="en-GB"/>
        </w:rPr>
        <w:t>he duration is the</w:t>
      </w:r>
      <w:r w:rsidRPr="00DB56CA">
        <w:rPr>
          <w:color w:val="000000"/>
          <w:lang w:val="en-GB"/>
        </w:rPr>
        <w:t xml:space="preserve"> same for all the players, whilst the</w:t>
      </w:r>
      <w:r w:rsidR="00435223" w:rsidRPr="00DB56CA">
        <w:rPr>
          <w:color w:val="000000"/>
          <w:lang w:val="en-GB"/>
        </w:rPr>
        <w:t xml:space="preserve"> intensity varies.</w:t>
      </w:r>
      <w:r w:rsidR="00F83996" w:rsidRPr="00DB56CA">
        <w:rPr>
          <w:color w:val="000000"/>
          <w:lang w:val="en-GB"/>
        </w:rPr>
        <w:t xml:space="preserve"> T</w:t>
      </w:r>
      <w:r w:rsidR="00266EC0" w:rsidRPr="00DB56CA">
        <w:rPr>
          <w:color w:val="000000"/>
          <w:lang w:val="en-GB"/>
        </w:rPr>
        <w:t xml:space="preserve">he most commonly used methods to monitor ITL in </w:t>
      </w:r>
      <w:r w:rsidR="007F2E73" w:rsidRPr="00DB56CA">
        <w:rPr>
          <w:color w:val="000000"/>
          <w:lang w:val="en-GB"/>
        </w:rPr>
        <w:t>soccer</w:t>
      </w:r>
      <w:r w:rsidR="00266EC0" w:rsidRPr="00DB56CA">
        <w:rPr>
          <w:color w:val="000000"/>
          <w:lang w:val="en-GB"/>
        </w:rPr>
        <w:t xml:space="preserve"> are </w:t>
      </w:r>
      <w:r w:rsidR="00F83996" w:rsidRPr="00DB56CA">
        <w:rPr>
          <w:color w:val="000000"/>
          <w:lang w:val="en-GB"/>
        </w:rPr>
        <w:t>HR</w:t>
      </w:r>
      <w:r w:rsidR="00266EC0" w:rsidRPr="00DB56CA">
        <w:rPr>
          <w:color w:val="000000"/>
          <w:lang w:val="en-GB"/>
        </w:rPr>
        <w:t xml:space="preserve"> based estimations and perception </w:t>
      </w:r>
      <w:r w:rsidR="006A2052" w:rsidRPr="00DB56CA">
        <w:rPr>
          <w:color w:val="000000"/>
          <w:lang w:val="en-GB"/>
        </w:rPr>
        <w:t>of effort based estimations</w:t>
      </w:r>
      <w:r w:rsidR="00FE6FBF" w:rsidRPr="00DB56CA">
        <w:rPr>
          <w:color w:val="000000"/>
          <w:lang w:val="en-GB"/>
        </w:rPr>
        <w:t xml:space="preserve"> (</w:t>
      </w:r>
      <w:r w:rsidR="00E56DC7" w:rsidRPr="00DB56CA">
        <w:rPr>
          <w:color w:val="000000"/>
          <w:lang w:val="en-GB"/>
        </w:rPr>
        <w:t>2</w:t>
      </w:r>
      <w:r w:rsidR="000476E0" w:rsidRPr="00DB56CA">
        <w:rPr>
          <w:color w:val="000000"/>
          <w:lang w:val="en-GB"/>
        </w:rPr>
        <w:t>1</w:t>
      </w:r>
      <w:r w:rsidR="00FE6FBF" w:rsidRPr="00DB56CA">
        <w:rPr>
          <w:color w:val="000000"/>
          <w:lang w:val="en-GB"/>
        </w:rPr>
        <w:t>)</w:t>
      </w:r>
      <w:r w:rsidR="00172201" w:rsidRPr="00DB56CA">
        <w:rPr>
          <w:color w:val="000000"/>
          <w:lang w:val="en-GB"/>
        </w:rPr>
        <w:t xml:space="preserve">. </w:t>
      </w:r>
      <w:r w:rsidR="00565880" w:rsidRPr="00DB56CA">
        <w:rPr>
          <w:color w:val="000000"/>
          <w:lang w:val="en-GB"/>
        </w:rPr>
        <w:t>HR</w:t>
      </w:r>
      <w:r w:rsidR="002221D9" w:rsidRPr="00DB56CA">
        <w:rPr>
          <w:color w:val="000000"/>
          <w:lang w:val="en-GB"/>
        </w:rPr>
        <w:t xml:space="preserve"> is</w:t>
      </w:r>
      <w:r w:rsidR="00C3518D" w:rsidRPr="00DB56CA">
        <w:rPr>
          <w:color w:val="000000"/>
          <w:lang w:val="en-GB"/>
        </w:rPr>
        <w:t xml:space="preserve"> a non-intrusive</w:t>
      </w:r>
      <w:r w:rsidR="002221D9" w:rsidRPr="00DB56CA">
        <w:rPr>
          <w:color w:val="000000"/>
          <w:lang w:val="en-GB"/>
        </w:rPr>
        <w:t xml:space="preserve"> measure</w:t>
      </w:r>
      <w:r w:rsidR="000D2CB4" w:rsidRPr="00DB56CA">
        <w:rPr>
          <w:color w:val="000000"/>
          <w:lang w:val="en-GB"/>
        </w:rPr>
        <w:t xml:space="preserve"> of physiological response</w:t>
      </w:r>
      <w:r w:rsidR="002221D9" w:rsidRPr="00DB56CA">
        <w:rPr>
          <w:color w:val="000000"/>
          <w:lang w:val="en-GB"/>
        </w:rPr>
        <w:t xml:space="preserve"> and is</w:t>
      </w:r>
      <w:r w:rsidR="006A2052" w:rsidRPr="00DB56CA">
        <w:rPr>
          <w:color w:val="000000"/>
          <w:lang w:val="en-GB"/>
        </w:rPr>
        <w:t xml:space="preserve"> monitored using HR transmitter belts worn by the players</w:t>
      </w:r>
      <w:r w:rsidR="000D2CB4" w:rsidRPr="00DB56CA">
        <w:rPr>
          <w:color w:val="000000"/>
          <w:lang w:val="en-GB"/>
        </w:rPr>
        <w:t xml:space="preserve"> (</w:t>
      </w:r>
      <w:r w:rsidR="004A14C0" w:rsidRPr="00DB56CA">
        <w:rPr>
          <w:color w:val="000000"/>
          <w:lang w:val="en-GB"/>
        </w:rPr>
        <w:t>2</w:t>
      </w:r>
      <w:r w:rsidR="000476E0" w:rsidRPr="00DB56CA">
        <w:rPr>
          <w:color w:val="000000"/>
          <w:lang w:val="en-GB"/>
        </w:rPr>
        <w:t>3</w:t>
      </w:r>
      <w:r w:rsidR="000D2CB4" w:rsidRPr="00DB56CA">
        <w:rPr>
          <w:color w:val="000000"/>
          <w:lang w:val="en-GB"/>
        </w:rPr>
        <w:t>)</w:t>
      </w:r>
      <w:r w:rsidR="00172201" w:rsidRPr="00DB56CA">
        <w:rPr>
          <w:color w:val="000000"/>
          <w:lang w:val="en-GB"/>
        </w:rPr>
        <w:t xml:space="preserve">. </w:t>
      </w:r>
      <w:r w:rsidR="006A2052" w:rsidRPr="00DB56CA">
        <w:rPr>
          <w:color w:val="000000"/>
          <w:lang w:val="en-GB"/>
        </w:rPr>
        <w:t>HR</w:t>
      </w:r>
      <w:r w:rsidR="00565880" w:rsidRPr="00DB56CA">
        <w:rPr>
          <w:color w:val="000000"/>
          <w:lang w:val="en-GB"/>
        </w:rPr>
        <w:t xml:space="preserve"> demonstrates a nearly linear relationship with VO</w:t>
      </w:r>
      <w:r w:rsidR="00565880" w:rsidRPr="00DB56CA">
        <w:rPr>
          <w:color w:val="000000"/>
          <w:vertAlign w:val="subscript"/>
          <w:lang w:val="en-GB"/>
        </w:rPr>
        <w:t xml:space="preserve">2 </w:t>
      </w:r>
      <w:r w:rsidR="00565880" w:rsidRPr="00DB56CA">
        <w:rPr>
          <w:color w:val="000000"/>
          <w:lang w:val="en-GB"/>
        </w:rPr>
        <w:t>over a wide range of steady-state submaximal exercise intensities</w:t>
      </w:r>
      <w:r w:rsidR="002221D9" w:rsidRPr="00DB56CA">
        <w:rPr>
          <w:color w:val="000000"/>
          <w:lang w:val="en-GB"/>
        </w:rPr>
        <w:t xml:space="preserve"> </w:t>
      </w:r>
      <w:r w:rsidR="00671F1B" w:rsidRPr="00DB56CA">
        <w:rPr>
          <w:color w:val="000000"/>
          <w:lang w:val="en-GB"/>
        </w:rPr>
        <w:t xml:space="preserve">and </w:t>
      </w:r>
      <w:r w:rsidR="007B135C" w:rsidRPr="00DB56CA">
        <w:rPr>
          <w:color w:val="000000"/>
          <w:lang w:val="en-GB"/>
        </w:rPr>
        <w:t xml:space="preserve">is considered a </w:t>
      </w:r>
      <w:r w:rsidR="002A7355" w:rsidRPr="00DB56CA">
        <w:rPr>
          <w:color w:val="000000"/>
          <w:lang w:val="en-GB"/>
        </w:rPr>
        <w:t xml:space="preserve">reliable measure of </w:t>
      </w:r>
      <w:r w:rsidR="00D711C9" w:rsidRPr="00DB56CA">
        <w:rPr>
          <w:color w:val="000000"/>
          <w:lang w:val="en-GB"/>
        </w:rPr>
        <w:t xml:space="preserve">aerobic </w:t>
      </w:r>
      <w:r w:rsidR="009F4038" w:rsidRPr="00DB56CA">
        <w:rPr>
          <w:color w:val="000000"/>
          <w:lang w:val="en-GB"/>
        </w:rPr>
        <w:t>exercise intensity</w:t>
      </w:r>
      <w:r w:rsidR="007B135C" w:rsidRPr="00DB56CA">
        <w:rPr>
          <w:color w:val="000000"/>
          <w:lang w:val="en-GB"/>
        </w:rPr>
        <w:t xml:space="preserve"> (</w:t>
      </w:r>
      <w:r w:rsidR="00554E0B" w:rsidRPr="00DB56CA">
        <w:rPr>
          <w:color w:val="000000"/>
          <w:lang w:val="en-GB"/>
        </w:rPr>
        <w:t>11</w:t>
      </w:r>
      <w:r w:rsidR="007B135C" w:rsidRPr="00DB56CA">
        <w:rPr>
          <w:color w:val="000000"/>
          <w:lang w:val="en-GB"/>
        </w:rPr>
        <w:t>)</w:t>
      </w:r>
      <w:r w:rsidR="00172201" w:rsidRPr="00DB56CA">
        <w:rPr>
          <w:color w:val="000000"/>
          <w:lang w:val="en-GB"/>
        </w:rPr>
        <w:t xml:space="preserve">. </w:t>
      </w:r>
      <w:r w:rsidR="009F4038" w:rsidRPr="00DB56CA">
        <w:rPr>
          <w:color w:val="000000"/>
          <w:lang w:val="en-GB"/>
        </w:rPr>
        <w:t xml:space="preserve">In </w:t>
      </w:r>
      <w:r w:rsidR="007F2E73" w:rsidRPr="00DB56CA">
        <w:rPr>
          <w:color w:val="000000"/>
          <w:lang w:val="en-GB"/>
        </w:rPr>
        <w:t>soccer</w:t>
      </w:r>
      <w:r w:rsidR="009F4038" w:rsidRPr="00DB56CA">
        <w:rPr>
          <w:color w:val="000000"/>
          <w:lang w:val="en-GB"/>
        </w:rPr>
        <w:t>, various methods based on the analysis of HR such as</w:t>
      </w:r>
      <w:r w:rsidR="002221D9" w:rsidRPr="00DB56CA">
        <w:rPr>
          <w:color w:val="000000"/>
          <w:lang w:val="en-GB"/>
        </w:rPr>
        <w:t xml:space="preserve"> Banister</w:t>
      </w:r>
      <w:r w:rsidR="002221D9" w:rsidRPr="00DB56CA">
        <w:rPr>
          <w:rFonts w:eastAsia="Helvetica"/>
          <w:color w:val="000000"/>
          <w:lang w:val="en-GB"/>
        </w:rPr>
        <w:t>’s training imp</w:t>
      </w:r>
      <w:r w:rsidR="000D47DC" w:rsidRPr="00DB56CA">
        <w:rPr>
          <w:color w:val="000000"/>
          <w:lang w:val="en-GB"/>
        </w:rPr>
        <w:t>ulses</w:t>
      </w:r>
      <w:r w:rsidR="009F4038" w:rsidRPr="00DB56CA">
        <w:rPr>
          <w:color w:val="000000"/>
          <w:lang w:val="en-GB"/>
        </w:rPr>
        <w:t>,</w:t>
      </w:r>
      <w:r w:rsidR="009F4038" w:rsidRPr="00DB56CA">
        <w:rPr>
          <w:color w:val="000000"/>
          <w:position w:val="8"/>
          <w:lang w:val="en-GB"/>
        </w:rPr>
        <w:t xml:space="preserve"> </w:t>
      </w:r>
      <w:r w:rsidR="007B135C" w:rsidRPr="00DB56CA">
        <w:rPr>
          <w:color w:val="000000"/>
          <w:lang w:val="en-GB"/>
        </w:rPr>
        <w:t>Edwards</w:t>
      </w:r>
      <w:r w:rsidR="007B135C" w:rsidRPr="00DB56CA">
        <w:rPr>
          <w:rFonts w:eastAsia="Helvetica"/>
          <w:color w:val="000000"/>
          <w:lang w:val="en-GB"/>
        </w:rPr>
        <w:t>’ Training</w:t>
      </w:r>
      <w:r w:rsidR="007B135C" w:rsidRPr="00DB56CA">
        <w:rPr>
          <w:rFonts w:ascii="Helvetica" w:eastAsia="Helvetica" w:hAnsi="Helvetica" w:cs="Helvetica"/>
          <w:color w:val="000000"/>
          <w:lang w:val="en-GB"/>
        </w:rPr>
        <w:t xml:space="preserve"> L</w:t>
      </w:r>
      <w:r w:rsidR="009F4038" w:rsidRPr="00DB56CA">
        <w:rPr>
          <w:color w:val="000000"/>
          <w:lang w:val="en-GB"/>
        </w:rPr>
        <w:t>oad,</w:t>
      </w:r>
      <w:r w:rsidR="009F4038" w:rsidRPr="00DB56CA">
        <w:rPr>
          <w:color w:val="000000"/>
          <w:position w:val="8"/>
          <w:lang w:val="en-GB"/>
        </w:rPr>
        <w:t xml:space="preserve"> </w:t>
      </w:r>
      <w:r w:rsidR="009F4038" w:rsidRPr="00DB56CA">
        <w:rPr>
          <w:color w:val="000000"/>
          <w:lang w:val="en-GB"/>
        </w:rPr>
        <w:t>or Lucia</w:t>
      </w:r>
      <w:r w:rsidR="009F4038" w:rsidRPr="00DB56CA">
        <w:rPr>
          <w:rFonts w:ascii="Helvetica" w:eastAsia="Helvetica" w:hAnsi="Helvetica" w:cs="Helvetica"/>
          <w:color w:val="000000"/>
          <w:lang w:val="en-GB"/>
        </w:rPr>
        <w:t>’</w:t>
      </w:r>
      <w:r w:rsidR="007B135C" w:rsidRPr="00DB56CA">
        <w:rPr>
          <w:color w:val="000000"/>
          <w:lang w:val="en-GB"/>
        </w:rPr>
        <w:t>s Training L</w:t>
      </w:r>
      <w:r w:rsidR="006B036E" w:rsidRPr="00DB56CA">
        <w:rPr>
          <w:color w:val="000000"/>
          <w:lang w:val="en-GB"/>
        </w:rPr>
        <w:t>oad are used to measure HR tra</w:t>
      </w:r>
      <w:r w:rsidR="00D56C99" w:rsidRPr="00DB56CA">
        <w:rPr>
          <w:color w:val="000000"/>
          <w:lang w:val="en-GB"/>
        </w:rPr>
        <w:t xml:space="preserve">ining load </w:t>
      </w:r>
      <w:r w:rsidR="009F4038" w:rsidRPr="00DB56CA">
        <w:rPr>
          <w:color w:val="000000"/>
          <w:lang w:val="en-GB"/>
        </w:rPr>
        <w:t>(</w:t>
      </w:r>
      <w:r w:rsidR="00577B53" w:rsidRPr="00DB56CA">
        <w:rPr>
          <w:color w:val="000000"/>
          <w:lang w:val="en-GB"/>
        </w:rPr>
        <w:t xml:space="preserve">1, 2, </w:t>
      </w:r>
      <w:r w:rsidR="008C35CF" w:rsidRPr="00DB56CA">
        <w:rPr>
          <w:color w:val="000000"/>
          <w:lang w:val="en-GB"/>
        </w:rPr>
        <w:t>5</w:t>
      </w:r>
      <w:r w:rsidR="00442616" w:rsidRPr="00DB56CA">
        <w:rPr>
          <w:color w:val="000000"/>
          <w:lang w:val="en-GB"/>
        </w:rPr>
        <w:t>)</w:t>
      </w:r>
      <w:r w:rsidR="001C0E5E" w:rsidRPr="00DB56CA">
        <w:rPr>
          <w:color w:val="000000"/>
          <w:lang w:val="en-GB"/>
        </w:rPr>
        <w:t xml:space="preserve">. </w:t>
      </w:r>
      <w:r w:rsidR="00E75350" w:rsidRPr="00DB56CA">
        <w:rPr>
          <w:color w:val="000000"/>
          <w:lang w:val="en-GB"/>
        </w:rPr>
        <w:t>However,</w:t>
      </w:r>
      <w:r w:rsidR="00442616" w:rsidRPr="00DB56CA">
        <w:rPr>
          <w:color w:val="000000"/>
          <w:lang w:val="en-GB"/>
        </w:rPr>
        <w:t xml:space="preserve"> </w:t>
      </w:r>
      <w:r w:rsidR="003B3B5F" w:rsidRPr="00DB56CA">
        <w:rPr>
          <w:color w:val="000000"/>
          <w:lang w:val="en-GB"/>
        </w:rPr>
        <w:t xml:space="preserve">previous research has revealed </w:t>
      </w:r>
      <w:r w:rsidR="00442616" w:rsidRPr="00DB56CA">
        <w:rPr>
          <w:color w:val="000000"/>
          <w:lang w:val="en-GB"/>
        </w:rPr>
        <w:t>HR estimations have poor sensitivity at high intensities</w:t>
      </w:r>
      <w:r w:rsidR="00892C46" w:rsidRPr="00DB56CA">
        <w:rPr>
          <w:color w:val="000000"/>
          <w:lang w:val="en-GB"/>
        </w:rPr>
        <w:t xml:space="preserve"> (</w:t>
      </w:r>
      <w:r w:rsidR="00577B53" w:rsidRPr="00DB56CA">
        <w:rPr>
          <w:color w:val="000000"/>
          <w:lang w:val="en-GB"/>
        </w:rPr>
        <w:t>1</w:t>
      </w:r>
      <w:r w:rsidR="00BD2901" w:rsidRPr="00DB56CA">
        <w:rPr>
          <w:color w:val="000000"/>
          <w:lang w:val="en-GB"/>
        </w:rPr>
        <w:t>,</w:t>
      </w:r>
      <w:r w:rsidR="00892C46" w:rsidRPr="00DB56CA">
        <w:rPr>
          <w:color w:val="000000"/>
          <w:lang w:val="en-GB"/>
        </w:rPr>
        <w:t xml:space="preserve"> </w:t>
      </w:r>
      <w:r w:rsidR="008C35CF" w:rsidRPr="00DB56CA">
        <w:rPr>
          <w:color w:val="000000"/>
          <w:lang w:val="en-GB"/>
        </w:rPr>
        <w:t>5</w:t>
      </w:r>
      <w:r w:rsidR="000D47DC" w:rsidRPr="00DB56CA">
        <w:rPr>
          <w:color w:val="000000"/>
          <w:lang w:val="en-GB"/>
        </w:rPr>
        <w:t xml:space="preserve">) </w:t>
      </w:r>
      <w:r w:rsidR="00442616" w:rsidRPr="00DB56CA">
        <w:rPr>
          <w:color w:val="000000"/>
          <w:lang w:val="en-GB"/>
        </w:rPr>
        <w:t xml:space="preserve">and </w:t>
      </w:r>
      <w:r w:rsidR="00B64F0A" w:rsidRPr="00DB56CA">
        <w:rPr>
          <w:color w:val="000000"/>
          <w:lang w:val="en-GB"/>
        </w:rPr>
        <w:t>have</w:t>
      </w:r>
      <w:r w:rsidR="00442616" w:rsidRPr="00DB56CA">
        <w:rPr>
          <w:color w:val="000000"/>
          <w:lang w:val="en-GB"/>
        </w:rPr>
        <w:t xml:space="preserve"> </w:t>
      </w:r>
      <w:r w:rsidR="006700B7" w:rsidRPr="00DB56CA">
        <w:rPr>
          <w:color w:val="000000"/>
          <w:lang w:val="en-GB"/>
        </w:rPr>
        <w:t xml:space="preserve">limited </w:t>
      </w:r>
      <w:r w:rsidR="007B135C" w:rsidRPr="00DB56CA">
        <w:rPr>
          <w:color w:val="000000"/>
          <w:lang w:val="en-GB"/>
        </w:rPr>
        <w:t xml:space="preserve">applicability </w:t>
      </w:r>
      <w:r w:rsidR="006700B7" w:rsidRPr="00DB56CA">
        <w:rPr>
          <w:color w:val="000000"/>
          <w:lang w:val="en-GB"/>
        </w:rPr>
        <w:t xml:space="preserve">in </w:t>
      </w:r>
      <w:r w:rsidR="007F2E73" w:rsidRPr="00DB56CA">
        <w:rPr>
          <w:color w:val="000000"/>
          <w:lang w:val="en-GB"/>
        </w:rPr>
        <w:t>soccer</w:t>
      </w:r>
      <w:r w:rsidR="006700B7" w:rsidRPr="00DB56CA">
        <w:rPr>
          <w:color w:val="000000"/>
          <w:lang w:val="en-GB"/>
        </w:rPr>
        <w:t>, where the training load include</w:t>
      </w:r>
      <w:r w:rsidR="005455FA" w:rsidRPr="00DB56CA">
        <w:rPr>
          <w:color w:val="000000"/>
          <w:lang w:val="en-GB"/>
        </w:rPr>
        <w:t>s</w:t>
      </w:r>
      <w:r w:rsidR="006700B7" w:rsidRPr="00DB56CA">
        <w:rPr>
          <w:color w:val="000000"/>
          <w:lang w:val="en-GB"/>
        </w:rPr>
        <w:t xml:space="preserve"> short bursts of high intensity</w:t>
      </w:r>
      <w:r w:rsidR="00FC1E3B" w:rsidRPr="00DB56CA">
        <w:rPr>
          <w:color w:val="000000"/>
          <w:lang w:val="en-GB"/>
        </w:rPr>
        <w:t xml:space="preserve"> activity</w:t>
      </w:r>
      <w:r w:rsidRPr="00DB56CA">
        <w:rPr>
          <w:color w:val="000000"/>
          <w:lang w:val="en-GB"/>
        </w:rPr>
        <w:t>, comprising higher contributions of anaerobic metabolism</w:t>
      </w:r>
      <w:r w:rsidR="002221D9" w:rsidRPr="00DB56CA">
        <w:rPr>
          <w:color w:val="000000"/>
          <w:lang w:val="en-GB"/>
        </w:rPr>
        <w:t xml:space="preserve"> </w:t>
      </w:r>
      <w:r w:rsidR="006700B7" w:rsidRPr="00DB56CA">
        <w:rPr>
          <w:color w:val="000000"/>
          <w:lang w:val="en-GB"/>
        </w:rPr>
        <w:t>(</w:t>
      </w:r>
      <w:r w:rsidR="00554E0B" w:rsidRPr="00DB56CA">
        <w:rPr>
          <w:color w:val="000000"/>
          <w:lang w:val="en-GB"/>
        </w:rPr>
        <w:t>17</w:t>
      </w:r>
      <w:r w:rsidR="006700B7" w:rsidRPr="00DB56CA">
        <w:rPr>
          <w:color w:val="000000"/>
          <w:lang w:val="en-GB"/>
        </w:rPr>
        <w:t>)</w:t>
      </w:r>
      <w:r w:rsidR="007C03C7" w:rsidRPr="00DB56CA">
        <w:rPr>
          <w:color w:val="000000"/>
          <w:lang w:val="en-GB"/>
        </w:rPr>
        <w:t xml:space="preserve">. </w:t>
      </w:r>
      <w:r w:rsidR="003B3B5F" w:rsidRPr="00DB56CA">
        <w:rPr>
          <w:color w:val="000000"/>
          <w:lang w:val="en-GB"/>
        </w:rPr>
        <w:t>Furthermore, t</w:t>
      </w:r>
      <w:r w:rsidR="006700B7" w:rsidRPr="00DB56CA">
        <w:rPr>
          <w:color w:val="000000"/>
          <w:lang w:val="en-GB"/>
        </w:rPr>
        <w:t xml:space="preserve">he apparatus required to monitor HR </w:t>
      </w:r>
      <w:r w:rsidRPr="00DB56CA">
        <w:rPr>
          <w:color w:val="000000"/>
          <w:lang w:val="en-GB"/>
        </w:rPr>
        <w:t>for a whole youth squad can be</w:t>
      </w:r>
      <w:r w:rsidR="006700B7" w:rsidRPr="00DB56CA">
        <w:rPr>
          <w:color w:val="000000"/>
          <w:lang w:val="en-GB"/>
        </w:rPr>
        <w:t xml:space="preserve"> expensive</w:t>
      </w:r>
      <w:r w:rsidRPr="00DB56CA">
        <w:rPr>
          <w:color w:val="000000"/>
          <w:lang w:val="en-GB"/>
        </w:rPr>
        <w:t xml:space="preserve"> and requires considerable time for staff analyses</w:t>
      </w:r>
      <w:r w:rsidR="007C03C7" w:rsidRPr="00DB56CA">
        <w:rPr>
          <w:color w:val="000000"/>
          <w:lang w:val="en-GB"/>
        </w:rPr>
        <w:t xml:space="preserve">. </w:t>
      </w:r>
      <w:r w:rsidRPr="00DB56CA">
        <w:rPr>
          <w:color w:val="000000"/>
          <w:lang w:val="en-GB"/>
        </w:rPr>
        <w:t>Hence, i</w:t>
      </w:r>
      <w:r w:rsidR="00665A7B" w:rsidRPr="00DB56CA">
        <w:rPr>
          <w:color w:val="000000"/>
          <w:lang w:val="en-GB"/>
        </w:rPr>
        <w:t>ndividual player</w:t>
      </w:r>
      <w:r w:rsidR="007B135C" w:rsidRPr="00DB56CA">
        <w:rPr>
          <w:color w:val="000000"/>
          <w:lang w:val="en-GB"/>
        </w:rPr>
        <w:t xml:space="preserve"> data</w:t>
      </w:r>
      <w:r w:rsidR="006700B7" w:rsidRPr="00DB56CA">
        <w:rPr>
          <w:color w:val="000000"/>
          <w:lang w:val="en-GB"/>
        </w:rPr>
        <w:t xml:space="preserve"> needs</w:t>
      </w:r>
      <w:r w:rsidR="007B135C" w:rsidRPr="00DB56CA">
        <w:rPr>
          <w:color w:val="000000"/>
          <w:lang w:val="en-GB"/>
        </w:rPr>
        <w:t xml:space="preserve"> </w:t>
      </w:r>
      <w:r w:rsidR="00F83996" w:rsidRPr="00DB56CA">
        <w:rPr>
          <w:color w:val="000000"/>
          <w:lang w:val="en-GB"/>
        </w:rPr>
        <w:t xml:space="preserve">the expertise of </w:t>
      </w:r>
      <w:r w:rsidR="00F04732" w:rsidRPr="00DB56CA">
        <w:rPr>
          <w:color w:val="000000"/>
          <w:lang w:val="en-GB"/>
        </w:rPr>
        <w:t>the sports science staff</w:t>
      </w:r>
      <w:r w:rsidR="00D56C99" w:rsidRPr="00DB56CA">
        <w:rPr>
          <w:color w:val="000000"/>
          <w:lang w:val="en-GB"/>
        </w:rPr>
        <w:t xml:space="preserve"> </w:t>
      </w:r>
      <w:r w:rsidR="006700B7" w:rsidRPr="00DB56CA">
        <w:rPr>
          <w:color w:val="000000"/>
          <w:lang w:val="en-GB"/>
        </w:rPr>
        <w:t>to analyse and interp</w:t>
      </w:r>
      <w:r w:rsidR="002A7587" w:rsidRPr="00DB56CA">
        <w:rPr>
          <w:color w:val="000000"/>
          <w:lang w:val="en-GB"/>
        </w:rPr>
        <w:t xml:space="preserve">ret </w:t>
      </w:r>
      <w:r w:rsidRPr="00DB56CA">
        <w:rPr>
          <w:color w:val="000000"/>
          <w:lang w:val="en-GB"/>
        </w:rPr>
        <w:t xml:space="preserve">any training effects </w:t>
      </w:r>
      <w:r w:rsidR="002A7587" w:rsidRPr="00DB56CA">
        <w:rPr>
          <w:color w:val="000000"/>
          <w:lang w:val="en-GB"/>
        </w:rPr>
        <w:t>(</w:t>
      </w:r>
      <w:r w:rsidR="00554E0B" w:rsidRPr="00DB56CA">
        <w:rPr>
          <w:color w:val="000000"/>
          <w:lang w:val="en-GB"/>
        </w:rPr>
        <w:t>17</w:t>
      </w:r>
      <w:r w:rsidR="00BD2901" w:rsidRPr="00DB56CA">
        <w:rPr>
          <w:color w:val="000000"/>
          <w:lang w:val="en-GB"/>
        </w:rPr>
        <w:t>,</w:t>
      </w:r>
      <w:r w:rsidR="002A7587" w:rsidRPr="00DB56CA">
        <w:rPr>
          <w:color w:val="000000"/>
          <w:lang w:val="en-GB"/>
        </w:rPr>
        <w:t xml:space="preserve"> </w:t>
      </w:r>
      <w:r w:rsidR="00554E0B" w:rsidRPr="00DB56CA">
        <w:rPr>
          <w:color w:val="000000"/>
          <w:lang w:val="en-GB"/>
        </w:rPr>
        <w:t>14</w:t>
      </w:r>
      <w:r w:rsidR="006700B7" w:rsidRPr="00DB56CA">
        <w:rPr>
          <w:color w:val="000000"/>
          <w:lang w:val="en-GB"/>
        </w:rPr>
        <w:t>)</w:t>
      </w:r>
      <w:r w:rsidR="00172201" w:rsidRPr="00DB56CA">
        <w:rPr>
          <w:color w:val="000000"/>
          <w:lang w:val="en-GB"/>
        </w:rPr>
        <w:t xml:space="preserve">.  </w:t>
      </w:r>
    </w:p>
    <w:p w14:paraId="1850782E" w14:textId="5BFB3DFE" w:rsidR="002578DD" w:rsidRPr="00DB56CA" w:rsidRDefault="003445BB" w:rsidP="001B3525">
      <w:pPr>
        <w:widowControl w:val="0"/>
        <w:autoSpaceDE w:val="0"/>
        <w:autoSpaceDN w:val="0"/>
        <w:adjustRightInd w:val="0"/>
        <w:spacing w:after="100" w:afterAutospacing="1" w:line="480" w:lineRule="auto"/>
        <w:contextualSpacing/>
        <w:jc w:val="both"/>
        <w:rPr>
          <w:color w:val="000000"/>
          <w:lang w:val="en-GB"/>
        </w:rPr>
      </w:pPr>
      <w:r w:rsidRPr="00DB56CA">
        <w:rPr>
          <w:color w:val="000000"/>
          <w:lang w:val="en-GB"/>
        </w:rPr>
        <w:t xml:space="preserve">An alternative method to quantify ITL </w:t>
      </w:r>
      <w:r w:rsidR="00665A7B" w:rsidRPr="00DB56CA">
        <w:rPr>
          <w:color w:val="000000"/>
          <w:lang w:val="en-GB"/>
        </w:rPr>
        <w:t xml:space="preserve">is the </w:t>
      </w:r>
      <w:r w:rsidR="00665A7B" w:rsidRPr="00DB56CA">
        <w:rPr>
          <w:color w:val="000000"/>
          <w:highlight w:val="yellow"/>
          <w:lang w:val="en-GB"/>
        </w:rPr>
        <w:t>session</w:t>
      </w:r>
      <w:r w:rsidR="00665A7B" w:rsidRPr="00DB56CA">
        <w:rPr>
          <w:color w:val="000000"/>
          <w:lang w:val="en-GB"/>
        </w:rPr>
        <w:t>-Rate of Perceived Exertion (sRPE)</w:t>
      </w:r>
      <w:r w:rsidRPr="00DB56CA">
        <w:rPr>
          <w:color w:val="000000"/>
          <w:lang w:val="en-GB"/>
        </w:rPr>
        <w:t xml:space="preserve"> </w:t>
      </w:r>
      <w:r w:rsidR="00665A7B" w:rsidRPr="00DB56CA">
        <w:rPr>
          <w:color w:val="000000"/>
          <w:lang w:val="en-GB"/>
        </w:rPr>
        <w:t xml:space="preserve">which </w:t>
      </w:r>
      <w:r w:rsidRPr="00DB56CA">
        <w:rPr>
          <w:color w:val="000000"/>
          <w:lang w:val="en-GB"/>
        </w:rPr>
        <w:t xml:space="preserve">was </w:t>
      </w:r>
      <w:r w:rsidR="00665A7B" w:rsidRPr="00DB56CA">
        <w:rPr>
          <w:color w:val="000000"/>
          <w:lang w:val="en-GB"/>
        </w:rPr>
        <w:t xml:space="preserve">first </w:t>
      </w:r>
      <w:r w:rsidRPr="00DB56CA">
        <w:rPr>
          <w:color w:val="000000"/>
          <w:lang w:val="en-GB"/>
        </w:rPr>
        <w:t>proposed</w:t>
      </w:r>
      <w:r w:rsidR="00D074B7" w:rsidRPr="00DB56CA">
        <w:rPr>
          <w:color w:val="000000"/>
          <w:lang w:val="en-GB"/>
        </w:rPr>
        <w:t xml:space="preserve"> </w:t>
      </w:r>
      <w:r w:rsidR="009A5E72" w:rsidRPr="00DB56CA">
        <w:rPr>
          <w:color w:val="000000"/>
          <w:lang w:val="en-GB"/>
        </w:rPr>
        <w:t>for</w:t>
      </w:r>
      <w:r w:rsidR="00D074B7" w:rsidRPr="00DB56CA">
        <w:rPr>
          <w:color w:val="000000"/>
          <w:lang w:val="en-GB"/>
        </w:rPr>
        <w:t xml:space="preserve"> team sports</w:t>
      </w:r>
      <w:r w:rsidR="00F138C9" w:rsidRPr="00DB56CA">
        <w:rPr>
          <w:color w:val="000000"/>
          <w:lang w:val="en-GB"/>
        </w:rPr>
        <w:t xml:space="preserve"> by Foster et al.</w:t>
      </w:r>
      <w:r w:rsidR="003B3B5F" w:rsidRPr="00DB56CA">
        <w:rPr>
          <w:color w:val="000000"/>
          <w:lang w:val="en-GB"/>
        </w:rPr>
        <w:t xml:space="preserve"> (</w:t>
      </w:r>
      <w:r w:rsidR="00554E0B" w:rsidRPr="00DB56CA">
        <w:rPr>
          <w:color w:val="000000"/>
          <w:lang w:val="en-GB"/>
        </w:rPr>
        <w:t>11</w:t>
      </w:r>
      <w:r w:rsidR="003B3B5F" w:rsidRPr="00DB56CA">
        <w:rPr>
          <w:color w:val="000000"/>
          <w:lang w:val="en-GB"/>
        </w:rPr>
        <w:t>)</w:t>
      </w:r>
      <w:r w:rsidR="00172201" w:rsidRPr="00DB56CA">
        <w:rPr>
          <w:color w:val="000000"/>
          <w:lang w:val="en-GB"/>
        </w:rPr>
        <w:t>.</w:t>
      </w:r>
      <w:r w:rsidR="00A10748" w:rsidRPr="00DB56CA">
        <w:rPr>
          <w:color w:val="000000"/>
          <w:lang w:val="en-GB"/>
        </w:rPr>
        <w:t xml:space="preserve"> </w:t>
      </w:r>
      <w:r w:rsidR="00091E5B" w:rsidRPr="00DB56CA">
        <w:rPr>
          <w:color w:val="000000"/>
          <w:lang w:val="en-GB"/>
        </w:rPr>
        <w:t xml:space="preserve">This method measures the psychological response </w:t>
      </w:r>
      <w:r w:rsidR="00665A7B" w:rsidRPr="00DB56CA">
        <w:rPr>
          <w:color w:val="000000"/>
          <w:lang w:val="en-GB"/>
        </w:rPr>
        <w:t xml:space="preserve">of the player </w:t>
      </w:r>
      <w:r w:rsidR="00091E5B" w:rsidRPr="00DB56CA">
        <w:rPr>
          <w:color w:val="000000"/>
          <w:lang w:val="en-GB"/>
        </w:rPr>
        <w:t xml:space="preserve">to training load </w:t>
      </w:r>
      <w:r w:rsidR="002221D9" w:rsidRPr="00DB56CA">
        <w:rPr>
          <w:color w:val="000000"/>
          <w:lang w:val="en-GB"/>
        </w:rPr>
        <w:t>(</w:t>
      </w:r>
      <w:r w:rsidR="000476E0" w:rsidRPr="00DB56CA">
        <w:rPr>
          <w:color w:val="000000"/>
          <w:lang w:val="en-GB"/>
        </w:rPr>
        <w:t>20</w:t>
      </w:r>
      <w:r w:rsidR="00BD2901" w:rsidRPr="00DB56CA">
        <w:rPr>
          <w:color w:val="000000"/>
          <w:lang w:val="en-GB"/>
        </w:rPr>
        <w:t xml:space="preserve">, </w:t>
      </w:r>
      <w:r w:rsidR="000476E0" w:rsidRPr="00DB56CA">
        <w:rPr>
          <w:color w:val="000000"/>
          <w:lang w:val="en-GB"/>
        </w:rPr>
        <w:t>21</w:t>
      </w:r>
      <w:r w:rsidR="002221D9" w:rsidRPr="00DB56CA">
        <w:rPr>
          <w:color w:val="000000"/>
          <w:lang w:val="en-GB"/>
        </w:rPr>
        <w:t>)</w:t>
      </w:r>
      <w:r w:rsidR="00B10D87" w:rsidRPr="00DB56CA">
        <w:rPr>
          <w:color w:val="000000"/>
          <w:lang w:val="en-GB"/>
        </w:rPr>
        <w:t>, measured</w:t>
      </w:r>
      <w:r w:rsidR="002221D9" w:rsidRPr="00DB56CA">
        <w:rPr>
          <w:color w:val="000000"/>
          <w:lang w:val="en-GB"/>
        </w:rPr>
        <w:t xml:space="preserve"> on a scale </w:t>
      </w:r>
      <w:r w:rsidR="00FE6FBF" w:rsidRPr="00DB56CA">
        <w:rPr>
          <w:color w:val="000000"/>
          <w:lang w:val="en-GB"/>
        </w:rPr>
        <w:t>from 0 to 10</w:t>
      </w:r>
      <w:r w:rsidR="00E33FB0" w:rsidRPr="00DB56CA">
        <w:rPr>
          <w:color w:val="000000"/>
          <w:lang w:val="en-GB"/>
        </w:rPr>
        <w:t>, where 0 represents rest and 10 represents maximal effort</w:t>
      </w:r>
      <w:r w:rsidR="00172201" w:rsidRPr="00DB56CA">
        <w:rPr>
          <w:color w:val="000000"/>
          <w:lang w:val="en-GB"/>
        </w:rPr>
        <w:t xml:space="preserve">. </w:t>
      </w:r>
      <w:r w:rsidR="00091E5B" w:rsidRPr="00DB56CA">
        <w:rPr>
          <w:color w:val="000000"/>
          <w:lang w:val="en-GB"/>
        </w:rPr>
        <w:t xml:space="preserve">This method is easy to implement and </w:t>
      </w:r>
      <w:r w:rsidR="00665A7B" w:rsidRPr="00DB56CA">
        <w:rPr>
          <w:color w:val="000000"/>
          <w:lang w:val="en-GB"/>
        </w:rPr>
        <w:t xml:space="preserve">provides </w:t>
      </w:r>
      <w:r w:rsidR="00091E5B" w:rsidRPr="00DB56CA">
        <w:rPr>
          <w:color w:val="000000"/>
          <w:lang w:val="en-GB"/>
        </w:rPr>
        <w:t xml:space="preserve">a </w:t>
      </w:r>
      <w:r w:rsidR="00665A7B" w:rsidRPr="00DB56CA">
        <w:rPr>
          <w:color w:val="000000"/>
          <w:lang w:val="en-GB"/>
        </w:rPr>
        <w:t>cost-effective</w:t>
      </w:r>
      <w:r w:rsidR="00125922" w:rsidRPr="00DB56CA">
        <w:rPr>
          <w:color w:val="000000"/>
          <w:lang w:val="en-GB"/>
        </w:rPr>
        <w:t xml:space="preserve"> and efficient</w:t>
      </w:r>
      <w:r w:rsidR="00091E5B" w:rsidRPr="00DB56CA">
        <w:rPr>
          <w:color w:val="000000"/>
          <w:lang w:val="en-GB"/>
        </w:rPr>
        <w:t xml:space="preserve"> alternative to HR measures</w:t>
      </w:r>
      <w:r w:rsidR="006853D9" w:rsidRPr="00DB56CA">
        <w:rPr>
          <w:color w:val="000000"/>
          <w:lang w:val="en-GB"/>
        </w:rPr>
        <w:t xml:space="preserve"> (</w:t>
      </w:r>
      <w:r w:rsidR="00554E0B" w:rsidRPr="00DB56CA">
        <w:rPr>
          <w:color w:val="000000"/>
          <w:lang w:val="en-GB"/>
        </w:rPr>
        <w:t>12</w:t>
      </w:r>
      <w:r w:rsidR="006D6C02" w:rsidRPr="00DB56CA">
        <w:rPr>
          <w:color w:val="000000"/>
          <w:lang w:val="en-GB"/>
        </w:rPr>
        <w:t xml:space="preserve">, </w:t>
      </w:r>
      <w:r w:rsidR="000476E0" w:rsidRPr="00DB56CA">
        <w:rPr>
          <w:color w:val="000000"/>
          <w:lang w:val="en-GB"/>
        </w:rPr>
        <w:t>21</w:t>
      </w:r>
      <w:r w:rsidR="00E31286" w:rsidRPr="00DB56CA">
        <w:rPr>
          <w:color w:val="000000"/>
          <w:lang w:val="en-GB"/>
        </w:rPr>
        <w:t>, 2</w:t>
      </w:r>
      <w:r w:rsidR="000476E0" w:rsidRPr="00DB56CA">
        <w:rPr>
          <w:color w:val="000000"/>
          <w:lang w:val="en-GB"/>
        </w:rPr>
        <w:t>2</w:t>
      </w:r>
      <w:r w:rsidR="006853D9" w:rsidRPr="00DB56CA">
        <w:rPr>
          <w:color w:val="000000"/>
          <w:lang w:val="en-GB"/>
        </w:rPr>
        <w:t>)</w:t>
      </w:r>
      <w:r w:rsidR="00172201" w:rsidRPr="00DB56CA">
        <w:rPr>
          <w:color w:val="000000"/>
          <w:lang w:val="en-GB"/>
        </w:rPr>
        <w:t>.</w:t>
      </w:r>
      <w:r w:rsidR="00ED6F4C" w:rsidRPr="00DB56CA">
        <w:rPr>
          <w:color w:val="000000"/>
          <w:lang w:val="en-GB"/>
        </w:rPr>
        <w:t xml:space="preserve"> </w:t>
      </w:r>
    </w:p>
    <w:p w14:paraId="36DFBAC6" w14:textId="0C072ADC" w:rsidR="00997168" w:rsidRPr="00DB56CA" w:rsidRDefault="00CF44F1" w:rsidP="001B3525">
      <w:pPr>
        <w:widowControl w:val="0"/>
        <w:autoSpaceDE w:val="0"/>
        <w:autoSpaceDN w:val="0"/>
        <w:adjustRightInd w:val="0"/>
        <w:spacing w:after="100" w:afterAutospacing="1" w:line="480" w:lineRule="auto"/>
        <w:contextualSpacing/>
        <w:jc w:val="both"/>
        <w:rPr>
          <w:color w:val="000000" w:themeColor="text1"/>
          <w:lang w:val="en-GB"/>
        </w:rPr>
      </w:pPr>
      <w:r w:rsidRPr="00DB56CA">
        <w:rPr>
          <w:color w:val="000000"/>
          <w:lang w:val="en-GB"/>
        </w:rPr>
        <w:t>Many s</w:t>
      </w:r>
      <w:r w:rsidR="00091E5B" w:rsidRPr="00DB56CA">
        <w:rPr>
          <w:color w:val="000000"/>
          <w:lang w:val="en-GB"/>
        </w:rPr>
        <w:t>tudies</w:t>
      </w:r>
      <w:r w:rsidRPr="00DB56CA">
        <w:rPr>
          <w:color w:val="000000"/>
          <w:lang w:val="en-GB"/>
        </w:rPr>
        <w:t xml:space="preserve"> have</w:t>
      </w:r>
      <w:r w:rsidR="00091E5B" w:rsidRPr="00DB56CA">
        <w:rPr>
          <w:color w:val="000000"/>
          <w:lang w:val="en-GB"/>
        </w:rPr>
        <w:t xml:space="preserve"> </w:t>
      </w:r>
      <w:r w:rsidR="00F04732" w:rsidRPr="00DB56CA">
        <w:rPr>
          <w:color w:val="000000"/>
          <w:lang w:val="en-GB"/>
        </w:rPr>
        <w:t>investigat</w:t>
      </w:r>
      <w:r w:rsidRPr="00DB56CA">
        <w:rPr>
          <w:color w:val="000000"/>
          <w:lang w:val="en-GB"/>
        </w:rPr>
        <w:t>ed</w:t>
      </w:r>
      <w:r w:rsidR="00091E5B" w:rsidRPr="00DB56CA">
        <w:rPr>
          <w:color w:val="000000"/>
          <w:lang w:val="en-GB"/>
        </w:rPr>
        <w:t xml:space="preserve"> the </w:t>
      </w:r>
      <w:r w:rsidR="001E1C3B" w:rsidRPr="00DB56CA">
        <w:rPr>
          <w:color w:val="000000"/>
          <w:lang w:val="en-GB"/>
        </w:rPr>
        <w:t xml:space="preserve">use of sRPE </w:t>
      </w:r>
      <w:r w:rsidR="003C73B2" w:rsidRPr="00DB56CA">
        <w:rPr>
          <w:color w:val="000000" w:themeColor="text1"/>
          <w:lang w:val="en-GB"/>
        </w:rPr>
        <w:t xml:space="preserve">scale </w:t>
      </w:r>
      <w:r w:rsidR="00091E5B" w:rsidRPr="00DB56CA">
        <w:rPr>
          <w:color w:val="000000"/>
          <w:lang w:val="en-GB"/>
        </w:rPr>
        <w:t>as</w:t>
      </w:r>
      <w:r w:rsidR="003C73B2" w:rsidRPr="00DB56CA">
        <w:rPr>
          <w:color w:val="000000"/>
          <w:lang w:val="en-GB"/>
        </w:rPr>
        <w:t xml:space="preserve"> a measure</w:t>
      </w:r>
      <w:r w:rsidR="00091E5B" w:rsidRPr="00DB56CA">
        <w:rPr>
          <w:color w:val="000000"/>
          <w:lang w:val="en-GB"/>
        </w:rPr>
        <w:t xml:space="preserve"> of ITL in </w:t>
      </w:r>
      <w:r w:rsidR="007F2E73" w:rsidRPr="00DB56CA">
        <w:rPr>
          <w:color w:val="000000"/>
          <w:lang w:val="en-GB"/>
        </w:rPr>
        <w:t>soccer</w:t>
      </w:r>
      <w:r w:rsidR="0060105B" w:rsidRPr="00DB56CA">
        <w:rPr>
          <w:color w:val="000000"/>
          <w:lang w:val="en-GB"/>
        </w:rPr>
        <w:t xml:space="preserve"> </w:t>
      </w:r>
      <w:r w:rsidR="0060105B" w:rsidRPr="00DB56CA">
        <w:rPr>
          <w:color w:val="000000"/>
          <w:lang w:val="en-GB"/>
        </w:rPr>
        <w:lastRenderedPageBreak/>
        <w:t>(1, 2, 5-</w:t>
      </w:r>
      <w:r w:rsidR="00554E0B" w:rsidRPr="00DB56CA">
        <w:rPr>
          <w:color w:val="000000"/>
          <w:lang w:val="en-GB"/>
        </w:rPr>
        <w:t>9</w:t>
      </w:r>
      <w:r w:rsidRPr="00DB56CA">
        <w:rPr>
          <w:color w:val="000000"/>
          <w:lang w:val="en-GB"/>
        </w:rPr>
        <w:t>,</w:t>
      </w:r>
      <w:r w:rsidR="0060105B" w:rsidRPr="00DB56CA">
        <w:rPr>
          <w:color w:val="000000"/>
          <w:lang w:val="en-GB"/>
        </w:rPr>
        <w:t xml:space="preserve"> </w:t>
      </w:r>
      <w:r w:rsidR="00554E0B" w:rsidRPr="00DB56CA">
        <w:rPr>
          <w:color w:val="000000"/>
          <w:lang w:val="en-GB"/>
        </w:rPr>
        <w:t>15</w:t>
      </w:r>
      <w:r w:rsidR="0060105B" w:rsidRPr="00DB56CA">
        <w:rPr>
          <w:color w:val="000000"/>
          <w:lang w:val="en-GB"/>
        </w:rPr>
        <w:t xml:space="preserve">, </w:t>
      </w:r>
      <w:r w:rsidR="00554E0B" w:rsidRPr="00DB56CA">
        <w:rPr>
          <w:color w:val="000000"/>
          <w:lang w:val="en-GB"/>
        </w:rPr>
        <w:t>17</w:t>
      </w:r>
      <w:r w:rsidR="0060105B" w:rsidRPr="00DB56CA">
        <w:rPr>
          <w:color w:val="000000"/>
          <w:lang w:val="en-GB"/>
        </w:rPr>
        <w:t xml:space="preserve">, </w:t>
      </w:r>
      <w:r w:rsidR="000476E0" w:rsidRPr="00DB56CA">
        <w:rPr>
          <w:color w:val="000000"/>
          <w:lang w:val="en-GB"/>
        </w:rPr>
        <w:t>21</w:t>
      </w:r>
      <w:r w:rsidR="00573B17" w:rsidRPr="00DB56CA">
        <w:rPr>
          <w:color w:val="000000"/>
          <w:lang w:val="en-GB"/>
        </w:rPr>
        <w:t>, 2</w:t>
      </w:r>
      <w:r w:rsidR="000476E0" w:rsidRPr="00DB56CA">
        <w:rPr>
          <w:color w:val="000000"/>
          <w:lang w:val="en-GB"/>
        </w:rPr>
        <w:t>2</w:t>
      </w:r>
      <w:r w:rsidRPr="00DB56CA">
        <w:rPr>
          <w:color w:val="000000"/>
          <w:lang w:val="en-GB"/>
        </w:rPr>
        <w:t>)</w:t>
      </w:r>
      <w:r w:rsidR="0060105B" w:rsidRPr="00DB56CA">
        <w:rPr>
          <w:color w:val="000000"/>
          <w:lang w:val="en-GB"/>
        </w:rPr>
        <w:t xml:space="preserve">. </w:t>
      </w:r>
      <w:r w:rsidR="003F1036" w:rsidRPr="00DB56CA">
        <w:rPr>
          <w:color w:val="000000"/>
          <w:lang w:val="en-GB"/>
        </w:rPr>
        <w:t xml:space="preserve">These studies </w:t>
      </w:r>
      <w:r w:rsidR="003F1036" w:rsidRPr="00DB56CA">
        <w:rPr>
          <w:color w:val="000000" w:themeColor="text1"/>
          <w:lang w:val="en-GB"/>
        </w:rPr>
        <w:t xml:space="preserve">measured </w:t>
      </w:r>
      <w:r w:rsidR="003F1036" w:rsidRPr="00DB56CA">
        <w:rPr>
          <w:color w:val="000000"/>
          <w:lang w:val="en-GB"/>
        </w:rPr>
        <w:t xml:space="preserve">the correlation between HR and sRPE over different </w:t>
      </w:r>
      <w:r w:rsidR="00ED6F4C" w:rsidRPr="00DB56CA">
        <w:rPr>
          <w:color w:val="000000"/>
          <w:lang w:val="en-GB"/>
        </w:rPr>
        <w:t xml:space="preserve">types of </w:t>
      </w:r>
      <w:r w:rsidR="003F1036" w:rsidRPr="00DB56CA">
        <w:rPr>
          <w:color w:val="000000"/>
          <w:lang w:val="en-GB"/>
        </w:rPr>
        <w:t>training session</w:t>
      </w:r>
      <w:r w:rsidR="00ED6F4C" w:rsidRPr="00DB56CA">
        <w:rPr>
          <w:color w:val="000000"/>
          <w:lang w:val="en-GB"/>
        </w:rPr>
        <w:t>s</w:t>
      </w:r>
      <w:r w:rsidR="003B3B5F" w:rsidRPr="00DB56CA">
        <w:rPr>
          <w:color w:val="000000"/>
          <w:lang w:val="en-GB"/>
        </w:rPr>
        <w:t>, such as</w:t>
      </w:r>
      <w:r w:rsidR="005C1D2F" w:rsidRPr="00DB56CA">
        <w:rPr>
          <w:color w:val="000000"/>
          <w:lang w:val="en-GB"/>
        </w:rPr>
        <w:t xml:space="preserve"> </w:t>
      </w:r>
      <w:r w:rsidR="004E4FD1" w:rsidRPr="00DB56CA">
        <w:rPr>
          <w:color w:val="000000"/>
          <w:lang w:val="en-GB"/>
        </w:rPr>
        <w:t>technical</w:t>
      </w:r>
      <w:r w:rsidR="003B3B5F" w:rsidRPr="00DB56CA">
        <w:rPr>
          <w:color w:val="000000"/>
          <w:lang w:val="en-GB"/>
        </w:rPr>
        <w:t xml:space="preserve"> and</w:t>
      </w:r>
      <w:r w:rsidR="004E4FD1" w:rsidRPr="00DB56CA">
        <w:rPr>
          <w:color w:val="000000"/>
          <w:lang w:val="en-GB"/>
        </w:rPr>
        <w:t xml:space="preserve"> tactical</w:t>
      </w:r>
      <w:r w:rsidR="003B3B5F" w:rsidRPr="00DB56CA">
        <w:rPr>
          <w:color w:val="000000"/>
          <w:lang w:val="en-GB"/>
        </w:rPr>
        <w:t xml:space="preserve"> development</w:t>
      </w:r>
      <w:r w:rsidR="004E4FD1" w:rsidRPr="00DB56CA">
        <w:rPr>
          <w:color w:val="000000"/>
          <w:lang w:val="en-GB"/>
        </w:rPr>
        <w:t xml:space="preserve">, </w:t>
      </w:r>
      <w:r w:rsidR="00B523F6" w:rsidRPr="00DB56CA">
        <w:rPr>
          <w:color w:val="000000"/>
          <w:lang w:val="en-GB"/>
        </w:rPr>
        <w:t>resistance training</w:t>
      </w:r>
      <w:r w:rsidR="00AB5329" w:rsidRPr="00DB56CA">
        <w:rPr>
          <w:color w:val="000000"/>
          <w:lang w:val="en-GB"/>
        </w:rPr>
        <w:t xml:space="preserve">, </w:t>
      </w:r>
      <w:r w:rsidR="003B3B5F" w:rsidRPr="00DB56CA">
        <w:rPr>
          <w:color w:val="000000"/>
          <w:lang w:val="en-GB"/>
        </w:rPr>
        <w:t xml:space="preserve">physical </w:t>
      </w:r>
      <w:r w:rsidR="00AB5329" w:rsidRPr="00DB56CA">
        <w:rPr>
          <w:color w:val="000000"/>
          <w:lang w:val="en-GB"/>
        </w:rPr>
        <w:t xml:space="preserve">conditioning </w:t>
      </w:r>
      <w:r w:rsidR="003F1036" w:rsidRPr="00DB56CA">
        <w:rPr>
          <w:color w:val="000000"/>
          <w:lang w:val="en-GB"/>
        </w:rPr>
        <w:t>(</w:t>
      </w:r>
      <w:r w:rsidR="00577B53" w:rsidRPr="00DB56CA">
        <w:rPr>
          <w:color w:val="000000"/>
          <w:lang w:val="en-GB"/>
        </w:rPr>
        <w:t>2,</w:t>
      </w:r>
      <w:r w:rsidR="003F1036" w:rsidRPr="00DB56CA">
        <w:rPr>
          <w:color w:val="000000"/>
          <w:lang w:val="en-GB"/>
        </w:rPr>
        <w:t xml:space="preserve"> </w:t>
      </w:r>
      <w:r w:rsidR="008C35CF" w:rsidRPr="00DB56CA">
        <w:rPr>
          <w:color w:val="000000"/>
          <w:lang w:val="en-GB"/>
        </w:rPr>
        <w:t>5</w:t>
      </w:r>
      <w:r w:rsidR="003F1036" w:rsidRPr="00DB56CA">
        <w:rPr>
          <w:color w:val="000000"/>
          <w:lang w:val="en-GB"/>
        </w:rPr>
        <w:t>), position</w:t>
      </w:r>
      <w:r w:rsidR="003B3B5F" w:rsidRPr="00DB56CA">
        <w:rPr>
          <w:color w:val="000000"/>
          <w:lang w:val="en-GB"/>
        </w:rPr>
        <w:t xml:space="preserve"> specific</w:t>
      </w:r>
      <w:r w:rsidR="003F1036" w:rsidRPr="00DB56CA">
        <w:rPr>
          <w:color w:val="000000"/>
          <w:lang w:val="en-GB"/>
        </w:rPr>
        <w:t xml:space="preserve"> (</w:t>
      </w:r>
      <w:r w:rsidR="00554E0B" w:rsidRPr="00DB56CA">
        <w:rPr>
          <w:color w:val="000000"/>
          <w:lang w:val="en-GB"/>
        </w:rPr>
        <w:t>17</w:t>
      </w:r>
      <w:r w:rsidR="003F1036" w:rsidRPr="00DB56CA">
        <w:rPr>
          <w:color w:val="000000"/>
          <w:lang w:val="en-GB"/>
        </w:rPr>
        <w:t xml:space="preserve">) </w:t>
      </w:r>
      <w:r w:rsidR="00A54325" w:rsidRPr="00DB56CA">
        <w:rPr>
          <w:color w:val="000000"/>
          <w:lang w:val="en-GB"/>
        </w:rPr>
        <w:t>and</w:t>
      </w:r>
      <w:r w:rsidR="003F1036" w:rsidRPr="00DB56CA">
        <w:rPr>
          <w:color w:val="000000"/>
          <w:lang w:val="en-GB"/>
        </w:rPr>
        <w:t xml:space="preserve"> average weekly load (</w:t>
      </w:r>
      <w:r w:rsidR="00577B53" w:rsidRPr="00DB56CA">
        <w:rPr>
          <w:color w:val="000000"/>
          <w:lang w:val="en-GB"/>
        </w:rPr>
        <w:t xml:space="preserve">1, </w:t>
      </w:r>
      <w:r w:rsidR="00554E0B" w:rsidRPr="00DB56CA">
        <w:rPr>
          <w:color w:val="000000"/>
          <w:lang w:val="en-GB"/>
        </w:rPr>
        <w:t>14</w:t>
      </w:r>
      <w:r w:rsidR="003F1036" w:rsidRPr="00DB56CA">
        <w:rPr>
          <w:color w:val="000000"/>
          <w:lang w:val="en-GB"/>
        </w:rPr>
        <w:t>)</w:t>
      </w:r>
      <w:r w:rsidR="000C6FC3" w:rsidRPr="00DB56CA">
        <w:rPr>
          <w:color w:val="000000"/>
          <w:lang w:val="en-GB"/>
        </w:rPr>
        <w:t xml:space="preserve">. </w:t>
      </w:r>
      <w:r w:rsidR="00346C9E" w:rsidRPr="00DB56CA">
        <w:rPr>
          <w:color w:val="000000"/>
          <w:lang w:val="en-GB"/>
        </w:rPr>
        <w:t>The</w:t>
      </w:r>
      <w:r w:rsidR="007C03C7" w:rsidRPr="00DB56CA">
        <w:rPr>
          <w:color w:val="000000"/>
          <w:lang w:val="en-GB"/>
        </w:rPr>
        <w:t xml:space="preserve"> studies found </w:t>
      </w:r>
      <w:r w:rsidR="00FC703C" w:rsidRPr="00DB56CA">
        <w:rPr>
          <w:color w:val="000000"/>
          <w:lang w:val="en-GB"/>
        </w:rPr>
        <w:t>correlations between</w:t>
      </w:r>
      <w:r w:rsidR="00003BBF" w:rsidRPr="00DB56CA">
        <w:rPr>
          <w:color w:val="000000"/>
          <w:lang w:val="en-GB"/>
        </w:rPr>
        <w:t xml:space="preserve"> Heart Rate Training Load</w:t>
      </w:r>
      <w:r w:rsidR="00FC703C" w:rsidRPr="00DB56CA">
        <w:rPr>
          <w:color w:val="000000"/>
          <w:lang w:val="en-GB"/>
        </w:rPr>
        <w:t xml:space="preserve"> </w:t>
      </w:r>
      <w:r w:rsidR="00003BBF" w:rsidRPr="00DB56CA">
        <w:rPr>
          <w:color w:val="000000"/>
          <w:lang w:val="en-GB"/>
        </w:rPr>
        <w:t>(</w:t>
      </w:r>
      <w:r w:rsidR="00FC703C" w:rsidRPr="00DB56CA">
        <w:rPr>
          <w:color w:val="000000"/>
          <w:lang w:val="en-GB"/>
        </w:rPr>
        <w:t>HR</w:t>
      </w:r>
      <w:r w:rsidR="006B036E" w:rsidRPr="00DB56CA">
        <w:rPr>
          <w:color w:val="000000"/>
          <w:lang w:val="en-GB"/>
        </w:rPr>
        <w:t>TL</w:t>
      </w:r>
      <w:r w:rsidR="00003BBF" w:rsidRPr="00DB56CA">
        <w:rPr>
          <w:color w:val="000000"/>
          <w:lang w:val="en-GB"/>
        </w:rPr>
        <w:t>)</w:t>
      </w:r>
      <w:r w:rsidR="00FC703C" w:rsidRPr="00DB56CA">
        <w:rPr>
          <w:color w:val="000000"/>
          <w:lang w:val="en-GB"/>
        </w:rPr>
        <w:t xml:space="preserve"> and</w:t>
      </w:r>
      <w:r w:rsidR="00003BBF" w:rsidRPr="00DB56CA">
        <w:rPr>
          <w:color w:val="000000"/>
          <w:lang w:val="en-GB"/>
        </w:rPr>
        <w:t xml:space="preserve"> sRPE Training Load</w:t>
      </w:r>
      <w:r w:rsidR="00FC703C" w:rsidRPr="00DB56CA">
        <w:rPr>
          <w:color w:val="000000"/>
          <w:lang w:val="en-GB"/>
        </w:rPr>
        <w:t xml:space="preserve"> </w:t>
      </w:r>
      <w:r w:rsidR="00003BBF" w:rsidRPr="00DB56CA">
        <w:rPr>
          <w:color w:val="000000"/>
          <w:lang w:val="en-GB"/>
        </w:rPr>
        <w:t>(</w:t>
      </w:r>
      <w:r w:rsidR="00FC703C" w:rsidRPr="00DB56CA">
        <w:rPr>
          <w:color w:val="000000"/>
          <w:lang w:val="en-GB"/>
        </w:rPr>
        <w:t>sRPE</w:t>
      </w:r>
      <w:r w:rsidR="006B036E" w:rsidRPr="00DB56CA">
        <w:rPr>
          <w:color w:val="000000"/>
          <w:lang w:val="en-GB"/>
        </w:rPr>
        <w:t>TL</w:t>
      </w:r>
      <w:r w:rsidR="00003BBF" w:rsidRPr="00DB56CA">
        <w:rPr>
          <w:color w:val="000000"/>
          <w:lang w:val="en-GB"/>
        </w:rPr>
        <w:t>)</w:t>
      </w:r>
      <w:r w:rsidR="005C1D2F" w:rsidRPr="00DB56CA">
        <w:rPr>
          <w:color w:val="000000"/>
          <w:lang w:val="en-GB"/>
        </w:rPr>
        <w:t>, which</w:t>
      </w:r>
      <w:r w:rsidR="00FC703C" w:rsidRPr="00DB56CA">
        <w:rPr>
          <w:color w:val="000000"/>
          <w:lang w:val="en-GB"/>
        </w:rPr>
        <w:t xml:space="preserve"> </w:t>
      </w:r>
      <w:r w:rsidR="00346C9E" w:rsidRPr="00DB56CA">
        <w:rPr>
          <w:color w:val="000000"/>
          <w:lang w:val="en-GB"/>
        </w:rPr>
        <w:t>r</w:t>
      </w:r>
      <w:r w:rsidR="005C1D2F" w:rsidRPr="00DB56CA">
        <w:rPr>
          <w:color w:val="000000"/>
          <w:lang w:val="en-GB"/>
        </w:rPr>
        <w:t>anged</w:t>
      </w:r>
      <w:r w:rsidR="00AE368E" w:rsidRPr="00DB56CA">
        <w:rPr>
          <w:color w:val="000000"/>
          <w:lang w:val="en-GB"/>
        </w:rPr>
        <w:t xml:space="preserve"> between </w:t>
      </w:r>
      <w:r w:rsidR="00AE368E" w:rsidRPr="00DB56CA">
        <w:rPr>
          <w:i/>
          <w:color w:val="000000"/>
          <w:lang w:val="en-GB"/>
        </w:rPr>
        <w:t>r=</w:t>
      </w:r>
      <w:r w:rsidR="00346C9E" w:rsidRPr="00DB56CA">
        <w:rPr>
          <w:color w:val="000000"/>
          <w:lang w:val="en-GB"/>
        </w:rPr>
        <w:t>0.17</w:t>
      </w:r>
      <w:r w:rsidR="00FC703C" w:rsidRPr="00DB56CA">
        <w:rPr>
          <w:color w:val="000000"/>
          <w:lang w:val="en-GB"/>
        </w:rPr>
        <w:t xml:space="preserve"> (</w:t>
      </w:r>
      <w:r w:rsidR="000476E0" w:rsidRPr="00DB56CA">
        <w:rPr>
          <w:color w:val="000000"/>
          <w:lang w:val="en-GB"/>
        </w:rPr>
        <w:t>21</w:t>
      </w:r>
      <w:r w:rsidR="00AE368E" w:rsidRPr="00DB56CA">
        <w:rPr>
          <w:color w:val="000000"/>
          <w:lang w:val="en-GB"/>
        </w:rPr>
        <w:t xml:space="preserve">) to </w:t>
      </w:r>
      <w:r w:rsidR="00AE368E" w:rsidRPr="00DB56CA">
        <w:rPr>
          <w:i/>
          <w:color w:val="000000"/>
          <w:lang w:val="en-GB"/>
        </w:rPr>
        <w:t>r=</w:t>
      </w:r>
      <w:r w:rsidR="00FC703C" w:rsidRPr="00DB56CA">
        <w:rPr>
          <w:color w:val="000000"/>
          <w:lang w:val="en-GB"/>
        </w:rPr>
        <w:t>0.84 (</w:t>
      </w:r>
      <w:r w:rsidR="00554E0B" w:rsidRPr="00DB56CA">
        <w:rPr>
          <w:color w:val="000000"/>
          <w:lang w:val="en-GB"/>
        </w:rPr>
        <w:t>17</w:t>
      </w:r>
      <w:r w:rsidR="00FC703C" w:rsidRPr="00DB56CA">
        <w:rPr>
          <w:color w:val="000000"/>
          <w:lang w:val="en-GB"/>
        </w:rPr>
        <w:t>)</w:t>
      </w:r>
      <w:r w:rsidR="00172201" w:rsidRPr="00DB56CA">
        <w:rPr>
          <w:color w:val="000000"/>
          <w:lang w:val="en-GB"/>
        </w:rPr>
        <w:t xml:space="preserve">. </w:t>
      </w:r>
      <w:r w:rsidR="00573B17" w:rsidRPr="00DB56CA">
        <w:rPr>
          <w:color w:val="000000"/>
          <w:lang w:val="en-GB"/>
        </w:rPr>
        <w:t>Only two studies (</w:t>
      </w:r>
      <w:r w:rsidR="00554E0B" w:rsidRPr="00DB56CA">
        <w:rPr>
          <w:color w:val="000000"/>
          <w:lang w:val="en-GB"/>
        </w:rPr>
        <w:t>17</w:t>
      </w:r>
      <w:r w:rsidR="00573B17" w:rsidRPr="00DB56CA">
        <w:rPr>
          <w:color w:val="000000"/>
          <w:lang w:val="en-GB"/>
        </w:rPr>
        <w:t>, 2</w:t>
      </w:r>
      <w:r w:rsidR="000476E0" w:rsidRPr="00DB56CA">
        <w:rPr>
          <w:color w:val="000000"/>
          <w:lang w:val="en-GB"/>
        </w:rPr>
        <w:t>2</w:t>
      </w:r>
      <w:r w:rsidR="00573B17" w:rsidRPr="00DB56CA">
        <w:rPr>
          <w:color w:val="000000"/>
          <w:lang w:val="en-GB"/>
        </w:rPr>
        <w:t>) analysed the data using within participant correlations.</w:t>
      </w:r>
      <w:r w:rsidR="00CB451D" w:rsidRPr="00DB56CA">
        <w:rPr>
          <w:color w:val="000000"/>
          <w:lang w:val="en-GB"/>
        </w:rPr>
        <w:t xml:space="preserve"> </w:t>
      </w:r>
      <w:r w:rsidR="00A61C59" w:rsidRPr="00DB56CA">
        <w:rPr>
          <w:color w:val="000000"/>
          <w:lang w:val="en-GB"/>
        </w:rPr>
        <w:t>Within participant correlations</w:t>
      </w:r>
      <w:r w:rsidR="009E675D" w:rsidRPr="00DB56CA">
        <w:rPr>
          <w:color w:val="000000"/>
          <w:lang w:val="en-GB"/>
        </w:rPr>
        <w:t>, where the longitudinal dataset i</w:t>
      </w:r>
      <w:r w:rsidR="00FC1E3B" w:rsidRPr="00DB56CA">
        <w:rPr>
          <w:color w:val="000000"/>
          <w:lang w:val="en-GB"/>
        </w:rPr>
        <w:t>s</w:t>
      </w:r>
      <w:r w:rsidR="009E675D" w:rsidRPr="00DB56CA">
        <w:rPr>
          <w:color w:val="000000"/>
          <w:lang w:val="en-GB"/>
        </w:rPr>
        <w:t xml:space="preserve"> modelled as a whole,</w:t>
      </w:r>
      <w:r w:rsidR="00CB451D" w:rsidRPr="00DB56CA">
        <w:rPr>
          <w:color w:val="000000"/>
          <w:lang w:val="en-GB"/>
        </w:rPr>
        <w:t xml:space="preserve"> </w:t>
      </w:r>
      <w:r w:rsidR="0064599E" w:rsidRPr="00DB56CA">
        <w:rPr>
          <w:color w:val="000000"/>
          <w:lang w:val="en-GB"/>
        </w:rPr>
        <w:t xml:space="preserve">are </w:t>
      </w:r>
      <w:r w:rsidR="00CB451D" w:rsidRPr="00DB56CA">
        <w:rPr>
          <w:color w:val="000000"/>
          <w:lang w:val="en-GB"/>
        </w:rPr>
        <w:t>associated with higher levels of statistical power and corrected degrees of freedom</w:t>
      </w:r>
      <w:r w:rsidR="009E675D" w:rsidRPr="00DB56CA">
        <w:rPr>
          <w:color w:val="000000"/>
          <w:lang w:val="en-GB"/>
        </w:rPr>
        <w:t xml:space="preserve"> (</w:t>
      </w:r>
      <w:r w:rsidR="00554E0B" w:rsidRPr="00DB56CA">
        <w:rPr>
          <w:color w:val="000000"/>
          <w:lang w:val="en-GB"/>
        </w:rPr>
        <w:t>17</w:t>
      </w:r>
      <w:r w:rsidR="009E675D" w:rsidRPr="00DB56CA">
        <w:rPr>
          <w:color w:val="000000"/>
          <w:lang w:val="en-GB"/>
        </w:rPr>
        <w:t xml:space="preserve">, </w:t>
      </w:r>
      <w:r w:rsidR="000476E0" w:rsidRPr="00DB56CA">
        <w:rPr>
          <w:color w:val="000000"/>
          <w:lang w:val="en-GB"/>
        </w:rPr>
        <w:t>22</w:t>
      </w:r>
      <w:r w:rsidR="009E675D" w:rsidRPr="00DB56CA">
        <w:rPr>
          <w:color w:val="000000"/>
          <w:lang w:val="en-GB"/>
        </w:rPr>
        <w:t>)</w:t>
      </w:r>
      <w:r w:rsidR="00CB451D" w:rsidRPr="00DB56CA">
        <w:rPr>
          <w:color w:val="000000"/>
          <w:lang w:val="en-GB"/>
        </w:rPr>
        <w:t>.</w:t>
      </w:r>
      <w:r w:rsidR="00573B17" w:rsidRPr="00DB56CA">
        <w:rPr>
          <w:color w:val="000000"/>
          <w:lang w:val="en-GB"/>
        </w:rPr>
        <w:t xml:space="preserve"> </w:t>
      </w:r>
      <w:r w:rsidR="006B036E" w:rsidRPr="00DB56CA">
        <w:rPr>
          <w:color w:val="000000" w:themeColor="text1"/>
          <w:lang w:val="en-GB"/>
        </w:rPr>
        <w:t xml:space="preserve">While </w:t>
      </w:r>
      <w:r w:rsidR="00AA7F10" w:rsidRPr="00DB56CA">
        <w:rPr>
          <w:color w:val="000000" w:themeColor="text1"/>
          <w:lang w:val="en-GB"/>
        </w:rPr>
        <w:t>Fanchini</w:t>
      </w:r>
      <w:r w:rsidR="00F539A2" w:rsidRPr="00DB56CA">
        <w:rPr>
          <w:color w:val="000000" w:themeColor="text1"/>
          <w:lang w:val="en-GB"/>
        </w:rPr>
        <w:t xml:space="preserve"> et</w:t>
      </w:r>
      <w:r w:rsidR="001B19C5" w:rsidRPr="00DB56CA">
        <w:rPr>
          <w:color w:val="000000" w:themeColor="text1"/>
          <w:lang w:val="en-GB"/>
        </w:rPr>
        <w:t xml:space="preserve"> </w:t>
      </w:r>
      <w:r w:rsidR="00F539A2" w:rsidRPr="00DB56CA">
        <w:rPr>
          <w:color w:val="000000" w:themeColor="text1"/>
          <w:lang w:val="en-GB"/>
        </w:rPr>
        <w:t>al</w:t>
      </w:r>
      <w:r w:rsidR="00BC7054" w:rsidRPr="00DB56CA">
        <w:rPr>
          <w:color w:val="000000" w:themeColor="text1"/>
          <w:lang w:val="en-GB"/>
        </w:rPr>
        <w:t>. (</w:t>
      </w:r>
      <w:r w:rsidR="00554E0B" w:rsidRPr="00DB56CA">
        <w:rPr>
          <w:color w:val="000000" w:themeColor="text1"/>
          <w:lang w:val="en-GB"/>
        </w:rPr>
        <w:t>9</w:t>
      </w:r>
      <w:r w:rsidR="00BC7054" w:rsidRPr="00DB56CA">
        <w:rPr>
          <w:color w:val="000000" w:themeColor="text1"/>
          <w:lang w:val="en-GB"/>
        </w:rPr>
        <w:t>)</w:t>
      </w:r>
      <w:r w:rsidR="00F539A2" w:rsidRPr="00DB56CA">
        <w:rPr>
          <w:color w:val="000000" w:themeColor="text1"/>
          <w:lang w:val="en-GB"/>
        </w:rPr>
        <w:t xml:space="preserve"> </w:t>
      </w:r>
      <w:r w:rsidR="006B036E" w:rsidRPr="00DB56CA">
        <w:rPr>
          <w:color w:val="000000" w:themeColor="text1"/>
          <w:lang w:val="en-GB"/>
        </w:rPr>
        <w:t>s</w:t>
      </w:r>
      <w:r w:rsidR="005C1D2F" w:rsidRPr="00DB56CA">
        <w:rPr>
          <w:color w:val="000000" w:themeColor="text1"/>
          <w:lang w:val="en-GB"/>
        </w:rPr>
        <w:t>tated</w:t>
      </w:r>
      <w:r w:rsidR="006B036E" w:rsidRPr="00DB56CA">
        <w:rPr>
          <w:color w:val="000000" w:themeColor="text1"/>
          <w:lang w:val="en-GB"/>
        </w:rPr>
        <w:t xml:space="preserve"> that the</w:t>
      </w:r>
      <w:r w:rsidR="00AA7F10" w:rsidRPr="00DB56CA">
        <w:rPr>
          <w:color w:val="000000" w:themeColor="text1"/>
          <w:lang w:val="en-GB"/>
        </w:rPr>
        <w:t xml:space="preserve"> Borg CR10 scale has been va</w:t>
      </w:r>
      <w:r w:rsidR="006B036E" w:rsidRPr="00DB56CA">
        <w:rPr>
          <w:color w:val="000000" w:themeColor="text1"/>
          <w:lang w:val="en-GB"/>
        </w:rPr>
        <w:t xml:space="preserve">lidated against HR in </w:t>
      </w:r>
      <w:r w:rsidR="007F2E73" w:rsidRPr="00DB56CA">
        <w:rPr>
          <w:color w:val="000000" w:themeColor="text1"/>
          <w:lang w:val="en-GB"/>
        </w:rPr>
        <w:t>soccer</w:t>
      </w:r>
      <w:r w:rsidR="00003BBF" w:rsidRPr="00DB56CA">
        <w:rPr>
          <w:color w:val="000000" w:themeColor="text1"/>
          <w:lang w:val="en-GB"/>
        </w:rPr>
        <w:t xml:space="preserve"> (</w:t>
      </w:r>
      <w:r w:rsidR="00554E0B" w:rsidRPr="00DB56CA">
        <w:rPr>
          <w:color w:val="000000" w:themeColor="text1"/>
          <w:lang w:val="en-GB"/>
        </w:rPr>
        <w:t>9</w:t>
      </w:r>
      <w:r w:rsidR="00003BBF" w:rsidRPr="00DB56CA">
        <w:rPr>
          <w:color w:val="000000" w:themeColor="text1"/>
          <w:lang w:val="en-GB"/>
        </w:rPr>
        <w:t>)</w:t>
      </w:r>
      <w:r w:rsidR="00AA7F10" w:rsidRPr="00DB56CA">
        <w:rPr>
          <w:color w:val="000000" w:themeColor="text1"/>
          <w:lang w:val="en-GB"/>
        </w:rPr>
        <w:t>, this validation is limited</w:t>
      </w:r>
      <w:r w:rsidR="00622747" w:rsidRPr="00DB56CA">
        <w:rPr>
          <w:color w:val="000000" w:themeColor="text1"/>
          <w:lang w:val="en-GB"/>
        </w:rPr>
        <w:t xml:space="preserve"> in its </w:t>
      </w:r>
      <w:r w:rsidR="008E4232" w:rsidRPr="00DB56CA">
        <w:rPr>
          <w:color w:val="000000" w:themeColor="text1"/>
          <w:lang w:val="en-GB"/>
        </w:rPr>
        <w:t xml:space="preserve">interpretation. </w:t>
      </w:r>
      <w:r w:rsidR="00AA7F10" w:rsidRPr="00DB56CA">
        <w:rPr>
          <w:color w:val="000000" w:themeColor="text1"/>
          <w:lang w:val="en-GB"/>
        </w:rPr>
        <w:t xml:space="preserve">The studies validating the scale </w:t>
      </w:r>
      <w:r w:rsidR="0051487B" w:rsidRPr="00DB56CA">
        <w:rPr>
          <w:color w:val="000000" w:themeColor="text1"/>
          <w:lang w:val="en-GB"/>
        </w:rPr>
        <w:t>(</w:t>
      </w:r>
      <w:r w:rsidR="00577B53" w:rsidRPr="00DB56CA">
        <w:rPr>
          <w:color w:val="000000" w:themeColor="text1"/>
          <w:lang w:val="en-GB"/>
        </w:rPr>
        <w:t>1, 2</w:t>
      </w:r>
      <w:r w:rsidR="00103903" w:rsidRPr="00DB56CA">
        <w:rPr>
          <w:color w:val="000000" w:themeColor="text1"/>
          <w:lang w:val="en-GB"/>
        </w:rPr>
        <w:t>, 5,</w:t>
      </w:r>
      <w:r w:rsidR="00126F39" w:rsidRPr="00DB56CA">
        <w:rPr>
          <w:color w:val="000000" w:themeColor="text1"/>
          <w:lang w:val="en-GB"/>
        </w:rPr>
        <w:t xml:space="preserve"> 7,</w:t>
      </w:r>
      <w:r w:rsidR="00577B53" w:rsidRPr="00DB56CA">
        <w:rPr>
          <w:color w:val="000000" w:themeColor="text1"/>
          <w:lang w:val="en-GB"/>
        </w:rPr>
        <w:t xml:space="preserve"> </w:t>
      </w:r>
      <w:r w:rsidR="00554E0B" w:rsidRPr="00DB56CA">
        <w:rPr>
          <w:color w:val="000000" w:themeColor="text1"/>
          <w:lang w:val="en-GB"/>
        </w:rPr>
        <w:t>15</w:t>
      </w:r>
      <w:r w:rsidR="004C2442" w:rsidRPr="00DB56CA">
        <w:rPr>
          <w:color w:val="000000" w:themeColor="text1"/>
          <w:lang w:val="en-GB"/>
        </w:rPr>
        <w:t xml:space="preserve">) </w:t>
      </w:r>
      <w:r w:rsidR="00AA7F10" w:rsidRPr="00DB56CA">
        <w:rPr>
          <w:color w:val="000000" w:themeColor="text1"/>
          <w:lang w:val="en-GB"/>
        </w:rPr>
        <w:t>merely correlate the two measures</w:t>
      </w:r>
      <w:r w:rsidR="00172201" w:rsidRPr="00DB56CA">
        <w:rPr>
          <w:color w:val="000000" w:themeColor="text1"/>
          <w:lang w:val="en-GB"/>
        </w:rPr>
        <w:t>.</w:t>
      </w:r>
      <w:r w:rsidR="00003BBF" w:rsidRPr="00DB56CA">
        <w:rPr>
          <w:color w:val="000000" w:themeColor="text1"/>
          <w:lang w:val="en-GB"/>
        </w:rPr>
        <w:t xml:space="preserve"> </w:t>
      </w:r>
      <w:r w:rsidR="003C73B2" w:rsidRPr="00DB56CA">
        <w:rPr>
          <w:color w:val="000000" w:themeColor="text1"/>
          <w:lang w:val="en-GB"/>
        </w:rPr>
        <w:t xml:space="preserve">While correlations indicate the strength of relationships between measures, </w:t>
      </w:r>
      <w:r w:rsidR="006E0AC1" w:rsidRPr="00DB56CA">
        <w:rPr>
          <w:color w:val="000000" w:themeColor="text1"/>
          <w:lang w:val="en-GB"/>
        </w:rPr>
        <w:t>they do</w:t>
      </w:r>
      <w:r w:rsidR="003C73B2" w:rsidRPr="00DB56CA">
        <w:rPr>
          <w:color w:val="000000" w:themeColor="text1"/>
          <w:lang w:val="en-GB"/>
        </w:rPr>
        <w:t xml:space="preserve"> not fully explain any biases or trends that may influence the correlation</w:t>
      </w:r>
      <w:r w:rsidR="00CA031B" w:rsidRPr="00DB56CA">
        <w:rPr>
          <w:color w:val="000000" w:themeColor="text1"/>
          <w:lang w:val="en-GB"/>
        </w:rPr>
        <w:t xml:space="preserve"> (3)</w:t>
      </w:r>
      <w:r w:rsidR="00172201" w:rsidRPr="00DB56CA">
        <w:rPr>
          <w:color w:val="000000" w:themeColor="text1"/>
          <w:lang w:val="en-GB"/>
        </w:rPr>
        <w:t>.</w:t>
      </w:r>
      <w:r w:rsidR="00C7378E" w:rsidRPr="00DB56CA">
        <w:rPr>
          <w:color w:val="000000" w:themeColor="text1"/>
          <w:lang w:val="en-GB"/>
        </w:rPr>
        <w:t xml:space="preserve"> </w:t>
      </w:r>
      <w:r w:rsidR="00AE75EF" w:rsidRPr="00DB56CA">
        <w:rPr>
          <w:color w:val="000000" w:themeColor="text1"/>
          <w:lang w:val="en-GB"/>
        </w:rPr>
        <w:t>Despite</w:t>
      </w:r>
      <w:r w:rsidR="00922C6C" w:rsidRPr="00DB56CA">
        <w:rPr>
          <w:color w:val="000000" w:themeColor="text1"/>
          <w:lang w:val="en-GB"/>
        </w:rPr>
        <w:t xml:space="preserve"> high correlations</w:t>
      </w:r>
      <w:r w:rsidR="004769B7" w:rsidRPr="00DB56CA">
        <w:rPr>
          <w:color w:val="000000" w:themeColor="text1"/>
          <w:lang w:val="en-GB"/>
        </w:rPr>
        <w:t xml:space="preserve"> </w:t>
      </w:r>
      <w:r w:rsidR="00922C6C" w:rsidRPr="00DB56CA">
        <w:rPr>
          <w:color w:val="000000" w:themeColor="text1"/>
          <w:lang w:val="en-GB"/>
        </w:rPr>
        <w:t>there may be a significant bias in one of the measures</w:t>
      </w:r>
      <w:r w:rsidR="00FF7EB4" w:rsidRPr="00DB56CA">
        <w:rPr>
          <w:color w:val="000000" w:themeColor="text1"/>
          <w:lang w:val="en-GB"/>
        </w:rPr>
        <w:t>,</w:t>
      </w:r>
      <w:r w:rsidR="00922C6C" w:rsidRPr="00DB56CA">
        <w:rPr>
          <w:color w:val="000000" w:themeColor="text1"/>
          <w:lang w:val="en-GB"/>
        </w:rPr>
        <w:t xml:space="preserve"> </w:t>
      </w:r>
      <w:r w:rsidR="00B750FF" w:rsidRPr="00DB56CA">
        <w:rPr>
          <w:color w:val="000000" w:themeColor="text1"/>
          <w:lang w:val="en-GB"/>
        </w:rPr>
        <w:t xml:space="preserve">which can be quantified using Bland-Altman plots of agreement </w:t>
      </w:r>
      <w:r w:rsidR="00922C6C" w:rsidRPr="00DB56CA">
        <w:rPr>
          <w:color w:val="000000" w:themeColor="text1"/>
          <w:lang w:val="en-GB"/>
        </w:rPr>
        <w:t>(</w:t>
      </w:r>
      <w:r w:rsidR="00577B53" w:rsidRPr="00DB56CA">
        <w:rPr>
          <w:color w:val="000000" w:themeColor="text1"/>
          <w:lang w:val="en-GB"/>
        </w:rPr>
        <w:t>3</w:t>
      </w:r>
      <w:r w:rsidR="00922C6C" w:rsidRPr="00DB56CA">
        <w:rPr>
          <w:color w:val="000000" w:themeColor="text1"/>
          <w:lang w:val="en-GB"/>
        </w:rPr>
        <w:t>)</w:t>
      </w:r>
      <w:r w:rsidR="00C7378E" w:rsidRPr="00DB56CA">
        <w:rPr>
          <w:color w:val="000000" w:themeColor="text1"/>
          <w:lang w:val="en-GB"/>
        </w:rPr>
        <w:t>.</w:t>
      </w:r>
      <w:r w:rsidR="00B750FF" w:rsidRPr="00DB56CA">
        <w:rPr>
          <w:color w:val="000000" w:themeColor="text1"/>
          <w:lang w:val="en-GB"/>
        </w:rPr>
        <w:t xml:space="preserve"> However,</w:t>
      </w:r>
      <w:r w:rsidR="00C7378E" w:rsidRPr="00DB56CA">
        <w:rPr>
          <w:color w:val="000000" w:themeColor="text1"/>
          <w:lang w:val="en-GB"/>
        </w:rPr>
        <w:t xml:space="preserve"> </w:t>
      </w:r>
      <w:r w:rsidR="00B750FF" w:rsidRPr="00DB56CA">
        <w:rPr>
          <w:color w:val="000000" w:themeColor="text1"/>
          <w:lang w:val="en-GB"/>
        </w:rPr>
        <w:t>n</w:t>
      </w:r>
      <w:r w:rsidR="003C73B2" w:rsidRPr="00DB56CA">
        <w:rPr>
          <w:color w:val="000000" w:themeColor="text1"/>
          <w:lang w:val="en-GB"/>
        </w:rPr>
        <w:t xml:space="preserve">o study has analysed the </w:t>
      </w:r>
      <w:r w:rsidR="00622747" w:rsidRPr="00DB56CA">
        <w:rPr>
          <w:color w:val="000000" w:themeColor="text1"/>
          <w:lang w:val="en-GB"/>
        </w:rPr>
        <w:t xml:space="preserve">HR and sRPE </w:t>
      </w:r>
      <w:r w:rsidR="009E41F2" w:rsidRPr="00DB56CA">
        <w:rPr>
          <w:color w:val="000000" w:themeColor="text1"/>
          <w:lang w:val="en-GB"/>
        </w:rPr>
        <w:t xml:space="preserve">data </w:t>
      </w:r>
      <w:r w:rsidR="009603B2" w:rsidRPr="00DB56CA">
        <w:rPr>
          <w:color w:val="000000" w:themeColor="text1"/>
          <w:lang w:val="en-GB"/>
        </w:rPr>
        <w:t>for this</w:t>
      </w:r>
      <w:r w:rsidR="00AC60B4" w:rsidRPr="00DB56CA">
        <w:rPr>
          <w:color w:val="000000" w:themeColor="text1"/>
          <w:lang w:val="en-GB"/>
        </w:rPr>
        <w:t xml:space="preserve"> bias using Bland-</w:t>
      </w:r>
      <w:r w:rsidR="003C73B2" w:rsidRPr="00DB56CA">
        <w:rPr>
          <w:color w:val="000000" w:themeColor="text1"/>
          <w:lang w:val="en-GB"/>
        </w:rPr>
        <w:t>Altman plots of agreement</w:t>
      </w:r>
      <w:r w:rsidR="00A049D9" w:rsidRPr="00DB56CA">
        <w:rPr>
          <w:color w:val="000000" w:themeColor="text1"/>
          <w:lang w:val="en-GB"/>
        </w:rPr>
        <w:t>.</w:t>
      </w:r>
      <w:r w:rsidR="00003BBF" w:rsidRPr="00DB56CA">
        <w:rPr>
          <w:color w:val="000000" w:themeColor="text1"/>
          <w:lang w:val="en-GB"/>
        </w:rPr>
        <w:t xml:space="preserve"> </w:t>
      </w:r>
      <w:r w:rsidR="00FB7D6F" w:rsidRPr="00DB56CA">
        <w:rPr>
          <w:color w:val="000000" w:themeColor="text1"/>
          <w:lang w:val="en-GB"/>
        </w:rPr>
        <w:t>Though</w:t>
      </w:r>
      <w:r w:rsidR="007A3E4A" w:rsidRPr="00DB56CA">
        <w:rPr>
          <w:color w:val="000000" w:themeColor="text1"/>
          <w:lang w:val="en-GB"/>
        </w:rPr>
        <w:t xml:space="preserve"> studies support the use of sRPE as a global indicator of training load in </w:t>
      </w:r>
      <w:r w:rsidR="00687EAD" w:rsidRPr="00DB56CA">
        <w:rPr>
          <w:color w:val="000000" w:themeColor="text1"/>
          <w:highlight w:val="yellow"/>
          <w:lang w:val="en-GB"/>
        </w:rPr>
        <w:t>soccer</w:t>
      </w:r>
      <w:r w:rsidR="007A3E4A" w:rsidRPr="00DB56CA">
        <w:rPr>
          <w:color w:val="000000" w:themeColor="text1"/>
          <w:lang w:val="en-GB"/>
        </w:rPr>
        <w:t xml:space="preserve">, </w:t>
      </w:r>
      <w:r w:rsidR="00FB7D6F" w:rsidRPr="00DB56CA">
        <w:rPr>
          <w:color w:val="000000" w:themeColor="text1"/>
          <w:lang w:val="en-GB"/>
        </w:rPr>
        <w:t>they</w:t>
      </w:r>
      <w:r w:rsidR="009E41F2" w:rsidRPr="00DB56CA">
        <w:rPr>
          <w:color w:val="000000" w:themeColor="text1"/>
          <w:lang w:val="en-GB"/>
        </w:rPr>
        <w:t xml:space="preserve"> have cautioned on the interchangeability of the two </w:t>
      </w:r>
      <w:r w:rsidR="00835FFF" w:rsidRPr="00DB56CA">
        <w:rPr>
          <w:color w:val="000000" w:themeColor="text1"/>
          <w:lang w:val="en-GB"/>
        </w:rPr>
        <w:t>methods</w:t>
      </w:r>
      <w:r w:rsidR="008954D7" w:rsidRPr="00DB56CA">
        <w:rPr>
          <w:color w:val="000000" w:themeColor="text1"/>
          <w:lang w:val="en-GB"/>
        </w:rPr>
        <w:t>.</w:t>
      </w:r>
      <w:r w:rsidR="000B452C" w:rsidRPr="00DB56CA">
        <w:rPr>
          <w:color w:val="000000" w:themeColor="text1"/>
          <w:lang w:val="en-GB"/>
        </w:rPr>
        <w:t xml:space="preserve"> </w:t>
      </w:r>
      <w:r w:rsidR="008954D7" w:rsidRPr="00DB56CA">
        <w:rPr>
          <w:color w:val="000000" w:themeColor="text1"/>
          <w:lang w:val="en-GB"/>
        </w:rPr>
        <w:t xml:space="preserve">This is because </w:t>
      </w:r>
      <w:r w:rsidR="000B452C" w:rsidRPr="00DB56CA">
        <w:rPr>
          <w:color w:val="000000" w:themeColor="text1"/>
          <w:lang w:val="en-GB"/>
        </w:rPr>
        <w:t>using</w:t>
      </w:r>
      <w:r w:rsidR="00930DA1" w:rsidRPr="00DB56CA">
        <w:rPr>
          <w:color w:val="000000" w:themeColor="text1"/>
          <w:lang w:val="en-GB"/>
        </w:rPr>
        <w:t xml:space="preserve"> sRPE </w:t>
      </w:r>
      <w:r w:rsidR="000B452C" w:rsidRPr="00DB56CA">
        <w:rPr>
          <w:color w:val="000000" w:themeColor="text1"/>
          <w:lang w:val="en-GB"/>
        </w:rPr>
        <w:t>explains</w:t>
      </w:r>
      <w:r w:rsidR="000B452C" w:rsidRPr="00DB56CA">
        <w:rPr>
          <w:color w:val="000000"/>
          <w:lang w:val="en-GB"/>
        </w:rPr>
        <w:t xml:space="preserve"> between 12-70% of the variation in HR (1, 2, 5-</w:t>
      </w:r>
      <w:r w:rsidR="00554E0B" w:rsidRPr="00DB56CA">
        <w:rPr>
          <w:color w:val="000000"/>
          <w:lang w:val="en-GB"/>
        </w:rPr>
        <w:t>9</w:t>
      </w:r>
      <w:r w:rsidR="000B452C" w:rsidRPr="00DB56CA">
        <w:rPr>
          <w:color w:val="000000"/>
          <w:lang w:val="en-GB"/>
        </w:rPr>
        <w:t xml:space="preserve">, </w:t>
      </w:r>
      <w:r w:rsidR="00554E0B" w:rsidRPr="00DB56CA">
        <w:rPr>
          <w:color w:val="000000"/>
          <w:lang w:val="en-GB"/>
        </w:rPr>
        <w:t>15</w:t>
      </w:r>
      <w:r w:rsidR="000B452C" w:rsidRPr="00DB56CA">
        <w:rPr>
          <w:color w:val="000000"/>
          <w:lang w:val="en-GB"/>
        </w:rPr>
        <w:t xml:space="preserve">, </w:t>
      </w:r>
      <w:r w:rsidR="00554E0B" w:rsidRPr="00DB56CA">
        <w:rPr>
          <w:color w:val="000000"/>
          <w:lang w:val="en-GB"/>
        </w:rPr>
        <w:t>17</w:t>
      </w:r>
      <w:r w:rsidR="000B452C" w:rsidRPr="00DB56CA">
        <w:rPr>
          <w:color w:val="000000"/>
          <w:lang w:val="en-GB"/>
        </w:rPr>
        <w:t xml:space="preserve">, </w:t>
      </w:r>
      <w:r w:rsidR="000476E0" w:rsidRPr="00DB56CA">
        <w:rPr>
          <w:color w:val="000000"/>
          <w:lang w:val="en-GB"/>
        </w:rPr>
        <w:t>21</w:t>
      </w:r>
      <w:r w:rsidR="000B452C" w:rsidRPr="00DB56CA">
        <w:rPr>
          <w:color w:val="000000"/>
          <w:lang w:val="en-GB"/>
        </w:rPr>
        <w:t>). Since the precise reason for the large variation is unknown, it is difficult to accurately estimate the correlation for a session</w:t>
      </w:r>
      <w:r w:rsidR="00020DEE" w:rsidRPr="00DB56CA">
        <w:rPr>
          <w:color w:val="000000"/>
          <w:lang w:val="en-GB"/>
        </w:rPr>
        <w:t xml:space="preserve">. </w:t>
      </w:r>
    </w:p>
    <w:p w14:paraId="0313A4EB" w14:textId="193DBAE0" w:rsidR="00A841AE" w:rsidRPr="00DB56CA" w:rsidRDefault="005C1D2F" w:rsidP="001B3525">
      <w:pPr>
        <w:widowControl w:val="0"/>
        <w:autoSpaceDE w:val="0"/>
        <w:autoSpaceDN w:val="0"/>
        <w:adjustRightInd w:val="0"/>
        <w:spacing w:after="100" w:afterAutospacing="1" w:line="480" w:lineRule="auto"/>
        <w:contextualSpacing/>
        <w:jc w:val="both"/>
        <w:rPr>
          <w:color w:val="FF0000"/>
          <w:lang w:val="en-GB"/>
        </w:rPr>
      </w:pPr>
      <w:r w:rsidRPr="00DB56CA">
        <w:rPr>
          <w:color w:val="000000"/>
          <w:lang w:val="en-GB"/>
        </w:rPr>
        <w:t xml:space="preserve">To the best of </w:t>
      </w:r>
      <w:r w:rsidR="00003BBF" w:rsidRPr="00DB56CA">
        <w:rPr>
          <w:color w:val="000000"/>
          <w:lang w:val="en-GB"/>
        </w:rPr>
        <w:t>the author</w:t>
      </w:r>
      <w:r w:rsidR="00003BBF" w:rsidRPr="00DB56CA">
        <w:rPr>
          <w:rFonts w:ascii="Helvetica" w:eastAsia="Helvetica" w:hAnsi="Helvetica" w:cs="Helvetica"/>
          <w:color w:val="000000"/>
          <w:lang w:val="en-GB"/>
        </w:rPr>
        <w:t>’</w:t>
      </w:r>
      <w:r w:rsidR="00003BBF" w:rsidRPr="00DB56CA">
        <w:rPr>
          <w:color w:val="000000"/>
          <w:lang w:val="en-GB"/>
        </w:rPr>
        <w:t xml:space="preserve">s </w:t>
      </w:r>
      <w:r w:rsidRPr="00DB56CA">
        <w:rPr>
          <w:color w:val="000000"/>
          <w:lang w:val="en-GB"/>
        </w:rPr>
        <w:t xml:space="preserve">knowledge, only </w:t>
      </w:r>
      <w:r w:rsidR="004A14C0" w:rsidRPr="00DB56CA">
        <w:rPr>
          <w:color w:val="000000"/>
          <w:lang w:val="en-GB"/>
        </w:rPr>
        <w:t xml:space="preserve">five </w:t>
      </w:r>
      <w:r w:rsidR="00B8591E" w:rsidRPr="00DB56CA">
        <w:rPr>
          <w:color w:val="000000"/>
          <w:lang w:val="en-GB"/>
        </w:rPr>
        <w:t>s</w:t>
      </w:r>
      <w:r w:rsidR="001143D7" w:rsidRPr="00DB56CA">
        <w:rPr>
          <w:color w:val="000000"/>
          <w:lang w:val="en-GB"/>
        </w:rPr>
        <w:t xml:space="preserve">tudies </w:t>
      </w:r>
      <w:r w:rsidR="00FC1E3B" w:rsidRPr="00DB56CA">
        <w:rPr>
          <w:color w:val="000000"/>
          <w:lang w:val="en-GB"/>
        </w:rPr>
        <w:t xml:space="preserve">analysing the correlation between HR and sRPE in </w:t>
      </w:r>
      <w:r w:rsidR="007A59EB" w:rsidRPr="00DB56CA">
        <w:rPr>
          <w:color w:val="000000"/>
          <w:lang w:val="en-GB"/>
        </w:rPr>
        <w:t>adolescents and children</w:t>
      </w:r>
      <w:r w:rsidR="001143D7" w:rsidRPr="00DB56CA">
        <w:rPr>
          <w:color w:val="000000"/>
          <w:lang w:val="en-GB"/>
        </w:rPr>
        <w:t xml:space="preserve"> have been conducted</w:t>
      </w:r>
      <w:r w:rsidR="006E0AC1" w:rsidRPr="00DB56CA">
        <w:rPr>
          <w:color w:val="000000"/>
          <w:lang w:val="en-GB"/>
        </w:rPr>
        <w:t>,</w:t>
      </w:r>
      <w:r w:rsidR="00022B20" w:rsidRPr="00DB56CA">
        <w:rPr>
          <w:color w:val="000000"/>
          <w:lang w:val="en-GB"/>
        </w:rPr>
        <w:t xml:space="preserve"> </w:t>
      </w:r>
      <w:r w:rsidRPr="00DB56CA">
        <w:rPr>
          <w:color w:val="000000"/>
          <w:lang w:val="en-GB"/>
        </w:rPr>
        <w:t xml:space="preserve">and </w:t>
      </w:r>
      <w:r w:rsidR="0071661D" w:rsidRPr="00DB56CA">
        <w:rPr>
          <w:color w:val="000000"/>
          <w:lang w:val="en-GB"/>
        </w:rPr>
        <w:t xml:space="preserve">consist of </w:t>
      </w:r>
      <w:r w:rsidR="006E0AC1" w:rsidRPr="00DB56CA">
        <w:rPr>
          <w:color w:val="000000"/>
          <w:lang w:val="en-GB"/>
        </w:rPr>
        <w:t>durations</w:t>
      </w:r>
      <w:r w:rsidR="005566B1" w:rsidRPr="00DB56CA">
        <w:rPr>
          <w:color w:val="000000"/>
          <w:lang w:val="en-GB"/>
        </w:rPr>
        <w:t xml:space="preserve"> </w:t>
      </w:r>
      <w:r w:rsidR="001E05CC" w:rsidRPr="00DB56CA">
        <w:rPr>
          <w:color w:val="000000"/>
          <w:lang w:val="en-GB"/>
        </w:rPr>
        <w:t xml:space="preserve">ranging from 6 to </w:t>
      </w:r>
      <w:r w:rsidR="008F713C" w:rsidRPr="00DB56CA">
        <w:rPr>
          <w:color w:val="000000"/>
          <w:lang w:val="en-GB"/>
        </w:rPr>
        <w:t>16</w:t>
      </w:r>
      <w:r w:rsidR="001143D7" w:rsidRPr="00DB56CA">
        <w:rPr>
          <w:color w:val="000000"/>
          <w:lang w:val="en-GB"/>
        </w:rPr>
        <w:t xml:space="preserve"> weeks</w:t>
      </w:r>
      <w:r w:rsidR="00922C6C" w:rsidRPr="00DB56CA">
        <w:rPr>
          <w:color w:val="000000"/>
          <w:lang w:val="en-GB"/>
        </w:rPr>
        <w:t>.</w:t>
      </w:r>
      <w:r w:rsidR="00275D65" w:rsidRPr="00DB56CA">
        <w:rPr>
          <w:color w:val="000000"/>
          <w:lang w:val="en-GB"/>
        </w:rPr>
        <w:t xml:space="preserve"> </w:t>
      </w:r>
      <w:r w:rsidR="00CD05F0" w:rsidRPr="00DB56CA">
        <w:rPr>
          <w:color w:val="000000"/>
          <w:lang w:val="en-GB"/>
        </w:rPr>
        <w:t>Strong correlations were found for professional adolescent boys</w:t>
      </w:r>
      <w:r w:rsidR="00DA5103" w:rsidRPr="00DB56CA">
        <w:rPr>
          <w:color w:val="000000"/>
          <w:lang w:val="en-GB"/>
        </w:rPr>
        <w:t xml:space="preserve"> (</w:t>
      </w:r>
      <w:r w:rsidR="008B1A08" w:rsidRPr="00DB56CA">
        <w:rPr>
          <w:color w:val="000000"/>
          <w:lang w:val="en-GB"/>
        </w:rPr>
        <w:t>age=17</w:t>
      </w:r>
      <w:r w:rsidR="008B1A08" w:rsidRPr="00DB56CA">
        <w:rPr>
          <w:color w:val="000000"/>
          <w:u w:val="single"/>
          <w:lang w:val="en-GB"/>
        </w:rPr>
        <w:t>+</w:t>
      </w:r>
      <w:r w:rsidR="008B1A08" w:rsidRPr="00DB56CA">
        <w:rPr>
          <w:color w:val="000000"/>
          <w:lang w:val="en-GB"/>
        </w:rPr>
        <w:t xml:space="preserve">1 years; </w:t>
      </w:r>
      <w:r w:rsidR="00DA5103" w:rsidRPr="00DB56CA">
        <w:rPr>
          <w:i/>
          <w:color w:val="000000"/>
          <w:lang w:val="en-GB"/>
        </w:rPr>
        <w:t>r=</w:t>
      </w:r>
      <w:r w:rsidR="004A4A06" w:rsidRPr="00DB56CA">
        <w:rPr>
          <w:color w:val="000000"/>
          <w:lang w:val="en-GB"/>
        </w:rPr>
        <w:t>0.75</w:t>
      </w:r>
      <w:r w:rsidR="007A43A2" w:rsidRPr="00DB56CA">
        <w:rPr>
          <w:color w:val="000000"/>
          <w:lang w:val="en-GB"/>
        </w:rPr>
        <w:t>;</w:t>
      </w:r>
      <w:r w:rsidR="0046014B" w:rsidRPr="00DB56CA">
        <w:rPr>
          <w:color w:val="000000"/>
          <w:lang w:val="en-GB"/>
        </w:rPr>
        <w:t xml:space="preserve"> </w:t>
      </w:r>
      <w:r w:rsidR="0046014B" w:rsidRPr="00DB56CA">
        <w:rPr>
          <w:i/>
          <w:color w:val="000000"/>
          <w:lang w:val="en-GB"/>
        </w:rPr>
        <w:t>p&lt;</w:t>
      </w:r>
      <w:r w:rsidR="0046014B" w:rsidRPr="00DB56CA">
        <w:rPr>
          <w:color w:val="000000"/>
          <w:lang w:val="en-GB"/>
        </w:rPr>
        <w:t>0.02</w:t>
      </w:r>
      <w:r w:rsidR="004A4A06" w:rsidRPr="00DB56CA">
        <w:rPr>
          <w:color w:val="000000"/>
          <w:lang w:val="en-GB"/>
        </w:rPr>
        <w:t>)</w:t>
      </w:r>
      <w:r w:rsidR="00D57F0D" w:rsidRPr="00DB56CA">
        <w:rPr>
          <w:color w:val="000000"/>
          <w:lang w:val="en-GB"/>
        </w:rPr>
        <w:t xml:space="preserve"> (1)</w:t>
      </w:r>
      <w:r w:rsidR="00CD05F0" w:rsidRPr="00DB56CA">
        <w:rPr>
          <w:color w:val="000000"/>
          <w:lang w:val="en-GB"/>
        </w:rPr>
        <w:t xml:space="preserve">, amateur </w:t>
      </w:r>
      <w:r w:rsidR="00CD05F0" w:rsidRPr="00DB56CA">
        <w:rPr>
          <w:color w:val="000000"/>
          <w:lang w:val="en-GB"/>
        </w:rPr>
        <w:lastRenderedPageBreak/>
        <w:t>adolescent boys</w:t>
      </w:r>
      <w:r w:rsidR="004A4A06" w:rsidRPr="00DB56CA">
        <w:rPr>
          <w:color w:val="000000"/>
          <w:lang w:val="en-GB"/>
        </w:rPr>
        <w:t xml:space="preserve"> (</w:t>
      </w:r>
      <w:r w:rsidR="008B1A08" w:rsidRPr="00DB56CA">
        <w:rPr>
          <w:color w:val="000000"/>
          <w:lang w:val="en-GB"/>
        </w:rPr>
        <w:t>age=17</w:t>
      </w:r>
      <w:r w:rsidR="008B1A08" w:rsidRPr="00DB56CA">
        <w:rPr>
          <w:color w:val="000000"/>
          <w:u w:val="single"/>
          <w:lang w:val="en-GB"/>
        </w:rPr>
        <w:t>+</w:t>
      </w:r>
      <w:r w:rsidR="00903E75" w:rsidRPr="00DB56CA">
        <w:rPr>
          <w:color w:val="000000"/>
          <w:lang w:val="en-GB"/>
        </w:rPr>
        <w:t>0.7</w:t>
      </w:r>
      <w:r w:rsidR="008B1A08" w:rsidRPr="00DB56CA">
        <w:rPr>
          <w:color w:val="000000"/>
          <w:lang w:val="en-GB"/>
        </w:rPr>
        <w:t xml:space="preserve"> years; </w:t>
      </w:r>
      <w:r w:rsidR="004A4A06" w:rsidRPr="00DB56CA">
        <w:rPr>
          <w:i/>
          <w:color w:val="000000"/>
          <w:lang w:val="en-GB"/>
        </w:rPr>
        <w:t>r=</w:t>
      </w:r>
      <w:r w:rsidR="00B55B32" w:rsidRPr="00DB56CA">
        <w:rPr>
          <w:color w:val="000000"/>
          <w:lang w:val="en-GB"/>
        </w:rPr>
        <w:t>0.54-0.78</w:t>
      </w:r>
      <w:r w:rsidR="007A43A2" w:rsidRPr="00DB56CA">
        <w:rPr>
          <w:color w:val="000000"/>
          <w:lang w:val="en-GB"/>
        </w:rPr>
        <w:t xml:space="preserve">; </w:t>
      </w:r>
      <w:r w:rsidR="007A43A2" w:rsidRPr="00DB56CA">
        <w:rPr>
          <w:i/>
          <w:color w:val="000000"/>
          <w:lang w:val="en-GB"/>
        </w:rPr>
        <w:t>p&lt;</w:t>
      </w:r>
      <w:r w:rsidR="007A43A2" w:rsidRPr="00DB56CA">
        <w:rPr>
          <w:color w:val="000000"/>
          <w:lang w:val="en-GB"/>
        </w:rPr>
        <w:t>0.01</w:t>
      </w:r>
      <w:r w:rsidR="00B55B32" w:rsidRPr="00DB56CA">
        <w:rPr>
          <w:color w:val="000000"/>
          <w:lang w:val="en-GB"/>
        </w:rPr>
        <w:t>)</w:t>
      </w:r>
      <w:r w:rsidR="00D57F0D" w:rsidRPr="00DB56CA">
        <w:rPr>
          <w:color w:val="000000"/>
          <w:lang w:val="en-GB"/>
        </w:rPr>
        <w:t xml:space="preserve"> (</w:t>
      </w:r>
      <w:r w:rsidR="00554E0B" w:rsidRPr="00DB56CA">
        <w:rPr>
          <w:color w:val="000000"/>
          <w:lang w:val="en-GB"/>
        </w:rPr>
        <w:t>15</w:t>
      </w:r>
      <w:r w:rsidR="00D57F0D" w:rsidRPr="00DB56CA">
        <w:rPr>
          <w:color w:val="000000"/>
          <w:lang w:val="en-GB"/>
        </w:rPr>
        <w:t>)</w:t>
      </w:r>
      <w:r w:rsidR="004A14C0" w:rsidRPr="00DB56CA">
        <w:rPr>
          <w:color w:val="000000"/>
          <w:lang w:val="en-GB"/>
        </w:rPr>
        <w:t>, (</w:t>
      </w:r>
      <w:r w:rsidR="008B1A08" w:rsidRPr="00DB56CA">
        <w:rPr>
          <w:color w:val="000000"/>
          <w:lang w:val="en-GB"/>
        </w:rPr>
        <w:t>age=</w:t>
      </w:r>
      <w:r w:rsidR="00FC6519" w:rsidRPr="00DB56CA">
        <w:rPr>
          <w:color w:val="000000"/>
          <w:lang w:val="en-GB"/>
        </w:rPr>
        <w:t>17</w:t>
      </w:r>
      <w:r w:rsidR="002B3687" w:rsidRPr="00DB56CA">
        <w:rPr>
          <w:color w:val="000000"/>
          <w:lang w:val="en-GB"/>
        </w:rPr>
        <w:t>.2</w:t>
      </w:r>
      <w:r w:rsidR="00FC6519" w:rsidRPr="00DB56CA">
        <w:rPr>
          <w:color w:val="000000"/>
          <w:u w:val="single"/>
          <w:lang w:val="en-GB"/>
        </w:rPr>
        <w:t>+</w:t>
      </w:r>
      <w:r w:rsidR="002B3687" w:rsidRPr="00DB56CA">
        <w:rPr>
          <w:color w:val="000000"/>
          <w:lang w:val="en-GB"/>
        </w:rPr>
        <w:t>0.8</w:t>
      </w:r>
      <w:r w:rsidR="00903E75" w:rsidRPr="00DB56CA">
        <w:rPr>
          <w:color w:val="000000"/>
          <w:lang w:val="en-GB"/>
        </w:rPr>
        <w:t xml:space="preserve"> </w:t>
      </w:r>
      <w:r w:rsidR="00FC6519" w:rsidRPr="00DB56CA">
        <w:rPr>
          <w:color w:val="000000"/>
          <w:lang w:val="en-GB"/>
        </w:rPr>
        <w:t xml:space="preserve"> years; </w:t>
      </w:r>
      <w:r w:rsidR="004A14C0" w:rsidRPr="00DB56CA">
        <w:rPr>
          <w:i/>
          <w:color w:val="000000"/>
          <w:lang w:val="en-GB"/>
        </w:rPr>
        <w:t>r=</w:t>
      </w:r>
      <w:r w:rsidR="004A14C0" w:rsidRPr="00DB56CA">
        <w:rPr>
          <w:color w:val="000000"/>
          <w:lang w:val="en-GB"/>
        </w:rPr>
        <w:t>0.72</w:t>
      </w:r>
      <w:r w:rsidR="00AB4ABE" w:rsidRPr="00DB56CA">
        <w:rPr>
          <w:color w:val="000000"/>
          <w:lang w:val="en-GB"/>
        </w:rPr>
        <w:t>) (</w:t>
      </w:r>
      <w:r w:rsidR="000476E0" w:rsidRPr="00DB56CA">
        <w:rPr>
          <w:color w:val="000000"/>
          <w:lang w:val="en-GB"/>
        </w:rPr>
        <w:t>22</w:t>
      </w:r>
      <w:r w:rsidR="00AB4ABE" w:rsidRPr="00DB56CA">
        <w:rPr>
          <w:color w:val="000000"/>
          <w:lang w:val="en-GB"/>
        </w:rPr>
        <w:t>)</w:t>
      </w:r>
      <w:r w:rsidR="00CD05F0" w:rsidRPr="00DB56CA">
        <w:rPr>
          <w:color w:val="000000"/>
          <w:lang w:val="en-GB"/>
        </w:rPr>
        <w:t xml:space="preserve"> and elite adolescent </w:t>
      </w:r>
      <w:r w:rsidRPr="00DB56CA">
        <w:rPr>
          <w:color w:val="000000"/>
          <w:lang w:val="en-GB"/>
        </w:rPr>
        <w:t>girl</w:t>
      </w:r>
      <w:r w:rsidR="008D75D4" w:rsidRPr="00DB56CA">
        <w:rPr>
          <w:color w:val="000000"/>
          <w:lang w:val="en-GB"/>
        </w:rPr>
        <w:t xml:space="preserve">s </w:t>
      </w:r>
      <w:r w:rsidR="00B55B32" w:rsidRPr="00DB56CA">
        <w:rPr>
          <w:color w:val="000000"/>
          <w:lang w:val="en-GB"/>
        </w:rPr>
        <w:t>(</w:t>
      </w:r>
      <w:r w:rsidR="008B1A08" w:rsidRPr="00DB56CA">
        <w:rPr>
          <w:color w:val="000000"/>
          <w:lang w:val="en-GB"/>
        </w:rPr>
        <w:t>age=19</w:t>
      </w:r>
      <w:r w:rsidR="00903E75" w:rsidRPr="00DB56CA">
        <w:rPr>
          <w:color w:val="000000"/>
          <w:lang w:val="en-GB"/>
        </w:rPr>
        <w:t>.3</w:t>
      </w:r>
      <w:r w:rsidR="008B1A08" w:rsidRPr="00DB56CA">
        <w:rPr>
          <w:color w:val="000000"/>
          <w:u w:val="single"/>
          <w:lang w:val="en-GB"/>
        </w:rPr>
        <w:t>+</w:t>
      </w:r>
      <w:r w:rsidR="008B1A08" w:rsidRPr="00DB56CA">
        <w:rPr>
          <w:color w:val="000000"/>
          <w:lang w:val="en-GB"/>
        </w:rPr>
        <w:t xml:space="preserve">2 years; </w:t>
      </w:r>
      <w:r w:rsidR="00B55B32" w:rsidRPr="00DB56CA">
        <w:rPr>
          <w:i/>
          <w:color w:val="000000"/>
          <w:lang w:val="en-GB"/>
        </w:rPr>
        <w:t>r=</w:t>
      </w:r>
      <w:r w:rsidR="00B55B32" w:rsidRPr="00DB56CA">
        <w:rPr>
          <w:color w:val="000000"/>
          <w:lang w:val="en-GB"/>
        </w:rPr>
        <w:t>0.52-0.82</w:t>
      </w:r>
      <w:r w:rsidR="00EC6C5A" w:rsidRPr="00DB56CA">
        <w:rPr>
          <w:color w:val="000000"/>
          <w:lang w:val="en-GB"/>
        </w:rPr>
        <w:t xml:space="preserve">; </w:t>
      </w:r>
      <w:r w:rsidR="00EC6C5A" w:rsidRPr="00DB56CA">
        <w:rPr>
          <w:i/>
          <w:color w:val="000000"/>
          <w:lang w:val="en-GB"/>
        </w:rPr>
        <w:t>p&lt;</w:t>
      </w:r>
      <w:r w:rsidR="00EC6C5A" w:rsidRPr="00DB56CA">
        <w:rPr>
          <w:color w:val="000000"/>
          <w:lang w:val="en-GB"/>
        </w:rPr>
        <w:t>0.01</w:t>
      </w:r>
      <w:r w:rsidR="00B55B32" w:rsidRPr="00DB56CA">
        <w:rPr>
          <w:color w:val="000000"/>
          <w:lang w:val="en-GB"/>
        </w:rPr>
        <w:t>)</w:t>
      </w:r>
      <w:r w:rsidRPr="00DB56CA">
        <w:rPr>
          <w:color w:val="000000"/>
          <w:lang w:val="en-GB"/>
        </w:rPr>
        <w:t xml:space="preserve"> (2), whilst</w:t>
      </w:r>
      <w:r w:rsidR="00D57F0D" w:rsidRPr="00DB56CA">
        <w:rPr>
          <w:color w:val="000000"/>
          <w:lang w:val="en-GB"/>
        </w:rPr>
        <w:t xml:space="preserve"> </w:t>
      </w:r>
      <w:r w:rsidR="00D57F0D" w:rsidRPr="00DB56CA">
        <w:rPr>
          <w:color w:val="000000" w:themeColor="text1"/>
          <w:lang w:val="en-GB"/>
        </w:rPr>
        <w:t>Rodriguez-Marroyo</w:t>
      </w:r>
      <w:r w:rsidR="00003BBF" w:rsidRPr="00DB56CA">
        <w:rPr>
          <w:color w:val="000000" w:themeColor="text1"/>
          <w:lang w:val="en-GB"/>
        </w:rPr>
        <w:t xml:space="preserve"> </w:t>
      </w:r>
      <w:r w:rsidR="00D57F0D" w:rsidRPr="00DB56CA">
        <w:rPr>
          <w:color w:val="000000" w:themeColor="text1"/>
          <w:lang w:val="en-GB"/>
        </w:rPr>
        <w:t>and Antonan (</w:t>
      </w:r>
      <w:r w:rsidR="000476E0" w:rsidRPr="00DB56CA">
        <w:rPr>
          <w:color w:val="000000" w:themeColor="text1"/>
          <w:lang w:val="en-GB"/>
        </w:rPr>
        <w:t>21</w:t>
      </w:r>
      <w:r w:rsidR="00D57F0D" w:rsidRPr="00DB56CA">
        <w:rPr>
          <w:color w:val="000000" w:themeColor="text1"/>
          <w:lang w:val="en-GB"/>
        </w:rPr>
        <w:t xml:space="preserve">) found a small </w:t>
      </w:r>
      <w:r w:rsidRPr="00DB56CA">
        <w:rPr>
          <w:color w:val="000000" w:themeColor="text1"/>
          <w:lang w:val="en-GB"/>
        </w:rPr>
        <w:t xml:space="preserve">and non-significant </w:t>
      </w:r>
      <w:r w:rsidR="00D57F0D" w:rsidRPr="00DB56CA">
        <w:rPr>
          <w:color w:val="000000" w:themeColor="text1"/>
          <w:lang w:val="en-GB"/>
        </w:rPr>
        <w:t>correlation (</w:t>
      </w:r>
      <w:r w:rsidR="00515AA4" w:rsidRPr="00DB56CA">
        <w:rPr>
          <w:color w:val="000000" w:themeColor="text1"/>
          <w:lang w:val="en-GB"/>
        </w:rPr>
        <w:t>age=</w:t>
      </w:r>
      <w:r w:rsidR="009924E7" w:rsidRPr="00DB56CA">
        <w:rPr>
          <w:color w:val="000000" w:themeColor="text1"/>
          <w:lang w:val="en-GB"/>
        </w:rPr>
        <w:t>11</w:t>
      </w:r>
      <w:r w:rsidR="00903E75" w:rsidRPr="00DB56CA">
        <w:rPr>
          <w:color w:val="000000" w:themeColor="text1"/>
          <w:lang w:val="en-GB"/>
        </w:rPr>
        <w:t>.4</w:t>
      </w:r>
      <w:r w:rsidR="009924E7" w:rsidRPr="00DB56CA">
        <w:rPr>
          <w:color w:val="000000" w:themeColor="text1"/>
          <w:u w:val="single"/>
          <w:lang w:val="en-GB"/>
        </w:rPr>
        <w:t>+</w:t>
      </w:r>
      <w:r w:rsidR="00903E75" w:rsidRPr="00DB56CA">
        <w:rPr>
          <w:color w:val="000000" w:themeColor="text1"/>
          <w:lang w:val="en-GB"/>
        </w:rPr>
        <w:t xml:space="preserve">0.5 </w:t>
      </w:r>
      <w:r w:rsidR="009924E7" w:rsidRPr="00DB56CA">
        <w:rPr>
          <w:color w:val="000000" w:themeColor="text1"/>
          <w:lang w:val="en-GB"/>
        </w:rPr>
        <w:t xml:space="preserve"> year; </w:t>
      </w:r>
      <w:r w:rsidR="00D57F0D" w:rsidRPr="00DB56CA">
        <w:rPr>
          <w:i/>
          <w:color w:val="000000" w:themeColor="text1"/>
          <w:lang w:val="en-GB"/>
        </w:rPr>
        <w:t>r</w:t>
      </w:r>
      <w:r w:rsidR="00D57F0D" w:rsidRPr="00DB56CA">
        <w:rPr>
          <w:color w:val="000000" w:themeColor="text1"/>
          <w:lang w:val="en-GB"/>
        </w:rPr>
        <w:t>= 0.17</w:t>
      </w:r>
      <w:r w:rsidRPr="00DB56CA">
        <w:rPr>
          <w:color w:val="000000" w:themeColor="text1"/>
          <w:lang w:val="en-GB"/>
        </w:rPr>
        <w:t xml:space="preserve">, </w:t>
      </w:r>
      <w:r w:rsidRPr="00DB56CA">
        <w:rPr>
          <w:i/>
          <w:color w:val="000000" w:themeColor="text1"/>
          <w:lang w:val="en-GB"/>
        </w:rPr>
        <w:t>p</w:t>
      </w:r>
      <w:r w:rsidRPr="00DB56CA">
        <w:rPr>
          <w:color w:val="000000" w:themeColor="text1"/>
          <w:lang w:val="en-GB"/>
        </w:rPr>
        <w:t>&gt;0.05</w:t>
      </w:r>
      <w:r w:rsidR="00D57F0D" w:rsidRPr="00DB56CA">
        <w:rPr>
          <w:color w:val="000000" w:themeColor="text1"/>
          <w:lang w:val="en-GB"/>
        </w:rPr>
        <w:t>) in children aged between 11 and 12 years.</w:t>
      </w:r>
      <w:r w:rsidR="00CF5D8A" w:rsidRPr="00DB56CA">
        <w:rPr>
          <w:color w:val="000000" w:themeColor="text1"/>
          <w:lang w:val="en-GB"/>
        </w:rPr>
        <w:t xml:space="preserve"> T</w:t>
      </w:r>
      <w:r w:rsidR="00D57F0D" w:rsidRPr="00DB56CA">
        <w:rPr>
          <w:color w:val="000000" w:themeColor="text1"/>
          <w:lang w:val="en-GB"/>
        </w:rPr>
        <w:t>he only study on professional adolescent boys</w:t>
      </w:r>
      <w:r w:rsidR="00D57F0D" w:rsidRPr="00DB56CA">
        <w:rPr>
          <w:color w:val="000000"/>
          <w:lang w:val="en-GB"/>
        </w:rPr>
        <w:t xml:space="preserve"> </w:t>
      </w:r>
      <w:r w:rsidR="00515AA4" w:rsidRPr="00DB56CA">
        <w:rPr>
          <w:color w:val="000000"/>
          <w:lang w:val="en-GB"/>
        </w:rPr>
        <w:t>(age= 17</w:t>
      </w:r>
      <w:r w:rsidR="00515AA4" w:rsidRPr="00DB56CA">
        <w:rPr>
          <w:color w:val="000000"/>
          <w:u w:val="single"/>
          <w:lang w:val="en-GB"/>
        </w:rPr>
        <w:t>+</w:t>
      </w:r>
      <w:r w:rsidR="00515AA4" w:rsidRPr="00DB56CA">
        <w:rPr>
          <w:color w:val="000000"/>
          <w:lang w:val="en-GB"/>
        </w:rPr>
        <w:t xml:space="preserve">1 years) </w:t>
      </w:r>
      <w:r w:rsidR="000854ED" w:rsidRPr="00DB56CA">
        <w:rPr>
          <w:color w:val="000000"/>
          <w:lang w:val="en-GB"/>
        </w:rPr>
        <w:t>w</w:t>
      </w:r>
      <w:r w:rsidR="00D57F0D" w:rsidRPr="00DB56CA">
        <w:rPr>
          <w:color w:val="000000"/>
          <w:lang w:val="en-GB"/>
        </w:rPr>
        <w:t>as</w:t>
      </w:r>
      <w:r w:rsidR="00922C6C" w:rsidRPr="00DB56CA">
        <w:rPr>
          <w:color w:val="000000"/>
          <w:lang w:val="en-GB"/>
        </w:rPr>
        <w:t xml:space="preserve"> </w:t>
      </w:r>
      <w:r w:rsidRPr="00DB56CA">
        <w:rPr>
          <w:color w:val="000000"/>
          <w:lang w:val="en-GB"/>
        </w:rPr>
        <w:t xml:space="preserve">statistically </w:t>
      </w:r>
      <w:r w:rsidR="00922C6C" w:rsidRPr="00DB56CA">
        <w:rPr>
          <w:color w:val="000000"/>
          <w:lang w:val="en-GB"/>
        </w:rPr>
        <w:t>underpowered as players</w:t>
      </w:r>
      <w:r w:rsidR="00B8591E" w:rsidRPr="00DB56CA">
        <w:rPr>
          <w:color w:val="000000"/>
          <w:lang w:val="en-GB"/>
        </w:rPr>
        <w:t xml:space="preserve"> were excluded due to poor compliance</w:t>
      </w:r>
      <w:r w:rsidRPr="00DB56CA">
        <w:rPr>
          <w:color w:val="000000"/>
          <w:lang w:val="en-GB"/>
        </w:rPr>
        <w:t xml:space="preserve"> (1)</w:t>
      </w:r>
      <w:r w:rsidR="00922C6C" w:rsidRPr="00DB56CA">
        <w:rPr>
          <w:color w:val="000000"/>
          <w:lang w:val="en-GB"/>
        </w:rPr>
        <w:t>.</w:t>
      </w:r>
      <w:r w:rsidR="000C2FBD" w:rsidRPr="00DB56CA">
        <w:rPr>
          <w:color w:val="000000"/>
          <w:lang w:val="en-GB"/>
        </w:rPr>
        <w:t xml:space="preserve"> </w:t>
      </w:r>
      <w:r w:rsidR="002C347F" w:rsidRPr="00DB56CA">
        <w:rPr>
          <w:color w:val="000000"/>
          <w:lang w:val="en-GB"/>
        </w:rPr>
        <w:t>Thus, the s</w:t>
      </w:r>
      <w:r w:rsidR="000C2FBD" w:rsidRPr="00DB56CA">
        <w:rPr>
          <w:color w:val="000000"/>
          <w:lang w:val="en-GB"/>
        </w:rPr>
        <w:t xml:space="preserve">trength of correlations may not be </w:t>
      </w:r>
      <w:r w:rsidRPr="00DB56CA">
        <w:rPr>
          <w:color w:val="000000"/>
          <w:lang w:val="en-GB"/>
        </w:rPr>
        <w:t>representative</w:t>
      </w:r>
      <w:r w:rsidR="000C2FBD" w:rsidRPr="00DB56CA">
        <w:rPr>
          <w:color w:val="000000"/>
          <w:lang w:val="en-GB"/>
        </w:rPr>
        <w:t xml:space="preserve"> as these studies (1, 2, </w:t>
      </w:r>
      <w:r w:rsidR="00554E0B" w:rsidRPr="00DB56CA">
        <w:rPr>
          <w:color w:val="000000"/>
          <w:lang w:val="en-GB"/>
        </w:rPr>
        <w:t>15</w:t>
      </w:r>
      <w:r w:rsidR="000C2FBD" w:rsidRPr="00DB56CA">
        <w:rPr>
          <w:color w:val="000000"/>
          <w:lang w:val="en-GB"/>
        </w:rPr>
        <w:t xml:space="preserve">, </w:t>
      </w:r>
      <w:r w:rsidR="000476E0" w:rsidRPr="00DB56CA">
        <w:rPr>
          <w:color w:val="000000"/>
          <w:lang w:val="en-GB"/>
        </w:rPr>
        <w:t>21</w:t>
      </w:r>
      <w:r w:rsidR="000C2FBD" w:rsidRPr="00DB56CA">
        <w:rPr>
          <w:color w:val="000000"/>
          <w:lang w:val="en-GB"/>
        </w:rPr>
        <w:t xml:space="preserve">) have been conducted </w:t>
      </w:r>
      <w:r w:rsidR="005E448F" w:rsidRPr="00DB56CA">
        <w:rPr>
          <w:color w:val="000000"/>
          <w:lang w:val="en-GB"/>
        </w:rPr>
        <w:t xml:space="preserve">only </w:t>
      </w:r>
      <w:r w:rsidR="000C2FBD" w:rsidRPr="00DB56CA">
        <w:rPr>
          <w:color w:val="000000"/>
          <w:lang w:val="en-GB"/>
        </w:rPr>
        <w:t xml:space="preserve">for a few </w:t>
      </w:r>
      <w:r w:rsidR="00CF5D8A" w:rsidRPr="00DB56CA">
        <w:rPr>
          <w:color w:val="000000"/>
          <w:lang w:val="en-GB"/>
        </w:rPr>
        <w:t xml:space="preserve">weeks </w:t>
      </w:r>
      <w:r w:rsidR="000C2FBD" w:rsidRPr="00DB56CA">
        <w:rPr>
          <w:color w:val="000000"/>
          <w:lang w:val="en-GB"/>
        </w:rPr>
        <w:t>during the season</w:t>
      </w:r>
      <w:r w:rsidR="00CF5D8A" w:rsidRPr="00DB56CA">
        <w:rPr>
          <w:color w:val="000000"/>
          <w:lang w:val="en-GB"/>
        </w:rPr>
        <w:t xml:space="preserve">, mostly at the start of the season (1, </w:t>
      </w:r>
      <w:r w:rsidR="00554E0B" w:rsidRPr="00DB56CA">
        <w:rPr>
          <w:color w:val="000000"/>
          <w:lang w:val="en-GB"/>
        </w:rPr>
        <w:t>15</w:t>
      </w:r>
      <w:r w:rsidR="00CF5D8A" w:rsidRPr="00DB56CA">
        <w:rPr>
          <w:color w:val="000000"/>
          <w:lang w:val="en-GB"/>
        </w:rPr>
        <w:t xml:space="preserve">), </w:t>
      </w:r>
      <w:r w:rsidR="000C2FBD" w:rsidRPr="00DB56CA">
        <w:rPr>
          <w:color w:val="000000"/>
          <w:lang w:val="en-GB"/>
        </w:rPr>
        <w:t>reflecting a relatively small portion of the season.</w:t>
      </w:r>
      <w:r w:rsidR="000C2FBD" w:rsidRPr="00DB56CA">
        <w:rPr>
          <w:color w:val="FF0000"/>
          <w:lang w:val="en-GB"/>
        </w:rPr>
        <w:t xml:space="preserve"> </w:t>
      </w:r>
    </w:p>
    <w:p w14:paraId="7004DADB" w14:textId="40BA4B47" w:rsidR="008C3B55" w:rsidRPr="00DB56CA" w:rsidRDefault="00CF5D8A" w:rsidP="001B3525">
      <w:pPr>
        <w:widowControl w:val="0"/>
        <w:autoSpaceDE w:val="0"/>
        <w:autoSpaceDN w:val="0"/>
        <w:adjustRightInd w:val="0"/>
        <w:spacing w:after="100" w:afterAutospacing="1" w:line="480" w:lineRule="auto"/>
        <w:contextualSpacing/>
        <w:jc w:val="both"/>
        <w:rPr>
          <w:color w:val="FF0000"/>
          <w:lang w:val="en-GB"/>
        </w:rPr>
      </w:pPr>
      <w:r w:rsidRPr="00DB56CA">
        <w:rPr>
          <w:color w:val="000000"/>
          <w:lang w:val="en-GB"/>
        </w:rPr>
        <w:t>Since sRPE is receptive to cumulative fatigue and stress (</w:t>
      </w:r>
      <w:r w:rsidR="00554E0B" w:rsidRPr="00DB56CA">
        <w:rPr>
          <w:color w:val="000000"/>
          <w:lang w:val="en-GB"/>
        </w:rPr>
        <w:t>15</w:t>
      </w:r>
      <w:r w:rsidRPr="00DB56CA">
        <w:rPr>
          <w:color w:val="000000"/>
          <w:lang w:val="en-GB"/>
        </w:rPr>
        <w:t xml:space="preserve">), for the same training session that may be conducted in August and January, the load may be markedly different due to </w:t>
      </w:r>
      <w:r w:rsidR="002C347F" w:rsidRPr="00DB56CA">
        <w:rPr>
          <w:color w:val="000000"/>
          <w:lang w:val="en-GB"/>
        </w:rPr>
        <w:t xml:space="preserve">the training </w:t>
      </w:r>
      <w:r w:rsidRPr="00DB56CA">
        <w:rPr>
          <w:color w:val="000000"/>
          <w:lang w:val="en-GB"/>
        </w:rPr>
        <w:t>schedule, home or away games</w:t>
      </w:r>
      <w:r w:rsidR="00BC7054" w:rsidRPr="00DB56CA">
        <w:rPr>
          <w:color w:val="000000"/>
          <w:lang w:val="en-GB"/>
        </w:rPr>
        <w:t>,</w:t>
      </w:r>
      <w:r w:rsidRPr="00DB56CA">
        <w:rPr>
          <w:color w:val="000000"/>
          <w:lang w:val="en-GB"/>
        </w:rPr>
        <w:t xml:space="preserve"> or play-offs. </w:t>
      </w:r>
      <w:r w:rsidR="000C419C" w:rsidRPr="00DB56CA">
        <w:rPr>
          <w:color w:val="000000"/>
          <w:lang w:val="en-GB"/>
        </w:rPr>
        <w:t xml:space="preserve">While </w:t>
      </w:r>
      <w:r w:rsidR="00022B20" w:rsidRPr="00DB56CA">
        <w:rPr>
          <w:color w:val="000000"/>
          <w:lang w:val="en-GB"/>
        </w:rPr>
        <w:t>adult</w:t>
      </w:r>
      <w:r w:rsidR="000C419C" w:rsidRPr="00DB56CA">
        <w:rPr>
          <w:color w:val="000000"/>
          <w:lang w:val="en-GB"/>
        </w:rPr>
        <w:t xml:space="preserve"> professionals are more </w:t>
      </w:r>
      <w:r w:rsidR="002C347F" w:rsidRPr="00DB56CA">
        <w:rPr>
          <w:color w:val="000000"/>
          <w:lang w:val="en-GB"/>
        </w:rPr>
        <w:t>experienc</w:t>
      </w:r>
      <w:r w:rsidR="000C419C" w:rsidRPr="00DB56CA">
        <w:rPr>
          <w:color w:val="000000"/>
          <w:lang w:val="en-GB"/>
        </w:rPr>
        <w:t xml:space="preserve">ed to handling the stress of professional </w:t>
      </w:r>
      <w:r w:rsidR="007F2E73" w:rsidRPr="00DB56CA">
        <w:rPr>
          <w:color w:val="000000"/>
          <w:lang w:val="en-GB"/>
        </w:rPr>
        <w:t>soccer</w:t>
      </w:r>
      <w:r w:rsidR="000C419C" w:rsidRPr="00DB56CA">
        <w:rPr>
          <w:color w:val="000000"/>
          <w:lang w:val="en-GB"/>
        </w:rPr>
        <w:t xml:space="preserve">, </w:t>
      </w:r>
      <w:r w:rsidR="00022B20" w:rsidRPr="00DB56CA">
        <w:rPr>
          <w:color w:val="000000"/>
          <w:lang w:val="en-GB"/>
        </w:rPr>
        <w:t>adolescent</w:t>
      </w:r>
      <w:r w:rsidR="008F713C" w:rsidRPr="00DB56CA">
        <w:rPr>
          <w:color w:val="000000"/>
          <w:lang w:val="en-GB"/>
        </w:rPr>
        <w:t xml:space="preserve"> players</w:t>
      </w:r>
      <w:r w:rsidR="000C419C" w:rsidRPr="00DB56CA">
        <w:rPr>
          <w:color w:val="000000"/>
          <w:lang w:val="en-GB"/>
        </w:rPr>
        <w:t xml:space="preserve"> are still in their developmental phase</w:t>
      </w:r>
      <w:r w:rsidR="008F713C" w:rsidRPr="00DB56CA">
        <w:rPr>
          <w:color w:val="000000"/>
          <w:lang w:val="en-GB"/>
        </w:rPr>
        <w:t xml:space="preserve"> and may respond differently</w:t>
      </w:r>
      <w:r w:rsidR="00022B20" w:rsidRPr="00DB56CA">
        <w:rPr>
          <w:color w:val="000000"/>
          <w:lang w:val="en-GB"/>
        </w:rPr>
        <w:t xml:space="preserve"> (</w:t>
      </w:r>
      <w:r w:rsidR="00554E0B" w:rsidRPr="00DB56CA">
        <w:rPr>
          <w:color w:val="000000"/>
          <w:lang w:val="en-GB"/>
        </w:rPr>
        <w:t>10</w:t>
      </w:r>
      <w:r w:rsidR="00022B20" w:rsidRPr="00DB56CA">
        <w:rPr>
          <w:color w:val="000000"/>
          <w:lang w:val="en-GB"/>
        </w:rPr>
        <w:t xml:space="preserve">, </w:t>
      </w:r>
      <w:r w:rsidR="000476E0" w:rsidRPr="00DB56CA">
        <w:rPr>
          <w:color w:val="000000"/>
          <w:lang w:val="en-GB"/>
        </w:rPr>
        <w:t>18</w:t>
      </w:r>
      <w:r w:rsidR="00022B20" w:rsidRPr="00DB56CA">
        <w:rPr>
          <w:color w:val="000000"/>
          <w:lang w:val="en-GB"/>
        </w:rPr>
        <w:t xml:space="preserve">, </w:t>
      </w:r>
      <w:r w:rsidR="000476E0" w:rsidRPr="00DB56CA">
        <w:rPr>
          <w:color w:val="000000"/>
          <w:lang w:val="en-GB"/>
        </w:rPr>
        <w:t>21</w:t>
      </w:r>
      <w:r w:rsidR="00022B20" w:rsidRPr="00DB56CA">
        <w:rPr>
          <w:color w:val="000000"/>
          <w:lang w:val="en-GB"/>
        </w:rPr>
        <w:t>)</w:t>
      </w:r>
      <w:r w:rsidR="008F713C" w:rsidRPr="00DB56CA">
        <w:rPr>
          <w:color w:val="000000"/>
          <w:lang w:val="en-GB"/>
        </w:rPr>
        <w:t>.</w:t>
      </w:r>
      <w:r w:rsidR="00172201" w:rsidRPr="00DB56CA">
        <w:rPr>
          <w:color w:val="000000"/>
          <w:lang w:val="en-GB"/>
        </w:rPr>
        <w:t xml:space="preserve"> </w:t>
      </w:r>
      <w:r w:rsidR="007940B4" w:rsidRPr="00DB56CA">
        <w:rPr>
          <w:color w:val="000000"/>
          <w:lang w:val="en-GB"/>
        </w:rPr>
        <w:t>Moreover, professional adolescent players are more susceptible to non-functional overreaching and overtraining compared to recreational players</w:t>
      </w:r>
      <w:r w:rsidR="00F954AD" w:rsidRPr="00DB56CA">
        <w:rPr>
          <w:color w:val="000000"/>
          <w:lang w:val="en-GB"/>
        </w:rPr>
        <w:t xml:space="preserve"> (</w:t>
      </w:r>
      <w:r w:rsidR="000476E0" w:rsidRPr="00DB56CA">
        <w:rPr>
          <w:color w:val="000000"/>
          <w:lang w:val="en-GB"/>
        </w:rPr>
        <w:t>19</w:t>
      </w:r>
      <w:r w:rsidR="00F954AD" w:rsidRPr="00DB56CA">
        <w:rPr>
          <w:color w:val="000000"/>
          <w:lang w:val="en-GB"/>
        </w:rPr>
        <w:t>)</w:t>
      </w:r>
      <w:r w:rsidR="007940B4" w:rsidRPr="00DB56CA">
        <w:rPr>
          <w:color w:val="000000"/>
          <w:lang w:val="en-GB"/>
        </w:rPr>
        <w:t xml:space="preserve">. </w:t>
      </w:r>
      <w:r w:rsidR="00022B20" w:rsidRPr="00DB56CA">
        <w:rPr>
          <w:color w:val="000000"/>
          <w:lang w:val="en-GB"/>
        </w:rPr>
        <w:t>T</w:t>
      </w:r>
      <w:r w:rsidR="00E0675D" w:rsidRPr="00DB56CA">
        <w:rPr>
          <w:color w:val="000000"/>
          <w:lang w:val="en-GB"/>
        </w:rPr>
        <w:t>he Long-Term Athlete Development model (LTAD)</w:t>
      </w:r>
      <w:r w:rsidR="00022B20" w:rsidRPr="00DB56CA">
        <w:rPr>
          <w:color w:val="000000"/>
          <w:lang w:val="en-GB"/>
        </w:rPr>
        <w:t xml:space="preserve"> classifies </w:t>
      </w:r>
      <w:r w:rsidR="00E0675D" w:rsidRPr="00DB56CA">
        <w:rPr>
          <w:color w:val="000000"/>
          <w:lang w:val="en-GB"/>
        </w:rPr>
        <w:t>player</w:t>
      </w:r>
      <w:r w:rsidR="00AC064E" w:rsidRPr="00DB56CA">
        <w:rPr>
          <w:color w:val="000000"/>
          <w:lang w:val="en-GB"/>
        </w:rPr>
        <w:t>s</w:t>
      </w:r>
      <w:r w:rsidR="00022B20" w:rsidRPr="00DB56CA">
        <w:rPr>
          <w:color w:val="000000"/>
          <w:lang w:val="en-GB"/>
        </w:rPr>
        <w:t xml:space="preserve"> </w:t>
      </w:r>
      <w:r w:rsidR="00AC064E" w:rsidRPr="00DB56CA">
        <w:rPr>
          <w:color w:val="000000"/>
          <w:lang w:val="en-GB"/>
        </w:rPr>
        <w:t>aged 16 to 18 years</w:t>
      </w:r>
      <w:r w:rsidR="00E0675D" w:rsidRPr="00DB56CA">
        <w:rPr>
          <w:color w:val="000000"/>
          <w:lang w:val="en-GB"/>
        </w:rPr>
        <w:t xml:space="preserve"> </w:t>
      </w:r>
      <w:r w:rsidR="00D57F0D" w:rsidRPr="00DB56CA">
        <w:rPr>
          <w:color w:val="000000"/>
          <w:lang w:val="en-GB"/>
        </w:rPr>
        <w:t xml:space="preserve">as in the </w:t>
      </w:r>
      <w:r w:rsidR="00E0675D" w:rsidRPr="00DB56CA">
        <w:rPr>
          <w:color w:val="000000"/>
          <w:lang w:val="en-GB"/>
        </w:rPr>
        <w:t>“training to compete” phase of development</w:t>
      </w:r>
      <w:r w:rsidR="00022B20" w:rsidRPr="00DB56CA">
        <w:rPr>
          <w:color w:val="000000"/>
          <w:lang w:val="en-GB"/>
        </w:rPr>
        <w:t xml:space="preserve"> with </w:t>
      </w:r>
      <w:r w:rsidR="00120F2C" w:rsidRPr="00DB56CA">
        <w:rPr>
          <w:color w:val="000000"/>
          <w:lang w:val="en-GB"/>
        </w:rPr>
        <w:t>highly structured</w:t>
      </w:r>
      <w:r w:rsidR="00022B20" w:rsidRPr="00DB56CA">
        <w:rPr>
          <w:color w:val="000000"/>
          <w:lang w:val="en-GB"/>
        </w:rPr>
        <w:t xml:space="preserve"> training</w:t>
      </w:r>
      <w:r w:rsidR="00120F2C" w:rsidRPr="00DB56CA">
        <w:rPr>
          <w:color w:val="000000"/>
          <w:lang w:val="en-GB"/>
        </w:rPr>
        <w:t xml:space="preserve"> (</w:t>
      </w:r>
      <w:r w:rsidR="00554E0B" w:rsidRPr="00DB56CA">
        <w:rPr>
          <w:color w:val="000000"/>
          <w:lang w:val="en-GB"/>
        </w:rPr>
        <w:t>10</w:t>
      </w:r>
      <w:r w:rsidR="00120F2C" w:rsidRPr="00DB56CA">
        <w:rPr>
          <w:color w:val="000000"/>
          <w:lang w:val="en-GB"/>
        </w:rPr>
        <w:t xml:space="preserve">, </w:t>
      </w:r>
      <w:r w:rsidR="000476E0" w:rsidRPr="00DB56CA">
        <w:rPr>
          <w:color w:val="000000"/>
          <w:lang w:val="en-GB"/>
        </w:rPr>
        <w:t>18</w:t>
      </w:r>
      <w:r w:rsidR="00120F2C" w:rsidRPr="00DB56CA">
        <w:rPr>
          <w:color w:val="000000"/>
          <w:lang w:val="en-GB"/>
        </w:rPr>
        <w:t>)</w:t>
      </w:r>
      <w:r w:rsidR="00E0675D" w:rsidRPr="00DB56CA">
        <w:rPr>
          <w:color w:val="000000"/>
          <w:lang w:val="en-GB"/>
        </w:rPr>
        <w:t>.</w:t>
      </w:r>
      <w:r w:rsidR="00120F2C" w:rsidRPr="00DB56CA">
        <w:rPr>
          <w:color w:val="000000"/>
          <w:lang w:val="en-GB"/>
        </w:rPr>
        <w:t xml:space="preserve"> </w:t>
      </w:r>
      <w:r w:rsidR="00D57F0D" w:rsidRPr="00DB56CA">
        <w:rPr>
          <w:color w:val="000000"/>
          <w:lang w:val="en-GB"/>
        </w:rPr>
        <w:t>At this age, players are still developing their physical attributes and cognitive skills specific to the sport (</w:t>
      </w:r>
      <w:r w:rsidR="000476E0" w:rsidRPr="00DB56CA">
        <w:rPr>
          <w:color w:val="000000"/>
          <w:lang w:val="en-GB"/>
        </w:rPr>
        <w:t>18</w:t>
      </w:r>
      <w:r w:rsidR="00D57F0D" w:rsidRPr="00DB56CA">
        <w:rPr>
          <w:color w:val="000000"/>
          <w:lang w:val="en-GB"/>
        </w:rPr>
        <w:t xml:space="preserve">). </w:t>
      </w:r>
      <w:r w:rsidR="00AC064E" w:rsidRPr="00DB56CA">
        <w:rPr>
          <w:color w:val="000000"/>
          <w:lang w:val="en-GB"/>
        </w:rPr>
        <w:t>The response to training load and recovery will therefore be markedly different to ad</w:t>
      </w:r>
      <w:r w:rsidR="002C347F" w:rsidRPr="00DB56CA">
        <w:rPr>
          <w:color w:val="000000"/>
          <w:lang w:val="en-GB"/>
        </w:rPr>
        <w:t>ult professionals who have greater</w:t>
      </w:r>
      <w:r w:rsidR="00AC064E" w:rsidRPr="00DB56CA">
        <w:rPr>
          <w:color w:val="000000"/>
          <w:lang w:val="en-GB"/>
        </w:rPr>
        <w:t xml:space="preserve"> developed physical attributes specific to </w:t>
      </w:r>
      <w:r w:rsidR="007F2E73" w:rsidRPr="00DB56CA">
        <w:rPr>
          <w:color w:val="000000"/>
          <w:lang w:val="en-GB"/>
        </w:rPr>
        <w:t>soccer</w:t>
      </w:r>
      <w:r w:rsidR="00AC064E" w:rsidRPr="00DB56CA">
        <w:rPr>
          <w:color w:val="000000"/>
          <w:lang w:val="en-GB"/>
        </w:rPr>
        <w:t xml:space="preserve"> and where training is predominantly on maintaining and improving physical attributes and performance (</w:t>
      </w:r>
      <w:r w:rsidR="00554E0B" w:rsidRPr="00DB56CA">
        <w:rPr>
          <w:color w:val="000000"/>
          <w:lang w:val="en-GB"/>
        </w:rPr>
        <w:t>10</w:t>
      </w:r>
      <w:r w:rsidR="00AC064E" w:rsidRPr="00DB56CA">
        <w:rPr>
          <w:color w:val="000000"/>
          <w:lang w:val="en-GB"/>
        </w:rPr>
        <w:t xml:space="preserve">, </w:t>
      </w:r>
      <w:r w:rsidR="000476E0" w:rsidRPr="00DB56CA">
        <w:rPr>
          <w:color w:val="000000"/>
          <w:lang w:val="en-GB"/>
        </w:rPr>
        <w:t>18</w:t>
      </w:r>
      <w:r w:rsidR="00AC064E" w:rsidRPr="00DB56CA">
        <w:rPr>
          <w:color w:val="000000"/>
          <w:lang w:val="en-GB"/>
        </w:rPr>
        <w:t xml:space="preserve">). </w:t>
      </w:r>
      <w:r w:rsidR="005E448F" w:rsidRPr="00DB56CA">
        <w:rPr>
          <w:color w:val="000000"/>
          <w:lang w:val="en-GB"/>
        </w:rPr>
        <w:t>Henc</w:t>
      </w:r>
      <w:r w:rsidR="00AC064E" w:rsidRPr="00DB56CA">
        <w:rPr>
          <w:color w:val="000000"/>
          <w:lang w:val="en-GB"/>
        </w:rPr>
        <w:t xml:space="preserve">e, results from studies on adult </w:t>
      </w:r>
      <w:r w:rsidR="007F2E73" w:rsidRPr="00DB56CA">
        <w:rPr>
          <w:color w:val="000000"/>
          <w:lang w:val="en-GB"/>
        </w:rPr>
        <w:t>players</w:t>
      </w:r>
      <w:r w:rsidR="00AC064E" w:rsidRPr="00DB56CA">
        <w:rPr>
          <w:color w:val="000000"/>
          <w:lang w:val="en-GB"/>
        </w:rPr>
        <w:t xml:space="preserve"> </w:t>
      </w:r>
      <w:r w:rsidR="00022B20" w:rsidRPr="00DB56CA">
        <w:rPr>
          <w:color w:val="000000"/>
          <w:lang w:val="en-GB"/>
        </w:rPr>
        <w:t>are</w:t>
      </w:r>
      <w:r w:rsidR="00AC064E" w:rsidRPr="00DB56CA">
        <w:rPr>
          <w:color w:val="000000"/>
          <w:lang w:val="en-GB"/>
        </w:rPr>
        <w:t xml:space="preserve"> not generalizable to </w:t>
      </w:r>
      <w:r w:rsidR="00D57F0D" w:rsidRPr="00DB56CA">
        <w:rPr>
          <w:color w:val="000000"/>
          <w:lang w:val="en-GB"/>
        </w:rPr>
        <w:t>children and adolescent</w:t>
      </w:r>
      <w:r w:rsidR="005B7D13" w:rsidRPr="00DB56CA">
        <w:rPr>
          <w:color w:val="000000"/>
          <w:lang w:val="en-GB"/>
        </w:rPr>
        <w:t xml:space="preserve"> </w:t>
      </w:r>
      <w:r w:rsidR="007F2E73" w:rsidRPr="00DB56CA">
        <w:rPr>
          <w:color w:val="000000"/>
          <w:lang w:val="en-GB"/>
        </w:rPr>
        <w:lastRenderedPageBreak/>
        <w:t>players</w:t>
      </w:r>
      <w:r w:rsidR="00AC064E" w:rsidRPr="00DB56CA">
        <w:rPr>
          <w:color w:val="000000"/>
          <w:lang w:val="en-GB"/>
        </w:rPr>
        <w:t>.</w:t>
      </w:r>
      <w:r w:rsidR="00275D65" w:rsidRPr="00DB56CA">
        <w:rPr>
          <w:color w:val="000000"/>
          <w:lang w:val="en-GB"/>
        </w:rPr>
        <w:t xml:space="preserve"> </w:t>
      </w:r>
      <w:r w:rsidR="00A841AE" w:rsidRPr="00DB56CA">
        <w:rPr>
          <w:color w:val="000000"/>
          <w:lang w:val="en-GB"/>
        </w:rPr>
        <w:t>F</w:t>
      </w:r>
      <w:r w:rsidR="00AE75EF" w:rsidRPr="00DB56CA">
        <w:rPr>
          <w:color w:val="000000"/>
          <w:lang w:val="en-GB"/>
        </w:rPr>
        <w:t>urther research is required to understand the</w:t>
      </w:r>
      <w:r w:rsidR="002C347F" w:rsidRPr="00DB56CA">
        <w:rPr>
          <w:color w:val="000000"/>
          <w:lang w:val="en-GB"/>
        </w:rPr>
        <w:t>se relationships</w:t>
      </w:r>
      <w:r w:rsidR="00AE75EF" w:rsidRPr="00DB56CA">
        <w:rPr>
          <w:color w:val="000000"/>
          <w:lang w:val="en-GB"/>
        </w:rPr>
        <w:t xml:space="preserve"> for </w:t>
      </w:r>
      <w:r w:rsidR="00022B20" w:rsidRPr="00DB56CA">
        <w:rPr>
          <w:color w:val="000000"/>
          <w:lang w:val="en-GB"/>
        </w:rPr>
        <w:t>adolescent</w:t>
      </w:r>
      <w:r w:rsidR="00275D65" w:rsidRPr="00DB56CA">
        <w:rPr>
          <w:color w:val="000000"/>
          <w:lang w:val="en-GB"/>
        </w:rPr>
        <w:t xml:space="preserve"> players</w:t>
      </w:r>
      <w:r w:rsidR="00022B20" w:rsidRPr="00DB56CA">
        <w:rPr>
          <w:color w:val="000000"/>
          <w:lang w:val="en-GB"/>
        </w:rPr>
        <w:t>.</w:t>
      </w:r>
      <w:r w:rsidR="00B06F9C" w:rsidRPr="00DB56CA">
        <w:rPr>
          <w:color w:val="000000"/>
          <w:lang w:val="en-GB"/>
        </w:rPr>
        <w:t xml:space="preserve"> </w:t>
      </w:r>
      <w:r w:rsidR="000A4217" w:rsidRPr="00DB56CA">
        <w:rPr>
          <w:color w:val="000000"/>
          <w:lang w:val="en-GB"/>
        </w:rPr>
        <w:t xml:space="preserve">Data collected over the entire season will reflect the training load for a season rather than just a </w:t>
      </w:r>
      <w:r w:rsidR="002C347F" w:rsidRPr="00DB56CA">
        <w:rPr>
          <w:color w:val="000000"/>
          <w:lang w:val="en-GB"/>
        </w:rPr>
        <w:t>select</w:t>
      </w:r>
      <w:r w:rsidR="0071661D" w:rsidRPr="00DB56CA">
        <w:rPr>
          <w:color w:val="000000"/>
          <w:lang w:val="en-GB"/>
        </w:rPr>
        <w:t>ed</w:t>
      </w:r>
      <w:r w:rsidR="002C347F" w:rsidRPr="00DB56CA">
        <w:rPr>
          <w:color w:val="000000"/>
          <w:lang w:val="en-GB"/>
        </w:rPr>
        <w:t xml:space="preserve"> </w:t>
      </w:r>
      <w:r w:rsidR="000A4217" w:rsidRPr="00DB56CA">
        <w:rPr>
          <w:color w:val="000000"/>
          <w:lang w:val="en-GB"/>
        </w:rPr>
        <w:t>portion</w:t>
      </w:r>
      <w:r w:rsidR="00F47262" w:rsidRPr="00DB56CA">
        <w:rPr>
          <w:color w:val="000000"/>
          <w:lang w:val="en-GB"/>
        </w:rPr>
        <w:t xml:space="preserve">. </w:t>
      </w:r>
      <w:r w:rsidR="002C347F" w:rsidRPr="00DB56CA">
        <w:rPr>
          <w:color w:val="000000"/>
          <w:lang w:val="en-GB"/>
        </w:rPr>
        <w:t>Hence, a</w:t>
      </w:r>
      <w:r w:rsidR="00E6109A" w:rsidRPr="00DB56CA">
        <w:rPr>
          <w:color w:val="000000"/>
          <w:lang w:val="en-GB"/>
        </w:rPr>
        <w:t xml:space="preserve"> longitudinal study </w:t>
      </w:r>
      <w:r w:rsidR="00346719" w:rsidRPr="00DB56CA">
        <w:rPr>
          <w:color w:val="000000"/>
          <w:lang w:val="en-GB"/>
        </w:rPr>
        <w:t>will provide</w:t>
      </w:r>
      <w:r w:rsidR="00E6109A" w:rsidRPr="00DB56CA">
        <w:rPr>
          <w:color w:val="000000"/>
          <w:lang w:val="en-GB"/>
        </w:rPr>
        <w:t xml:space="preserve"> a larger data set </w:t>
      </w:r>
      <w:r w:rsidR="00A0450B" w:rsidRPr="00DB56CA">
        <w:rPr>
          <w:color w:val="000000"/>
          <w:lang w:val="en-GB"/>
        </w:rPr>
        <w:t>yielding</w:t>
      </w:r>
      <w:r w:rsidR="00E6109A" w:rsidRPr="00DB56CA">
        <w:rPr>
          <w:color w:val="000000"/>
          <w:lang w:val="en-GB"/>
        </w:rPr>
        <w:t xml:space="preserve"> results </w:t>
      </w:r>
      <w:r w:rsidR="00A0450B" w:rsidRPr="00DB56CA">
        <w:rPr>
          <w:color w:val="000000"/>
          <w:lang w:val="en-GB"/>
        </w:rPr>
        <w:t xml:space="preserve">with </w:t>
      </w:r>
      <w:r w:rsidR="00E6109A" w:rsidRPr="00DB56CA">
        <w:rPr>
          <w:color w:val="000000"/>
          <w:lang w:val="en-GB"/>
        </w:rPr>
        <w:t>higher sensitivity and power</w:t>
      </w:r>
      <w:r w:rsidR="008C3B55" w:rsidRPr="00DB56CA">
        <w:rPr>
          <w:color w:val="000000"/>
          <w:lang w:val="en-GB"/>
        </w:rPr>
        <w:t>.</w:t>
      </w:r>
    </w:p>
    <w:p w14:paraId="15B56DE6" w14:textId="7A42CF63" w:rsidR="001B3525" w:rsidRPr="00DB56CA" w:rsidRDefault="008A67A7" w:rsidP="001B3525">
      <w:pPr>
        <w:widowControl w:val="0"/>
        <w:autoSpaceDE w:val="0"/>
        <w:autoSpaceDN w:val="0"/>
        <w:adjustRightInd w:val="0"/>
        <w:spacing w:after="100" w:afterAutospacing="1" w:line="480" w:lineRule="auto"/>
        <w:contextualSpacing/>
        <w:jc w:val="both"/>
        <w:rPr>
          <w:color w:val="000000"/>
          <w:lang w:val="en-GB"/>
        </w:rPr>
      </w:pPr>
      <w:r w:rsidRPr="00DB56CA">
        <w:rPr>
          <w:color w:val="000000"/>
          <w:lang w:val="en-GB"/>
        </w:rPr>
        <w:t>The</w:t>
      </w:r>
      <w:r w:rsidR="002C347F" w:rsidRPr="00DB56CA">
        <w:rPr>
          <w:color w:val="000000"/>
          <w:lang w:val="en-GB"/>
        </w:rPr>
        <w:t>refore, the</w:t>
      </w:r>
      <w:r w:rsidRPr="00DB56CA">
        <w:rPr>
          <w:color w:val="000000"/>
          <w:lang w:val="en-GB"/>
        </w:rPr>
        <w:t xml:space="preserve"> aim of this study is to observe the in-season variation in the </w:t>
      </w:r>
      <w:r w:rsidR="002C347F" w:rsidRPr="00DB56CA">
        <w:rPr>
          <w:color w:val="000000"/>
          <w:lang w:val="en-GB"/>
        </w:rPr>
        <w:t>relationship</w:t>
      </w:r>
      <w:r w:rsidRPr="00DB56CA">
        <w:rPr>
          <w:color w:val="000000"/>
          <w:lang w:val="en-GB"/>
        </w:rPr>
        <w:t xml:space="preserve"> between HR and sRPE</w:t>
      </w:r>
      <w:r w:rsidR="00F13A33" w:rsidRPr="00DB56CA">
        <w:rPr>
          <w:color w:val="000000"/>
          <w:lang w:val="en-GB"/>
        </w:rPr>
        <w:t xml:space="preserve"> based estimations of training load</w:t>
      </w:r>
      <w:r w:rsidRPr="00DB56CA">
        <w:rPr>
          <w:color w:val="000000"/>
          <w:lang w:val="en-GB"/>
        </w:rPr>
        <w:t xml:space="preserve"> in professional </w:t>
      </w:r>
      <w:r w:rsidR="00F13A33" w:rsidRPr="00DB56CA">
        <w:rPr>
          <w:color w:val="000000"/>
          <w:lang w:val="en-GB"/>
        </w:rPr>
        <w:t xml:space="preserve">youth </w:t>
      </w:r>
      <w:r w:rsidR="007F2E73" w:rsidRPr="00DB56CA">
        <w:rPr>
          <w:color w:val="000000"/>
          <w:lang w:val="en-GB"/>
        </w:rPr>
        <w:t>soccer</w:t>
      </w:r>
      <w:r w:rsidR="00846C57" w:rsidRPr="00DB56CA">
        <w:rPr>
          <w:color w:val="000000"/>
          <w:lang w:val="en-GB"/>
        </w:rPr>
        <w:t xml:space="preserve"> </w:t>
      </w:r>
      <w:r w:rsidR="00F13A33" w:rsidRPr="00DB56CA">
        <w:rPr>
          <w:color w:val="000000"/>
          <w:lang w:val="en-GB"/>
        </w:rPr>
        <w:t xml:space="preserve">players </w:t>
      </w:r>
      <w:r w:rsidR="00846C57" w:rsidRPr="00DB56CA">
        <w:rPr>
          <w:color w:val="000000"/>
          <w:lang w:val="en-GB"/>
        </w:rPr>
        <w:t>over an entire season</w:t>
      </w:r>
      <w:r w:rsidR="00F47262" w:rsidRPr="00DB56CA">
        <w:rPr>
          <w:color w:val="000000"/>
          <w:lang w:val="en-GB"/>
        </w:rPr>
        <w:t xml:space="preserve">. </w:t>
      </w:r>
      <w:r w:rsidR="00E62F48" w:rsidRPr="00DB56CA">
        <w:rPr>
          <w:color w:val="000000"/>
          <w:highlight w:val="yellow"/>
          <w:lang w:val="en-GB"/>
        </w:rPr>
        <w:t xml:space="preserve">Since sRPE is sensititve to cumulative </w:t>
      </w:r>
      <w:r w:rsidR="009A24C1" w:rsidRPr="00DB56CA">
        <w:rPr>
          <w:color w:val="000000"/>
          <w:highlight w:val="yellow"/>
          <w:lang w:val="en-GB"/>
        </w:rPr>
        <w:t>fatigue</w:t>
      </w:r>
      <w:r w:rsidR="00D12142" w:rsidRPr="00DB56CA">
        <w:rPr>
          <w:color w:val="000000"/>
          <w:highlight w:val="yellow"/>
          <w:lang w:val="en-GB"/>
        </w:rPr>
        <w:t xml:space="preserve"> (</w:t>
      </w:r>
      <w:r w:rsidR="00554E0B" w:rsidRPr="00DB56CA">
        <w:rPr>
          <w:color w:val="000000"/>
          <w:highlight w:val="yellow"/>
          <w:lang w:val="en-GB"/>
        </w:rPr>
        <w:t>15</w:t>
      </w:r>
      <w:r w:rsidR="00D12142" w:rsidRPr="00DB56CA">
        <w:rPr>
          <w:color w:val="000000"/>
          <w:highlight w:val="yellow"/>
          <w:lang w:val="en-GB"/>
        </w:rPr>
        <w:t>)</w:t>
      </w:r>
      <w:r w:rsidR="009A24C1" w:rsidRPr="00DB56CA">
        <w:rPr>
          <w:color w:val="000000"/>
          <w:highlight w:val="yellow"/>
          <w:lang w:val="en-GB"/>
        </w:rPr>
        <w:t xml:space="preserve">, </w:t>
      </w:r>
      <w:r w:rsidR="0054051F" w:rsidRPr="00DB56CA">
        <w:rPr>
          <w:color w:val="000000"/>
          <w:highlight w:val="yellow"/>
          <w:lang w:val="en-GB"/>
        </w:rPr>
        <w:t xml:space="preserve">towards the end of the season, </w:t>
      </w:r>
      <w:r w:rsidR="009A24C1" w:rsidRPr="00DB56CA">
        <w:rPr>
          <w:color w:val="000000"/>
          <w:highlight w:val="yellow"/>
          <w:lang w:val="en-GB"/>
        </w:rPr>
        <w:t xml:space="preserve">we </w:t>
      </w:r>
      <w:r w:rsidR="00D06603" w:rsidRPr="00DB56CA">
        <w:rPr>
          <w:color w:val="000000"/>
          <w:highlight w:val="yellow"/>
          <w:lang w:val="en-GB"/>
        </w:rPr>
        <w:t xml:space="preserve">assume </w:t>
      </w:r>
      <w:r w:rsidR="0054051F" w:rsidRPr="00DB56CA">
        <w:rPr>
          <w:color w:val="000000"/>
          <w:highlight w:val="yellow"/>
          <w:lang w:val="en-GB"/>
        </w:rPr>
        <w:t xml:space="preserve">the athlete’s perception </w:t>
      </w:r>
      <w:r w:rsidR="009B6AF0" w:rsidRPr="00DB56CA">
        <w:rPr>
          <w:color w:val="000000"/>
          <w:highlight w:val="yellow"/>
          <w:lang w:val="en-GB"/>
        </w:rPr>
        <w:t xml:space="preserve">to </w:t>
      </w:r>
      <w:r w:rsidR="00AD0593" w:rsidRPr="00DB56CA">
        <w:rPr>
          <w:color w:val="000000"/>
          <w:highlight w:val="yellow"/>
          <w:lang w:val="en-GB"/>
        </w:rPr>
        <w:t xml:space="preserve">training load to </w:t>
      </w:r>
      <w:r w:rsidR="009B6AF0" w:rsidRPr="00DB56CA">
        <w:rPr>
          <w:color w:val="000000"/>
          <w:highlight w:val="yellow"/>
          <w:lang w:val="en-GB"/>
        </w:rPr>
        <w:t>be weakened</w:t>
      </w:r>
      <w:r w:rsidR="00E343CA" w:rsidRPr="00DB56CA">
        <w:rPr>
          <w:color w:val="000000"/>
          <w:highlight w:val="yellow"/>
          <w:lang w:val="en-GB"/>
        </w:rPr>
        <w:t>.</w:t>
      </w:r>
      <w:r w:rsidR="009B6AF0" w:rsidRPr="00DB56CA">
        <w:rPr>
          <w:rFonts w:eastAsia="Times New Roman"/>
          <w:i/>
          <w:color w:val="222222"/>
          <w:shd w:val="clear" w:color="auto" w:fill="FFFFFF"/>
          <w:lang w:val="en-GB"/>
        </w:rPr>
        <w:t xml:space="preserve"> </w:t>
      </w:r>
      <w:r w:rsidR="00A0450B" w:rsidRPr="00DB56CA">
        <w:rPr>
          <w:color w:val="000000"/>
          <w:lang w:val="en-GB"/>
        </w:rPr>
        <w:t>I</w:t>
      </w:r>
      <w:r w:rsidRPr="00DB56CA">
        <w:rPr>
          <w:color w:val="000000"/>
          <w:lang w:val="en-GB"/>
        </w:rPr>
        <w:t>t was</w:t>
      </w:r>
      <w:r w:rsidR="00AD0593" w:rsidRPr="00DB56CA">
        <w:rPr>
          <w:color w:val="000000"/>
          <w:lang w:val="en-GB"/>
        </w:rPr>
        <w:t>, therefore,</w:t>
      </w:r>
      <w:r w:rsidR="000C419C" w:rsidRPr="00DB56CA">
        <w:rPr>
          <w:color w:val="000000"/>
          <w:lang w:val="en-GB"/>
        </w:rPr>
        <w:t xml:space="preserve"> hypothesise</w:t>
      </w:r>
      <w:r w:rsidRPr="00DB56CA">
        <w:rPr>
          <w:color w:val="000000"/>
          <w:lang w:val="en-GB"/>
        </w:rPr>
        <w:t>d</w:t>
      </w:r>
      <w:r w:rsidR="000C419C" w:rsidRPr="00DB56CA">
        <w:rPr>
          <w:color w:val="000000"/>
          <w:lang w:val="en-GB"/>
        </w:rPr>
        <w:t xml:space="preserve"> that the correlation will be stronger at the beginning of the season</w:t>
      </w:r>
      <w:r w:rsidR="002C347F" w:rsidRPr="00DB56CA">
        <w:rPr>
          <w:color w:val="000000"/>
          <w:lang w:val="en-GB"/>
        </w:rPr>
        <w:t xml:space="preserve"> compared to the end of the season</w:t>
      </w:r>
      <w:r w:rsidR="00F47262" w:rsidRPr="00DB56CA">
        <w:rPr>
          <w:color w:val="000000"/>
          <w:lang w:val="en-GB"/>
        </w:rPr>
        <w:t>.</w:t>
      </w:r>
      <w:r w:rsidR="00172201" w:rsidRPr="00DB56CA">
        <w:rPr>
          <w:color w:val="000000"/>
          <w:lang w:val="en-GB"/>
        </w:rPr>
        <w:t xml:space="preserve"> </w:t>
      </w:r>
      <w:r w:rsidR="002C347F" w:rsidRPr="00DB56CA">
        <w:rPr>
          <w:color w:val="000000"/>
          <w:lang w:val="en-GB"/>
        </w:rPr>
        <w:t>A secondary aim was to</w:t>
      </w:r>
      <w:r w:rsidR="000C419C" w:rsidRPr="00DB56CA">
        <w:rPr>
          <w:color w:val="000000"/>
          <w:lang w:val="en-GB"/>
        </w:rPr>
        <w:t xml:space="preserve"> </w:t>
      </w:r>
      <w:r w:rsidR="002C347F" w:rsidRPr="00DB56CA">
        <w:rPr>
          <w:color w:val="000000"/>
          <w:lang w:val="en-GB"/>
        </w:rPr>
        <w:t xml:space="preserve">examine </w:t>
      </w:r>
      <w:r w:rsidR="000C419C" w:rsidRPr="00DB56CA">
        <w:rPr>
          <w:color w:val="000000"/>
          <w:lang w:val="en-GB"/>
        </w:rPr>
        <w:t xml:space="preserve">the validity of the scale </w:t>
      </w:r>
      <w:r w:rsidR="00A0450B" w:rsidRPr="00DB56CA">
        <w:rPr>
          <w:color w:val="000000"/>
          <w:lang w:val="en-GB"/>
        </w:rPr>
        <w:t xml:space="preserve">for each player </w:t>
      </w:r>
      <w:r w:rsidR="000C419C" w:rsidRPr="00DB56CA">
        <w:rPr>
          <w:color w:val="000000"/>
          <w:lang w:val="en-GB"/>
        </w:rPr>
        <w:t>over the duration of the season</w:t>
      </w:r>
      <w:r w:rsidR="001B3525" w:rsidRPr="00DB56CA">
        <w:rPr>
          <w:color w:val="000000"/>
          <w:lang w:val="en-GB"/>
        </w:rPr>
        <w:t>.</w:t>
      </w:r>
    </w:p>
    <w:p w14:paraId="1C6628EE" w14:textId="77777777" w:rsidR="00A4185A" w:rsidRPr="00DB56CA" w:rsidRDefault="00A4185A" w:rsidP="001B3525">
      <w:pPr>
        <w:widowControl w:val="0"/>
        <w:autoSpaceDE w:val="0"/>
        <w:autoSpaceDN w:val="0"/>
        <w:adjustRightInd w:val="0"/>
        <w:spacing w:after="100" w:afterAutospacing="1" w:line="480" w:lineRule="auto"/>
        <w:contextualSpacing/>
        <w:jc w:val="both"/>
        <w:rPr>
          <w:color w:val="000000"/>
          <w:lang w:val="en-GB"/>
        </w:rPr>
      </w:pPr>
    </w:p>
    <w:p w14:paraId="60C74BB0" w14:textId="77777777" w:rsidR="001B3525" w:rsidRPr="00DB56CA" w:rsidRDefault="00B10D87" w:rsidP="001B3525">
      <w:pPr>
        <w:widowControl w:val="0"/>
        <w:autoSpaceDE w:val="0"/>
        <w:autoSpaceDN w:val="0"/>
        <w:adjustRightInd w:val="0"/>
        <w:spacing w:after="100" w:afterAutospacing="1" w:line="480" w:lineRule="auto"/>
        <w:contextualSpacing/>
        <w:jc w:val="both"/>
        <w:rPr>
          <w:b/>
          <w:color w:val="000000" w:themeColor="text1"/>
          <w:lang w:val="en-GB"/>
        </w:rPr>
      </w:pPr>
      <w:r w:rsidRPr="00DB56CA">
        <w:rPr>
          <w:b/>
          <w:color w:val="000000" w:themeColor="text1"/>
          <w:lang w:val="en-GB"/>
        </w:rPr>
        <w:t>Methods</w:t>
      </w:r>
      <w:r w:rsidR="00034ED8" w:rsidRPr="00DB56CA">
        <w:rPr>
          <w:b/>
          <w:color w:val="000000" w:themeColor="text1"/>
          <w:lang w:val="en-GB"/>
        </w:rPr>
        <w:t>:</w:t>
      </w:r>
      <w:r w:rsidR="00362147" w:rsidRPr="00DB56CA">
        <w:rPr>
          <w:b/>
          <w:color w:val="000000" w:themeColor="text1"/>
          <w:lang w:val="en-GB"/>
        </w:rPr>
        <w:t xml:space="preserve"> </w:t>
      </w:r>
    </w:p>
    <w:p w14:paraId="62766F45" w14:textId="77777777" w:rsidR="001B3525" w:rsidRPr="00DB56CA" w:rsidRDefault="003130EC" w:rsidP="001B3525">
      <w:pPr>
        <w:widowControl w:val="0"/>
        <w:autoSpaceDE w:val="0"/>
        <w:autoSpaceDN w:val="0"/>
        <w:adjustRightInd w:val="0"/>
        <w:spacing w:after="100" w:afterAutospacing="1" w:line="480" w:lineRule="auto"/>
        <w:contextualSpacing/>
        <w:jc w:val="both"/>
        <w:rPr>
          <w:b/>
          <w:i/>
          <w:color w:val="000000" w:themeColor="text1"/>
          <w:lang w:val="en-GB"/>
        </w:rPr>
      </w:pPr>
      <w:r w:rsidRPr="00DB56CA">
        <w:rPr>
          <w:b/>
          <w:i/>
          <w:color w:val="000000" w:themeColor="text1"/>
          <w:lang w:val="en-GB"/>
        </w:rPr>
        <w:t>Participants:</w:t>
      </w:r>
    </w:p>
    <w:p w14:paraId="5BA1BC2C" w14:textId="43BACA61" w:rsidR="001B3525" w:rsidRPr="00DB56CA" w:rsidRDefault="0033792B" w:rsidP="001B3525">
      <w:pPr>
        <w:widowControl w:val="0"/>
        <w:autoSpaceDE w:val="0"/>
        <w:autoSpaceDN w:val="0"/>
        <w:adjustRightInd w:val="0"/>
        <w:spacing w:after="100" w:afterAutospacing="1" w:line="480" w:lineRule="auto"/>
        <w:contextualSpacing/>
        <w:jc w:val="both"/>
        <w:rPr>
          <w:color w:val="000000"/>
          <w:lang w:val="en-GB"/>
        </w:rPr>
      </w:pPr>
      <w:r w:rsidRPr="00DB56CA">
        <w:rPr>
          <w:color w:val="000000"/>
          <w:lang w:val="en-GB"/>
        </w:rPr>
        <w:t>Fifteen</w:t>
      </w:r>
      <w:r w:rsidR="00DA5EC3" w:rsidRPr="00DB56CA">
        <w:rPr>
          <w:color w:val="000000"/>
          <w:lang w:val="en-GB"/>
        </w:rPr>
        <w:t xml:space="preserve"> male</w:t>
      </w:r>
      <w:r w:rsidRPr="00DB56CA">
        <w:rPr>
          <w:color w:val="000000"/>
          <w:lang w:val="en-GB"/>
        </w:rPr>
        <w:t xml:space="preserve"> </w:t>
      </w:r>
      <w:r w:rsidR="003C4E99" w:rsidRPr="00DB56CA">
        <w:rPr>
          <w:color w:val="000000"/>
          <w:lang w:val="en-GB"/>
        </w:rPr>
        <w:t>professional youth players</w:t>
      </w:r>
      <w:r w:rsidR="00321695" w:rsidRPr="00DB56CA">
        <w:rPr>
          <w:color w:val="000000" w:themeColor="text1"/>
          <w:lang w:val="en-GB"/>
        </w:rPr>
        <w:t xml:space="preserve"> </w:t>
      </w:r>
      <w:r w:rsidR="002C347F" w:rsidRPr="00DB56CA">
        <w:rPr>
          <w:color w:val="000000" w:themeColor="text1"/>
          <w:lang w:val="en-GB"/>
        </w:rPr>
        <w:t>(a</w:t>
      </w:r>
      <w:r w:rsidR="000C2E0A" w:rsidRPr="00DB56CA">
        <w:rPr>
          <w:color w:val="000000" w:themeColor="text1"/>
          <w:lang w:val="en-GB"/>
        </w:rPr>
        <w:t>ge</w:t>
      </w:r>
      <w:r w:rsidR="00B64F0A" w:rsidRPr="00DB56CA">
        <w:rPr>
          <w:color w:val="000000" w:themeColor="text1"/>
          <w:lang w:val="en-GB"/>
        </w:rPr>
        <w:t>: 16.</w:t>
      </w:r>
      <w:r w:rsidR="00275D65" w:rsidRPr="00DB56CA">
        <w:rPr>
          <w:color w:val="000000" w:themeColor="text1"/>
          <w:lang w:val="en-GB"/>
        </w:rPr>
        <w:t>7</w:t>
      </w:r>
      <w:r w:rsidR="002C548B" w:rsidRPr="00DB56CA">
        <w:rPr>
          <w:color w:val="000000" w:themeColor="text1"/>
          <w:u w:val="single"/>
          <w:lang w:val="en-GB"/>
        </w:rPr>
        <w:t>+</w:t>
      </w:r>
      <w:r w:rsidR="00767FBC" w:rsidRPr="00DB56CA">
        <w:rPr>
          <w:color w:val="000000" w:themeColor="text1"/>
          <w:lang w:val="en-GB"/>
        </w:rPr>
        <w:t>1</w:t>
      </w:r>
      <w:r w:rsidR="00D56B3F" w:rsidRPr="00DB56CA">
        <w:rPr>
          <w:color w:val="000000" w:themeColor="text1"/>
          <w:lang w:val="en-GB"/>
        </w:rPr>
        <w:t>.0</w:t>
      </w:r>
      <w:r w:rsidR="00275D65" w:rsidRPr="00DB56CA">
        <w:rPr>
          <w:color w:val="000000" w:themeColor="text1"/>
          <w:lang w:val="en-GB"/>
        </w:rPr>
        <w:t xml:space="preserve"> </w:t>
      </w:r>
      <w:r w:rsidR="00767FBC" w:rsidRPr="00DB56CA">
        <w:rPr>
          <w:color w:val="000000" w:themeColor="text1"/>
          <w:lang w:val="en-GB"/>
        </w:rPr>
        <w:t>yr.</w:t>
      </w:r>
      <w:r w:rsidR="00275D65" w:rsidRPr="00DB56CA">
        <w:rPr>
          <w:color w:val="000000" w:themeColor="text1"/>
          <w:lang w:val="en-GB"/>
        </w:rPr>
        <w:t xml:space="preserve">; </w:t>
      </w:r>
      <w:r w:rsidR="002C347F" w:rsidRPr="00DB56CA">
        <w:rPr>
          <w:color w:val="000000" w:themeColor="text1"/>
          <w:lang w:val="en-GB"/>
        </w:rPr>
        <w:t>stature</w:t>
      </w:r>
      <w:r w:rsidR="00321695" w:rsidRPr="00DB56CA">
        <w:rPr>
          <w:color w:val="000000" w:themeColor="text1"/>
          <w:lang w:val="en-GB"/>
        </w:rPr>
        <w:t>:</w:t>
      </w:r>
      <w:r w:rsidR="00275D65" w:rsidRPr="00DB56CA">
        <w:rPr>
          <w:color w:val="000000" w:themeColor="text1"/>
          <w:lang w:val="en-GB"/>
        </w:rPr>
        <w:t>176.3</w:t>
      </w:r>
      <w:r w:rsidR="00FF7EB4" w:rsidRPr="00DB56CA">
        <w:rPr>
          <w:color w:val="000000" w:themeColor="text1"/>
          <w:lang w:val="en-GB"/>
        </w:rPr>
        <w:t xml:space="preserve"> ±</w:t>
      </w:r>
      <w:r w:rsidR="00767FBC" w:rsidRPr="00DB56CA">
        <w:rPr>
          <w:color w:val="000000" w:themeColor="text1"/>
          <w:lang w:val="en-GB"/>
        </w:rPr>
        <w:t xml:space="preserve">5.3 </w:t>
      </w:r>
      <w:r w:rsidR="00275D65" w:rsidRPr="00DB56CA">
        <w:rPr>
          <w:color w:val="000000" w:themeColor="text1"/>
          <w:lang w:val="en-GB"/>
        </w:rPr>
        <w:t>cm</w:t>
      </w:r>
      <w:r w:rsidR="00321695" w:rsidRPr="00DB56CA">
        <w:rPr>
          <w:color w:val="000000" w:themeColor="text1"/>
          <w:lang w:val="en-GB"/>
        </w:rPr>
        <w:t>;</w:t>
      </w:r>
      <w:r w:rsidR="00275D65" w:rsidRPr="00DB56CA">
        <w:rPr>
          <w:color w:val="000000" w:themeColor="text1"/>
          <w:lang w:val="en-GB"/>
        </w:rPr>
        <w:t xml:space="preserve"> </w:t>
      </w:r>
      <w:r w:rsidR="002C347F" w:rsidRPr="00DB56CA">
        <w:rPr>
          <w:color w:val="000000" w:themeColor="text1"/>
          <w:lang w:val="en-GB"/>
        </w:rPr>
        <w:t>body m</w:t>
      </w:r>
      <w:r w:rsidR="00321695" w:rsidRPr="00DB56CA">
        <w:rPr>
          <w:color w:val="000000" w:themeColor="text1"/>
          <w:lang w:val="en-GB"/>
        </w:rPr>
        <w:t>ass:</w:t>
      </w:r>
      <w:r w:rsidR="00275D65" w:rsidRPr="00DB56CA">
        <w:rPr>
          <w:color w:val="000000" w:themeColor="text1"/>
          <w:lang w:val="en-GB"/>
        </w:rPr>
        <w:t xml:space="preserve"> 69.9</w:t>
      </w:r>
      <w:r w:rsidR="00FF7EB4" w:rsidRPr="00DB56CA">
        <w:rPr>
          <w:color w:val="000000" w:themeColor="text1"/>
          <w:lang w:val="en-GB"/>
        </w:rPr>
        <w:t xml:space="preserve"> </w:t>
      </w:r>
      <w:r w:rsidR="00767FBC" w:rsidRPr="00DB56CA">
        <w:rPr>
          <w:color w:val="000000" w:themeColor="text1"/>
          <w:u w:val="single"/>
          <w:lang w:val="en-GB"/>
        </w:rPr>
        <w:t>+</w:t>
      </w:r>
      <w:r w:rsidR="00767FBC" w:rsidRPr="00DB56CA">
        <w:rPr>
          <w:color w:val="000000" w:themeColor="text1"/>
          <w:lang w:val="en-GB"/>
        </w:rPr>
        <w:t>6.9</w:t>
      </w:r>
      <w:r w:rsidR="002C347F" w:rsidRPr="00DB56CA">
        <w:rPr>
          <w:color w:val="000000" w:themeColor="text1"/>
          <w:lang w:val="en-GB"/>
        </w:rPr>
        <w:t xml:space="preserve"> </w:t>
      </w:r>
      <w:r w:rsidR="00275D65" w:rsidRPr="00DB56CA">
        <w:rPr>
          <w:color w:val="000000" w:themeColor="text1"/>
          <w:lang w:val="en-GB"/>
        </w:rPr>
        <w:t>kg</w:t>
      </w:r>
      <w:r w:rsidR="00321695" w:rsidRPr="00DB56CA">
        <w:rPr>
          <w:color w:val="000000" w:themeColor="text1"/>
          <w:lang w:val="en-GB"/>
        </w:rPr>
        <w:t>)</w:t>
      </w:r>
      <w:r w:rsidR="00D66CC0" w:rsidRPr="00DB56CA">
        <w:rPr>
          <w:color w:val="FF0000"/>
          <w:lang w:val="en-GB"/>
        </w:rPr>
        <w:t xml:space="preserve"> </w:t>
      </w:r>
      <w:r w:rsidR="003C4E99" w:rsidRPr="00DB56CA">
        <w:rPr>
          <w:color w:val="000000"/>
          <w:lang w:val="en-GB"/>
        </w:rPr>
        <w:t>were monitored over a competitive season f</w:t>
      </w:r>
      <w:r w:rsidR="003130EC" w:rsidRPr="00DB56CA">
        <w:rPr>
          <w:color w:val="000000"/>
          <w:lang w:val="en-GB"/>
        </w:rPr>
        <w:t>or 7 months from October</w:t>
      </w:r>
      <w:r w:rsidR="00D632D4" w:rsidRPr="00DB56CA">
        <w:rPr>
          <w:color w:val="000000"/>
          <w:lang w:val="en-GB"/>
        </w:rPr>
        <w:t xml:space="preserve"> 2016</w:t>
      </w:r>
      <w:r w:rsidR="003130EC" w:rsidRPr="00DB56CA">
        <w:rPr>
          <w:color w:val="000000"/>
          <w:lang w:val="en-GB"/>
        </w:rPr>
        <w:t xml:space="preserve"> to April</w:t>
      </w:r>
      <w:r w:rsidR="00D632D4" w:rsidRPr="00DB56CA">
        <w:rPr>
          <w:color w:val="000000"/>
          <w:lang w:val="en-GB"/>
        </w:rPr>
        <w:t xml:space="preserve"> 2017</w:t>
      </w:r>
      <w:r w:rsidR="00F47262" w:rsidRPr="00DB56CA">
        <w:rPr>
          <w:color w:val="000000"/>
          <w:lang w:val="en-GB"/>
        </w:rPr>
        <w:t xml:space="preserve">. </w:t>
      </w:r>
      <w:r w:rsidR="00A92CF0" w:rsidRPr="00DB56CA">
        <w:rPr>
          <w:color w:val="000000"/>
          <w:lang w:val="en-GB"/>
        </w:rPr>
        <w:t>Data from 160 training sessions were</w:t>
      </w:r>
      <w:r w:rsidR="00196358" w:rsidRPr="00DB56CA">
        <w:rPr>
          <w:color w:val="000000"/>
          <w:lang w:val="en-GB"/>
        </w:rPr>
        <w:t xml:space="preserve"> collected and analysed</w:t>
      </w:r>
      <w:r w:rsidR="00003BBF" w:rsidRPr="00DB56CA">
        <w:rPr>
          <w:color w:val="000000"/>
          <w:lang w:val="en-GB"/>
        </w:rPr>
        <w:t xml:space="preserve">. </w:t>
      </w:r>
      <w:r w:rsidR="00250102" w:rsidRPr="00DB56CA">
        <w:rPr>
          <w:color w:val="000000"/>
          <w:lang w:val="en-GB"/>
        </w:rPr>
        <w:t>All p</w:t>
      </w:r>
      <w:r w:rsidR="003130EC" w:rsidRPr="00DB56CA">
        <w:rPr>
          <w:color w:val="000000"/>
          <w:lang w:val="en-GB"/>
        </w:rPr>
        <w:t>layers were</w:t>
      </w:r>
      <w:r w:rsidR="00C3650B" w:rsidRPr="00DB56CA">
        <w:rPr>
          <w:color w:val="000000"/>
          <w:lang w:val="en-GB"/>
        </w:rPr>
        <w:t xml:space="preserve"> </w:t>
      </w:r>
      <w:r w:rsidR="00DA0CF7" w:rsidRPr="00DB56CA">
        <w:rPr>
          <w:color w:val="000000"/>
          <w:highlight w:val="yellow"/>
          <w:lang w:val="en-GB"/>
        </w:rPr>
        <w:t>contractually registered</w:t>
      </w:r>
      <w:r w:rsidR="00C3650B" w:rsidRPr="00DB56CA">
        <w:rPr>
          <w:color w:val="000000"/>
          <w:highlight w:val="yellow"/>
          <w:lang w:val="en-GB"/>
        </w:rPr>
        <w:t xml:space="preserve"> as</w:t>
      </w:r>
      <w:r w:rsidR="003130EC" w:rsidRPr="00DB56CA">
        <w:rPr>
          <w:color w:val="000000"/>
          <w:lang w:val="en-GB"/>
        </w:rPr>
        <w:t xml:space="preserve"> part of </w:t>
      </w:r>
      <w:r w:rsidR="00250102" w:rsidRPr="00DB56CA">
        <w:rPr>
          <w:color w:val="000000"/>
          <w:lang w:val="en-GB"/>
        </w:rPr>
        <w:t xml:space="preserve">an </w:t>
      </w:r>
      <w:r w:rsidR="001E05CC" w:rsidRPr="00DB56CA">
        <w:rPr>
          <w:color w:val="000000"/>
          <w:lang w:val="en-GB"/>
        </w:rPr>
        <w:t>under-1</w:t>
      </w:r>
      <w:r w:rsidR="003130EC" w:rsidRPr="00DB56CA">
        <w:rPr>
          <w:color w:val="000000"/>
          <w:lang w:val="en-GB"/>
        </w:rPr>
        <w:t xml:space="preserve">8 </w:t>
      </w:r>
      <w:r w:rsidR="006A61EC" w:rsidRPr="00DB56CA">
        <w:rPr>
          <w:color w:val="000000"/>
          <w:lang w:val="en-GB"/>
        </w:rPr>
        <w:t>team</w:t>
      </w:r>
      <w:r w:rsidR="00250102" w:rsidRPr="00DB56CA">
        <w:rPr>
          <w:color w:val="000000"/>
          <w:lang w:val="en-GB"/>
        </w:rPr>
        <w:t xml:space="preserve"> competing in the English Football League Youth Alliance League</w:t>
      </w:r>
      <w:r w:rsidR="00F47262" w:rsidRPr="00DB56CA">
        <w:rPr>
          <w:color w:val="000000"/>
          <w:lang w:val="en-GB"/>
        </w:rPr>
        <w:t xml:space="preserve">. </w:t>
      </w:r>
      <w:r w:rsidR="003130EC" w:rsidRPr="00DB56CA">
        <w:rPr>
          <w:color w:val="000000"/>
          <w:lang w:val="en-GB"/>
        </w:rPr>
        <w:t xml:space="preserve">All </w:t>
      </w:r>
      <w:r w:rsidR="00196358" w:rsidRPr="00DB56CA">
        <w:rPr>
          <w:color w:val="000000"/>
          <w:lang w:val="en-GB"/>
        </w:rPr>
        <w:t>players</w:t>
      </w:r>
      <w:r w:rsidR="003130EC" w:rsidRPr="00DB56CA">
        <w:rPr>
          <w:color w:val="000000"/>
          <w:lang w:val="en-GB"/>
        </w:rPr>
        <w:t xml:space="preserve"> and parents were fully informed of the aims and procedure of the study and w</w:t>
      </w:r>
      <w:r w:rsidR="00744266" w:rsidRPr="00DB56CA">
        <w:rPr>
          <w:color w:val="000000"/>
          <w:lang w:val="en-GB"/>
        </w:rPr>
        <w:t xml:space="preserve">ritten consent was </w:t>
      </w:r>
      <w:r w:rsidR="0071661D" w:rsidRPr="00DB56CA">
        <w:rPr>
          <w:color w:val="000000"/>
          <w:lang w:val="en-GB"/>
        </w:rPr>
        <w:t>provided</w:t>
      </w:r>
      <w:r w:rsidR="00F47262" w:rsidRPr="00DB56CA">
        <w:rPr>
          <w:color w:val="000000"/>
          <w:lang w:val="en-GB"/>
        </w:rPr>
        <w:t xml:space="preserve">. </w:t>
      </w:r>
      <w:r w:rsidR="003130EC" w:rsidRPr="00DB56CA">
        <w:rPr>
          <w:color w:val="000000"/>
          <w:lang w:val="en-GB"/>
        </w:rPr>
        <w:t xml:space="preserve">This study was approved by the </w:t>
      </w:r>
      <w:r w:rsidR="002C347F" w:rsidRPr="00DB56CA">
        <w:rPr>
          <w:color w:val="000000"/>
          <w:lang w:val="en-GB"/>
        </w:rPr>
        <w:t xml:space="preserve">Institutional </w:t>
      </w:r>
      <w:r w:rsidR="003130EC" w:rsidRPr="00DB56CA">
        <w:rPr>
          <w:color w:val="000000"/>
          <w:lang w:val="en-GB"/>
        </w:rPr>
        <w:t>Ethics Committee</w:t>
      </w:r>
      <w:r w:rsidR="00F47262" w:rsidRPr="00DB56CA">
        <w:rPr>
          <w:color w:val="000000"/>
          <w:lang w:val="en-GB"/>
        </w:rPr>
        <w:t xml:space="preserve">. </w:t>
      </w:r>
      <w:r w:rsidR="00A864D5" w:rsidRPr="00DB56CA">
        <w:rPr>
          <w:color w:val="000000"/>
          <w:lang w:val="en-GB"/>
        </w:rPr>
        <w:t xml:space="preserve">Goalkeepers </w:t>
      </w:r>
      <w:r w:rsidR="00846C57" w:rsidRPr="00DB56CA">
        <w:rPr>
          <w:color w:val="000000"/>
          <w:lang w:val="en-GB"/>
        </w:rPr>
        <w:t>were</w:t>
      </w:r>
      <w:r w:rsidR="00A864D5" w:rsidRPr="00DB56CA">
        <w:rPr>
          <w:color w:val="000000"/>
          <w:lang w:val="en-GB"/>
        </w:rPr>
        <w:t xml:space="preserve"> excluded from the study</w:t>
      </w:r>
      <w:r w:rsidR="00615BDC" w:rsidRPr="00DB56CA">
        <w:rPr>
          <w:color w:val="000000"/>
          <w:lang w:val="en-GB"/>
        </w:rPr>
        <w:t xml:space="preserve"> as</w:t>
      </w:r>
      <w:r w:rsidR="00172201" w:rsidRPr="00DB56CA">
        <w:rPr>
          <w:color w:val="000000"/>
          <w:lang w:val="en-GB"/>
        </w:rPr>
        <w:t xml:space="preserve"> </w:t>
      </w:r>
      <w:r w:rsidR="00615BDC" w:rsidRPr="00DB56CA">
        <w:rPr>
          <w:color w:val="000000"/>
          <w:lang w:val="en-GB"/>
        </w:rPr>
        <w:t>g</w:t>
      </w:r>
      <w:r w:rsidR="00846C57" w:rsidRPr="00DB56CA">
        <w:rPr>
          <w:color w:val="000000"/>
          <w:lang w:val="en-GB"/>
        </w:rPr>
        <w:t xml:space="preserve">oalkeepers training load is </w:t>
      </w:r>
      <w:r w:rsidR="00160CE7" w:rsidRPr="00DB56CA">
        <w:rPr>
          <w:color w:val="000000"/>
          <w:lang w:val="en-GB"/>
        </w:rPr>
        <w:t xml:space="preserve">very </w:t>
      </w:r>
      <w:r w:rsidR="00846C57" w:rsidRPr="00DB56CA">
        <w:rPr>
          <w:color w:val="000000"/>
          <w:lang w:val="en-GB"/>
        </w:rPr>
        <w:t>different fro</w:t>
      </w:r>
      <w:r w:rsidR="00615BDC" w:rsidRPr="00DB56CA">
        <w:rPr>
          <w:color w:val="000000"/>
          <w:lang w:val="en-GB"/>
        </w:rPr>
        <w:t>m the training load of the outfield</w:t>
      </w:r>
      <w:r w:rsidR="00846C57" w:rsidRPr="00DB56CA">
        <w:rPr>
          <w:color w:val="000000"/>
          <w:lang w:val="en-GB"/>
        </w:rPr>
        <w:t xml:space="preserve"> players</w:t>
      </w:r>
      <w:r w:rsidR="00003BBF" w:rsidRPr="00DB56CA">
        <w:rPr>
          <w:color w:val="000000"/>
          <w:lang w:val="en-GB"/>
        </w:rPr>
        <w:t>. P</w:t>
      </w:r>
      <w:r w:rsidR="00BA4803" w:rsidRPr="00DB56CA">
        <w:rPr>
          <w:color w:val="000000"/>
          <w:lang w:val="en-GB"/>
        </w:rPr>
        <w:t>layers on trial were also excluded as these p</w:t>
      </w:r>
      <w:r w:rsidR="00160CE7" w:rsidRPr="00DB56CA">
        <w:rPr>
          <w:color w:val="000000"/>
          <w:lang w:val="en-GB"/>
        </w:rPr>
        <w:t>layers usually attend only a few training sessions</w:t>
      </w:r>
      <w:r w:rsidR="00615BDC" w:rsidRPr="00DB56CA">
        <w:rPr>
          <w:color w:val="000000"/>
          <w:lang w:val="en-GB"/>
        </w:rPr>
        <w:t>, thus u</w:t>
      </w:r>
      <w:r w:rsidR="00160CE7" w:rsidRPr="00DB56CA">
        <w:rPr>
          <w:color w:val="000000"/>
          <w:lang w:val="en-GB"/>
        </w:rPr>
        <w:t xml:space="preserve">sing </w:t>
      </w:r>
      <w:r w:rsidR="00160CE7" w:rsidRPr="00DB56CA">
        <w:rPr>
          <w:color w:val="000000"/>
          <w:lang w:val="en-GB"/>
        </w:rPr>
        <w:lastRenderedPageBreak/>
        <w:t>their data w</w:t>
      </w:r>
      <w:r w:rsidR="00615BDC" w:rsidRPr="00DB56CA">
        <w:rPr>
          <w:color w:val="000000"/>
          <w:lang w:val="en-GB"/>
        </w:rPr>
        <w:t>ould</w:t>
      </w:r>
      <w:r w:rsidR="00160CE7" w:rsidRPr="00DB56CA">
        <w:rPr>
          <w:color w:val="000000"/>
          <w:lang w:val="en-GB"/>
        </w:rPr>
        <w:t xml:space="preserve"> introd</w:t>
      </w:r>
      <w:r w:rsidR="00D66CC0" w:rsidRPr="00DB56CA">
        <w:rPr>
          <w:color w:val="000000"/>
          <w:lang w:val="en-GB"/>
        </w:rPr>
        <w:t>uce a bias in the study</w:t>
      </w:r>
    </w:p>
    <w:p w14:paraId="52B5C50E" w14:textId="77777777" w:rsidR="001B3525" w:rsidRPr="00DB56CA" w:rsidRDefault="00321695" w:rsidP="001B3525">
      <w:pPr>
        <w:widowControl w:val="0"/>
        <w:autoSpaceDE w:val="0"/>
        <w:autoSpaceDN w:val="0"/>
        <w:adjustRightInd w:val="0"/>
        <w:spacing w:after="100" w:afterAutospacing="1" w:line="480" w:lineRule="auto"/>
        <w:contextualSpacing/>
        <w:jc w:val="both"/>
        <w:rPr>
          <w:b/>
          <w:i/>
          <w:color w:val="000000"/>
          <w:lang w:val="en-GB"/>
        </w:rPr>
      </w:pPr>
      <w:r w:rsidRPr="00DB56CA">
        <w:rPr>
          <w:b/>
          <w:i/>
          <w:color w:val="000000"/>
          <w:lang w:val="en-GB"/>
        </w:rPr>
        <w:t>Data Collection:</w:t>
      </w:r>
    </w:p>
    <w:p w14:paraId="4A06516A" w14:textId="21E559C0" w:rsidR="001B3525" w:rsidRPr="00DB56CA" w:rsidRDefault="0082673C" w:rsidP="001B3525">
      <w:pPr>
        <w:widowControl w:val="0"/>
        <w:autoSpaceDE w:val="0"/>
        <w:autoSpaceDN w:val="0"/>
        <w:adjustRightInd w:val="0"/>
        <w:spacing w:after="100" w:afterAutospacing="1" w:line="480" w:lineRule="auto"/>
        <w:contextualSpacing/>
        <w:jc w:val="both"/>
        <w:rPr>
          <w:color w:val="000000"/>
          <w:lang w:val="en-GB"/>
        </w:rPr>
      </w:pPr>
      <w:r w:rsidRPr="00DB56CA">
        <w:rPr>
          <w:color w:val="000000"/>
          <w:lang w:val="en-GB"/>
        </w:rPr>
        <w:t>The</w:t>
      </w:r>
      <w:r w:rsidR="008A67A7" w:rsidRPr="00DB56CA">
        <w:rPr>
          <w:color w:val="000000"/>
          <w:lang w:val="en-GB"/>
        </w:rPr>
        <w:t xml:space="preserve"> training week typically consisted of 7 traini</w:t>
      </w:r>
      <w:r w:rsidR="00ED51BC" w:rsidRPr="00DB56CA">
        <w:rPr>
          <w:color w:val="000000"/>
          <w:lang w:val="en-GB"/>
        </w:rPr>
        <w:t>ng session</w:t>
      </w:r>
      <w:r w:rsidR="00BD548A" w:rsidRPr="00DB56CA">
        <w:rPr>
          <w:color w:val="000000"/>
          <w:lang w:val="en-GB"/>
        </w:rPr>
        <w:t>s</w:t>
      </w:r>
      <w:r w:rsidR="00ED51BC" w:rsidRPr="00DB56CA">
        <w:rPr>
          <w:color w:val="000000"/>
          <w:lang w:val="en-GB"/>
        </w:rPr>
        <w:t xml:space="preserve"> and one match</w:t>
      </w:r>
      <w:r w:rsidR="00172201" w:rsidRPr="00DB56CA">
        <w:rPr>
          <w:color w:val="000000"/>
          <w:lang w:val="en-GB"/>
        </w:rPr>
        <w:t xml:space="preserve">. </w:t>
      </w:r>
      <w:r w:rsidR="009914A1" w:rsidRPr="00DB56CA">
        <w:rPr>
          <w:color w:val="000000"/>
          <w:lang w:val="en-GB"/>
        </w:rPr>
        <w:t xml:space="preserve">A </w:t>
      </w:r>
      <w:r w:rsidR="00BC7054" w:rsidRPr="00DB56CA">
        <w:rPr>
          <w:color w:val="000000"/>
          <w:lang w:val="en-GB"/>
        </w:rPr>
        <w:t>general</w:t>
      </w:r>
      <w:r w:rsidR="009914A1" w:rsidRPr="00DB56CA">
        <w:rPr>
          <w:color w:val="000000"/>
          <w:lang w:val="en-GB"/>
        </w:rPr>
        <w:t xml:space="preserve"> training week consisted of two technical sessions on Mondays, strength training on Tuesday, resistance training on Wednesday, one speed and one technical session on Thursday and match preparation on Friday. </w:t>
      </w:r>
      <w:r w:rsidR="00575BC2" w:rsidRPr="00DB56CA">
        <w:rPr>
          <w:color w:val="000000"/>
          <w:lang w:val="en-GB"/>
        </w:rPr>
        <w:t>Matches were played on Saturday</w:t>
      </w:r>
      <w:r w:rsidR="00B10D87" w:rsidRPr="00DB56CA">
        <w:rPr>
          <w:color w:val="000000"/>
          <w:lang w:val="en-GB"/>
        </w:rPr>
        <w:t>s</w:t>
      </w:r>
      <w:r w:rsidR="00172201" w:rsidRPr="00DB56CA">
        <w:rPr>
          <w:color w:val="000000"/>
          <w:lang w:val="en-GB"/>
        </w:rPr>
        <w:t>.</w:t>
      </w:r>
      <w:r w:rsidR="00224CCD" w:rsidRPr="00DB56CA">
        <w:rPr>
          <w:color w:val="000000"/>
          <w:lang w:val="en-GB"/>
        </w:rPr>
        <w:t xml:space="preserve"> </w:t>
      </w:r>
      <w:r w:rsidR="00575BC2" w:rsidRPr="00DB56CA">
        <w:rPr>
          <w:color w:val="000000"/>
          <w:lang w:val="en-GB"/>
        </w:rPr>
        <w:t>Sunday</w:t>
      </w:r>
      <w:r w:rsidR="00B10D87" w:rsidRPr="00DB56CA">
        <w:rPr>
          <w:color w:val="000000"/>
          <w:lang w:val="en-GB"/>
        </w:rPr>
        <w:t>s were</w:t>
      </w:r>
      <w:r w:rsidR="00575BC2" w:rsidRPr="00DB56CA">
        <w:rPr>
          <w:color w:val="000000"/>
          <w:lang w:val="en-GB"/>
        </w:rPr>
        <w:t xml:space="preserve"> rest</w:t>
      </w:r>
      <w:r w:rsidR="00B10D87" w:rsidRPr="00DB56CA">
        <w:rPr>
          <w:color w:val="000000"/>
          <w:lang w:val="en-GB"/>
        </w:rPr>
        <w:t xml:space="preserve"> days</w:t>
      </w:r>
      <w:r w:rsidR="00172201" w:rsidRPr="00DB56CA">
        <w:rPr>
          <w:color w:val="000000"/>
          <w:lang w:val="en-GB"/>
        </w:rPr>
        <w:t xml:space="preserve">. </w:t>
      </w:r>
      <w:r w:rsidR="008F30BE" w:rsidRPr="00DB56CA">
        <w:rPr>
          <w:color w:val="000000"/>
          <w:lang w:val="en-GB"/>
        </w:rPr>
        <w:t xml:space="preserve">Weeks where matches were on both Saturday and Wednesday, training load was adjusted </w:t>
      </w:r>
      <w:r w:rsidR="009019FB" w:rsidRPr="00DB56CA">
        <w:rPr>
          <w:color w:val="000000"/>
          <w:lang w:val="en-GB"/>
        </w:rPr>
        <w:t>as</w:t>
      </w:r>
      <w:r w:rsidR="002118AC" w:rsidRPr="00DB56CA">
        <w:rPr>
          <w:color w:val="000000"/>
          <w:lang w:val="en-GB"/>
        </w:rPr>
        <w:t xml:space="preserve"> match preparation on Tuesday and rest on Thursdays</w:t>
      </w:r>
      <w:r w:rsidR="009019FB" w:rsidRPr="00DB56CA">
        <w:rPr>
          <w:color w:val="000000"/>
          <w:lang w:val="en-GB"/>
        </w:rPr>
        <w:t>.</w:t>
      </w:r>
      <w:r w:rsidR="0048274D" w:rsidRPr="00DB56CA">
        <w:rPr>
          <w:color w:val="000000"/>
          <w:lang w:val="en-GB"/>
        </w:rPr>
        <w:t xml:space="preserve"> </w:t>
      </w:r>
      <w:r w:rsidR="0048274D" w:rsidRPr="00DB56CA">
        <w:rPr>
          <w:color w:val="000000"/>
          <w:highlight w:val="yellow"/>
          <w:lang w:val="en-GB"/>
        </w:rPr>
        <w:t>In order to maintain consistency, data for all sessions was collected for the training session only, not the warm-up or cool-down.</w:t>
      </w:r>
    </w:p>
    <w:p w14:paraId="0B3E3619" w14:textId="77777777" w:rsidR="001B3525" w:rsidRPr="00DB56CA" w:rsidRDefault="007524C2" w:rsidP="001B3525">
      <w:pPr>
        <w:widowControl w:val="0"/>
        <w:autoSpaceDE w:val="0"/>
        <w:autoSpaceDN w:val="0"/>
        <w:adjustRightInd w:val="0"/>
        <w:spacing w:after="100" w:afterAutospacing="1" w:line="480" w:lineRule="auto"/>
        <w:contextualSpacing/>
        <w:jc w:val="both"/>
        <w:rPr>
          <w:b/>
          <w:i/>
          <w:color w:val="000000"/>
          <w:lang w:val="en-GB"/>
        </w:rPr>
      </w:pPr>
      <w:r w:rsidRPr="00DB56CA">
        <w:rPr>
          <w:b/>
          <w:i/>
          <w:color w:val="000000"/>
          <w:lang w:val="en-GB"/>
        </w:rPr>
        <w:t>Heart Rate Training Load</w:t>
      </w:r>
      <w:r w:rsidR="00BA4803" w:rsidRPr="00DB56CA">
        <w:rPr>
          <w:b/>
          <w:i/>
          <w:color w:val="000000"/>
          <w:lang w:val="en-GB"/>
        </w:rPr>
        <w:t xml:space="preserve"> </w:t>
      </w:r>
      <w:r w:rsidR="00A92CF0" w:rsidRPr="00DB56CA">
        <w:rPr>
          <w:b/>
          <w:i/>
          <w:color w:val="000000"/>
          <w:lang w:val="en-GB"/>
        </w:rPr>
        <w:t>(HRTL)</w:t>
      </w:r>
      <w:r w:rsidRPr="00DB56CA">
        <w:rPr>
          <w:b/>
          <w:i/>
          <w:color w:val="000000"/>
          <w:lang w:val="en-GB"/>
        </w:rPr>
        <w:t>:</w:t>
      </w:r>
      <w:r w:rsidR="00321695" w:rsidRPr="00DB56CA">
        <w:rPr>
          <w:b/>
          <w:i/>
          <w:color w:val="000000"/>
          <w:lang w:val="en-GB"/>
        </w:rPr>
        <w:t xml:space="preserve"> </w:t>
      </w:r>
    </w:p>
    <w:p w14:paraId="7563057C" w14:textId="49E986E9" w:rsidR="001B3525" w:rsidRPr="00DB56CA" w:rsidRDefault="00A92CF0" w:rsidP="001B3525">
      <w:pPr>
        <w:widowControl w:val="0"/>
        <w:autoSpaceDE w:val="0"/>
        <w:autoSpaceDN w:val="0"/>
        <w:adjustRightInd w:val="0"/>
        <w:spacing w:after="100" w:afterAutospacing="1" w:line="480" w:lineRule="auto"/>
        <w:contextualSpacing/>
        <w:jc w:val="both"/>
        <w:rPr>
          <w:color w:val="000000" w:themeColor="text1"/>
          <w:lang w:val="en-GB"/>
        </w:rPr>
      </w:pPr>
      <w:r w:rsidRPr="00DB56CA">
        <w:rPr>
          <w:color w:val="000000"/>
          <w:lang w:val="en-GB"/>
        </w:rPr>
        <w:t>For th</w:t>
      </w:r>
      <w:r w:rsidR="0082673C" w:rsidRPr="00DB56CA">
        <w:rPr>
          <w:color w:val="000000"/>
          <w:lang w:val="en-GB"/>
        </w:rPr>
        <w:t>is study, HRTL was used as the criterion</w:t>
      </w:r>
      <w:r w:rsidRPr="00DB56CA">
        <w:rPr>
          <w:color w:val="000000"/>
          <w:lang w:val="en-GB"/>
        </w:rPr>
        <w:t xml:space="preserve"> measure of </w:t>
      </w:r>
      <w:r w:rsidR="003E7D8F" w:rsidRPr="00DB56CA">
        <w:rPr>
          <w:color w:val="000000"/>
          <w:lang w:val="en-GB"/>
        </w:rPr>
        <w:t>ITL</w:t>
      </w:r>
      <w:r w:rsidR="00A62314" w:rsidRPr="00DB56CA">
        <w:rPr>
          <w:color w:val="000000"/>
          <w:lang w:val="en-GB"/>
        </w:rPr>
        <w:t xml:space="preserve"> </w:t>
      </w:r>
      <w:r w:rsidRPr="00DB56CA">
        <w:rPr>
          <w:color w:val="000000"/>
          <w:lang w:val="en-GB"/>
        </w:rPr>
        <w:t>(</w:t>
      </w:r>
      <w:r w:rsidR="00554E0B" w:rsidRPr="00DB56CA">
        <w:rPr>
          <w:color w:val="000000"/>
          <w:lang w:val="en-GB"/>
        </w:rPr>
        <w:t>14</w:t>
      </w:r>
      <w:r w:rsidR="00103903" w:rsidRPr="00DB56CA">
        <w:rPr>
          <w:color w:val="000000"/>
          <w:lang w:val="en-GB"/>
        </w:rPr>
        <w:t>,</w:t>
      </w:r>
      <w:r w:rsidR="00A62314" w:rsidRPr="00DB56CA">
        <w:rPr>
          <w:color w:val="000000"/>
          <w:lang w:val="en-GB"/>
        </w:rPr>
        <w:t xml:space="preserve"> </w:t>
      </w:r>
      <w:r w:rsidR="00554E0B" w:rsidRPr="00DB56CA">
        <w:rPr>
          <w:color w:val="000000"/>
          <w:lang w:val="en-GB"/>
        </w:rPr>
        <w:t>17</w:t>
      </w:r>
      <w:r w:rsidRPr="00DB56CA">
        <w:rPr>
          <w:color w:val="000000"/>
          <w:lang w:val="en-GB"/>
        </w:rPr>
        <w:t>)</w:t>
      </w:r>
      <w:r w:rsidR="00183E71" w:rsidRPr="00DB56CA">
        <w:rPr>
          <w:color w:val="000000"/>
          <w:lang w:val="en-GB"/>
        </w:rPr>
        <w:t>.</w:t>
      </w:r>
      <w:r w:rsidR="00B06F9C" w:rsidRPr="00DB56CA">
        <w:rPr>
          <w:color w:val="000000"/>
          <w:lang w:val="en-GB"/>
        </w:rPr>
        <w:t xml:space="preserve"> </w:t>
      </w:r>
      <w:r w:rsidR="00321695" w:rsidRPr="00DB56CA">
        <w:rPr>
          <w:color w:val="000000"/>
          <w:lang w:val="en-GB"/>
        </w:rPr>
        <w:t>Each player was assigned a specific HR monitor</w:t>
      </w:r>
      <w:r w:rsidR="00F04758" w:rsidRPr="00DB56CA">
        <w:rPr>
          <w:color w:val="000000"/>
          <w:lang w:val="en-GB"/>
        </w:rPr>
        <w:t xml:space="preserve"> from Polar Team 2 HR Monitors from October to mid-November and a specific HR monitor from Polar Pro HR Monitors (Software version 1.3.1)</w:t>
      </w:r>
      <w:r w:rsidR="00196358" w:rsidRPr="00DB56CA">
        <w:rPr>
          <w:color w:val="000000"/>
          <w:lang w:val="en-GB"/>
        </w:rPr>
        <w:t xml:space="preserve"> from mid-November to April</w:t>
      </w:r>
      <w:r w:rsidR="00183E71" w:rsidRPr="00DB56CA">
        <w:rPr>
          <w:color w:val="000000"/>
          <w:lang w:val="en-GB"/>
        </w:rPr>
        <w:t xml:space="preserve">. </w:t>
      </w:r>
      <w:r w:rsidR="00196358" w:rsidRPr="00DB56CA">
        <w:rPr>
          <w:color w:val="000000"/>
          <w:lang w:val="en-GB"/>
        </w:rPr>
        <w:t>Player</w:t>
      </w:r>
      <w:r w:rsidR="00321695" w:rsidRPr="00DB56CA">
        <w:rPr>
          <w:color w:val="000000"/>
          <w:lang w:val="en-GB"/>
        </w:rPr>
        <w:t xml:space="preserve"> </w:t>
      </w:r>
      <w:r w:rsidR="00196358" w:rsidRPr="00DB56CA">
        <w:rPr>
          <w:color w:val="000000"/>
          <w:lang w:val="en-GB"/>
        </w:rPr>
        <w:t>HR was</w:t>
      </w:r>
      <w:r w:rsidR="00321695" w:rsidRPr="00DB56CA">
        <w:rPr>
          <w:color w:val="000000"/>
          <w:lang w:val="en-GB"/>
        </w:rPr>
        <w:t xml:space="preserve"> recorded at 1 second intervals throughout the training session</w:t>
      </w:r>
      <w:r w:rsidR="00183E71" w:rsidRPr="00DB56CA">
        <w:rPr>
          <w:color w:val="000000"/>
          <w:lang w:val="en-GB"/>
        </w:rPr>
        <w:t xml:space="preserve">. </w:t>
      </w:r>
      <w:r w:rsidR="00321695" w:rsidRPr="00DB56CA">
        <w:rPr>
          <w:color w:val="000000"/>
          <w:lang w:val="en-GB"/>
        </w:rPr>
        <w:t>The data was do</w:t>
      </w:r>
      <w:r w:rsidR="008476ED" w:rsidRPr="00DB56CA">
        <w:rPr>
          <w:color w:val="000000"/>
          <w:lang w:val="en-GB"/>
        </w:rPr>
        <w:t>wnloaded onto a PC using Polar T</w:t>
      </w:r>
      <w:r w:rsidR="00321695" w:rsidRPr="00DB56CA">
        <w:rPr>
          <w:color w:val="000000"/>
          <w:lang w:val="en-GB"/>
        </w:rPr>
        <w:t xml:space="preserve">eam </w:t>
      </w:r>
      <w:r w:rsidR="008476ED" w:rsidRPr="00DB56CA">
        <w:rPr>
          <w:color w:val="000000"/>
          <w:lang w:val="en-GB"/>
        </w:rPr>
        <w:t xml:space="preserve">Pro </w:t>
      </w:r>
      <w:r w:rsidR="00041FE0" w:rsidRPr="00DB56CA">
        <w:rPr>
          <w:color w:val="000000"/>
          <w:lang w:val="en-GB"/>
        </w:rPr>
        <w:t>web service application</w:t>
      </w:r>
      <w:r w:rsidR="005E2E19" w:rsidRPr="00DB56CA">
        <w:rPr>
          <w:color w:val="000000"/>
          <w:lang w:val="en-GB"/>
        </w:rPr>
        <w:t xml:space="preserve"> (Software 1.0.7)</w:t>
      </w:r>
      <w:r w:rsidR="00172201" w:rsidRPr="00DB56CA">
        <w:rPr>
          <w:color w:val="000000"/>
          <w:lang w:val="en-GB"/>
        </w:rPr>
        <w:t>.</w:t>
      </w:r>
      <w:r w:rsidR="00183E71" w:rsidRPr="00DB56CA">
        <w:rPr>
          <w:color w:val="000000"/>
          <w:lang w:val="en-GB"/>
        </w:rPr>
        <w:t xml:space="preserve"> </w:t>
      </w:r>
      <w:r w:rsidR="00BB241F" w:rsidRPr="00DB56CA">
        <w:rPr>
          <w:color w:val="000000" w:themeColor="text1"/>
          <w:lang w:val="en-GB"/>
        </w:rPr>
        <w:t>This study used Edwards</w:t>
      </w:r>
      <w:r w:rsidR="00160CE7" w:rsidRPr="00DB56CA">
        <w:rPr>
          <w:color w:val="000000" w:themeColor="text1"/>
          <w:lang w:val="en-GB"/>
        </w:rPr>
        <w:t>’</w:t>
      </w:r>
      <w:r w:rsidR="00BB241F" w:rsidRPr="00DB56CA">
        <w:rPr>
          <w:color w:val="000000" w:themeColor="text1"/>
          <w:lang w:val="en-GB"/>
        </w:rPr>
        <w:t xml:space="preserve"> </w:t>
      </w:r>
      <w:r w:rsidR="0095088D" w:rsidRPr="00DB56CA">
        <w:rPr>
          <w:color w:val="000000" w:themeColor="text1"/>
          <w:lang w:val="en-GB"/>
        </w:rPr>
        <w:t>method of calculating heart rate based training load (</w:t>
      </w:r>
      <w:r w:rsidR="00554E0B" w:rsidRPr="00DB56CA">
        <w:rPr>
          <w:color w:val="000000" w:themeColor="text1"/>
          <w:lang w:val="en-GB"/>
        </w:rPr>
        <w:t>17</w:t>
      </w:r>
      <w:r w:rsidR="0095088D" w:rsidRPr="00DB56CA">
        <w:rPr>
          <w:color w:val="000000" w:themeColor="text1"/>
          <w:lang w:val="en-GB"/>
        </w:rPr>
        <w:t>)</w:t>
      </w:r>
      <w:r w:rsidR="00744266" w:rsidRPr="00DB56CA">
        <w:rPr>
          <w:color w:val="000000" w:themeColor="text1"/>
          <w:lang w:val="en-GB"/>
        </w:rPr>
        <w:t>.</w:t>
      </w:r>
      <w:r w:rsidR="00183E71" w:rsidRPr="00DB56CA">
        <w:rPr>
          <w:color w:val="000000" w:themeColor="text1"/>
          <w:lang w:val="en-GB"/>
        </w:rPr>
        <w:t xml:space="preserve"> </w:t>
      </w:r>
      <w:r w:rsidRPr="00DB56CA">
        <w:rPr>
          <w:color w:val="000000" w:themeColor="text1"/>
          <w:lang w:val="en-GB"/>
        </w:rPr>
        <w:t>This method is easy to implement</w:t>
      </w:r>
      <w:r w:rsidR="003E7D8F" w:rsidRPr="00DB56CA">
        <w:rPr>
          <w:color w:val="000000" w:themeColor="text1"/>
          <w:lang w:val="en-GB"/>
        </w:rPr>
        <w:t>,</w:t>
      </w:r>
      <w:r w:rsidRPr="00DB56CA">
        <w:rPr>
          <w:color w:val="000000" w:themeColor="text1"/>
          <w:lang w:val="en-GB"/>
        </w:rPr>
        <w:t xml:space="preserve"> non-intrusive and</w:t>
      </w:r>
      <w:r w:rsidR="0095088D" w:rsidRPr="00DB56CA">
        <w:rPr>
          <w:color w:val="000000" w:themeColor="text1"/>
          <w:lang w:val="en-GB"/>
        </w:rPr>
        <w:t xml:space="preserve"> has been found to be a reliable measure of </w:t>
      </w:r>
      <w:r w:rsidR="003E7D8F" w:rsidRPr="00DB56CA">
        <w:rPr>
          <w:color w:val="000000" w:themeColor="text1"/>
          <w:lang w:val="en-GB"/>
        </w:rPr>
        <w:t>HR</w:t>
      </w:r>
      <w:r w:rsidR="0095088D" w:rsidRPr="00DB56CA">
        <w:rPr>
          <w:color w:val="000000" w:themeColor="text1"/>
          <w:lang w:val="en-GB"/>
        </w:rPr>
        <w:t xml:space="preserve"> based training load in </w:t>
      </w:r>
      <w:r w:rsidR="007F2E73" w:rsidRPr="00DB56CA">
        <w:rPr>
          <w:color w:val="000000" w:themeColor="text1"/>
          <w:lang w:val="en-GB"/>
        </w:rPr>
        <w:t>soccer</w:t>
      </w:r>
      <w:r w:rsidR="0095088D" w:rsidRPr="00DB56CA">
        <w:rPr>
          <w:color w:val="000000" w:themeColor="text1"/>
          <w:lang w:val="en-GB"/>
        </w:rPr>
        <w:t xml:space="preserve"> (</w:t>
      </w:r>
      <w:r w:rsidR="00577B53" w:rsidRPr="00DB56CA">
        <w:rPr>
          <w:color w:val="000000" w:themeColor="text1"/>
          <w:lang w:val="en-GB"/>
        </w:rPr>
        <w:t>1</w:t>
      </w:r>
      <w:r w:rsidR="00103903" w:rsidRPr="00DB56CA">
        <w:rPr>
          <w:color w:val="000000" w:themeColor="text1"/>
          <w:lang w:val="en-GB"/>
        </w:rPr>
        <w:t>, 5,</w:t>
      </w:r>
      <w:r w:rsidR="00577B53" w:rsidRPr="00DB56CA">
        <w:rPr>
          <w:color w:val="000000" w:themeColor="text1"/>
          <w:lang w:val="en-GB"/>
        </w:rPr>
        <w:t xml:space="preserve"> </w:t>
      </w:r>
      <w:r w:rsidR="00554E0B" w:rsidRPr="00DB56CA">
        <w:rPr>
          <w:color w:val="000000" w:themeColor="text1"/>
          <w:lang w:val="en-GB"/>
        </w:rPr>
        <w:t>14</w:t>
      </w:r>
      <w:r w:rsidR="007524C2" w:rsidRPr="00DB56CA">
        <w:rPr>
          <w:color w:val="000000" w:themeColor="text1"/>
          <w:lang w:val="en-GB"/>
        </w:rPr>
        <w:t>)</w:t>
      </w:r>
      <w:r w:rsidR="00183E71" w:rsidRPr="00DB56CA">
        <w:rPr>
          <w:color w:val="000000" w:themeColor="text1"/>
          <w:lang w:val="en-GB"/>
        </w:rPr>
        <w:t xml:space="preserve">. </w:t>
      </w:r>
      <w:r w:rsidR="001E05CC" w:rsidRPr="00DB56CA">
        <w:rPr>
          <w:color w:val="000000" w:themeColor="text1"/>
          <w:lang w:val="en-GB"/>
        </w:rPr>
        <w:t xml:space="preserve">For each player, </w:t>
      </w:r>
      <w:r w:rsidR="00457796" w:rsidRPr="00DB56CA">
        <w:rPr>
          <w:color w:val="000000" w:themeColor="text1"/>
          <w:lang w:val="en-GB"/>
        </w:rPr>
        <w:t>HRTL</w:t>
      </w:r>
      <w:r w:rsidR="001E05CC" w:rsidRPr="00DB56CA">
        <w:rPr>
          <w:color w:val="000000" w:themeColor="text1"/>
          <w:lang w:val="en-GB"/>
        </w:rPr>
        <w:t xml:space="preserve"> for each session</w:t>
      </w:r>
      <w:r w:rsidR="001653AA" w:rsidRPr="00DB56CA">
        <w:rPr>
          <w:color w:val="000000" w:themeColor="text1"/>
          <w:lang w:val="en-GB"/>
        </w:rPr>
        <w:t xml:space="preserve"> was quantified as:</w:t>
      </w:r>
    </w:p>
    <w:p w14:paraId="68B15BE8" w14:textId="77777777" w:rsidR="001B3525" w:rsidRPr="00DB56CA" w:rsidRDefault="007416B1" w:rsidP="00A4185A">
      <w:pPr>
        <w:widowControl w:val="0"/>
        <w:autoSpaceDE w:val="0"/>
        <w:autoSpaceDN w:val="0"/>
        <w:adjustRightInd w:val="0"/>
        <w:spacing w:after="100" w:afterAutospacing="1" w:line="480" w:lineRule="auto"/>
        <w:contextualSpacing/>
        <w:jc w:val="center"/>
        <w:rPr>
          <w:bCs/>
          <w:color w:val="000000" w:themeColor="text1"/>
          <w:lang w:val="en-GB"/>
        </w:rPr>
      </w:pPr>
      <w:r w:rsidRPr="00DB56CA">
        <w:rPr>
          <w:bCs/>
          <w:color w:val="000000" w:themeColor="text1"/>
          <w:lang w:val="en-GB"/>
        </w:rPr>
        <w:t>HRTL(AU)= ∑</w:t>
      </w:r>
      <w:r w:rsidR="00A62314" w:rsidRPr="00DB56CA">
        <w:rPr>
          <w:bCs/>
          <w:color w:val="000000" w:themeColor="text1"/>
          <w:lang w:val="en-GB"/>
        </w:rPr>
        <w:t xml:space="preserve"> </w:t>
      </w:r>
      <w:r w:rsidRPr="00DB56CA">
        <w:rPr>
          <w:bCs/>
          <w:color w:val="000000" w:themeColor="text1"/>
          <w:lang w:val="en-GB"/>
        </w:rPr>
        <w:t>[</w:t>
      </w:r>
      <w:r w:rsidRPr="00DB56CA">
        <w:rPr>
          <w:bCs/>
          <w:iCs/>
          <w:color w:val="000000" w:themeColor="text1"/>
          <w:lang w:val="en-GB"/>
        </w:rPr>
        <w:t xml:space="preserve">time (min) spent in zone </w:t>
      </w:r>
      <w:r w:rsidR="00EC1FED" w:rsidRPr="00DB56CA">
        <w:rPr>
          <w:bCs/>
          <w:color w:val="000000" w:themeColor="text1"/>
          <w:lang w:val="en-GB"/>
        </w:rPr>
        <w:t>x numerical</w:t>
      </w:r>
      <w:r w:rsidRPr="00DB56CA">
        <w:rPr>
          <w:bCs/>
          <w:iCs/>
          <w:color w:val="000000" w:themeColor="text1"/>
          <w:lang w:val="en-GB"/>
        </w:rPr>
        <w:t xml:space="preserve"> factor of zone</w:t>
      </w:r>
      <w:r w:rsidRPr="00DB56CA">
        <w:rPr>
          <w:bCs/>
          <w:color w:val="000000" w:themeColor="text1"/>
          <w:lang w:val="en-GB"/>
        </w:rPr>
        <w:t>]</w:t>
      </w:r>
    </w:p>
    <w:p w14:paraId="3C263C46" w14:textId="77777777" w:rsidR="001B3525" w:rsidRPr="00DB56CA" w:rsidRDefault="00E64895" w:rsidP="001B3525">
      <w:pPr>
        <w:widowControl w:val="0"/>
        <w:autoSpaceDE w:val="0"/>
        <w:autoSpaceDN w:val="0"/>
        <w:adjustRightInd w:val="0"/>
        <w:spacing w:after="100" w:afterAutospacing="1" w:line="480" w:lineRule="auto"/>
        <w:contextualSpacing/>
        <w:jc w:val="both"/>
        <w:rPr>
          <w:color w:val="000000" w:themeColor="text1"/>
          <w:lang w:val="en-GB"/>
        </w:rPr>
      </w:pPr>
      <w:r w:rsidRPr="00DB56CA">
        <w:rPr>
          <w:bCs/>
          <w:color w:val="000000" w:themeColor="text1"/>
          <w:lang w:val="en-GB"/>
        </w:rPr>
        <w:t>The numerical factor was calculated as a percentage of HR</w:t>
      </w:r>
      <w:r w:rsidRPr="00DB56CA">
        <w:rPr>
          <w:bCs/>
          <w:color w:val="000000" w:themeColor="text1"/>
          <w:vertAlign w:val="subscript"/>
          <w:lang w:val="en-GB"/>
        </w:rPr>
        <w:t>max</w:t>
      </w:r>
      <w:r w:rsidR="008D6D3A" w:rsidRPr="00DB56CA">
        <w:rPr>
          <w:bCs/>
          <w:color w:val="000000" w:themeColor="text1"/>
          <w:vertAlign w:val="subscript"/>
          <w:lang w:val="en-GB"/>
        </w:rPr>
        <w:t xml:space="preserve"> </w:t>
      </w:r>
      <w:r w:rsidR="008D6D3A" w:rsidRPr="00DB56CA">
        <w:rPr>
          <w:bCs/>
          <w:color w:val="000000" w:themeColor="text1"/>
          <w:lang w:val="en-GB"/>
        </w:rPr>
        <w:t>as 50-59%</w:t>
      </w:r>
      <w:r w:rsidR="004A05DA" w:rsidRPr="00DB56CA">
        <w:rPr>
          <w:bCs/>
          <w:color w:val="000000" w:themeColor="text1"/>
          <w:lang w:val="en-GB"/>
        </w:rPr>
        <w:t>[HR</w:t>
      </w:r>
      <w:r w:rsidR="004A05DA" w:rsidRPr="00DB56CA">
        <w:rPr>
          <w:bCs/>
          <w:color w:val="000000" w:themeColor="text1"/>
          <w:vertAlign w:val="subscript"/>
          <w:lang w:val="en-GB"/>
        </w:rPr>
        <w:t>max</w:t>
      </w:r>
      <w:r w:rsidR="004A05DA" w:rsidRPr="00DB56CA">
        <w:rPr>
          <w:bCs/>
          <w:color w:val="000000" w:themeColor="text1"/>
          <w:lang w:val="en-GB"/>
        </w:rPr>
        <w:t>] = 1, 60-69%[HR</w:t>
      </w:r>
      <w:r w:rsidR="004A05DA" w:rsidRPr="00DB56CA">
        <w:rPr>
          <w:bCs/>
          <w:color w:val="000000" w:themeColor="text1"/>
          <w:vertAlign w:val="subscript"/>
          <w:lang w:val="en-GB"/>
        </w:rPr>
        <w:t>max</w:t>
      </w:r>
      <w:r w:rsidR="004A05DA" w:rsidRPr="00DB56CA">
        <w:rPr>
          <w:bCs/>
          <w:color w:val="000000" w:themeColor="text1"/>
          <w:lang w:val="en-GB"/>
        </w:rPr>
        <w:t>] = 2, 70-79%[HR</w:t>
      </w:r>
      <w:r w:rsidR="004A05DA" w:rsidRPr="00DB56CA">
        <w:rPr>
          <w:bCs/>
          <w:color w:val="000000" w:themeColor="text1"/>
          <w:vertAlign w:val="subscript"/>
          <w:lang w:val="en-GB"/>
        </w:rPr>
        <w:t>max</w:t>
      </w:r>
      <w:r w:rsidR="004A05DA" w:rsidRPr="00DB56CA">
        <w:rPr>
          <w:bCs/>
          <w:color w:val="000000" w:themeColor="text1"/>
          <w:lang w:val="en-GB"/>
        </w:rPr>
        <w:t>] = 3, 80-89%[HR</w:t>
      </w:r>
      <w:r w:rsidR="004A05DA" w:rsidRPr="00DB56CA">
        <w:rPr>
          <w:bCs/>
          <w:color w:val="000000" w:themeColor="text1"/>
          <w:vertAlign w:val="subscript"/>
          <w:lang w:val="en-GB"/>
        </w:rPr>
        <w:t>max</w:t>
      </w:r>
      <w:r w:rsidR="004A05DA" w:rsidRPr="00DB56CA">
        <w:rPr>
          <w:bCs/>
          <w:color w:val="000000" w:themeColor="text1"/>
          <w:lang w:val="en-GB"/>
        </w:rPr>
        <w:t>] = 4, 90-100%[HR</w:t>
      </w:r>
      <w:r w:rsidR="004A05DA" w:rsidRPr="00DB56CA">
        <w:rPr>
          <w:bCs/>
          <w:color w:val="000000" w:themeColor="text1"/>
          <w:vertAlign w:val="subscript"/>
          <w:lang w:val="en-GB"/>
        </w:rPr>
        <w:t>max</w:t>
      </w:r>
      <w:r w:rsidR="004A05DA" w:rsidRPr="00DB56CA">
        <w:rPr>
          <w:bCs/>
          <w:color w:val="000000" w:themeColor="text1"/>
          <w:lang w:val="en-GB"/>
        </w:rPr>
        <w:t>] = 5</w:t>
      </w:r>
      <w:r w:rsidR="008C71F2" w:rsidRPr="00DB56CA">
        <w:rPr>
          <w:bCs/>
          <w:color w:val="000000" w:themeColor="text1"/>
          <w:lang w:val="en-GB"/>
        </w:rPr>
        <w:t xml:space="preserve">. </w:t>
      </w:r>
      <w:r w:rsidR="0019246A" w:rsidRPr="00DB56CA">
        <w:rPr>
          <w:color w:val="000000" w:themeColor="text1"/>
          <w:lang w:val="en-GB"/>
        </w:rPr>
        <w:t>HR</w:t>
      </w:r>
      <w:r w:rsidR="0019246A" w:rsidRPr="00DB56CA">
        <w:rPr>
          <w:color w:val="000000" w:themeColor="text1"/>
          <w:vertAlign w:val="subscript"/>
          <w:lang w:val="en-GB"/>
        </w:rPr>
        <w:t>max</w:t>
      </w:r>
      <w:r w:rsidR="00BB6A00" w:rsidRPr="00DB56CA">
        <w:rPr>
          <w:color w:val="000000" w:themeColor="text1"/>
          <w:lang w:val="en-GB"/>
        </w:rPr>
        <w:t xml:space="preserve"> </w:t>
      </w:r>
      <w:r w:rsidR="004A05DA" w:rsidRPr="00DB56CA">
        <w:rPr>
          <w:color w:val="000000" w:themeColor="text1"/>
          <w:lang w:val="en-GB"/>
        </w:rPr>
        <w:t>was</w:t>
      </w:r>
      <w:r w:rsidR="003E7D8F" w:rsidRPr="00DB56CA">
        <w:rPr>
          <w:color w:val="000000" w:themeColor="text1"/>
          <w:lang w:val="en-GB"/>
        </w:rPr>
        <w:t xml:space="preserve"> </w:t>
      </w:r>
      <w:r w:rsidR="00BB6A00" w:rsidRPr="00DB56CA">
        <w:rPr>
          <w:color w:val="000000" w:themeColor="text1"/>
          <w:lang w:val="en-GB"/>
        </w:rPr>
        <w:t>predicted</w:t>
      </w:r>
      <w:r w:rsidR="003E7D8F" w:rsidRPr="00DB56CA">
        <w:rPr>
          <w:color w:val="000000" w:themeColor="text1"/>
          <w:lang w:val="en-GB"/>
        </w:rPr>
        <w:t xml:space="preserve"> as</w:t>
      </w:r>
      <w:r w:rsidR="008C71F2" w:rsidRPr="00DB56CA">
        <w:rPr>
          <w:color w:val="000000" w:themeColor="text1"/>
          <w:lang w:val="en-GB"/>
        </w:rPr>
        <w:t>:</w:t>
      </w:r>
    </w:p>
    <w:p w14:paraId="61454A0E" w14:textId="77777777" w:rsidR="001B3525" w:rsidRPr="00DB56CA" w:rsidRDefault="00C90E98" w:rsidP="00A4185A">
      <w:pPr>
        <w:widowControl w:val="0"/>
        <w:autoSpaceDE w:val="0"/>
        <w:autoSpaceDN w:val="0"/>
        <w:adjustRightInd w:val="0"/>
        <w:spacing w:after="100" w:afterAutospacing="1" w:line="480" w:lineRule="auto"/>
        <w:contextualSpacing/>
        <w:jc w:val="center"/>
        <w:rPr>
          <w:bCs/>
          <w:color w:val="000000" w:themeColor="text1"/>
          <w:lang w:val="en-GB"/>
        </w:rPr>
      </w:pPr>
      <w:r w:rsidRPr="00DB56CA">
        <w:rPr>
          <w:bCs/>
          <w:color w:val="000000" w:themeColor="text1"/>
          <w:lang w:val="en-GB"/>
        </w:rPr>
        <w:lastRenderedPageBreak/>
        <w:t>HR</w:t>
      </w:r>
      <w:r w:rsidRPr="00DB56CA">
        <w:rPr>
          <w:bCs/>
          <w:color w:val="000000" w:themeColor="text1"/>
          <w:vertAlign w:val="subscript"/>
          <w:lang w:val="en-GB"/>
        </w:rPr>
        <w:t>max</w:t>
      </w:r>
      <w:r w:rsidR="0019246A" w:rsidRPr="00DB56CA">
        <w:rPr>
          <w:bCs/>
          <w:color w:val="000000" w:themeColor="text1"/>
          <w:lang w:val="en-GB"/>
        </w:rPr>
        <w:t xml:space="preserve"> = </w:t>
      </w:r>
      <w:r w:rsidR="008C0FCA" w:rsidRPr="00DB56CA">
        <w:rPr>
          <w:bCs/>
          <w:color w:val="000000" w:themeColor="text1"/>
          <w:lang w:val="en-GB"/>
        </w:rPr>
        <w:t>220</w:t>
      </w:r>
      <w:r w:rsidR="00BA4803" w:rsidRPr="00DB56CA">
        <w:rPr>
          <w:bCs/>
          <w:color w:val="000000" w:themeColor="text1"/>
          <w:lang w:val="en-GB"/>
        </w:rPr>
        <w:t xml:space="preserve"> </w:t>
      </w:r>
      <w:r w:rsidR="008C0FCA" w:rsidRPr="00DB56CA">
        <w:rPr>
          <w:bCs/>
          <w:color w:val="000000" w:themeColor="text1"/>
          <w:lang w:val="en-GB"/>
        </w:rPr>
        <w:t>-</w:t>
      </w:r>
      <w:r w:rsidR="00BA4803" w:rsidRPr="00DB56CA">
        <w:rPr>
          <w:bCs/>
          <w:color w:val="000000" w:themeColor="text1"/>
          <w:lang w:val="en-GB"/>
        </w:rPr>
        <w:t xml:space="preserve"> </w:t>
      </w:r>
      <w:r w:rsidRPr="00DB56CA">
        <w:rPr>
          <w:bCs/>
          <w:color w:val="000000" w:themeColor="text1"/>
          <w:lang w:val="en-GB"/>
        </w:rPr>
        <w:t>Age of player</w:t>
      </w:r>
      <w:r w:rsidR="00172201" w:rsidRPr="00DB56CA">
        <w:rPr>
          <w:bCs/>
          <w:color w:val="000000" w:themeColor="text1"/>
          <w:lang w:val="en-GB"/>
        </w:rPr>
        <w:t>.</w:t>
      </w:r>
    </w:p>
    <w:p w14:paraId="176D965A" w14:textId="6E3ED121" w:rsidR="001B3525" w:rsidRPr="00DB56CA" w:rsidRDefault="00BB6A00" w:rsidP="001B3525">
      <w:pPr>
        <w:widowControl w:val="0"/>
        <w:autoSpaceDE w:val="0"/>
        <w:autoSpaceDN w:val="0"/>
        <w:adjustRightInd w:val="0"/>
        <w:spacing w:after="100" w:afterAutospacing="1" w:line="480" w:lineRule="auto"/>
        <w:contextualSpacing/>
        <w:jc w:val="both"/>
        <w:rPr>
          <w:bCs/>
          <w:color w:val="000000" w:themeColor="text1"/>
          <w:lang w:val="en-GB"/>
        </w:rPr>
      </w:pPr>
      <w:r w:rsidRPr="00DB56CA">
        <w:rPr>
          <w:bCs/>
          <w:color w:val="000000" w:themeColor="text1"/>
          <w:lang w:val="en-GB"/>
        </w:rPr>
        <w:t xml:space="preserve">This was adjusted </w:t>
      </w:r>
      <w:r w:rsidRPr="00DB56CA">
        <w:rPr>
          <w:bCs/>
          <w:color w:val="000000" w:themeColor="text1"/>
          <w:highlight w:val="yellow"/>
          <w:lang w:val="en-GB"/>
        </w:rPr>
        <w:t xml:space="preserve">where </w:t>
      </w:r>
      <w:r w:rsidR="0024525D" w:rsidRPr="00DB56CA">
        <w:rPr>
          <w:rFonts w:eastAsia="Times New Roman"/>
          <w:color w:val="222222"/>
          <w:highlight w:val="yellow"/>
          <w:shd w:val="clear" w:color="auto" w:fill="FFFFFF"/>
          <w:lang w:val="en-GB"/>
        </w:rPr>
        <w:t>players regularly exceeded their HR</w:t>
      </w:r>
      <w:r w:rsidR="0024525D" w:rsidRPr="00DB56CA">
        <w:rPr>
          <w:rFonts w:eastAsia="Times New Roman"/>
          <w:color w:val="222222"/>
          <w:highlight w:val="yellow"/>
          <w:shd w:val="clear" w:color="auto" w:fill="FFFFFF"/>
          <w:vertAlign w:val="subscript"/>
          <w:lang w:val="en-GB"/>
        </w:rPr>
        <w:t>max</w:t>
      </w:r>
      <w:r w:rsidR="0024525D" w:rsidRPr="00DB56CA">
        <w:rPr>
          <w:rFonts w:eastAsia="Times New Roman"/>
          <w:color w:val="222222"/>
          <w:highlight w:val="yellow"/>
          <w:shd w:val="clear" w:color="auto" w:fill="FFFFFF"/>
          <w:lang w:val="en-GB"/>
        </w:rPr>
        <w:t>. Where a player regularly exceeded this value, the mean recording of</w:t>
      </w:r>
      <w:r w:rsidRPr="00DB56CA">
        <w:rPr>
          <w:bCs/>
          <w:color w:val="000000" w:themeColor="text1"/>
          <w:highlight w:val="yellow"/>
          <w:lang w:val="en-GB"/>
        </w:rPr>
        <w:t xml:space="preserve"> HR</w:t>
      </w:r>
      <w:r w:rsidRPr="00DB56CA">
        <w:rPr>
          <w:bCs/>
          <w:color w:val="000000" w:themeColor="text1"/>
          <w:highlight w:val="yellow"/>
          <w:vertAlign w:val="subscript"/>
          <w:lang w:val="en-GB"/>
        </w:rPr>
        <w:t>max</w:t>
      </w:r>
      <w:r w:rsidR="0024525D" w:rsidRPr="00DB56CA">
        <w:rPr>
          <w:bCs/>
          <w:color w:val="000000" w:themeColor="text1"/>
          <w:highlight w:val="yellow"/>
          <w:vertAlign w:val="subscript"/>
          <w:lang w:val="en-GB"/>
        </w:rPr>
        <w:t xml:space="preserve"> </w:t>
      </w:r>
      <w:r w:rsidR="0024525D" w:rsidRPr="00DB56CA">
        <w:rPr>
          <w:bCs/>
          <w:color w:val="000000" w:themeColor="text1"/>
          <w:highlight w:val="yellow"/>
          <w:lang w:val="en-GB"/>
        </w:rPr>
        <w:t>was used</w:t>
      </w:r>
      <w:r w:rsidRPr="00DB56CA">
        <w:rPr>
          <w:bCs/>
          <w:color w:val="000000" w:themeColor="text1"/>
          <w:highlight w:val="yellow"/>
          <w:lang w:val="en-GB"/>
        </w:rPr>
        <w:t>.</w:t>
      </w:r>
    </w:p>
    <w:p w14:paraId="17603D8D" w14:textId="77777777" w:rsidR="001B3525" w:rsidRPr="00DB56CA" w:rsidRDefault="007524C2" w:rsidP="001B3525">
      <w:pPr>
        <w:widowControl w:val="0"/>
        <w:autoSpaceDE w:val="0"/>
        <w:autoSpaceDN w:val="0"/>
        <w:adjustRightInd w:val="0"/>
        <w:spacing w:after="100" w:afterAutospacing="1" w:line="480" w:lineRule="auto"/>
        <w:contextualSpacing/>
        <w:jc w:val="both"/>
        <w:rPr>
          <w:b/>
          <w:i/>
          <w:color w:val="000000" w:themeColor="text1"/>
          <w:lang w:val="en-GB"/>
        </w:rPr>
      </w:pPr>
      <w:r w:rsidRPr="00DB56CA">
        <w:rPr>
          <w:b/>
          <w:i/>
          <w:color w:val="000000" w:themeColor="text1"/>
          <w:lang w:val="en-GB"/>
        </w:rPr>
        <w:t>Session Rating of Perceived Exertion Training Load</w:t>
      </w:r>
      <w:r w:rsidR="00A92CF0" w:rsidRPr="00DB56CA">
        <w:rPr>
          <w:b/>
          <w:i/>
          <w:color w:val="000000" w:themeColor="text1"/>
          <w:lang w:val="en-GB"/>
        </w:rPr>
        <w:t xml:space="preserve"> (sRPETL)</w:t>
      </w:r>
      <w:r w:rsidRPr="00DB56CA">
        <w:rPr>
          <w:b/>
          <w:i/>
          <w:color w:val="000000" w:themeColor="text1"/>
          <w:lang w:val="en-GB"/>
        </w:rPr>
        <w:t>:</w:t>
      </w:r>
    </w:p>
    <w:p w14:paraId="68D0E6AF" w14:textId="0F99BAAB" w:rsidR="001B3525" w:rsidRPr="00DB56CA" w:rsidRDefault="00A92CF0" w:rsidP="001B3525">
      <w:pPr>
        <w:widowControl w:val="0"/>
        <w:autoSpaceDE w:val="0"/>
        <w:autoSpaceDN w:val="0"/>
        <w:adjustRightInd w:val="0"/>
        <w:spacing w:after="100" w:afterAutospacing="1" w:line="480" w:lineRule="auto"/>
        <w:contextualSpacing/>
        <w:jc w:val="both"/>
        <w:rPr>
          <w:color w:val="000000" w:themeColor="text1"/>
          <w:lang w:val="en-GB"/>
        </w:rPr>
      </w:pPr>
      <w:r w:rsidRPr="00DB56CA">
        <w:rPr>
          <w:color w:val="000000" w:themeColor="text1"/>
          <w:lang w:val="en-GB"/>
        </w:rPr>
        <w:t>sRPETL is the primary outcome measure for this study</w:t>
      </w:r>
      <w:r w:rsidR="00172201" w:rsidRPr="00DB56CA">
        <w:rPr>
          <w:color w:val="000000" w:themeColor="text1"/>
          <w:lang w:val="en-GB"/>
        </w:rPr>
        <w:t>.</w:t>
      </w:r>
      <w:r w:rsidRPr="00DB56CA">
        <w:rPr>
          <w:color w:val="000000" w:themeColor="text1"/>
          <w:lang w:val="en-GB"/>
        </w:rPr>
        <w:t xml:space="preserve"> </w:t>
      </w:r>
      <w:r w:rsidR="00071736" w:rsidRPr="00DB56CA">
        <w:rPr>
          <w:color w:val="000000" w:themeColor="text1"/>
          <w:lang w:val="en-GB"/>
        </w:rPr>
        <w:t>sRPE was collected about twenty</w:t>
      </w:r>
      <w:r w:rsidR="007416B1" w:rsidRPr="00DB56CA">
        <w:rPr>
          <w:color w:val="000000" w:themeColor="text1"/>
          <w:lang w:val="en-GB"/>
        </w:rPr>
        <w:t xml:space="preserve"> minutes after the</w:t>
      </w:r>
      <w:r w:rsidR="004D332D" w:rsidRPr="00DB56CA">
        <w:rPr>
          <w:color w:val="000000" w:themeColor="text1"/>
          <w:lang w:val="en-GB"/>
        </w:rPr>
        <w:t xml:space="preserve"> end of the</w:t>
      </w:r>
      <w:r w:rsidR="007416B1" w:rsidRPr="00DB56CA">
        <w:rPr>
          <w:color w:val="000000" w:themeColor="text1"/>
          <w:lang w:val="en-GB"/>
        </w:rPr>
        <w:t xml:space="preserve"> training session to reflect the entire training session rather than the most recent activity (</w:t>
      </w:r>
      <w:r w:rsidR="00554E0B" w:rsidRPr="00DB56CA">
        <w:rPr>
          <w:color w:val="000000" w:themeColor="text1"/>
          <w:lang w:val="en-GB"/>
        </w:rPr>
        <w:t>11</w:t>
      </w:r>
      <w:r w:rsidR="007416B1" w:rsidRPr="00DB56CA">
        <w:rPr>
          <w:color w:val="000000" w:themeColor="text1"/>
          <w:lang w:val="en-GB"/>
        </w:rPr>
        <w:t>)</w:t>
      </w:r>
      <w:r w:rsidR="00172201" w:rsidRPr="00DB56CA">
        <w:rPr>
          <w:color w:val="000000" w:themeColor="text1"/>
          <w:lang w:val="en-GB"/>
        </w:rPr>
        <w:t xml:space="preserve">. </w:t>
      </w:r>
      <w:r w:rsidR="00840F18" w:rsidRPr="00DB56CA">
        <w:rPr>
          <w:color w:val="000000" w:themeColor="text1"/>
          <w:highlight w:val="yellow"/>
          <w:lang w:val="en-GB"/>
        </w:rPr>
        <w:t>While studies have collected sRPE data 30 minutes after the end of the session</w:t>
      </w:r>
      <w:r w:rsidR="0024525D" w:rsidRPr="00DB56CA">
        <w:rPr>
          <w:color w:val="000000" w:themeColor="text1"/>
          <w:highlight w:val="yellow"/>
          <w:lang w:val="en-GB"/>
        </w:rPr>
        <w:t xml:space="preserve"> </w:t>
      </w:r>
      <w:r w:rsidR="00A6461C" w:rsidRPr="00DB56CA">
        <w:rPr>
          <w:color w:val="000000" w:themeColor="text1"/>
          <w:highlight w:val="yellow"/>
          <w:lang w:val="en-GB"/>
        </w:rPr>
        <w:t>(1,</w:t>
      </w:r>
      <w:r w:rsidR="0024525D" w:rsidRPr="00DB56CA">
        <w:rPr>
          <w:color w:val="000000" w:themeColor="text1"/>
          <w:highlight w:val="yellow"/>
          <w:lang w:val="en-GB"/>
        </w:rPr>
        <w:t xml:space="preserve"> </w:t>
      </w:r>
      <w:r w:rsidR="00A6461C" w:rsidRPr="00DB56CA">
        <w:rPr>
          <w:color w:val="000000" w:themeColor="text1"/>
          <w:highlight w:val="yellow"/>
          <w:lang w:val="en-GB"/>
        </w:rPr>
        <w:t>5,</w:t>
      </w:r>
      <w:r w:rsidR="0024525D" w:rsidRPr="00DB56CA">
        <w:rPr>
          <w:color w:val="000000" w:themeColor="text1"/>
          <w:highlight w:val="yellow"/>
          <w:lang w:val="en-GB"/>
        </w:rPr>
        <w:t xml:space="preserve"> </w:t>
      </w:r>
      <w:r w:rsidR="0019057C" w:rsidRPr="00DB56CA">
        <w:rPr>
          <w:color w:val="000000" w:themeColor="text1"/>
          <w:highlight w:val="yellow"/>
          <w:lang w:val="en-GB"/>
        </w:rPr>
        <w:t>6,</w:t>
      </w:r>
      <w:r w:rsidR="0024525D" w:rsidRPr="00DB56CA">
        <w:rPr>
          <w:color w:val="000000" w:themeColor="text1"/>
          <w:highlight w:val="yellow"/>
          <w:lang w:val="en-GB"/>
        </w:rPr>
        <w:t xml:space="preserve"> </w:t>
      </w:r>
      <w:r w:rsidR="00554E0B" w:rsidRPr="00DB56CA">
        <w:rPr>
          <w:color w:val="000000" w:themeColor="text1"/>
          <w:highlight w:val="yellow"/>
          <w:lang w:val="en-GB"/>
        </w:rPr>
        <w:t>15</w:t>
      </w:r>
      <w:r w:rsidR="0024525D" w:rsidRPr="00DB56CA">
        <w:rPr>
          <w:color w:val="000000" w:themeColor="text1"/>
          <w:highlight w:val="yellow"/>
          <w:lang w:val="en-GB"/>
        </w:rPr>
        <w:t xml:space="preserve">), </w:t>
      </w:r>
      <w:r w:rsidR="0024525D" w:rsidRPr="00DB56CA">
        <w:rPr>
          <w:rFonts w:eastAsia="Times New Roman"/>
          <w:color w:val="222222"/>
          <w:highlight w:val="yellow"/>
          <w:lang w:val="en-GB"/>
        </w:rPr>
        <w:t>few studies have analysed the effect of time on the measurement of sRPE. Christen et. Al (</w:t>
      </w:r>
      <w:r w:rsidR="00554E0B" w:rsidRPr="00DB56CA">
        <w:rPr>
          <w:rFonts w:eastAsia="Times New Roman"/>
          <w:color w:val="222222"/>
          <w:highlight w:val="yellow"/>
          <w:lang w:val="en-GB"/>
        </w:rPr>
        <w:t>8</w:t>
      </w:r>
      <w:r w:rsidR="0024525D" w:rsidRPr="00DB56CA">
        <w:rPr>
          <w:rFonts w:eastAsia="Times New Roman"/>
          <w:color w:val="222222"/>
          <w:highlight w:val="yellow"/>
          <w:lang w:val="en-GB"/>
        </w:rPr>
        <w:t>), found no significant effect of post exercise time on sRPE value. We, therefore, infer that 20-min post training will be sufficient time to reduce the influence of the last exercise on sRPE. The inclusion of cooldown does affect the sRPE value (</w:t>
      </w:r>
      <w:r w:rsidR="00554E0B" w:rsidRPr="00DB56CA">
        <w:rPr>
          <w:rFonts w:eastAsia="Times New Roman"/>
          <w:color w:val="222222"/>
          <w:highlight w:val="yellow"/>
          <w:lang w:val="en-GB"/>
        </w:rPr>
        <w:t>8</w:t>
      </w:r>
      <w:r w:rsidR="0024525D" w:rsidRPr="00DB56CA">
        <w:rPr>
          <w:rFonts w:eastAsia="Times New Roman"/>
          <w:color w:val="222222"/>
          <w:highlight w:val="yellow"/>
          <w:lang w:val="en-GB"/>
        </w:rPr>
        <w:t xml:space="preserve">), however, since in the current study the players reported sRPE about 10 mins after cooldown (assuming average cooldown time to be 10 mins) there should be no effect of last exercise on sRPE reporting. </w:t>
      </w:r>
      <w:r w:rsidR="007416B1" w:rsidRPr="00DB56CA">
        <w:rPr>
          <w:color w:val="000000" w:themeColor="text1"/>
          <w:highlight w:val="yellow"/>
          <w:lang w:val="en-GB"/>
        </w:rPr>
        <w:t>The players answered the question “How w</w:t>
      </w:r>
      <w:r w:rsidR="00705CA0" w:rsidRPr="00DB56CA">
        <w:rPr>
          <w:color w:val="000000" w:themeColor="text1"/>
          <w:highlight w:val="yellow"/>
          <w:lang w:val="en-GB"/>
        </w:rPr>
        <w:t>ould</w:t>
      </w:r>
      <w:r w:rsidR="007416B1" w:rsidRPr="00DB56CA">
        <w:rPr>
          <w:color w:val="000000" w:themeColor="text1"/>
          <w:highlight w:val="yellow"/>
          <w:lang w:val="en-GB"/>
        </w:rPr>
        <w:t xml:space="preserve"> you</w:t>
      </w:r>
      <w:r w:rsidR="00705CA0" w:rsidRPr="00DB56CA">
        <w:rPr>
          <w:color w:val="000000" w:themeColor="text1"/>
          <w:highlight w:val="yellow"/>
          <w:lang w:val="en-GB"/>
        </w:rPr>
        <w:t xml:space="preserve"> rate the intensity of your</w:t>
      </w:r>
      <w:r w:rsidR="007416B1" w:rsidRPr="00DB56CA">
        <w:rPr>
          <w:color w:val="000000" w:themeColor="text1"/>
          <w:highlight w:val="yellow"/>
          <w:lang w:val="en-GB"/>
        </w:rPr>
        <w:t xml:space="preserve"> session?”</w:t>
      </w:r>
      <w:r w:rsidR="0000438E" w:rsidRPr="00DB56CA">
        <w:rPr>
          <w:color w:val="000000" w:themeColor="text1"/>
          <w:lang w:val="en-GB"/>
        </w:rPr>
        <w:t xml:space="preserve"> using the</w:t>
      </w:r>
      <w:r w:rsidR="003E7D8F" w:rsidRPr="00DB56CA">
        <w:rPr>
          <w:color w:val="000000" w:themeColor="text1"/>
          <w:lang w:val="en-GB"/>
        </w:rPr>
        <w:t xml:space="preserve"> Borg CR 10 </w:t>
      </w:r>
      <w:r w:rsidR="00346C9E" w:rsidRPr="00DB56CA">
        <w:rPr>
          <w:color w:val="000000" w:themeColor="text1"/>
          <w:lang w:val="en-GB"/>
        </w:rPr>
        <w:t xml:space="preserve">scale </w:t>
      </w:r>
      <w:r w:rsidR="007416B1" w:rsidRPr="00DB56CA">
        <w:rPr>
          <w:color w:val="000000" w:themeColor="text1"/>
          <w:lang w:val="en-GB"/>
        </w:rPr>
        <w:t>with a number from 0 to 10, with 0 being rest and 10 being maximal effort</w:t>
      </w:r>
      <w:r w:rsidR="005455FA" w:rsidRPr="00DB56CA">
        <w:rPr>
          <w:color w:val="000000" w:themeColor="text1"/>
          <w:lang w:val="en-GB"/>
        </w:rPr>
        <w:t xml:space="preserve"> (4)</w:t>
      </w:r>
      <w:r w:rsidR="00172201" w:rsidRPr="00DB56CA">
        <w:rPr>
          <w:color w:val="000000" w:themeColor="text1"/>
          <w:lang w:val="en-GB"/>
        </w:rPr>
        <w:t xml:space="preserve">. </w:t>
      </w:r>
      <w:r w:rsidR="0017174F" w:rsidRPr="00DB56CA">
        <w:rPr>
          <w:color w:val="000000" w:themeColor="text1"/>
          <w:highlight w:val="yellow"/>
          <w:lang w:val="en-GB"/>
        </w:rPr>
        <w:t>P</w:t>
      </w:r>
      <w:r w:rsidR="007416B1" w:rsidRPr="00DB56CA">
        <w:rPr>
          <w:color w:val="000000" w:themeColor="text1"/>
          <w:highlight w:val="yellow"/>
          <w:lang w:val="en-GB"/>
        </w:rPr>
        <w:t>layers were familiarised with the scale</w:t>
      </w:r>
      <w:r w:rsidR="0017174F" w:rsidRPr="00DB56CA">
        <w:rPr>
          <w:color w:val="000000" w:themeColor="text1"/>
          <w:highlight w:val="yellow"/>
          <w:lang w:val="en-GB"/>
        </w:rPr>
        <w:t xml:space="preserve"> for a month during pre-season</w:t>
      </w:r>
      <w:r w:rsidR="009C73EC" w:rsidRPr="00DB56CA">
        <w:rPr>
          <w:color w:val="000000" w:themeColor="text1"/>
          <w:highlight w:val="yellow"/>
          <w:lang w:val="en-GB"/>
        </w:rPr>
        <w:t>.</w:t>
      </w:r>
      <w:r w:rsidR="009C73EC" w:rsidRPr="00DB56CA">
        <w:rPr>
          <w:color w:val="000000" w:themeColor="text1"/>
          <w:lang w:val="en-GB"/>
        </w:rPr>
        <w:t xml:space="preserve"> </w:t>
      </w:r>
      <w:r w:rsidR="00E6546E" w:rsidRPr="00DB56CA">
        <w:rPr>
          <w:color w:val="000000" w:themeColor="text1"/>
          <w:lang w:val="en-GB"/>
        </w:rPr>
        <w:t>The sRPE</w:t>
      </w:r>
      <w:r w:rsidR="00DF0842" w:rsidRPr="00DB56CA">
        <w:rPr>
          <w:color w:val="000000" w:themeColor="text1"/>
          <w:lang w:val="en-GB"/>
        </w:rPr>
        <w:t xml:space="preserve"> data was </w:t>
      </w:r>
      <w:r w:rsidR="00E6546E" w:rsidRPr="00DB56CA">
        <w:rPr>
          <w:color w:val="000000" w:themeColor="text1"/>
          <w:lang w:val="en-GB"/>
        </w:rPr>
        <w:t>collected in isolation</w:t>
      </w:r>
      <w:r w:rsidR="00072AAA" w:rsidRPr="00DB56CA">
        <w:rPr>
          <w:color w:val="000000" w:themeColor="text1"/>
          <w:lang w:val="en-GB"/>
        </w:rPr>
        <w:t xml:space="preserve"> </w:t>
      </w:r>
      <w:r w:rsidR="00BE14C4" w:rsidRPr="00DB56CA">
        <w:rPr>
          <w:color w:val="000000" w:themeColor="text1"/>
          <w:lang w:val="en-GB"/>
        </w:rPr>
        <w:t xml:space="preserve">via a Google Forms questionnaire on their smartphones </w:t>
      </w:r>
      <w:r w:rsidR="00072AAA" w:rsidRPr="00DB56CA">
        <w:rPr>
          <w:color w:val="000000" w:themeColor="text1"/>
          <w:lang w:val="en-GB"/>
        </w:rPr>
        <w:t>in the changing room at the end of each session</w:t>
      </w:r>
      <w:r w:rsidR="009C73EC" w:rsidRPr="00DB56CA">
        <w:rPr>
          <w:color w:val="000000" w:themeColor="text1"/>
          <w:lang w:val="en-GB"/>
        </w:rPr>
        <w:t xml:space="preserve">. </w:t>
      </w:r>
      <w:r w:rsidR="00072AAA" w:rsidRPr="00DB56CA">
        <w:rPr>
          <w:color w:val="000000" w:themeColor="text1"/>
          <w:lang w:val="en-GB"/>
        </w:rPr>
        <w:t>The data was monitored</w:t>
      </w:r>
      <w:r w:rsidR="00E6546E" w:rsidRPr="00DB56CA">
        <w:rPr>
          <w:color w:val="000000" w:themeColor="text1"/>
          <w:lang w:val="en-GB"/>
        </w:rPr>
        <w:t xml:space="preserve"> </w:t>
      </w:r>
      <w:r w:rsidR="00DF0842" w:rsidRPr="00DB56CA">
        <w:rPr>
          <w:color w:val="000000" w:themeColor="text1"/>
          <w:lang w:val="en-GB"/>
        </w:rPr>
        <w:t xml:space="preserve">by the </w:t>
      </w:r>
      <w:r w:rsidR="00E6546E" w:rsidRPr="00DB56CA">
        <w:rPr>
          <w:color w:val="000000" w:themeColor="text1"/>
          <w:lang w:val="en-GB"/>
        </w:rPr>
        <w:t>sports scientists to avoid peer pressure and coach’s</w:t>
      </w:r>
      <w:r w:rsidR="00DF0842" w:rsidRPr="00DB56CA">
        <w:rPr>
          <w:color w:val="000000" w:themeColor="text1"/>
          <w:lang w:val="en-GB"/>
        </w:rPr>
        <w:t xml:space="preserve"> opinion influencing the </w:t>
      </w:r>
      <w:r w:rsidR="00E6546E" w:rsidRPr="00DB56CA">
        <w:rPr>
          <w:color w:val="000000" w:themeColor="text1"/>
          <w:lang w:val="en-GB"/>
        </w:rPr>
        <w:t xml:space="preserve">players’ </w:t>
      </w:r>
      <w:r w:rsidR="00DF0842" w:rsidRPr="00DB56CA">
        <w:rPr>
          <w:color w:val="000000" w:themeColor="text1"/>
          <w:lang w:val="en-GB"/>
        </w:rPr>
        <w:t>reporting</w:t>
      </w:r>
      <w:r w:rsidR="009C73EC" w:rsidRPr="00DB56CA">
        <w:rPr>
          <w:color w:val="000000" w:themeColor="text1"/>
          <w:lang w:val="en-GB"/>
        </w:rPr>
        <w:t>.</w:t>
      </w:r>
      <w:r w:rsidR="00B06F9C" w:rsidRPr="00DB56CA">
        <w:rPr>
          <w:color w:val="000000" w:themeColor="text1"/>
          <w:lang w:val="en-GB"/>
        </w:rPr>
        <w:t xml:space="preserve"> </w:t>
      </w:r>
      <w:r w:rsidR="007416B1" w:rsidRPr="00DB56CA">
        <w:rPr>
          <w:color w:val="000000" w:themeColor="text1"/>
          <w:lang w:val="en-GB"/>
        </w:rPr>
        <w:t>sRPE training load was quantified</w:t>
      </w:r>
      <w:r w:rsidR="00196358" w:rsidRPr="00DB56CA">
        <w:rPr>
          <w:color w:val="000000" w:themeColor="text1"/>
          <w:lang w:val="en-GB"/>
        </w:rPr>
        <w:t xml:space="preserve"> </w:t>
      </w:r>
      <w:r w:rsidR="007416B1" w:rsidRPr="00DB56CA">
        <w:rPr>
          <w:color w:val="000000" w:themeColor="text1"/>
          <w:lang w:val="en-GB"/>
        </w:rPr>
        <w:t>as</w:t>
      </w:r>
      <w:r w:rsidR="007F41A4" w:rsidRPr="00DB56CA">
        <w:rPr>
          <w:color w:val="000000" w:themeColor="text1"/>
          <w:lang w:val="en-GB"/>
        </w:rPr>
        <w:t>:</w:t>
      </w:r>
    </w:p>
    <w:p w14:paraId="0F90E3F3" w14:textId="77777777" w:rsidR="001B3525" w:rsidRPr="00DB56CA" w:rsidRDefault="007416B1" w:rsidP="001B3525">
      <w:pPr>
        <w:widowControl w:val="0"/>
        <w:autoSpaceDE w:val="0"/>
        <w:autoSpaceDN w:val="0"/>
        <w:adjustRightInd w:val="0"/>
        <w:spacing w:after="100" w:afterAutospacing="1" w:line="480" w:lineRule="auto"/>
        <w:contextualSpacing/>
        <w:jc w:val="both"/>
        <w:rPr>
          <w:bCs/>
          <w:color w:val="000000"/>
          <w:lang w:val="en-GB"/>
        </w:rPr>
      </w:pPr>
      <w:r w:rsidRPr="00DB56CA">
        <w:rPr>
          <w:bCs/>
          <w:color w:val="000000"/>
          <w:lang w:val="en-GB"/>
        </w:rPr>
        <w:t>sRPE training load</w:t>
      </w:r>
      <w:r w:rsidR="00FF7EB4" w:rsidRPr="00DB56CA">
        <w:rPr>
          <w:bCs/>
          <w:color w:val="000000"/>
          <w:lang w:val="en-GB"/>
        </w:rPr>
        <w:t xml:space="preserve"> </w:t>
      </w:r>
      <w:r w:rsidRPr="00DB56CA">
        <w:rPr>
          <w:bCs/>
          <w:color w:val="000000"/>
          <w:lang w:val="en-GB"/>
        </w:rPr>
        <w:t>(AU) = sRPE x duration of session (min)</w:t>
      </w:r>
    </w:p>
    <w:p w14:paraId="3103DAD3" w14:textId="77777777" w:rsidR="00A4185A" w:rsidRPr="00DB56CA" w:rsidRDefault="00A4185A" w:rsidP="001B3525">
      <w:pPr>
        <w:widowControl w:val="0"/>
        <w:autoSpaceDE w:val="0"/>
        <w:autoSpaceDN w:val="0"/>
        <w:adjustRightInd w:val="0"/>
        <w:spacing w:after="100" w:afterAutospacing="1" w:line="480" w:lineRule="auto"/>
        <w:contextualSpacing/>
        <w:jc w:val="both"/>
        <w:rPr>
          <w:b/>
          <w:bCs/>
          <w:color w:val="000000"/>
          <w:lang w:val="en-GB"/>
        </w:rPr>
      </w:pPr>
    </w:p>
    <w:p w14:paraId="134E0144" w14:textId="77777777" w:rsidR="00CC4567" w:rsidRPr="00DB56CA" w:rsidRDefault="00CC4567" w:rsidP="001B3525">
      <w:pPr>
        <w:widowControl w:val="0"/>
        <w:autoSpaceDE w:val="0"/>
        <w:autoSpaceDN w:val="0"/>
        <w:adjustRightInd w:val="0"/>
        <w:spacing w:after="100" w:afterAutospacing="1" w:line="480" w:lineRule="auto"/>
        <w:contextualSpacing/>
        <w:jc w:val="both"/>
        <w:rPr>
          <w:b/>
          <w:bCs/>
          <w:color w:val="000000"/>
          <w:lang w:val="en-GB"/>
        </w:rPr>
      </w:pPr>
    </w:p>
    <w:p w14:paraId="52B09FF7" w14:textId="77777777" w:rsidR="001B3525" w:rsidRPr="00DB56CA" w:rsidRDefault="00B1562B" w:rsidP="001B3525">
      <w:pPr>
        <w:widowControl w:val="0"/>
        <w:autoSpaceDE w:val="0"/>
        <w:autoSpaceDN w:val="0"/>
        <w:adjustRightInd w:val="0"/>
        <w:spacing w:after="100" w:afterAutospacing="1" w:line="480" w:lineRule="auto"/>
        <w:contextualSpacing/>
        <w:jc w:val="both"/>
        <w:rPr>
          <w:b/>
          <w:bCs/>
          <w:color w:val="000000"/>
          <w:lang w:val="en-GB"/>
        </w:rPr>
      </w:pPr>
      <w:r w:rsidRPr="00DB56CA">
        <w:rPr>
          <w:b/>
          <w:bCs/>
          <w:color w:val="000000"/>
          <w:lang w:val="en-GB"/>
        </w:rPr>
        <w:lastRenderedPageBreak/>
        <w:t>Data Processing:</w:t>
      </w:r>
    </w:p>
    <w:p w14:paraId="349F4802" w14:textId="77777777" w:rsidR="001B3525" w:rsidRPr="00DB56CA" w:rsidRDefault="00974B07" w:rsidP="001B3525">
      <w:pPr>
        <w:widowControl w:val="0"/>
        <w:autoSpaceDE w:val="0"/>
        <w:autoSpaceDN w:val="0"/>
        <w:adjustRightInd w:val="0"/>
        <w:spacing w:after="100" w:afterAutospacing="1" w:line="480" w:lineRule="auto"/>
        <w:contextualSpacing/>
        <w:jc w:val="both"/>
        <w:rPr>
          <w:bCs/>
          <w:color w:val="000000"/>
          <w:lang w:val="en-GB"/>
        </w:rPr>
      </w:pPr>
      <w:r w:rsidRPr="00DB56CA">
        <w:rPr>
          <w:bCs/>
          <w:color w:val="000000"/>
          <w:lang w:val="en-GB"/>
        </w:rPr>
        <w:t xml:space="preserve">All training sessions and match data </w:t>
      </w:r>
      <w:r w:rsidR="00F90044" w:rsidRPr="00DB56CA">
        <w:rPr>
          <w:bCs/>
          <w:color w:val="000000"/>
          <w:lang w:val="en-GB"/>
        </w:rPr>
        <w:t xml:space="preserve">over the </w:t>
      </w:r>
      <w:r w:rsidR="00D24A66" w:rsidRPr="00DB56CA">
        <w:rPr>
          <w:bCs/>
          <w:color w:val="000000"/>
          <w:lang w:val="en-GB"/>
        </w:rPr>
        <w:t>7-month</w:t>
      </w:r>
      <w:r w:rsidR="00F90044" w:rsidRPr="00DB56CA">
        <w:rPr>
          <w:bCs/>
          <w:color w:val="000000"/>
          <w:lang w:val="en-GB"/>
        </w:rPr>
        <w:t xml:space="preserve"> period </w:t>
      </w:r>
      <w:r w:rsidR="00D24A66" w:rsidRPr="00DB56CA">
        <w:rPr>
          <w:bCs/>
          <w:color w:val="000000"/>
          <w:lang w:val="en-GB"/>
        </w:rPr>
        <w:t>were</w:t>
      </w:r>
      <w:r w:rsidRPr="00DB56CA">
        <w:rPr>
          <w:bCs/>
          <w:color w:val="000000"/>
          <w:lang w:val="en-GB"/>
        </w:rPr>
        <w:t xml:space="preserve"> collected </w:t>
      </w:r>
      <w:r w:rsidR="00AE64DA" w:rsidRPr="00DB56CA">
        <w:rPr>
          <w:bCs/>
          <w:color w:val="000000"/>
          <w:lang w:val="en-GB"/>
        </w:rPr>
        <w:t>for</w:t>
      </w:r>
      <w:r w:rsidRPr="00DB56CA">
        <w:rPr>
          <w:bCs/>
          <w:color w:val="000000"/>
          <w:lang w:val="en-GB"/>
        </w:rPr>
        <w:t xml:space="preserve"> the study</w:t>
      </w:r>
      <w:r w:rsidR="009C73EC" w:rsidRPr="00DB56CA">
        <w:rPr>
          <w:bCs/>
          <w:color w:val="000000"/>
          <w:lang w:val="en-GB"/>
        </w:rPr>
        <w:t>.</w:t>
      </w:r>
      <w:r w:rsidR="00B06F9C" w:rsidRPr="00DB56CA">
        <w:rPr>
          <w:bCs/>
          <w:color w:val="000000"/>
          <w:lang w:val="en-GB"/>
        </w:rPr>
        <w:t xml:space="preserve"> </w:t>
      </w:r>
      <w:r w:rsidR="006D4512" w:rsidRPr="00DB56CA">
        <w:rPr>
          <w:bCs/>
          <w:color w:val="000000"/>
          <w:lang w:val="en-GB"/>
        </w:rPr>
        <w:t>Sessions or matches where either HR or sRPE data were missing, due to either HR monitors not working or players forgetting to fill in the sRPE data, were excluded from the analysis</w:t>
      </w:r>
      <w:r w:rsidR="00172201" w:rsidRPr="00DB56CA">
        <w:rPr>
          <w:bCs/>
          <w:color w:val="000000"/>
          <w:lang w:val="en-GB"/>
        </w:rPr>
        <w:t xml:space="preserve">. </w:t>
      </w:r>
      <w:r w:rsidR="006D4512" w:rsidRPr="00DB56CA">
        <w:rPr>
          <w:bCs/>
          <w:color w:val="000000"/>
          <w:lang w:val="en-GB"/>
        </w:rPr>
        <w:t>Sessions where players trained with either the first team or the under 21 team were excluded from analysis</w:t>
      </w:r>
      <w:r w:rsidR="009C73EC" w:rsidRPr="00DB56CA">
        <w:rPr>
          <w:bCs/>
          <w:color w:val="000000"/>
          <w:lang w:val="en-GB"/>
        </w:rPr>
        <w:t xml:space="preserve">. </w:t>
      </w:r>
      <w:r w:rsidR="00BA4803" w:rsidRPr="00DB56CA">
        <w:rPr>
          <w:bCs/>
          <w:color w:val="000000"/>
          <w:lang w:val="en-GB"/>
        </w:rPr>
        <w:t>Rehabilitation</w:t>
      </w:r>
      <w:r w:rsidR="006D4512" w:rsidRPr="00DB56CA">
        <w:rPr>
          <w:bCs/>
          <w:color w:val="000000"/>
          <w:lang w:val="en-GB"/>
        </w:rPr>
        <w:t xml:space="preserve"> sessions were also excluded from the analysis</w:t>
      </w:r>
      <w:r w:rsidR="00172201" w:rsidRPr="00DB56CA">
        <w:rPr>
          <w:bCs/>
          <w:color w:val="000000"/>
          <w:lang w:val="en-GB"/>
        </w:rPr>
        <w:t xml:space="preserve">. </w:t>
      </w:r>
      <w:r w:rsidR="00BA4803" w:rsidRPr="00DB56CA">
        <w:rPr>
          <w:bCs/>
          <w:color w:val="000000"/>
          <w:lang w:val="en-GB"/>
        </w:rPr>
        <w:t>All data was processed by the same trained individual.</w:t>
      </w:r>
    </w:p>
    <w:p w14:paraId="2F7C99EB" w14:textId="77777777" w:rsidR="00A4185A" w:rsidRPr="00DB56CA" w:rsidRDefault="00A4185A" w:rsidP="001B3525">
      <w:pPr>
        <w:widowControl w:val="0"/>
        <w:autoSpaceDE w:val="0"/>
        <w:autoSpaceDN w:val="0"/>
        <w:adjustRightInd w:val="0"/>
        <w:spacing w:after="100" w:afterAutospacing="1" w:line="480" w:lineRule="auto"/>
        <w:contextualSpacing/>
        <w:jc w:val="both"/>
        <w:rPr>
          <w:b/>
          <w:color w:val="000000" w:themeColor="text1"/>
          <w:lang w:val="en-GB"/>
        </w:rPr>
      </w:pPr>
    </w:p>
    <w:p w14:paraId="43A143D1" w14:textId="77777777" w:rsidR="001B3525" w:rsidRPr="00DB56CA" w:rsidRDefault="00457796" w:rsidP="001B3525">
      <w:pPr>
        <w:widowControl w:val="0"/>
        <w:autoSpaceDE w:val="0"/>
        <w:autoSpaceDN w:val="0"/>
        <w:adjustRightInd w:val="0"/>
        <w:spacing w:after="100" w:afterAutospacing="1" w:line="480" w:lineRule="auto"/>
        <w:contextualSpacing/>
        <w:jc w:val="both"/>
        <w:rPr>
          <w:b/>
          <w:color w:val="000000" w:themeColor="text1"/>
          <w:lang w:val="en-GB"/>
        </w:rPr>
      </w:pPr>
      <w:r w:rsidRPr="00DB56CA">
        <w:rPr>
          <w:b/>
          <w:color w:val="000000" w:themeColor="text1"/>
          <w:lang w:val="en-GB"/>
        </w:rPr>
        <w:t>Statistical Analysis:</w:t>
      </w:r>
      <w:r w:rsidR="00AC60B4" w:rsidRPr="00DB56CA">
        <w:rPr>
          <w:b/>
          <w:color w:val="000000" w:themeColor="text1"/>
          <w:lang w:val="en-GB"/>
        </w:rPr>
        <w:t xml:space="preserve"> </w:t>
      </w:r>
    </w:p>
    <w:p w14:paraId="72B818CA" w14:textId="179AEDC4" w:rsidR="001B3525" w:rsidRPr="00DB56CA" w:rsidRDefault="00BA4803" w:rsidP="001B3525">
      <w:pPr>
        <w:widowControl w:val="0"/>
        <w:autoSpaceDE w:val="0"/>
        <w:autoSpaceDN w:val="0"/>
        <w:adjustRightInd w:val="0"/>
        <w:spacing w:after="100" w:afterAutospacing="1" w:line="480" w:lineRule="auto"/>
        <w:contextualSpacing/>
        <w:jc w:val="both"/>
        <w:rPr>
          <w:color w:val="000000" w:themeColor="text1"/>
          <w:lang w:val="en-GB"/>
        </w:rPr>
      </w:pPr>
      <w:r w:rsidRPr="00DB56CA">
        <w:rPr>
          <w:color w:val="000000" w:themeColor="text1"/>
          <w:lang w:val="en-GB"/>
        </w:rPr>
        <w:t>Data are expressed as m</w:t>
      </w:r>
      <w:r w:rsidR="000016FC" w:rsidRPr="00DB56CA">
        <w:rPr>
          <w:color w:val="000000" w:themeColor="text1"/>
          <w:lang w:val="en-GB"/>
        </w:rPr>
        <w:t xml:space="preserve">eans </w:t>
      </w:r>
      <w:r w:rsidR="000016FC" w:rsidRPr="00DB56CA">
        <w:rPr>
          <w:color w:val="000000"/>
          <w:lang w:val="en-GB"/>
        </w:rPr>
        <w:t xml:space="preserve">± </w:t>
      </w:r>
      <w:r w:rsidR="00003BBF" w:rsidRPr="00DB56CA">
        <w:rPr>
          <w:color w:val="000000"/>
          <w:lang w:val="en-GB"/>
        </w:rPr>
        <w:t>S</w:t>
      </w:r>
      <w:r w:rsidR="00160CE7" w:rsidRPr="00DB56CA">
        <w:rPr>
          <w:color w:val="000000"/>
          <w:lang w:val="en-GB"/>
        </w:rPr>
        <w:t xml:space="preserve">tandard </w:t>
      </w:r>
      <w:r w:rsidR="00003BBF" w:rsidRPr="00DB56CA">
        <w:rPr>
          <w:color w:val="000000"/>
          <w:lang w:val="en-GB"/>
        </w:rPr>
        <w:t>D</w:t>
      </w:r>
      <w:r w:rsidR="00160CE7" w:rsidRPr="00DB56CA">
        <w:rPr>
          <w:color w:val="000000"/>
          <w:lang w:val="en-GB"/>
        </w:rPr>
        <w:t>eviation (</w:t>
      </w:r>
      <w:r w:rsidR="000016FC" w:rsidRPr="00DB56CA">
        <w:rPr>
          <w:color w:val="000000"/>
          <w:lang w:val="en-GB"/>
        </w:rPr>
        <w:t>SD</w:t>
      </w:r>
      <w:r w:rsidR="00160CE7" w:rsidRPr="00DB56CA">
        <w:rPr>
          <w:color w:val="000000"/>
          <w:lang w:val="en-GB"/>
        </w:rPr>
        <w:t>)</w:t>
      </w:r>
      <w:r w:rsidR="001F56C8" w:rsidRPr="00DB56CA">
        <w:rPr>
          <w:color w:val="000000"/>
          <w:lang w:val="en-GB"/>
        </w:rPr>
        <w:t>.</w:t>
      </w:r>
      <w:r w:rsidR="007D1912" w:rsidRPr="00DB56CA">
        <w:rPr>
          <w:color w:val="000000"/>
          <w:lang w:val="en-GB"/>
        </w:rPr>
        <w:t xml:space="preserve"> </w:t>
      </w:r>
      <w:r w:rsidR="00C04CFA" w:rsidRPr="00DB56CA">
        <w:rPr>
          <w:color w:val="000000"/>
          <w:lang w:val="en-GB"/>
        </w:rPr>
        <w:t>Relationships between variables were analysed using Pearson’s correlation coefficients.</w:t>
      </w:r>
      <w:r w:rsidR="00272DC2" w:rsidRPr="00DB56CA">
        <w:rPr>
          <w:color w:val="000000"/>
          <w:lang w:val="en-GB"/>
        </w:rPr>
        <w:t xml:space="preserve"> Significance level was set at </w:t>
      </w:r>
      <w:r w:rsidR="00272DC2" w:rsidRPr="00DB56CA">
        <w:rPr>
          <w:i/>
          <w:color w:val="000000"/>
          <w:lang w:val="en-GB"/>
        </w:rPr>
        <w:t>p&lt;</w:t>
      </w:r>
      <w:r w:rsidR="00272DC2" w:rsidRPr="00DB56CA">
        <w:rPr>
          <w:color w:val="000000"/>
          <w:lang w:val="en-GB"/>
        </w:rPr>
        <w:t>0.05</w:t>
      </w:r>
      <w:r w:rsidR="00FC04CB" w:rsidRPr="00DB56CA">
        <w:rPr>
          <w:color w:val="000000"/>
          <w:lang w:val="en-GB"/>
        </w:rPr>
        <w:t xml:space="preserve">. </w:t>
      </w:r>
      <w:r w:rsidR="00FE3EE0" w:rsidRPr="00DB56CA">
        <w:rPr>
          <w:color w:val="000000" w:themeColor="text1"/>
          <w:lang w:val="en-GB"/>
        </w:rPr>
        <w:t xml:space="preserve">The magnitude of correlation between the variables was interpreted using the following criteria: </w:t>
      </w:r>
      <w:r w:rsidR="00FE3EE0" w:rsidRPr="00DB56CA">
        <w:rPr>
          <w:i/>
          <w:color w:val="000000" w:themeColor="text1"/>
          <w:lang w:val="en-GB"/>
        </w:rPr>
        <w:t>r</w:t>
      </w:r>
      <w:r w:rsidR="00FE3EE0" w:rsidRPr="00DB56CA">
        <w:rPr>
          <w:color w:val="000000" w:themeColor="text1"/>
          <w:lang w:val="en-GB"/>
        </w:rPr>
        <w:t xml:space="preserve"> &lt; 0.1, trivial; 0.1 &lt; </w:t>
      </w:r>
      <w:r w:rsidR="00FE3EE0" w:rsidRPr="00DB56CA">
        <w:rPr>
          <w:i/>
          <w:color w:val="000000" w:themeColor="text1"/>
          <w:lang w:val="en-GB"/>
        </w:rPr>
        <w:t>r</w:t>
      </w:r>
      <w:r w:rsidR="00FE3EE0" w:rsidRPr="00DB56CA">
        <w:rPr>
          <w:color w:val="000000" w:themeColor="text1"/>
          <w:lang w:val="en-GB"/>
        </w:rPr>
        <w:t xml:space="preserve"> &lt; 0.3 small; 0.3 &lt; </w:t>
      </w:r>
      <w:r w:rsidR="00FE3EE0" w:rsidRPr="00DB56CA">
        <w:rPr>
          <w:i/>
          <w:color w:val="000000" w:themeColor="text1"/>
          <w:lang w:val="en-GB"/>
        </w:rPr>
        <w:t>r</w:t>
      </w:r>
      <w:r w:rsidR="00FE3EE0" w:rsidRPr="00DB56CA">
        <w:rPr>
          <w:color w:val="000000" w:themeColor="text1"/>
          <w:lang w:val="en-GB"/>
        </w:rPr>
        <w:t xml:space="preserve"> &lt; 0.5 moderate; 0.5 &lt; </w:t>
      </w:r>
      <w:r w:rsidR="00FE3EE0" w:rsidRPr="00DB56CA">
        <w:rPr>
          <w:i/>
          <w:color w:val="000000" w:themeColor="text1"/>
          <w:lang w:val="en-GB"/>
        </w:rPr>
        <w:t>r</w:t>
      </w:r>
      <w:r w:rsidR="00FE3EE0" w:rsidRPr="00DB56CA">
        <w:rPr>
          <w:color w:val="000000" w:themeColor="text1"/>
          <w:lang w:val="en-GB"/>
        </w:rPr>
        <w:t xml:space="preserve"> &lt; 0.7 large; 0.7 &lt; </w:t>
      </w:r>
      <w:r w:rsidR="00FE3EE0" w:rsidRPr="00DB56CA">
        <w:rPr>
          <w:i/>
          <w:color w:val="000000" w:themeColor="text1"/>
          <w:lang w:val="en-GB"/>
        </w:rPr>
        <w:t>r</w:t>
      </w:r>
      <w:r w:rsidR="00FE3EE0" w:rsidRPr="00DB56CA">
        <w:rPr>
          <w:color w:val="000000" w:themeColor="text1"/>
          <w:lang w:val="en-GB"/>
        </w:rPr>
        <w:t xml:space="preserve"> &lt;0.9 very lar</w:t>
      </w:r>
      <w:r w:rsidR="00AE368E" w:rsidRPr="00DB56CA">
        <w:rPr>
          <w:color w:val="000000" w:themeColor="text1"/>
          <w:lang w:val="en-GB"/>
        </w:rPr>
        <w:t xml:space="preserve">ge, </w:t>
      </w:r>
      <w:r w:rsidR="00AE368E" w:rsidRPr="00DB56CA">
        <w:rPr>
          <w:i/>
          <w:color w:val="000000" w:themeColor="text1"/>
          <w:lang w:val="en-GB"/>
        </w:rPr>
        <w:t>r</w:t>
      </w:r>
      <w:r w:rsidR="00AE368E" w:rsidRPr="00DB56CA">
        <w:rPr>
          <w:color w:val="000000" w:themeColor="text1"/>
          <w:lang w:val="en-GB"/>
        </w:rPr>
        <w:t xml:space="preserve"> &gt; 0.9 almost perfect; </w:t>
      </w:r>
      <w:r w:rsidR="00AE368E" w:rsidRPr="00DB56CA">
        <w:rPr>
          <w:i/>
          <w:color w:val="000000" w:themeColor="text1"/>
          <w:lang w:val="en-GB"/>
        </w:rPr>
        <w:t>r=</w:t>
      </w:r>
      <w:r w:rsidR="00FE3EE0" w:rsidRPr="00DB56CA">
        <w:rPr>
          <w:color w:val="000000" w:themeColor="text1"/>
          <w:lang w:val="en-GB"/>
        </w:rPr>
        <w:t>1 perfect (</w:t>
      </w:r>
      <w:r w:rsidR="00554E0B" w:rsidRPr="00DB56CA">
        <w:rPr>
          <w:color w:val="000000" w:themeColor="text1"/>
          <w:lang w:val="en-GB"/>
        </w:rPr>
        <w:t>17</w:t>
      </w:r>
      <w:r w:rsidR="00FE3EE0" w:rsidRPr="00DB56CA">
        <w:rPr>
          <w:color w:val="000000" w:themeColor="text1"/>
          <w:lang w:val="en-GB"/>
        </w:rPr>
        <w:t>)</w:t>
      </w:r>
      <w:r w:rsidR="001F56C8" w:rsidRPr="00DB56CA">
        <w:rPr>
          <w:color w:val="000000" w:themeColor="text1"/>
          <w:lang w:val="en-GB"/>
        </w:rPr>
        <w:t xml:space="preserve">. </w:t>
      </w:r>
      <w:r w:rsidR="00FE3EE0" w:rsidRPr="00DB56CA">
        <w:rPr>
          <w:color w:val="000000" w:themeColor="text1"/>
          <w:lang w:val="en-GB"/>
        </w:rPr>
        <w:t>Data were analysed using SPSS statistical analysis software for Mac (version 23.0, SPSS Inc., Chicago, IL, USA)</w:t>
      </w:r>
      <w:r w:rsidR="00172201" w:rsidRPr="00DB56CA">
        <w:rPr>
          <w:color w:val="000000" w:themeColor="text1"/>
          <w:lang w:val="en-GB"/>
        </w:rPr>
        <w:t>.</w:t>
      </w:r>
      <w:bookmarkStart w:id="0" w:name="_GoBack"/>
      <w:bookmarkEnd w:id="0"/>
    </w:p>
    <w:p w14:paraId="3EFFDAEA" w14:textId="77777777" w:rsidR="001B3525" w:rsidRPr="00DB56CA" w:rsidRDefault="00FE3EE0" w:rsidP="001B3525">
      <w:pPr>
        <w:widowControl w:val="0"/>
        <w:autoSpaceDE w:val="0"/>
        <w:autoSpaceDN w:val="0"/>
        <w:adjustRightInd w:val="0"/>
        <w:spacing w:after="100" w:afterAutospacing="1" w:line="480" w:lineRule="auto"/>
        <w:contextualSpacing/>
        <w:jc w:val="both"/>
        <w:rPr>
          <w:b/>
          <w:i/>
          <w:color w:val="000000" w:themeColor="text1"/>
          <w:lang w:val="en-GB"/>
        </w:rPr>
      </w:pPr>
      <w:r w:rsidRPr="00DB56CA">
        <w:rPr>
          <w:b/>
          <w:i/>
          <w:color w:val="000000" w:themeColor="text1"/>
          <w:lang w:val="en-GB"/>
        </w:rPr>
        <w:t xml:space="preserve">Monthly Variation: </w:t>
      </w:r>
    </w:p>
    <w:p w14:paraId="3928537F" w14:textId="77777777" w:rsidR="001B3525" w:rsidRPr="00DB56CA" w:rsidRDefault="004A4189" w:rsidP="001B3525">
      <w:pPr>
        <w:widowControl w:val="0"/>
        <w:autoSpaceDE w:val="0"/>
        <w:autoSpaceDN w:val="0"/>
        <w:adjustRightInd w:val="0"/>
        <w:spacing w:after="100" w:afterAutospacing="1" w:line="480" w:lineRule="auto"/>
        <w:contextualSpacing/>
        <w:jc w:val="both"/>
        <w:rPr>
          <w:color w:val="000000" w:themeColor="text1"/>
          <w:lang w:val="en-GB"/>
        </w:rPr>
      </w:pPr>
      <w:r w:rsidRPr="00DB56CA">
        <w:rPr>
          <w:color w:val="000000"/>
          <w:lang w:val="en-GB"/>
        </w:rPr>
        <w:t xml:space="preserve">To </w:t>
      </w:r>
      <w:r w:rsidR="00BA4803" w:rsidRPr="00DB56CA">
        <w:rPr>
          <w:color w:val="000000"/>
          <w:lang w:val="en-GB"/>
        </w:rPr>
        <w:t>examine</w:t>
      </w:r>
      <w:r w:rsidRPr="00DB56CA">
        <w:rPr>
          <w:color w:val="000000"/>
          <w:lang w:val="en-GB"/>
        </w:rPr>
        <w:t xml:space="preserve"> the monthly variation, HRTL and sRPETL were correlated using </w:t>
      </w:r>
      <w:r w:rsidRPr="00DB56CA">
        <w:rPr>
          <w:color w:val="000000" w:themeColor="text1"/>
          <w:lang w:val="en-GB"/>
        </w:rPr>
        <w:t>w</w:t>
      </w:r>
      <w:r w:rsidR="004033AF" w:rsidRPr="00DB56CA">
        <w:rPr>
          <w:color w:val="000000" w:themeColor="text1"/>
          <w:lang w:val="en-GB"/>
        </w:rPr>
        <w:t xml:space="preserve">ithin participant </w:t>
      </w:r>
      <w:r w:rsidRPr="00DB56CA">
        <w:rPr>
          <w:color w:val="000000" w:themeColor="text1"/>
          <w:lang w:val="en-GB"/>
        </w:rPr>
        <w:t xml:space="preserve">Pearson’s </w:t>
      </w:r>
      <w:r w:rsidR="008D06D1" w:rsidRPr="00DB56CA">
        <w:rPr>
          <w:color w:val="000000" w:themeColor="text1"/>
          <w:lang w:val="en-GB"/>
        </w:rPr>
        <w:t>correlations</w:t>
      </w:r>
      <w:r w:rsidR="00CF6C73" w:rsidRPr="00DB56CA">
        <w:rPr>
          <w:color w:val="000000" w:themeColor="text1"/>
          <w:lang w:val="en-GB"/>
        </w:rPr>
        <w:t xml:space="preserve">. </w:t>
      </w:r>
      <w:r w:rsidRPr="00DB56CA">
        <w:rPr>
          <w:color w:val="000000" w:themeColor="text1"/>
          <w:lang w:val="en-GB"/>
        </w:rPr>
        <w:t>This method quantifies the correlation</w:t>
      </w:r>
      <w:r w:rsidR="00F23D65" w:rsidRPr="00DB56CA">
        <w:rPr>
          <w:color w:val="000000" w:themeColor="text1"/>
          <w:lang w:val="en-GB"/>
        </w:rPr>
        <w:t xml:space="preserve">, and 95% </w:t>
      </w:r>
      <w:r w:rsidR="00003BBF" w:rsidRPr="00DB56CA">
        <w:rPr>
          <w:color w:val="000000" w:themeColor="text1"/>
          <w:lang w:val="en-GB"/>
        </w:rPr>
        <w:t>C</w:t>
      </w:r>
      <w:r w:rsidR="00F23D65" w:rsidRPr="00DB56CA">
        <w:rPr>
          <w:color w:val="000000" w:themeColor="text1"/>
          <w:lang w:val="en-GB"/>
        </w:rPr>
        <w:t xml:space="preserve">onfidence </w:t>
      </w:r>
      <w:r w:rsidR="00003BBF" w:rsidRPr="00DB56CA">
        <w:rPr>
          <w:color w:val="000000" w:themeColor="text1"/>
          <w:lang w:val="en-GB"/>
        </w:rPr>
        <w:t>I</w:t>
      </w:r>
      <w:r w:rsidR="00F23D65" w:rsidRPr="00DB56CA">
        <w:rPr>
          <w:color w:val="000000" w:themeColor="text1"/>
          <w:lang w:val="en-GB"/>
        </w:rPr>
        <w:t>ntervals</w:t>
      </w:r>
      <w:r w:rsidR="008D06D1" w:rsidRPr="00DB56CA">
        <w:rPr>
          <w:color w:val="000000" w:themeColor="text1"/>
          <w:lang w:val="en-GB"/>
        </w:rPr>
        <w:t xml:space="preserve"> (CI)</w:t>
      </w:r>
      <w:r w:rsidR="00F23D65" w:rsidRPr="00DB56CA">
        <w:rPr>
          <w:color w:val="000000" w:themeColor="text1"/>
          <w:lang w:val="en-GB"/>
        </w:rPr>
        <w:t>,</w:t>
      </w:r>
      <w:r w:rsidRPr="00DB56CA">
        <w:rPr>
          <w:color w:val="000000" w:themeColor="text1"/>
          <w:lang w:val="en-GB"/>
        </w:rPr>
        <w:t xml:space="preserve"> between the covariate (HR)</w:t>
      </w:r>
      <w:r w:rsidR="00F23D65" w:rsidRPr="00DB56CA">
        <w:rPr>
          <w:color w:val="000000" w:themeColor="text1"/>
          <w:lang w:val="en-GB"/>
        </w:rPr>
        <w:t xml:space="preserve"> and outcome</w:t>
      </w:r>
      <w:r w:rsidR="00547111" w:rsidRPr="00DB56CA">
        <w:rPr>
          <w:color w:val="000000" w:themeColor="text1"/>
          <w:lang w:val="en-GB"/>
        </w:rPr>
        <w:t xml:space="preserve"> (s</w:t>
      </w:r>
      <w:r w:rsidR="00F23D65" w:rsidRPr="00DB56CA">
        <w:rPr>
          <w:color w:val="000000" w:themeColor="text1"/>
          <w:lang w:val="en-GB"/>
        </w:rPr>
        <w:t>RPE) while accounting for the within-participant nature of the study design</w:t>
      </w:r>
      <w:r w:rsidR="001F56C8" w:rsidRPr="00DB56CA">
        <w:rPr>
          <w:color w:val="000000" w:themeColor="text1"/>
          <w:lang w:val="en-GB"/>
        </w:rPr>
        <w:t xml:space="preserve">. </w:t>
      </w:r>
      <w:r w:rsidR="00F23D65" w:rsidRPr="00DB56CA">
        <w:rPr>
          <w:color w:val="000000" w:themeColor="text1"/>
          <w:lang w:val="en-GB"/>
        </w:rPr>
        <w:t xml:space="preserve">Data </w:t>
      </w:r>
      <w:r w:rsidR="002D3926" w:rsidRPr="00DB56CA">
        <w:rPr>
          <w:color w:val="000000" w:themeColor="text1"/>
          <w:lang w:val="en-GB"/>
        </w:rPr>
        <w:t>was</w:t>
      </w:r>
      <w:r w:rsidR="00F23D65" w:rsidRPr="00DB56CA">
        <w:rPr>
          <w:color w:val="000000" w:themeColor="text1"/>
          <w:lang w:val="en-GB"/>
        </w:rPr>
        <w:t xml:space="preserve"> pooled for the month, not for individual participants, providing higher degrees of freedom and statistical power than for individual participants</w:t>
      </w:r>
      <w:r w:rsidR="00172201" w:rsidRPr="00DB56CA">
        <w:rPr>
          <w:color w:val="000000" w:themeColor="text1"/>
          <w:lang w:val="en-GB"/>
        </w:rPr>
        <w:t xml:space="preserve">. </w:t>
      </w:r>
      <w:r w:rsidR="00A62314" w:rsidRPr="00DB56CA">
        <w:rPr>
          <w:color w:val="000000" w:themeColor="text1"/>
          <w:lang w:val="en-GB"/>
        </w:rPr>
        <w:t xml:space="preserve">To understand the difference </w:t>
      </w:r>
      <w:r w:rsidR="00BA4803" w:rsidRPr="00DB56CA">
        <w:rPr>
          <w:color w:val="000000" w:themeColor="text1"/>
          <w:lang w:val="en-GB"/>
        </w:rPr>
        <w:t>between</w:t>
      </w:r>
      <w:r w:rsidR="00A62314" w:rsidRPr="00DB56CA">
        <w:rPr>
          <w:color w:val="000000" w:themeColor="text1"/>
          <w:lang w:val="en-GB"/>
        </w:rPr>
        <w:t xml:space="preserve"> the correlations</w:t>
      </w:r>
      <w:r w:rsidR="00BA4803" w:rsidRPr="00DB56CA">
        <w:rPr>
          <w:color w:val="000000" w:themeColor="text1"/>
          <w:lang w:val="en-GB"/>
        </w:rPr>
        <w:t>,</w:t>
      </w:r>
      <w:r w:rsidR="00A62314" w:rsidRPr="00DB56CA">
        <w:rPr>
          <w:color w:val="000000" w:themeColor="text1"/>
          <w:lang w:val="en-GB"/>
        </w:rPr>
        <w:t xml:space="preserve"> Fisher’s r-to-z transformation was used</w:t>
      </w:r>
      <w:r w:rsidR="001F56C8" w:rsidRPr="00DB56CA">
        <w:rPr>
          <w:color w:val="000000" w:themeColor="text1"/>
          <w:lang w:val="en-GB"/>
        </w:rPr>
        <w:t xml:space="preserve">. </w:t>
      </w:r>
      <w:r w:rsidR="00C13A58" w:rsidRPr="00DB56CA">
        <w:rPr>
          <w:color w:val="000000" w:themeColor="text1"/>
          <w:lang w:val="en-GB"/>
        </w:rPr>
        <w:t>To investigate the trends or biases in the data</w:t>
      </w:r>
      <w:r w:rsidR="00AB5A73" w:rsidRPr="00DB56CA">
        <w:rPr>
          <w:color w:val="000000" w:themeColor="text1"/>
          <w:lang w:val="en-GB"/>
        </w:rPr>
        <w:t xml:space="preserve"> </w:t>
      </w:r>
      <w:r w:rsidR="00E95AA0" w:rsidRPr="00DB56CA">
        <w:rPr>
          <w:color w:val="000000" w:themeColor="text1"/>
          <w:lang w:val="en-GB"/>
        </w:rPr>
        <w:t>Bland-</w:t>
      </w:r>
      <w:r w:rsidR="00AB5A73" w:rsidRPr="00DB56CA">
        <w:rPr>
          <w:color w:val="000000" w:themeColor="text1"/>
          <w:lang w:val="en-GB"/>
        </w:rPr>
        <w:t>Altman</w:t>
      </w:r>
      <w:r w:rsidR="00E95AA0" w:rsidRPr="00DB56CA">
        <w:rPr>
          <w:color w:val="000000" w:themeColor="text1"/>
          <w:lang w:val="en-GB"/>
        </w:rPr>
        <w:t xml:space="preserve"> plot</w:t>
      </w:r>
      <w:r w:rsidR="00C13A58" w:rsidRPr="00DB56CA">
        <w:rPr>
          <w:color w:val="000000" w:themeColor="text1"/>
          <w:lang w:val="en-GB"/>
        </w:rPr>
        <w:t xml:space="preserve">s of agreement </w:t>
      </w:r>
      <w:r w:rsidR="00547111" w:rsidRPr="00DB56CA">
        <w:rPr>
          <w:color w:val="000000" w:themeColor="text1"/>
          <w:lang w:val="en-GB"/>
        </w:rPr>
        <w:t xml:space="preserve">and 95% </w:t>
      </w:r>
      <w:r w:rsidR="00003BBF" w:rsidRPr="00DB56CA">
        <w:rPr>
          <w:color w:val="000000" w:themeColor="text1"/>
          <w:lang w:val="en-GB"/>
        </w:rPr>
        <w:t>L</w:t>
      </w:r>
      <w:r w:rsidR="00547111" w:rsidRPr="00DB56CA">
        <w:rPr>
          <w:color w:val="000000" w:themeColor="text1"/>
          <w:lang w:val="en-GB"/>
        </w:rPr>
        <w:t xml:space="preserve">imits </w:t>
      </w:r>
      <w:r w:rsidR="00003BBF" w:rsidRPr="00DB56CA">
        <w:rPr>
          <w:color w:val="000000" w:themeColor="text1"/>
          <w:lang w:val="en-GB"/>
        </w:rPr>
        <w:t>O</w:t>
      </w:r>
      <w:r w:rsidR="00547111" w:rsidRPr="00DB56CA">
        <w:rPr>
          <w:color w:val="000000" w:themeColor="text1"/>
          <w:lang w:val="en-GB"/>
        </w:rPr>
        <w:t xml:space="preserve">f </w:t>
      </w:r>
      <w:r w:rsidR="00003BBF" w:rsidRPr="00DB56CA">
        <w:rPr>
          <w:color w:val="000000" w:themeColor="text1"/>
          <w:lang w:val="en-GB"/>
        </w:rPr>
        <w:lastRenderedPageBreak/>
        <w:t>A</w:t>
      </w:r>
      <w:r w:rsidR="00547111" w:rsidRPr="00DB56CA">
        <w:rPr>
          <w:color w:val="000000" w:themeColor="text1"/>
          <w:lang w:val="en-GB"/>
        </w:rPr>
        <w:t>greement (</w:t>
      </w:r>
      <w:r w:rsidR="00D9030D" w:rsidRPr="00DB56CA">
        <w:rPr>
          <w:color w:val="000000" w:themeColor="text1"/>
          <w:lang w:val="en-GB"/>
        </w:rPr>
        <w:t xml:space="preserve">LOA) </w:t>
      </w:r>
      <w:r w:rsidR="00C13A58" w:rsidRPr="00DB56CA">
        <w:rPr>
          <w:color w:val="000000" w:themeColor="text1"/>
          <w:lang w:val="en-GB"/>
        </w:rPr>
        <w:t>were</w:t>
      </w:r>
      <w:r w:rsidR="00E95AA0" w:rsidRPr="00DB56CA">
        <w:rPr>
          <w:color w:val="000000" w:themeColor="text1"/>
          <w:lang w:val="en-GB"/>
        </w:rPr>
        <w:t xml:space="preserve"> plotted for each month using standardised scores</w:t>
      </w:r>
      <w:r w:rsidR="00120377" w:rsidRPr="00DB56CA">
        <w:rPr>
          <w:color w:val="000000" w:themeColor="text1"/>
          <w:lang w:val="en-GB"/>
        </w:rPr>
        <w:t xml:space="preserve"> (z-scores)</w:t>
      </w:r>
      <w:r w:rsidR="00E95AA0" w:rsidRPr="00DB56CA">
        <w:rPr>
          <w:color w:val="000000" w:themeColor="text1"/>
          <w:lang w:val="en-GB"/>
        </w:rPr>
        <w:t xml:space="preserve"> of HR and sRPE training loads (</w:t>
      </w:r>
      <w:r w:rsidR="00577B53" w:rsidRPr="00DB56CA">
        <w:rPr>
          <w:color w:val="000000" w:themeColor="text1"/>
          <w:lang w:val="en-GB"/>
        </w:rPr>
        <w:t>3</w:t>
      </w:r>
      <w:r w:rsidR="00E95AA0" w:rsidRPr="00DB56CA">
        <w:rPr>
          <w:color w:val="000000" w:themeColor="text1"/>
          <w:lang w:val="en-GB"/>
        </w:rPr>
        <w:t>)</w:t>
      </w:r>
      <w:r w:rsidR="001F56C8" w:rsidRPr="00DB56CA">
        <w:rPr>
          <w:color w:val="000000" w:themeColor="text1"/>
          <w:lang w:val="en-GB"/>
        </w:rPr>
        <w:t xml:space="preserve">. </w:t>
      </w:r>
      <w:r w:rsidR="00D9030D" w:rsidRPr="00DB56CA">
        <w:rPr>
          <w:color w:val="000000" w:themeColor="text1"/>
          <w:lang w:val="en-GB"/>
        </w:rPr>
        <w:t xml:space="preserve">The 95% LOA were calculated as: mean difference </w:t>
      </w:r>
      <w:r w:rsidR="00D9030D" w:rsidRPr="00DB56CA">
        <w:rPr>
          <w:color w:val="000000"/>
          <w:lang w:val="en-GB"/>
        </w:rPr>
        <w:t>±</w:t>
      </w:r>
      <w:r w:rsidR="00AE368E" w:rsidRPr="00DB56CA">
        <w:rPr>
          <w:color w:val="000000" w:themeColor="text1"/>
          <w:lang w:val="en-GB"/>
        </w:rPr>
        <w:t>1.96x</w:t>
      </w:r>
      <w:r w:rsidR="00D9030D" w:rsidRPr="00DB56CA">
        <w:rPr>
          <w:color w:val="000000" w:themeColor="text1"/>
          <w:lang w:val="en-GB"/>
        </w:rPr>
        <w:t>SD of differences</w:t>
      </w:r>
      <w:r w:rsidR="001F56C8" w:rsidRPr="00DB56CA">
        <w:rPr>
          <w:color w:val="000000" w:themeColor="text1"/>
          <w:lang w:val="en-GB"/>
        </w:rPr>
        <w:t xml:space="preserve">. </w:t>
      </w:r>
      <w:r w:rsidR="002D3926" w:rsidRPr="00DB56CA">
        <w:rPr>
          <w:color w:val="000000" w:themeColor="text1"/>
          <w:lang w:val="en-GB"/>
        </w:rPr>
        <w:t>Coefficient of determination (R</w:t>
      </w:r>
      <w:r w:rsidR="002D3926" w:rsidRPr="00DB56CA">
        <w:rPr>
          <w:color w:val="000000" w:themeColor="text1"/>
          <w:vertAlign w:val="superscript"/>
          <w:lang w:val="en-GB"/>
        </w:rPr>
        <w:t>2</w:t>
      </w:r>
      <w:r w:rsidR="002D3926" w:rsidRPr="00DB56CA">
        <w:rPr>
          <w:color w:val="000000" w:themeColor="text1"/>
          <w:lang w:val="en-GB"/>
        </w:rPr>
        <w:t>) were calculated to investigate percentage of variance in HRTL estimations explained by sRPETL for each month.</w:t>
      </w:r>
    </w:p>
    <w:p w14:paraId="24AC0CCF" w14:textId="2DA04229" w:rsidR="001B3525" w:rsidRPr="00DB56CA" w:rsidRDefault="00FE3EE0" w:rsidP="001B3525">
      <w:pPr>
        <w:widowControl w:val="0"/>
        <w:autoSpaceDE w:val="0"/>
        <w:autoSpaceDN w:val="0"/>
        <w:adjustRightInd w:val="0"/>
        <w:spacing w:after="100" w:afterAutospacing="1" w:line="480" w:lineRule="auto"/>
        <w:contextualSpacing/>
        <w:jc w:val="both"/>
        <w:rPr>
          <w:b/>
          <w:i/>
          <w:color w:val="000000" w:themeColor="text1"/>
          <w:lang w:val="en-GB"/>
        </w:rPr>
      </w:pPr>
      <w:r w:rsidRPr="00DB56CA">
        <w:rPr>
          <w:b/>
          <w:i/>
          <w:color w:val="000000" w:themeColor="text1"/>
          <w:lang w:val="en-GB"/>
        </w:rPr>
        <w:t>Validity of scale :</w:t>
      </w:r>
    </w:p>
    <w:p w14:paraId="18DEAD4A" w14:textId="1B185F25" w:rsidR="00D21F86" w:rsidRPr="00DB56CA" w:rsidRDefault="00314B20" w:rsidP="001B3525">
      <w:pPr>
        <w:widowControl w:val="0"/>
        <w:autoSpaceDE w:val="0"/>
        <w:autoSpaceDN w:val="0"/>
        <w:adjustRightInd w:val="0"/>
        <w:spacing w:after="100" w:afterAutospacing="1" w:line="480" w:lineRule="auto"/>
        <w:contextualSpacing/>
        <w:jc w:val="both"/>
        <w:rPr>
          <w:color w:val="000000"/>
          <w:lang w:val="en-GB"/>
        </w:rPr>
      </w:pPr>
      <w:r w:rsidRPr="00DB56CA">
        <w:rPr>
          <w:color w:val="000000" w:themeColor="text1"/>
          <w:lang w:val="en-GB"/>
        </w:rPr>
        <w:t>To examine</w:t>
      </w:r>
      <w:r w:rsidR="00FE3EE0" w:rsidRPr="00DB56CA">
        <w:rPr>
          <w:color w:val="000000" w:themeColor="text1"/>
          <w:lang w:val="en-GB"/>
        </w:rPr>
        <w:t xml:space="preserve"> the validity of the scale </w:t>
      </w:r>
      <w:r w:rsidR="00C13A58" w:rsidRPr="00DB56CA">
        <w:rPr>
          <w:color w:val="000000" w:themeColor="text1"/>
          <w:lang w:val="en-GB"/>
        </w:rPr>
        <w:t>individual player correlations between HRTL and sRPETL were calculated</w:t>
      </w:r>
      <w:r w:rsidR="00172201" w:rsidRPr="00DB56CA">
        <w:rPr>
          <w:color w:val="000000" w:themeColor="text1"/>
          <w:lang w:val="en-GB"/>
        </w:rPr>
        <w:t xml:space="preserve">. </w:t>
      </w:r>
      <w:r w:rsidR="00166664" w:rsidRPr="00DB56CA">
        <w:rPr>
          <w:color w:val="000000" w:themeColor="text1"/>
          <w:lang w:val="en-GB"/>
        </w:rPr>
        <w:t xml:space="preserve">Data were pooled by </w:t>
      </w:r>
      <w:r w:rsidR="00D42CB1" w:rsidRPr="00DB56CA">
        <w:rPr>
          <w:color w:val="000000" w:themeColor="text1"/>
          <w:lang w:val="en-GB"/>
        </w:rPr>
        <w:t>individual players for the entire period of the study</w:t>
      </w:r>
      <w:r w:rsidR="00172201" w:rsidRPr="00DB56CA">
        <w:rPr>
          <w:color w:val="000000" w:themeColor="text1"/>
          <w:lang w:val="en-GB"/>
        </w:rPr>
        <w:t xml:space="preserve">. </w:t>
      </w:r>
      <w:r w:rsidR="001F3975" w:rsidRPr="00DB56CA">
        <w:rPr>
          <w:color w:val="000000" w:themeColor="text1"/>
          <w:lang w:val="en-GB"/>
        </w:rPr>
        <w:t>Validity of the scale was</w:t>
      </w:r>
      <w:r w:rsidRPr="00DB56CA">
        <w:rPr>
          <w:color w:val="000000" w:themeColor="text1"/>
          <w:lang w:val="en-GB"/>
        </w:rPr>
        <w:t xml:space="preserve"> analysed by </w:t>
      </w:r>
      <w:r w:rsidR="00D42CB1" w:rsidRPr="00DB56CA">
        <w:rPr>
          <w:color w:val="000000" w:themeColor="text1"/>
          <w:lang w:val="en-GB"/>
        </w:rPr>
        <w:t>Bland-Altman plots of agreement</w:t>
      </w:r>
      <w:r w:rsidR="00D9030D" w:rsidRPr="00DB56CA">
        <w:rPr>
          <w:color w:val="000000" w:themeColor="text1"/>
          <w:lang w:val="en-GB"/>
        </w:rPr>
        <w:t xml:space="preserve"> and 95% LOA</w:t>
      </w:r>
      <w:r w:rsidR="00172201" w:rsidRPr="00DB56CA">
        <w:rPr>
          <w:color w:val="000000" w:themeColor="text1"/>
          <w:lang w:val="en-GB"/>
        </w:rPr>
        <w:t>.</w:t>
      </w:r>
      <w:r w:rsidR="00224CCD" w:rsidRPr="00DB56CA">
        <w:rPr>
          <w:color w:val="000000" w:themeColor="text1"/>
          <w:lang w:val="en-GB"/>
        </w:rPr>
        <w:t xml:space="preserve"> </w:t>
      </w:r>
      <w:r w:rsidR="002D3926" w:rsidRPr="00DB56CA">
        <w:rPr>
          <w:color w:val="000000" w:themeColor="text1"/>
          <w:lang w:val="en-GB"/>
        </w:rPr>
        <w:t>Coefficient of determination (R</w:t>
      </w:r>
      <w:r w:rsidR="002D3926" w:rsidRPr="00DB56CA">
        <w:rPr>
          <w:color w:val="000000" w:themeColor="text1"/>
          <w:vertAlign w:val="superscript"/>
          <w:lang w:val="en-GB"/>
        </w:rPr>
        <w:t>2</w:t>
      </w:r>
      <w:r w:rsidR="002D3926" w:rsidRPr="00DB56CA">
        <w:rPr>
          <w:color w:val="000000" w:themeColor="text1"/>
          <w:lang w:val="en-GB"/>
        </w:rPr>
        <w:t>) were calculated to investigate percentage of variance in HRTL estimations explained by sRPETL for each player</w:t>
      </w:r>
      <w:r w:rsidR="00172201" w:rsidRPr="00DB56CA">
        <w:rPr>
          <w:color w:val="000000" w:themeColor="text1"/>
          <w:lang w:val="en-GB"/>
        </w:rPr>
        <w:t>.</w:t>
      </w:r>
    </w:p>
    <w:p w14:paraId="5034E9B2" w14:textId="77777777" w:rsidR="00A4185A" w:rsidRPr="00DB56CA" w:rsidRDefault="00A4185A" w:rsidP="001B3525">
      <w:pPr>
        <w:widowControl w:val="0"/>
        <w:autoSpaceDE w:val="0"/>
        <w:autoSpaceDN w:val="0"/>
        <w:adjustRightInd w:val="0"/>
        <w:spacing w:after="100" w:afterAutospacing="1" w:line="480" w:lineRule="auto"/>
        <w:contextualSpacing/>
        <w:jc w:val="both"/>
        <w:rPr>
          <w:b/>
          <w:color w:val="000000" w:themeColor="text1"/>
          <w:lang w:val="en-GB"/>
        </w:rPr>
      </w:pPr>
    </w:p>
    <w:p w14:paraId="0EA36C38" w14:textId="77777777" w:rsidR="001B3525" w:rsidRPr="00DB56CA" w:rsidRDefault="00457796" w:rsidP="001B3525">
      <w:pPr>
        <w:widowControl w:val="0"/>
        <w:autoSpaceDE w:val="0"/>
        <w:autoSpaceDN w:val="0"/>
        <w:adjustRightInd w:val="0"/>
        <w:spacing w:after="100" w:afterAutospacing="1" w:line="480" w:lineRule="auto"/>
        <w:contextualSpacing/>
        <w:jc w:val="both"/>
        <w:rPr>
          <w:b/>
          <w:color w:val="000000" w:themeColor="text1"/>
          <w:lang w:val="en-GB"/>
        </w:rPr>
      </w:pPr>
      <w:r w:rsidRPr="00DB56CA">
        <w:rPr>
          <w:b/>
          <w:color w:val="000000" w:themeColor="text1"/>
          <w:lang w:val="en-GB"/>
        </w:rPr>
        <w:t>Results:</w:t>
      </w:r>
      <w:r w:rsidR="008D06D1" w:rsidRPr="00DB56CA">
        <w:rPr>
          <w:b/>
          <w:color w:val="000000" w:themeColor="text1"/>
          <w:lang w:val="en-GB"/>
        </w:rPr>
        <w:t xml:space="preserve"> </w:t>
      </w:r>
    </w:p>
    <w:p w14:paraId="084D52F1" w14:textId="77777777" w:rsidR="001B3525" w:rsidRPr="00DB56CA" w:rsidRDefault="00422DF9" w:rsidP="001B3525">
      <w:pPr>
        <w:widowControl w:val="0"/>
        <w:autoSpaceDE w:val="0"/>
        <w:autoSpaceDN w:val="0"/>
        <w:adjustRightInd w:val="0"/>
        <w:spacing w:after="100" w:afterAutospacing="1" w:line="480" w:lineRule="auto"/>
        <w:contextualSpacing/>
        <w:jc w:val="both"/>
        <w:rPr>
          <w:b/>
          <w:i/>
          <w:color w:val="000000" w:themeColor="text1"/>
          <w:lang w:val="en-GB"/>
        </w:rPr>
      </w:pPr>
      <w:r w:rsidRPr="00DB56CA">
        <w:rPr>
          <w:b/>
          <w:i/>
          <w:color w:val="000000" w:themeColor="text1"/>
          <w:lang w:val="en-GB"/>
        </w:rPr>
        <w:t>Monthly Variation:</w:t>
      </w:r>
    </w:p>
    <w:p w14:paraId="2753C45C" w14:textId="294F2B5A" w:rsidR="001B3525" w:rsidRPr="00DB56CA" w:rsidRDefault="00F87725" w:rsidP="005E03F7">
      <w:pPr>
        <w:spacing w:line="480" w:lineRule="auto"/>
        <w:jc w:val="both"/>
        <w:rPr>
          <w:color w:val="000000" w:themeColor="text1"/>
          <w:lang w:val="en-GB"/>
        </w:rPr>
      </w:pPr>
      <w:r w:rsidRPr="00DB56CA">
        <w:rPr>
          <w:color w:val="000000" w:themeColor="text1"/>
          <w:lang w:val="en-GB"/>
        </w:rPr>
        <w:t xml:space="preserve">The </w:t>
      </w:r>
      <w:r w:rsidR="003B76F2" w:rsidRPr="00DB56CA">
        <w:rPr>
          <w:color w:val="000000" w:themeColor="text1"/>
          <w:lang w:val="en-GB"/>
        </w:rPr>
        <w:t>mean</w:t>
      </w:r>
      <w:r w:rsidRPr="00DB56CA">
        <w:rPr>
          <w:color w:val="000000" w:themeColor="text1"/>
          <w:lang w:val="en-GB"/>
        </w:rPr>
        <w:t xml:space="preserve"> </w:t>
      </w:r>
      <w:r w:rsidR="00DA06F0" w:rsidRPr="00DB56CA">
        <w:rPr>
          <w:color w:val="000000" w:themeColor="text1"/>
          <w:lang w:val="en-GB"/>
        </w:rPr>
        <w:t>HRTL and sRPE</w:t>
      </w:r>
      <w:r w:rsidR="00482BE6" w:rsidRPr="00DB56CA">
        <w:rPr>
          <w:color w:val="000000" w:themeColor="text1"/>
          <w:lang w:val="en-GB"/>
        </w:rPr>
        <w:t xml:space="preserve">TL </w:t>
      </w:r>
      <w:r w:rsidRPr="00DB56CA">
        <w:rPr>
          <w:color w:val="000000" w:themeColor="text1"/>
          <w:lang w:val="en-GB"/>
        </w:rPr>
        <w:t xml:space="preserve">across the observed </w:t>
      </w:r>
      <w:r w:rsidR="00482BE6" w:rsidRPr="00DB56CA">
        <w:rPr>
          <w:color w:val="000000" w:themeColor="text1"/>
          <w:lang w:val="en-GB"/>
        </w:rPr>
        <w:t xml:space="preserve">sessions was </w:t>
      </w:r>
      <w:r w:rsidR="004E192B" w:rsidRPr="00DB56CA">
        <w:rPr>
          <w:color w:val="000000" w:themeColor="text1"/>
          <w:lang w:val="en-GB"/>
        </w:rPr>
        <w:t>25</w:t>
      </w:r>
      <w:r w:rsidR="00D21F86" w:rsidRPr="00DB56CA">
        <w:rPr>
          <w:color w:val="000000" w:themeColor="text1"/>
          <w:lang w:val="en-GB"/>
        </w:rPr>
        <w:t>9</w:t>
      </w:r>
      <w:r w:rsidR="00DA06F0" w:rsidRPr="00DB56CA">
        <w:rPr>
          <w:rFonts w:eastAsia="Helvetica"/>
          <w:color w:val="000000"/>
          <w:lang w:val="en-GB"/>
        </w:rPr>
        <w:t>±</w:t>
      </w:r>
      <w:r w:rsidR="004E192B" w:rsidRPr="00DB56CA">
        <w:rPr>
          <w:color w:val="000000"/>
          <w:lang w:val="en-GB"/>
        </w:rPr>
        <w:t>96</w:t>
      </w:r>
      <w:r w:rsidR="00BA79D6" w:rsidRPr="00DB56CA">
        <w:rPr>
          <w:color w:val="000000"/>
          <w:lang w:val="en-GB"/>
        </w:rPr>
        <w:t>AU</w:t>
      </w:r>
      <w:r w:rsidR="003B76F2" w:rsidRPr="00DB56CA">
        <w:rPr>
          <w:color w:val="000000" w:themeColor="text1"/>
          <w:lang w:val="en-GB"/>
        </w:rPr>
        <w:t xml:space="preserve"> </w:t>
      </w:r>
      <w:r w:rsidR="00B00C4A" w:rsidRPr="00DB56CA">
        <w:rPr>
          <w:color w:val="000000" w:themeColor="text1"/>
          <w:lang w:val="en-GB"/>
        </w:rPr>
        <w:t xml:space="preserve">and </w:t>
      </w:r>
      <w:r w:rsidR="004E192B" w:rsidRPr="00DB56CA">
        <w:rPr>
          <w:color w:val="000000" w:themeColor="text1"/>
          <w:lang w:val="en-GB"/>
        </w:rPr>
        <w:t>398</w:t>
      </w:r>
      <w:r w:rsidR="00DA06F0" w:rsidRPr="00DB56CA">
        <w:rPr>
          <w:rFonts w:eastAsia="Helvetica"/>
          <w:color w:val="000000"/>
          <w:lang w:val="en-GB"/>
        </w:rPr>
        <w:t>±</w:t>
      </w:r>
      <w:r w:rsidR="00B00C4A" w:rsidRPr="00DB56CA">
        <w:rPr>
          <w:color w:val="000000"/>
          <w:lang w:val="en-GB"/>
        </w:rPr>
        <w:t>1</w:t>
      </w:r>
      <w:r w:rsidR="004E192B" w:rsidRPr="00DB56CA">
        <w:rPr>
          <w:color w:val="000000"/>
          <w:lang w:val="en-GB"/>
        </w:rPr>
        <w:t>80</w:t>
      </w:r>
      <w:r w:rsidR="00BA79D6" w:rsidRPr="00DB56CA">
        <w:rPr>
          <w:color w:val="000000"/>
          <w:lang w:val="en-GB"/>
        </w:rPr>
        <w:t xml:space="preserve">AU </w:t>
      </w:r>
      <w:r w:rsidR="00482BE6" w:rsidRPr="00DB56CA">
        <w:rPr>
          <w:color w:val="000000" w:themeColor="text1"/>
          <w:lang w:val="en-GB"/>
        </w:rPr>
        <w:t>respectively</w:t>
      </w:r>
      <w:r w:rsidR="001C038F" w:rsidRPr="00DB56CA">
        <w:rPr>
          <w:color w:val="000000" w:themeColor="text1"/>
          <w:lang w:val="en-GB"/>
        </w:rPr>
        <w:t xml:space="preserve">. </w:t>
      </w:r>
      <w:r w:rsidR="001C038F" w:rsidRPr="00DB56CA">
        <w:rPr>
          <w:rFonts w:eastAsia="Times New Roman"/>
          <w:color w:val="222222"/>
          <w:highlight w:val="yellow"/>
          <w:shd w:val="clear" w:color="auto" w:fill="FFFFFF"/>
          <w:lang w:val="en-GB"/>
        </w:rPr>
        <w:t>A total of 863 data points (36.9% of total data) were analysed and 1477 (63.1%) were not included due to the following reasons: 88 rehabilitation data points (3.8%), 929 data points (39.7%) because only one measure was recorded/reported and finally 460 data points (19.7%) were lost since neither measure was reported/recorded</w:t>
      </w:r>
      <w:r w:rsidR="00172201" w:rsidRPr="00DB56CA">
        <w:rPr>
          <w:color w:val="000000" w:themeColor="text1"/>
          <w:highlight w:val="yellow"/>
          <w:lang w:val="en-GB"/>
        </w:rPr>
        <w:t>.</w:t>
      </w:r>
      <w:r w:rsidR="00172201" w:rsidRPr="00DB56CA">
        <w:rPr>
          <w:color w:val="000000" w:themeColor="text1"/>
          <w:lang w:val="en-GB"/>
        </w:rPr>
        <w:t xml:space="preserve"> </w:t>
      </w:r>
      <w:r w:rsidR="00C36914" w:rsidRPr="00DB56CA">
        <w:rPr>
          <w:color w:val="000000" w:themeColor="text1"/>
          <w:lang w:val="en-GB"/>
        </w:rPr>
        <w:t>T</w:t>
      </w:r>
      <w:r w:rsidR="00901247" w:rsidRPr="00DB56CA">
        <w:rPr>
          <w:color w:val="000000" w:themeColor="text1"/>
          <w:lang w:val="en-GB"/>
        </w:rPr>
        <w:t>he changes in HRTL and changes in sRPETL</w:t>
      </w:r>
      <w:r w:rsidR="00C36914" w:rsidRPr="00DB56CA">
        <w:rPr>
          <w:color w:val="000000" w:themeColor="text1"/>
          <w:lang w:val="en-GB"/>
        </w:rPr>
        <w:t>, over the entire period of the study,</w:t>
      </w:r>
      <w:r w:rsidR="00901247" w:rsidRPr="00DB56CA">
        <w:rPr>
          <w:color w:val="000000" w:themeColor="text1"/>
          <w:lang w:val="en-GB"/>
        </w:rPr>
        <w:t xml:space="preserve"> showed large cor</w:t>
      </w:r>
      <w:r w:rsidR="00E554B8" w:rsidRPr="00DB56CA">
        <w:rPr>
          <w:color w:val="000000" w:themeColor="text1"/>
          <w:lang w:val="en-GB"/>
        </w:rPr>
        <w:t>relations (</w:t>
      </w:r>
      <w:r w:rsidR="00112E39" w:rsidRPr="00DB56CA">
        <w:rPr>
          <w:i/>
          <w:color w:val="000000" w:themeColor="text1"/>
          <w:lang w:val="en-GB"/>
        </w:rPr>
        <w:t>r=</w:t>
      </w:r>
      <w:r w:rsidR="00112E39" w:rsidRPr="00DB56CA">
        <w:rPr>
          <w:color w:val="000000" w:themeColor="text1"/>
          <w:lang w:val="en-GB"/>
        </w:rPr>
        <w:t>0.64</w:t>
      </w:r>
      <w:r w:rsidR="00901247" w:rsidRPr="00DB56CA">
        <w:rPr>
          <w:color w:val="000000" w:themeColor="text1"/>
          <w:lang w:val="en-GB"/>
        </w:rPr>
        <w:t>; 95% CI</w:t>
      </w:r>
      <w:r w:rsidR="00767FBC" w:rsidRPr="00DB56CA">
        <w:rPr>
          <w:color w:val="000000" w:themeColor="text1"/>
          <w:lang w:val="en-GB"/>
        </w:rPr>
        <w:t xml:space="preserve"> 0.60-0.68</w:t>
      </w:r>
      <w:r w:rsidR="000906E7" w:rsidRPr="00DB56CA">
        <w:rPr>
          <w:color w:val="000000" w:themeColor="text1"/>
          <w:lang w:val="en-GB"/>
        </w:rPr>
        <w:t xml:space="preserve">; </w:t>
      </w:r>
      <w:r w:rsidR="000906E7" w:rsidRPr="00DB56CA">
        <w:rPr>
          <w:i/>
          <w:color w:val="000000" w:themeColor="text1"/>
          <w:lang w:val="en-GB"/>
        </w:rPr>
        <w:t>p</w:t>
      </w:r>
      <w:r w:rsidR="004E0AD3" w:rsidRPr="00DB56CA">
        <w:rPr>
          <w:i/>
          <w:color w:val="000000" w:themeColor="text1"/>
          <w:lang w:val="en-GB"/>
        </w:rPr>
        <w:t>&lt;</w:t>
      </w:r>
      <w:r w:rsidR="000906E7" w:rsidRPr="00DB56CA">
        <w:rPr>
          <w:color w:val="000000" w:themeColor="text1"/>
          <w:lang w:val="en-GB"/>
        </w:rPr>
        <w:t>0.001)</w:t>
      </w:r>
      <w:r w:rsidR="00172201" w:rsidRPr="00DB56CA">
        <w:rPr>
          <w:color w:val="000000" w:themeColor="text1"/>
          <w:lang w:val="en-GB"/>
        </w:rPr>
        <w:t xml:space="preserve">. </w:t>
      </w:r>
      <w:r w:rsidR="000906E7" w:rsidRPr="00DB56CA">
        <w:rPr>
          <w:color w:val="000000" w:themeColor="text1"/>
          <w:lang w:val="en-GB"/>
        </w:rPr>
        <w:t>Monthly correlations</w:t>
      </w:r>
      <w:r w:rsidR="002D3926" w:rsidRPr="00DB56CA">
        <w:rPr>
          <w:color w:val="000000" w:themeColor="text1"/>
          <w:lang w:val="en-GB"/>
        </w:rPr>
        <w:t xml:space="preserve">, </w:t>
      </w:r>
      <w:r w:rsidR="00D0522A" w:rsidRPr="00DB56CA">
        <w:rPr>
          <w:color w:val="000000" w:themeColor="text1"/>
          <w:lang w:val="en-GB"/>
        </w:rPr>
        <w:t>number of sessions for each month</w:t>
      </w:r>
      <w:r w:rsidR="003A098A" w:rsidRPr="00DB56CA">
        <w:rPr>
          <w:color w:val="000000" w:themeColor="text1"/>
          <w:lang w:val="en-GB"/>
        </w:rPr>
        <w:t xml:space="preserve">, </w:t>
      </w:r>
      <w:r w:rsidR="003A098A" w:rsidRPr="00DB56CA">
        <w:rPr>
          <w:color w:val="000000" w:themeColor="text1"/>
          <w:highlight w:val="yellow"/>
          <w:lang w:val="en-GB"/>
        </w:rPr>
        <w:t>average HRTL and sRPETL for each month</w:t>
      </w:r>
      <w:r w:rsidR="002D3926" w:rsidRPr="00DB56CA">
        <w:rPr>
          <w:color w:val="000000" w:themeColor="text1"/>
          <w:lang w:val="en-GB"/>
        </w:rPr>
        <w:t xml:space="preserve"> and R</w:t>
      </w:r>
      <w:r w:rsidR="002D3926" w:rsidRPr="00DB56CA">
        <w:rPr>
          <w:color w:val="000000" w:themeColor="text1"/>
          <w:vertAlign w:val="superscript"/>
          <w:lang w:val="en-GB"/>
        </w:rPr>
        <w:t>2</w:t>
      </w:r>
      <w:r w:rsidR="000906E7" w:rsidRPr="00DB56CA">
        <w:rPr>
          <w:color w:val="000000" w:themeColor="text1"/>
          <w:lang w:val="en-GB"/>
        </w:rPr>
        <w:t xml:space="preserve"> </w:t>
      </w:r>
      <w:r w:rsidR="004E0AD3" w:rsidRPr="00DB56CA">
        <w:rPr>
          <w:color w:val="000000" w:themeColor="text1"/>
          <w:lang w:val="en-GB"/>
        </w:rPr>
        <w:t xml:space="preserve">are shown in Table </w:t>
      </w:r>
      <w:r w:rsidR="00020D65" w:rsidRPr="00DB56CA">
        <w:rPr>
          <w:color w:val="000000" w:themeColor="text1"/>
          <w:lang w:val="en-GB"/>
        </w:rPr>
        <w:t>1</w:t>
      </w:r>
      <w:r w:rsidR="00172201" w:rsidRPr="00DB56CA">
        <w:rPr>
          <w:color w:val="000000" w:themeColor="text1"/>
          <w:lang w:val="en-GB"/>
        </w:rPr>
        <w:t>.</w:t>
      </w:r>
      <w:r w:rsidR="00224CCD" w:rsidRPr="00DB56CA">
        <w:rPr>
          <w:color w:val="000000" w:themeColor="text1"/>
          <w:lang w:val="en-GB"/>
        </w:rPr>
        <w:t xml:space="preserve"> </w:t>
      </w:r>
      <w:r w:rsidR="0042631A" w:rsidRPr="00DB56CA">
        <w:rPr>
          <w:color w:val="000000" w:themeColor="text1"/>
          <w:lang w:val="en-GB"/>
        </w:rPr>
        <w:t xml:space="preserve">There was no statistically </w:t>
      </w:r>
      <w:r w:rsidR="0042631A" w:rsidRPr="00DB56CA">
        <w:rPr>
          <w:color w:val="000000" w:themeColor="text1"/>
          <w:lang w:val="en-GB"/>
        </w:rPr>
        <w:lastRenderedPageBreak/>
        <w:t xml:space="preserve">significant difference between the monthly correlations between </w:t>
      </w:r>
      <w:r w:rsidR="00112E39" w:rsidRPr="00DB56CA">
        <w:rPr>
          <w:color w:val="000000" w:themeColor="text1"/>
          <w:lang w:val="en-GB"/>
        </w:rPr>
        <w:t>any</w:t>
      </w:r>
      <w:r w:rsidR="0042631A" w:rsidRPr="00DB56CA">
        <w:rPr>
          <w:color w:val="000000" w:themeColor="text1"/>
          <w:lang w:val="en-GB"/>
        </w:rPr>
        <w:t xml:space="preserve"> months</w:t>
      </w:r>
      <w:r w:rsidR="00422DF9" w:rsidRPr="00DB56CA">
        <w:rPr>
          <w:color w:val="000000" w:themeColor="text1"/>
          <w:lang w:val="en-GB"/>
        </w:rPr>
        <w:t xml:space="preserve"> when analysed using Fisher</w:t>
      </w:r>
      <w:r w:rsidR="00422DF9" w:rsidRPr="00DB56CA">
        <w:rPr>
          <w:rFonts w:eastAsia="Helvetica"/>
          <w:color w:val="000000" w:themeColor="text1"/>
          <w:lang w:val="en-GB"/>
        </w:rPr>
        <w:t>’s r-to-z transformation</w:t>
      </w:r>
      <w:r w:rsidR="00172201" w:rsidRPr="00DB56CA">
        <w:rPr>
          <w:color w:val="000000" w:themeColor="text1"/>
          <w:lang w:val="en-GB"/>
        </w:rPr>
        <w:t>.</w:t>
      </w:r>
    </w:p>
    <w:p w14:paraId="541B6248" w14:textId="77777777" w:rsidR="001B3525" w:rsidRPr="00DB56CA" w:rsidRDefault="002721AD" w:rsidP="001B3525">
      <w:pPr>
        <w:widowControl w:val="0"/>
        <w:autoSpaceDE w:val="0"/>
        <w:autoSpaceDN w:val="0"/>
        <w:adjustRightInd w:val="0"/>
        <w:spacing w:after="100" w:afterAutospacing="1" w:line="480" w:lineRule="auto"/>
        <w:contextualSpacing/>
        <w:jc w:val="center"/>
        <w:rPr>
          <w:color w:val="000000" w:themeColor="text1"/>
          <w:lang w:val="en-GB"/>
        </w:rPr>
      </w:pPr>
      <w:r w:rsidRPr="00DB56CA">
        <w:rPr>
          <w:color w:val="000000" w:themeColor="text1"/>
          <w:lang w:val="en-GB"/>
        </w:rPr>
        <w:t xml:space="preserve">PLACE TABLE </w:t>
      </w:r>
      <w:r w:rsidR="00020D65" w:rsidRPr="00DB56CA">
        <w:rPr>
          <w:color w:val="000000" w:themeColor="text1"/>
          <w:lang w:val="en-GB"/>
        </w:rPr>
        <w:t>1</w:t>
      </w:r>
      <w:r w:rsidR="0027392E" w:rsidRPr="00DB56CA">
        <w:rPr>
          <w:color w:val="000000" w:themeColor="text1"/>
          <w:lang w:val="en-GB"/>
        </w:rPr>
        <w:t xml:space="preserve"> ABOUT HERE</w:t>
      </w:r>
    </w:p>
    <w:p w14:paraId="2D79692D" w14:textId="5D3EEF9D" w:rsidR="00A4185A" w:rsidRPr="00DB56CA" w:rsidRDefault="006F568E" w:rsidP="00A4185A">
      <w:pPr>
        <w:widowControl w:val="0"/>
        <w:autoSpaceDE w:val="0"/>
        <w:autoSpaceDN w:val="0"/>
        <w:adjustRightInd w:val="0"/>
        <w:spacing w:after="100" w:afterAutospacing="1" w:line="480" w:lineRule="auto"/>
        <w:contextualSpacing/>
        <w:jc w:val="both"/>
        <w:rPr>
          <w:color w:val="000000" w:themeColor="text1"/>
          <w:lang w:val="en-GB"/>
        </w:rPr>
      </w:pPr>
      <w:r w:rsidRPr="00DB56CA">
        <w:rPr>
          <w:color w:val="000000" w:themeColor="text1"/>
          <w:lang w:val="en-GB"/>
        </w:rPr>
        <w:t>The agreement of methods was consistent through the months</w:t>
      </w:r>
      <w:r w:rsidR="0042631A" w:rsidRPr="00DB56CA">
        <w:rPr>
          <w:color w:val="000000" w:themeColor="text1"/>
          <w:lang w:val="en-GB"/>
        </w:rPr>
        <w:t xml:space="preserve"> with a b</w:t>
      </w:r>
      <w:r w:rsidRPr="00DB56CA">
        <w:rPr>
          <w:color w:val="000000" w:themeColor="text1"/>
          <w:lang w:val="en-GB"/>
        </w:rPr>
        <w:t>i</w:t>
      </w:r>
      <w:r w:rsidR="0042631A" w:rsidRPr="00DB56CA">
        <w:rPr>
          <w:color w:val="000000" w:themeColor="text1"/>
          <w:lang w:val="en-GB"/>
        </w:rPr>
        <w:t>a</w:t>
      </w:r>
      <w:r w:rsidRPr="00DB56CA">
        <w:rPr>
          <w:color w:val="000000" w:themeColor="text1"/>
          <w:lang w:val="en-GB"/>
        </w:rPr>
        <w:t xml:space="preserve">s of </w:t>
      </w:r>
      <w:r w:rsidR="009A6B8E" w:rsidRPr="00DB56CA">
        <w:rPr>
          <w:color w:val="000000" w:themeColor="text1"/>
          <w:lang w:val="en-GB"/>
        </w:rPr>
        <w:t xml:space="preserve">0.0 to </w:t>
      </w:r>
      <w:r w:rsidRPr="00DB56CA">
        <w:rPr>
          <w:color w:val="000000" w:themeColor="text1"/>
          <w:lang w:val="en-GB"/>
        </w:rPr>
        <w:t>-0.0</w:t>
      </w:r>
      <w:r w:rsidR="00AC60B4" w:rsidRPr="00DB56CA">
        <w:rPr>
          <w:color w:val="000000" w:themeColor="text1"/>
          <w:lang w:val="en-GB"/>
        </w:rPr>
        <w:t xml:space="preserve">002 </w:t>
      </w:r>
      <w:r w:rsidRPr="00DB56CA">
        <w:rPr>
          <w:color w:val="000000" w:themeColor="text1"/>
          <w:lang w:val="en-GB"/>
        </w:rPr>
        <w:t>between the methods</w:t>
      </w:r>
      <w:r w:rsidR="00346C9E" w:rsidRPr="00DB56CA">
        <w:rPr>
          <w:color w:val="000000" w:themeColor="text1"/>
          <w:lang w:val="en-GB"/>
        </w:rPr>
        <w:t xml:space="preserve">. </w:t>
      </w:r>
      <w:r w:rsidR="001C458A" w:rsidRPr="00DB56CA">
        <w:rPr>
          <w:color w:val="000000" w:themeColor="text1"/>
          <w:highlight w:val="yellow"/>
          <w:lang w:val="en-GB"/>
        </w:rPr>
        <w:t>Figure</w:t>
      </w:r>
      <w:r w:rsidR="00787046" w:rsidRPr="00DB56CA">
        <w:rPr>
          <w:color w:val="000000" w:themeColor="text1"/>
          <w:highlight w:val="yellow"/>
          <w:lang w:val="en-GB"/>
        </w:rPr>
        <w:t xml:space="preserve">s </w:t>
      </w:r>
      <w:r w:rsidR="001C458A" w:rsidRPr="00DB56CA">
        <w:rPr>
          <w:color w:val="000000" w:themeColor="text1"/>
          <w:highlight w:val="yellow"/>
          <w:lang w:val="en-GB"/>
        </w:rPr>
        <w:t>1</w:t>
      </w:r>
      <w:r w:rsidR="00787046" w:rsidRPr="00DB56CA">
        <w:rPr>
          <w:color w:val="000000" w:themeColor="text1"/>
          <w:highlight w:val="yellow"/>
          <w:lang w:val="en-GB"/>
        </w:rPr>
        <w:t>A and 1B</w:t>
      </w:r>
      <w:r w:rsidR="00910920" w:rsidRPr="00DB56CA">
        <w:rPr>
          <w:color w:val="000000" w:themeColor="text1"/>
          <w:lang w:val="en-GB"/>
        </w:rPr>
        <w:t xml:space="preserve"> show</w:t>
      </w:r>
      <w:r w:rsidR="001C458A" w:rsidRPr="00DB56CA">
        <w:rPr>
          <w:color w:val="000000" w:themeColor="text1"/>
          <w:lang w:val="en-GB"/>
        </w:rPr>
        <w:t>s</w:t>
      </w:r>
      <w:r w:rsidR="00AD5CA5" w:rsidRPr="00DB56CA">
        <w:rPr>
          <w:color w:val="000000" w:themeColor="text1"/>
          <w:lang w:val="en-GB"/>
        </w:rPr>
        <w:t xml:space="preserve"> the Bland-Altman agreement plot for each month with </w:t>
      </w:r>
      <w:r w:rsidR="00EF6C9C" w:rsidRPr="00DB56CA">
        <w:rPr>
          <w:color w:val="000000" w:themeColor="text1"/>
          <w:lang w:val="en-GB"/>
        </w:rPr>
        <w:t>95% LOA</w:t>
      </w:r>
      <w:r w:rsidR="00172201" w:rsidRPr="00DB56CA">
        <w:rPr>
          <w:color w:val="000000" w:themeColor="text1"/>
          <w:lang w:val="en-GB"/>
        </w:rPr>
        <w:t>.</w:t>
      </w:r>
    </w:p>
    <w:p w14:paraId="2221AC17" w14:textId="68C7E7F0" w:rsidR="006F4F7E" w:rsidRPr="00DB56CA" w:rsidRDefault="002721AD" w:rsidP="006F4F7E">
      <w:pPr>
        <w:widowControl w:val="0"/>
        <w:autoSpaceDE w:val="0"/>
        <w:autoSpaceDN w:val="0"/>
        <w:adjustRightInd w:val="0"/>
        <w:spacing w:after="100" w:afterAutospacing="1" w:line="480" w:lineRule="auto"/>
        <w:contextualSpacing/>
        <w:jc w:val="center"/>
        <w:rPr>
          <w:color w:val="000000" w:themeColor="text1"/>
          <w:lang w:val="en-GB"/>
        </w:rPr>
      </w:pPr>
      <w:r w:rsidRPr="00DB56CA">
        <w:rPr>
          <w:color w:val="000000" w:themeColor="text1"/>
          <w:lang w:val="en-GB"/>
        </w:rPr>
        <w:t>PLACE FIGURE</w:t>
      </w:r>
      <w:r w:rsidR="00787046" w:rsidRPr="00DB56CA">
        <w:rPr>
          <w:color w:val="000000" w:themeColor="text1"/>
          <w:lang w:val="en-GB"/>
        </w:rPr>
        <w:t>S</w:t>
      </w:r>
      <w:r w:rsidRPr="00DB56CA">
        <w:rPr>
          <w:color w:val="000000" w:themeColor="text1"/>
          <w:lang w:val="en-GB"/>
        </w:rPr>
        <w:t xml:space="preserve"> 1</w:t>
      </w:r>
      <w:r w:rsidR="00787046" w:rsidRPr="00DB56CA">
        <w:rPr>
          <w:color w:val="000000" w:themeColor="text1"/>
          <w:lang w:val="en-GB"/>
        </w:rPr>
        <w:t>A and 1B</w:t>
      </w:r>
      <w:r w:rsidR="005E448F" w:rsidRPr="00DB56CA">
        <w:rPr>
          <w:color w:val="000000" w:themeColor="text1"/>
          <w:lang w:val="en-GB"/>
        </w:rPr>
        <w:t xml:space="preserve"> </w:t>
      </w:r>
      <w:r w:rsidR="0027392E" w:rsidRPr="00DB56CA">
        <w:rPr>
          <w:color w:val="000000" w:themeColor="text1"/>
          <w:lang w:val="en-GB"/>
        </w:rPr>
        <w:t>ABOUT HERE</w:t>
      </w:r>
    </w:p>
    <w:p w14:paraId="32A9786A" w14:textId="527B44A8" w:rsidR="006F4F7E" w:rsidRPr="00DB56CA" w:rsidRDefault="00231111" w:rsidP="006F4F7E">
      <w:pPr>
        <w:widowControl w:val="0"/>
        <w:autoSpaceDE w:val="0"/>
        <w:autoSpaceDN w:val="0"/>
        <w:adjustRightInd w:val="0"/>
        <w:spacing w:after="100" w:afterAutospacing="1" w:line="480" w:lineRule="auto"/>
        <w:contextualSpacing/>
        <w:rPr>
          <w:b/>
          <w:i/>
          <w:color w:val="000000" w:themeColor="text1"/>
          <w:lang w:val="en-GB"/>
        </w:rPr>
      </w:pPr>
      <w:r w:rsidRPr="00DB56CA">
        <w:rPr>
          <w:b/>
          <w:i/>
          <w:color w:val="000000" w:themeColor="text1"/>
          <w:lang w:val="en-GB"/>
        </w:rPr>
        <w:t>Validity of scale:</w:t>
      </w:r>
    </w:p>
    <w:p w14:paraId="583B4FE8" w14:textId="1E5DC41E" w:rsidR="006F4F7E" w:rsidRPr="00DB56CA" w:rsidRDefault="002B077D" w:rsidP="006F4F7E">
      <w:pPr>
        <w:widowControl w:val="0"/>
        <w:autoSpaceDE w:val="0"/>
        <w:autoSpaceDN w:val="0"/>
        <w:adjustRightInd w:val="0"/>
        <w:spacing w:after="100" w:afterAutospacing="1" w:line="480" w:lineRule="auto"/>
        <w:contextualSpacing/>
        <w:jc w:val="both"/>
        <w:rPr>
          <w:color w:val="000000" w:themeColor="text1"/>
          <w:lang w:val="en-GB"/>
        </w:rPr>
      </w:pPr>
      <w:r w:rsidRPr="00DB56CA">
        <w:rPr>
          <w:color w:val="000000" w:themeColor="text1"/>
          <w:lang w:val="en-GB"/>
        </w:rPr>
        <w:t>Individual player correlations</w:t>
      </w:r>
      <w:r w:rsidR="002104FE" w:rsidRPr="00DB56CA">
        <w:rPr>
          <w:color w:val="000000" w:themeColor="text1"/>
          <w:lang w:val="en-GB"/>
        </w:rPr>
        <w:t>, total number of sessions for each player and R</w:t>
      </w:r>
      <w:r w:rsidR="002104FE" w:rsidRPr="00DB56CA">
        <w:rPr>
          <w:color w:val="000000" w:themeColor="text1"/>
          <w:vertAlign w:val="superscript"/>
          <w:lang w:val="en-GB"/>
        </w:rPr>
        <w:t>2</w:t>
      </w:r>
      <w:r w:rsidR="00D0522A" w:rsidRPr="00DB56CA">
        <w:rPr>
          <w:color w:val="000000" w:themeColor="text1"/>
          <w:lang w:val="en-GB"/>
        </w:rPr>
        <w:t xml:space="preserve"> </w:t>
      </w:r>
      <w:r w:rsidR="001873A1" w:rsidRPr="00DB56CA">
        <w:rPr>
          <w:color w:val="000000" w:themeColor="text1"/>
          <w:lang w:val="en-GB"/>
        </w:rPr>
        <w:t xml:space="preserve">are shown in Table </w:t>
      </w:r>
      <w:r w:rsidR="00020D65" w:rsidRPr="00DB56CA">
        <w:rPr>
          <w:color w:val="000000" w:themeColor="text1"/>
          <w:lang w:val="en-GB"/>
        </w:rPr>
        <w:t>2</w:t>
      </w:r>
      <w:r w:rsidRPr="00DB56CA">
        <w:rPr>
          <w:color w:val="000000" w:themeColor="text1"/>
          <w:lang w:val="en-GB"/>
        </w:rPr>
        <w:t>.</w:t>
      </w:r>
      <w:r w:rsidR="00346C9E" w:rsidRPr="00DB56CA">
        <w:rPr>
          <w:color w:val="000000" w:themeColor="text1"/>
          <w:lang w:val="en-GB"/>
        </w:rPr>
        <w:t xml:space="preserve"> </w:t>
      </w:r>
    </w:p>
    <w:p w14:paraId="1A7D9DBD" w14:textId="3B747703" w:rsidR="006F4F7E" w:rsidRPr="00DB56CA" w:rsidRDefault="00346C9E" w:rsidP="006F4F7E">
      <w:pPr>
        <w:widowControl w:val="0"/>
        <w:autoSpaceDE w:val="0"/>
        <w:autoSpaceDN w:val="0"/>
        <w:adjustRightInd w:val="0"/>
        <w:spacing w:after="100" w:afterAutospacing="1" w:line="480" w:lineRule="auto"/>
        <w:contextualSpacing/>
        <w:jc w:val="center"/>
        <w:rPr>
          <w:color w:val="000000" w:themeColor="text1"/>
          <w:lang w:val="en-GB"/>
        </w:rPr>
      </w:pPr>
      <w:r w:rsidRPr="00DB56CA">
        <w:rPr>
          <w:color w:val="000000" w:themeColor="text1"/>
          <w:lang w:val="en-GB"/>
        </w:rPr>
        <w:t xml:space="preserve">PLACE TABLE </w:t>
      </w:r>
      <w:r w:rsidR="00020D65" w:rsidRPr="00DB56CA">
        <w:rPr>
          <w:color w:val="000000" w:themeColor="text1"/>
          <w:lang w:val="en-GB"/>
        </w:rPr>
        <w:t>2</w:t>
      </w:r>
      <w:r w:rsidRPr="00DB56CA">
        <w:rPr>
          <w:color w:val="000000" w:themeColor="text1"/>
          <w:lang w:val="en-GB"/>
        </w:rPr>
        <w:t xml:space="preserve"> </w:t>
      </w:r>
      <w:r w:rsidR="00FF7EB4" w:rsidRPr="00DB56CA">
        <w:rPr>
          <w:color w:val="000000" w:themeColor="text1"/>
          <w:lang w:val="en-GB"/>
        </w:rPr>
        <w:t xml:space="preserve"> </w:t>
      </w:r>
      <w:r w:rsidRPr="00DB56CA">
        <w:rPr>
          <w:color w:val="000000" w:themeColor="text1"/>
          <w:lang w:val="en-GB"/>
        </w:rPr>
        <w:t>ABOUT HERE</w:t>
      </w:r>
    </w:p>
    <w:p w14:paraId="7B122061" w14:textId="3FE05C02" w:rsidR="006F4F7E" w:rsidRPr="00DB56CA" w:rsidRDefault="001C458A" w:rsidP="006F4F7E">
      <w:pPr>
        <w:widowControl w:val="0"/>
        <w:autoSpaceDE w:val="0"/>
        <w:autoSpaceDN w:val="0"/>
        <w:adjustRightInd w:val="0"/>
        <w:spacing w:after="100" w:afterAutospacing="1" w:line="480" w:lineRule="auto"/>
        <w:contextualSpacing/>
        <w:jc w:val="both"/>
        <w:rPr>
          <w:color w:val="000000" w:themeColor="text1"/>
          <w:lang w:val="en-GB"/>
        </w:rPr>
      </w:pPr>
      <w:r w:rsidRPr="00DB56CA">
        <w:rPr>
          <w:color w:val="000000" w:themeColor="text1"/>
          <w:highlight w:val="yellow"/>
          <w:lang w:val="en-GB"/>
        </w:rPr>
        <w:t>Figure</w:t>
      </w:r>
      <w:r w:rsidR="00CC4567" w:rsidRPr="00DB56CA">
        <w:rPr>
          <w:color w:val="000000" w:themeColor="text1"/>
          <w:highlight w:val="yellow"/>
          <w:lang w:val="en-GB"/>
        </w:rPr>
        <w:t>s</w:t>
      </w:r>
      <w:r w:rsidRPr="00DB56CA">
        <w:rPr>
          <w:color w:val="000000" w:themeColor="text1"/>
          <w:highlight w:val="yellow"/>
          <w:lang w:val="en-GB"/>
        </w:rPr>
        <w:t xml:space="preserve"> 2A</w:t>
      </w:r>
      <w:r w:rsidR="00787046" w:rsidRPr="00DB56CA">
        <w:rPr>
          <w:color w:val="000000" w:themeColor="text1"/>
          <w:highlight w:val="yellow"/>
          <w:lang w:val="en-GB"/>
        </w:rPr>
        <w:t>, 2B</w:t>
      </w:r>
      <w:r w:rsidRPr="00DB56CA">
        <w:rPr>
          <w:color w:val="000000" w:themeColor="text1"/>
          <w:highlight w:val="yellow"/>
          <w:lang w:val="en-GB"/>
        </w:rPr>
        <w:t xml:space="preserve"> and 2</w:t>
      </w:r>
      <w:r w:rsidR="00787046" w:rsidRPr="00DB56CA">
        <w:rPr>
          <w:color w:val="000000" w:themeColor="text1"/>
          <w:highlight w:val="yellow"/>
          <w:lang w:val="en-GB"/>
        </w:rPr>
        <w:t>C</w:t>
      </w:r>
      <w:r w:rsidR="00231111" w:rsidRPr="00DB56CA">
        <w:rPr>
          <w:color w:val="000000" w:themeColor="text1"/>
          <w:lang w:val="en-GB"/>
        </w:rPr>
        <w:t xml:space="preserve"> show</w:t>
      </w:r>
      <w:r w:rsidR="00346C9E" w:rsidRPr="00DB56CA">
        <w:rPr>
          <w:color w:val="000000" w:themeColor="text1"/>
          <w:lang w:val="en-GB"/>
        </w:rPr>
        <w:t>s</w:t>
      </w:r>
      <w:r w:rsidR="00231111" w:rsidRPr="00DB56CA">
        <w:rPr>
          <w:color w:val="000000" w:themeColor="text1"/>
          <w:lang w:val="en-GB"/>
        </w:rPr>
        <w:t xml:space="preserve"> the Bland-Altman agreement plots with </w:t>
      </w:r>
      <w:r w:rsidR="00EF6C9C" w:rsidRPr="00DB56CA">
        <w:rPr>
          <w:color w:val="000000" w:themeColor="text1"/>
          <w:lang w:val="en-GB"/>
        </w:rPr>
        <w:t>95% LOA</w:t>
      </w:r>
      <w:r w:rsidR="00231111" w:rsidRPr="00DB56CA">
        <w:rPr>
          <w:color w:val="000000" w:themeColor="text1"/>
          <w:lang w:val="en-GB"/>
        </w:rPr>
        <w:t xml:space="preserve"> for individual players over the entire duration of the season</w:t>
      </w:r>
      <w:r w:rsidR="00172201" w:rsidRPr="00DB56CA">
        <w:rPr>
          <w:color w:val="000000" w:themeColor="text1"/>
          <w:lang w:val="en-GB"/>
        </w:rPr>
        <w:t>.</w:t>
      </w:r>
      <w:r w:rsidR="00224CCD" w:rsidRPr="00DB56CA">
        <w:rPr>
          <w:color w:val="000000" w:themeColor="text1"/>
          <w:lang w:val="en-GB"/>
        </w:rPr>
        <w:t xml:space="preserve"> </w:t>
      </w:r>
      <w:r w:rsidR="00231111" w:rsidRPr="00DB56CA">
        <w:rPr>
          <w:color w:val="000000" w:themeColor="text1"/>
          <w:lang w:val="en-GB"/>
        </w:rPr>
        <w:t>The methods showed consistent agreement with a bias range of</w:t>
      </w:r>
      <w:r w:rsidR="00AC60B4" w:rsidRPr="00DB56CA">
        <w:rPr>
          <w:color w:val="FF0000"/>
          <w:lang w:val="en-GB"/>
        </w:rPr>
        <w:t xml:space="preserve"> </w:t>
      </w:r>
      <w:r w:rsidR="00AC60B4" w:rsidRPr="00DB56CA">
        <w:rPr>
          <w:color w:val="000000" w:themeColor="text1"/>
          <w:lang w:val="en-GB"/>
        </w:rPr>
        <w:t>0.0</w:t>
      </w:r>
      <w:r w:rsidR="00231111" w:rsidRPr="00DB56CA">
        <w:rPr>
          <w:color w:val="000000" w:themeColor="text1"/>
          <w:lang w:val="en-GB"/>
        </w:rPr>
        <w:t xml:space="preserve"> and </w:t>
      </w:r>
      <w:r w:rsidR="00AC60B4" w:rsidRPr="00DB56CA">
        <w:rPr>
          <w:color w:val="000000" w:themeColor="text1"/>
          <w:lang w:val="en-GB"/>
        </w:rPr>
        <w:t>-0.59</w:t>
      </w:r>
      <w:r w:rsidR="00172201" w:rsidRPr="00DB56CA">
        <w:rPr>
          <w:color w:val="000000" w:themeColor="text1"/>
          <w:lang w:val="en-GB"/>
        </w:rPr>
        <w:t xml:space="preserve">. </w:t>
      </w:r>
    </w:p>
    <w:p w14:paraId="27E06827" w14:textId="5D571316" w:rsidR="006F4F7E" w:rsidRPr="00DB56CA" w:rsidRDefault="002721AD" w:rsidP="006F4F7E">
      <w:pPr>
        <w:widowControl w:val="0"/>
        <w:autoSpaceDE w:val="0"/>
        <w:autoSpaceDN w:val="0"/>
        <w:adjustRightInd w:val="0"/>
        <w:spacing w:after="100" w:afterAutospacing="1" w:line="480" w:lineRule="auto"/>
        <w:contextualSpacing/>
        <w:jc w:val="center"/>
        <w:rPr>
          <w:color w:val="000000" w:themeColor="text1"/>
          <w:lang w:val="en-GB"/>
        </w:rPr>
      </w:pPr>
      <w:r w:rsidRPr="00DB56CA">
        <w:rPr>
          <w:color w:val="000000" w:themeColor="text1"/>
          <w:lang w:val="en-GB"/>
        </w:rPr>
        <w:t>PLACE FIGURE</w:t>
      </w:r>
      <w:r w:rsidR="00E72E45" w:rsidRPr="00DB56CA">
        <w:rPr>
          <w:color w:val="000000" w:themeColor="text1"/>
          <w:lang w:val="en-GB"/>
        </w:rPr>
        <w:t>S</w:t>
      </w:r>
      <w:r w:rsidRPr="00DB56CA">
        <w:rPr>
          <w:color w:val="000000" w:themeColor="text1"/>
          <w:lang w:val="en-GB"/>
        </w:rPr>
        <w:t xml:space="preserve"> 2</w:t>
      </w:r>
      <w:r w:rsidR="00E72E45" w:rsidRPr="00DB56CA">
        <w:rPr>
          <w:color w:val="000000" w:themeColor="text1"/>
          <w:lang w:val="en-GB"/>
        </w:rPr>
        <w:t>A</w:t>
      </w:r>
      <w:r w:rsidR="00787046" w:rsidRPr="00DB56CA">
        <w:rPr>
          <w:color w:val="000000" w:themeColor="text1"/>
          <w:lang w:val="en-GB"/>
        </w:rPr>
        <w:t>, 2B</w:t>
      </w:r>
      <w:r w:rsidR="00E72E45" w:rsidRPr="00DB56CA">
        <w:rPr>
          <w:color w:val="000000" w:themeColor="text1"/>
          <w:lang w:val="en-GB"/>
        </w:rPr>
        <w:t xml:space="preserve"> AND 2</w:t>
      </w:r>
      <w:r w:rsidR="00787046" w:rsidRPr="00DB56CA">
        <w:rPr>
          <w:color w:val="000000" w:themeColor="text1"/>
          <w:lang w:val="en-GB"/>
        </w:rPr>
        <w:t>C</w:t>
      </w:r>
      <w:r w:rsidR="0027392E" w:rsidRPr="00DB56CA">
        <w:rPr>
          <w:color w:val="000000" w:themeColor="text1"/>
          <w:lang w:val="en-GB"/>
        </w:rPr>
        <w:t xml:space="preserve"> ABOUT HERE</w:t>
      </w:r>
    </w:p>
    <w:p w14:paraId="1DB9FE6C" w14:textId="77777777" w:rsidR="006F4F7E" w:rsidRPr="00DB56CA" w:rsidRDefault="00A96F1E" w:rsidP="006F4F7E">
      <w:pPr>
        <w:widowControl w:val="0"/>
        <w:autoSpaceDE w:val="0"/>
        <w:autoSpaceDN w:val="0"/>
        <w:adjustRightInd w:val="0"/>
        <w:spacing w:after="100" w:afterAutospacing="1" w:line="480" w:lineRule="auto"/>
        <w:contextualSpacing/>
        <w:rPr>
          <w:b/>
          <w:lang w:val="en-GB"/>
        </w:rPr>
      </w:pPr>
      <w:r w:rsidRPr="00DB56CA">
        <w:rPr>
          <w:b/>
          <w:lang w:val="en-GB"/>
        </w:rPr>
        <w:t>Discussion:</w:t>
      </w:r>
      <w:r w:rsidR="00AC60B4" w:rsidRPr="00DB56CA">
        <w:rPr>
          <w:b/>
          <w:lang w:val="en-GB"/>
        </w:rPr>
        <w:t xml:space="preserve"> </w:t>
      </w:r>
    </w:p>
    <w:p w14:paraId="380DFA51" w14:textId="5AC2DA16" w:rsidR="006F4F7E" w:rsidRPr="00DB56CA" w:rsidRDefault="00BB4A88" w:rsidP="006F4F7E">
      <w:pPr>
        <w:widowControl w:val="0"/>
        <w:autoSpaceDE w:val="0"/>
        <w:autoSpaceDN w:val="0"/>
        <w:adjustRightInd w:val="0"/>
        <w:spacing w:after="100" w:afterAutospacing="1" w:line="480" w:lineRule="auto"/>
        <w:contextualSpacing/>
        <w:jc w:val="both"/>
        <w:rPr>
          <w:color w:val="000000"/>
          <w:lang w:val="en-GB"/>
        </w:rPr>
      </w:pPr>
      <w:r w:rsidRPr="00DB56CA">
        <w:rPr>
          <w:color w:val="000000"/>
          <w:lang w:val="en-GB"/>
        </w:rPr>
        <w:t xml:space="preserve">The aim of this study </w:t>
      </w:r>
      <w:r w:rsidR="00B8542B" w:rsidRPr="00DB56CA">
        <w:rPr>
          <w:color w:val="000000"/>
          <w:lang w:val="en-GB"/>
        </w:rPr>
        <w:t>was</w:t>
      </w:r>
      <w:r w:rsidRPr="00DB56CA">
        <w:rPr>
          <w:color w:val="000000"/>
          <w:lang w:val="en-GB"/>
        </w:rPr>
        <w:t xml:space="preserve"> to observe the in-season variation in the correlation between HR and sRPE based estimations of training load in professional </w:t>
      </w:r>
      <w:r w:rsidR="008C003A" w:rsidRPr="00DB56CA">
        <w:rPr>
          <w:color w:val="000000"/>
          <w:lang w:val="en-GB"/>
        </w:rPr>
        <w:t>adolescent</w:t>
      </w:r>
      <w:r w:rsidRPr="00DB56CA">
        <w:rPr>
          <w:color w:val="000000"/>
          <w:lang w:val="en-GB"/>
        </w:rPr>
        <w:t xml:space="preserve"> </w:t>
      </w:r>
      <w:r w:rsidR="007F2E73" w:rsidRPr="00DB56CA">
        <w:rPr>
          <w:color w:val="000000"/>
          <w:lang w:val="en-GB"/>
        </w:rPr>
        <w:t>soccer</w:t>
      </w:r>
      <w:r w:rsidRPr="00DB56CA">
        <w:rPr>
          <w:color w:val="000000"/>
          <w:lang w:val="en-GB"/>
        </w:rPr>
        <w:t xml:space="preserve"> players over an entire season</w:t>
      </w:r>
      <w:r w:rsidR="00022B20" w:rsidRPr="00DB56CA">
        <w:rPr>
          <w:color w:val="000000"/>
          <w:lang w:val="en-GB"/>
        </w:rPr>
        <w:t xml:space="preserve">. </w:t>
      </w:r>
      <w:r w:rsidR="00B8542B" w:rsidRPr="00DB56CA">
        <w:rPr>
          <w:color w:val="000000"/>
          <w:lang w:val="en-GB"/>
        </w:rPr>
        <w:t>As</w:t>
      </w:r>
      <w:r w:rsidR="008D06D1" w:rsidRPr="00DB56CA">
        <w:rPr>
          <w:color w:val="000000"/>
          <w:lang w:val="en-GB"/>
        </w:rPr>
        <w:t xml:space="preserve"> s</w:t>
      </w:r>
      <w:r w:rsidR="00B73614" w:rsidRPr="00DB56CA">
        <w:rPr>
          <w:color w:val="000000"/>
          <w:lang w:val="en-GB"/>
        </w:rPr>
        <w:t>hown</w:t>
      </w:r>
      <w:r w:rsidR="008D06D1" w:rsidRPr="00DB56CA">
        <w:rPr>
          <w:color w:val="000000"/>
          <w:lang w:val="en-GB"/>
        </w:rPr>
        <w:t xml:space="preserve"> in T</w:t>
      </w:r>
      <w:r w:rsidR="00A841AE" w:rsidRPr="00DB56CA">
        <w:rPr>
          <w:color w:val="000000"/>
          <w:lang w:val="en-GB"/>
        </w:rPr>
        <w:t xml:space="preserve">able </w:t>
      </w:r>
      <w:r w:rsidR="00020D65" w:rsidRPr="00DB56CA">
        <w:rPr>
          <w:color w:val="000000"/>
          <w:lang w:val="en-GB"/>
        </w:rPr>
        <w:t>1</w:t>
      </w:r>
      <w:r w:rsidR="00B8542B" w:rsidRPr="00DB56CA">
        <w:rPr>
          <w:color w:val="000000"/>
          <w:lang w:val="en-GB"/>
        </w:rPr>
        <w:t>, HRTL and sRPETL showed large to very large correlations for all the months</w:t>
      </w:r>
      <w:r w:rsidR="00AE368E" w:rsidRPr="00DB56CA">
        <w:rPr>
          <w:color w:val="000000"/>
          <w:lang w:val="en-GB"/>
        </w:rPr>
        <w:t xml:space="preserve">, ranging from </w:t>
      </w:r>
      <w:r w:rsidR="00AE368E" w:rsidRPr="00DB56CA">
        <w:rPr>
          <w:i/>
          <w:color w:val="000000"/>
          <w:lang w:val="en-GB"/>
        </w:rPr>
        <w:t>r=</w:t>
      </w:r>
      <w:r w:rsidR="00AE368E" w:rsidRPr="00DB56CA">
        <w:rPr>
          <w:color w:val="000000"/>
          <w:lang w:val="en-GB"/>
        </w:rPr>
        <w:t xml:space="preserve">0.60 to </w:t>
      </w:r>
      <w:r w:rsidR="00AE368E" w:rsidRPr="00DB56CA">
        <w:rPr>
          <w:i/>
          <w:color w:val="000000"/>
          <w:lang w:val="en-GB"/>
        </w:rPr>
        <w:t>r=</w:t>
      </w:r>
      <w:r w:rsidR="005347A1" w:rsidRPr="00DB56CA">
        <w:rPr>
          <w:color w:val="000000"/>
          <w:lang w:val="en-GB"/>
        </w:rPr>
        <w:t>0.73</w:t>
      </w:r>
      <w:r w:rsidR="007323BA" w:rsidRPr="00DB56CA">
        <w:rPr>
          <w:color w:val="000000"/>
          <w:lang w:val="en-GB"/>
        </w:rPr>
        <w:t xml:space="preserve">. </w:t>
      </w:r>
      <w:r w:rsidR="00BF5167" w:rsidRPr="00DB56CA">
        <w:rPr>
          <w:color w:val="000000"/>
          <w:lang w:val="en-GB"/>
        </w:rPr>
        <w:t>These</w:t>
      </w:r>
      <w:r w:rsidR="005347A1" w:rsidRPr="00DB56CA">
        <w:rPr>
          <w:color w:val="000000"/>
          <w:lang w:val="en-GB"/>
        </w:rPr>
        <w:t xml:space="preserve"> results are consistent with previous studies on senior </w:t>
      </w:r>
      <w:r w:rsidR="002D741A" w:rsidRPr="00DB56CA">
        <w:rPr>
          <w:color w:val="000000"/>
          <w:lang w:val="en-GB"/>
        </w:rPr>
        <w:t>professional men</w:t>
      </w:r>
      <w:r w:rsidR="00BF5167" w:rsidRPr="00DB56CA">
        <w:rPr>
          <w:color w:val="000000"/>
          <w:lang w:val="en-GB"/>
        </w:rPr>
        <w:t xml:space="preserve"> </w:t>
      </w:r>
      <w:r w:rsidR="0030440A" w:rsidRPr="00DB56CA">
        <w:rPr>
          <w:color w:val="000000"/>
          <w:lang w:val="en-GB"/>
        </w:rPr>
        <w:t>(</w:t>
      </w:r>
      <w:r w:rsidR="00103903" w:rsidRPr="00DB56CA">
        <w:rPr>
          <w:color w:val="000000"/>
          <w:lang w:val="en-GB"/>
        </w:rPr>
        <w:t xml:space="preserve">5, </w:t>
      </w:r>
      <w:r w:rsidR="00554E0B" w:rsidRPr="00DB56CA">
        <w:rPr>
          <w:color w:val="000000"/>
          <w:lang w:val="en-GB"/>
        </w:rPr>
        <w:t>9</w:t>
      </w:r>
      <w:r w:rsidR="00103903" w:rsidRPr="00DB56CA">
        <w:rPr>
          <w:color w:val="000000"/>
          <w:lang w:val="en-GB"/>
        </w:rPr>
        <w:t xml:space="preserve">, </w:t>
      </w:r>
      <w:r w:rsidR="00554E0B" w:rsidRPr="00DB56CA">
        <w:rPr>
          <w:color w:val="000000"/>
          <w:lang w:val="en-GB"/>
        </w:rPr>
        <w:t>17</w:t>
      </w:r>
      <w:r w:rsidR="002D741A" w:rsidRPr="00DB56CA">
        <w:rPr>
          <w:color w:val="000000"/>
          <w:lang w:val="en-GB"/>
        </w:rPr>
        <w:t>)</w:t>
      </w:r>
      <w:r w:rsidR="00172201" w:rsidRPr="00DB56CA">
        <w:rPr>
          <w:color w:val="000000"/>
          <w:lang w:val="en-GB"/>
        </w:rPr>
        <w:t xml:space="preserve">, </w:t>
      </w:r>
      <w:r w:rsidR="00A400A2" w:rsidRPr="00DB56CA">
        <w:rPr>
          <w:color w:val="000000"/>
          <w:lang w:val="en-GB"/>
        </w:rPr>
        <w:t>senior semi-professional men (</w:t>
      </w:r>
      <w:r w:rsidR="008C35CF" w:rsidRPr="00DB56CA">
        <w:rPr>
          <w:color w:val="000000"/>
          <w:lang w:val="en-GB"/>
        </w:rPr>
        <w:t>6</w:t>
      </w:r>
      <w:r w:rsidR="00A400A2" w:rsidRPr="00DB56CA">
        <w:rPr>
          <w:color w:val="000000"/>
          <w:lang w:val="en-GB"/>
        </w:rPr>
        <w:t>)</w:t>
      </w:r>
      <w:r w:rsidR="002D741A" w:rsidRPr="00DB56CA">
        <w:rPr>
          <w:color w:val="000000"/>
          <w:lang w:val="en-GB"/>
        </w:rPr>
        <w:t xml:space="preserve"> and </w:t>
      </w:r>
      <w:r w:rsidR="00A400A2" w:rsidRPr="00DB56CA">
        <w:rPr>
          <w:color w:val="000000"/>
          <w:lang w:val="en-GB"/>
        </w:rPr>
        <w:t xml:space="preserve">elite </w:t>
      </w:r>
      <w:r w:rsidR="002D741A" w:rsidRPr="00DB56CA">
        <w:rPr>
          <w:color w:val="000000"/>
          <w:lang w:val="en-GB"/>
        </w:rPr>
        <w:t>women (</w:t>
      </w:r>
      <w:r w:rsidR="00577B53" w:rsidRPr="00DB56CA">
        <w:rPr>
          <w:color w:val="000000"/>
          <w:lang w:val="en-GB"/>
        </w:rPr>
        <w:t>2</w:t>
      </w:r>
      <w:r w:rsidR="0030440A" w:rsidRPr="00DB56CA">
        <w:rPr>
          <w:color w:val="000000"/>
          <w:lang w:val="en-GB"/>
        </w:rPr>
        <w:t>)</w:t>
      </w:r>
      <w:r w:rsidR="007323BA" w:rsidRPr="00DB56CA">
        <w:rPr>
          <w:color w:val="000000"/>
          <w:lang w:val="en-GB"/>
        </w:rPr>
        <w:t xml:space="preserve">. </w:t>
      </w:r>
      <w:r w:rsidR="00131175" w:rsidRPr="00DB56CA">
        <w:rPr>
          <w:color w:val="000000"/>
          <w:lang w:val="en-GB"/>
        </w:rPr>
        <w:t>T</w:t>
      </w:r>
      <w:r w:rsidR="008D06D1" w:rsidRPr="00DB56CA">
        <w:rPr>
          <w:color w:val="000000"/>
          <w:lang w:val="en-GB"/>
        </w:rPr>
        <w:t>hey are a</w:t>
      </w:r>
      <w:r w:rsidR="00131175" w:rsidRPr="00DB56CA">
        <w:rPr>
          <w:color w:val="000000"/>
          <w:lang w:val="en-GB"/>
        </w:rPr>
        <w:t xml:space="preserve">lso </w:t>
      </w:r>
      <w:r w:rsidR="00314B20" w:rsidRPr="00DB56CA">
        <w:rPr>
          <w:color w:val="000000"/>
          <w:lang w:val="en-GB"/>
        </w:rPr>
        <w:t>support</w:t>
      </w:r>
      <w:r w:rsidR="00B73614" w:rsidRPr="00DB56CA">
        <w:rPr>
          <w:color w:val="000000"/>
          <w:lang w:val="en-GB"/>
        </w:rPr>
        <w:t>ive of</w:t>
      </w:r>
      <w:r w:rsidR="00314B20" w:rsidRPr="00DB56CA">
        <w:rPr>
          <w:color w:val="000000"/>
          <w:lang w:val="en-GB"/>
        </w:rPr>
        <w:t xml:space="preserve"> findings in one study of</w:t>
      </w:r>
      <w:r w:rsidR="005347A1" w:rsidRPr="00DB56CA">
        <w:rPr>
          <w:color w:val="000000"/>
          <w:lang w:val="en-GB"/>
        </w:rPr>
        <w:t xml:space="preserve"> </w:t>
      </w:r>
      <w:r w:rsidR="00A400A2" w:rsidRPr="00DB56CA">
        <w:rPr>
          <w:color w:val="000000"/>
          <w:lang w:val="en-GB"/>
        </w:rPr>
        <w:t>professional</w:t>
      </w:r>
      <w:r w:rsidR="005347A1" w:rsidRPr="00DB56CA">
        <w:rPr>
          <w:color w:val="000000"/>
          <w:lang w:val="en-GB"/>
        </w:rPr>
        <w:t xml:space="preserve"> </w:t>
      </w:r>
      <w:r w:rsidR="0030440A" w:rsidRPr="00DB56CA">
        <w:rPr>
          <w:color w:val="000000"/>
          <w:lang w:val="en-GB"/>
        </w:rPr>
        <w:t>(</w:t>
      </w:r>
      <w:r w:rsidR="00577B53" w:rsidRPr="00DB56CA">
        <w:rPr>
          <w:color w:val="000000"/>
          <w:lang w:val="en-GB"/>
        </w:rPr>
        <w:t>1</w:t>
      </w:r>
      <w:r w:rsidR="00A400A2" w:rsidRPr="00DB56CA">
        <w:rPr>
          <w:color w:val="000000"/>
          <w:lang w:val="en-GB"/>
        </w:rPr>
        <w:t xml:space="preserve">) and </w:t>
      </w:r>
      <w:r w:rsidR="00314B20" w:rsidRPr="00DB56CA">
        <w:rPr>
          <w:color w:val="000000"/>
          <w:lang w:val="en-GB"/>
        </w:rPr>
        <w:t xml:space="preserve">a second study of </w:t>
      </w:r>
      <w:r w:rsidR="00A400A2" w:rsidRPr="00DB56CA">
        <w:rPr>
          <w:color w:val="000000"/>
          <w:lang w:val="en-GB"/>
        </w:rPr>
        <w:t xml:space="preserve">amateur </w:t>
      </w:r>
      <w:r w:rsidR="00022B20" w:rsidRPr="00DB56CA">
        <w:rPr>
          <w:color w:val="000000"/>
          <w:lang w:val="en-GB"/>
        </w:rPr>
        <w:t>adolescent</w:t>
      </w:r>
      <w:r w:rsidR="00A400A2" w:rsidRPr="00DB56CA">
        <w:rPr>
          <w:color w:val="000000"/>
          <w:lang w:val="en-GB"/>
        </w:rPr>
        <w:t xml:space="preserve"> players (</w:t>
      </w:r>
      <w:r w:rsidR="00554E0B" w:rsidRPr="00DB56CA">
        <w:rPr>
          <w:color w:val="000000"/>
          <w:lang w:val="en-GB"/>
        </w:rPr>
        <w:t>14</w:t>
      </w:r>
      <w:r w:rsidR="0030440A" w:rsidRPr="00DB56CA">
        <w:rPr>
          <w:color w:val="000000"/>
          <w:lang w:val="en-GB"/>
        </w:rPr>
        <w:t>)</w:t>
      </w:r>
      <w:r w:rsidR="00314B20" w:rsidRPr="00DB56CA">
        <w:rPr>
          <w:color w:val="000000"/>
          <w:lang w:val="en-GB"/>
        </w:rPr>
        <w:t>, but extend the findings by establishing the relationship over a longer period of time</w:t>
      </w:r>
      <w:r w:rsidR="00172201" w:rsidRPr="00DB56CA">
        <w:rPr>
          <w:color w:val="000000"/>
          <w:lang w:val="en-GB"/>
        </w:rPr>
        <w:t xml:space="preserve">. </w:t>
      </w:r>
    </w:p>
    <w:p w14:paraId="76A9FFC8" w14:textId="78BF4955" w:rsidR="006F4F7E" w:rsidRPr="00DB56CA" w:rsidRDefault="00D57F0D" w:rsidP="006F4F7E">
      <w:pPr>
        <w:widowControl w:val="0"/>
        <w:autoSpaceDE w:val="0"/>
        <w:autoSpaceDN w:val="0"/>
        <w:adjustRightInd w:val="0"/>
        <w:spacing w:after="100" w:afterAutospacing="1" w:line="480" w:lineRule="auto"/>
        <w:contextualSpacing/>
        <w:jc w:val="both"/>
        <w:rPr>
          <w:color w:val="000000"/>
          <w:lang w:val="en-GB"/>
        </w:rPr>
      </w:pPr>
      <w:r w:rsidRPr="00DB56CA">
        <w:rPr>
          <w:color w:val="000000"/>
          <w:lang w:val="en-GB"/>
        </w:rPr>
        <w:lastRenderedPageBreak/>
        <w:t>The LTAD classifies players aged 16 to 18 years to have transitioned from the “training to train” phase into the “training to compete” phase of development with highly structured training (</w:t>
      </w:r>
      <w:r w:rsidR="00554E0B" w:rsidRPr="00DB56CA">
        <w:rPr>
          <w:color w:val="000000"/>
          <w:lang w:val="en-GB"/>
        </w:rPr>
        <w:t>10</w:t>
      </w:r>
      <w:r w:rsidRPr="00DB56CA">
        <w:rPr>
          <w:color w:val="000000"/>
          <w:lang w:val="en-GB"/>
        </w:rPr>
        <w:t xml:space="preserve">, </w:t>
      </w:r>
      <w:r w:rsidR="000476E0" w:rsidRPr="00DB56CA">
        <w:rPr>
          <w:color w:val="000000"/>
          <w:lang w:val="en-GB"/>
        </w:rPr>
        <w:t>18</w:t>
      </w:r>
      <w:r w:rsidRPr="00DB56CA">
        <w:rPr>
          <w:color w:val="000000"/>
          <w:lang w:val="en-GB"/>
        </w:rPr>
        <w:t xml:space="preserve">). </w:t>
      </w:r>
      <w:r w:rsidRPr="00DB56CA">
        <w:rPr>
          <w:color w:val="000000"/>
          <w:highlight w:val="yellow"/>
          <w:lang w:val="en-GB"/>
        </w:rPr>
        <w:t xml:space="preserve">Players in this phase are still developing their metabolic conditioning, endurance strength and power specific to </w:t>
      </w:r>
      <w:r w:rsidR="007F2E73" w:rsidRPr="00DB56CA">
        <w:rPr>
          <w:color w:val="000000"/>
          <w:highlight w:val="yellow"/>
          <w:lang w:val="en-GB"/>
        </w:rPr>
        <w:t>soccer</w:t>
      </w:r>
      <w:r w:rsidR="00C8425F" w:rsidRPr="00DB56CA">
        <w:rPr>
          <w:color w:val="000000"/>
          <w:highlight w:val="yellow"/>
          <w:lang w:val="en-GB"/>
        </w:rPr>
        <w:t>,</w:t>
      </w:r>
      <w:r w:rsidR="00CF67CE" w:rsidRPr="00DB56CA">
        <w:rPr>
          <w:color w:val="000000"/>
          <w:highlight w:val="yellow"/>
          <w:lang w:val="en-GB"/>
        </w:rPr>
        <w:t xml:space="preserve"> with lower performance pressure as training is still focused around “training to compete” rather than “training to win”</w:t>
      </w:r>
      <w:r w:rsidR="00C8425F" w:rsidRPr="00DB56CA">
        <w:rPr>
          <w:color w:val="000000"/>
          <w:highlight w:val="yellow"/>
          <w:lang w:val="en-GB"/>
        </w:rPr>
        <w:t xml:space="preserve"> </w:t>
      </w:r>
      <w:r w:rsidRPr="00DB56CA">
        <w:rPr>
          <w:color w:val="000000"/>
          <w:highlight w:val="yellow"/>
          <w:lang w:val="en-GB"/>
        </w:rPr>
        <w:t>(</w:t>
      </w:r>
      <w:r w:rsidR="000476E0" w:rsidRPr="00DB56CA">
        <w:rPr>
          <w:color w:val="000000"/>
          <w:highlight w:val="yellow"/>
          <w:lang w:val="en-GB"/>
        </w:rPr>
        <w:t>18</w:t>
      </w:r>
      <w:r w:rsidRPr="00DB56CA">
        <w:rPr>
          <w:color w:val="000000"/>
          <w:highlight w:val="yellow"/>
          <w:lang w:val="en-GB"/>
        </w:rPr>
        <w:t>).</w:t>
      </w:r>
      <w:r w:rsidRPr="00DB56CA">
        <w:rPr>
          <w:color w:val="000000"/>
          <w:lang w:val="en-GB"/>
        </w:rPr>
        <w:t xml:space="preserve"> The response to training load and recovery will therefore be markedly different to adult professionals who have fully developed physical attributes specific to </w:t>
      </w:r>
      <w:r w:rsidR="007F2E73" w:rsidRPr="00DB56CA">
        <w:rPr>
          <w:color w:val="000000"/>
          <w:lang w:val="en-GB"/>
        </w:rPr>
        <w:t>soccer</w:t>
      </w:r>
      <w:r w:rsidRPr="00DB56CA">
        <w:rPr>
          <w:color w:val="000000"/>
          <w:lang w:val="en-GB"/>
        </w:rPr>
        <w:t xml:space="preserve"> and where training is predominantly on maintaining and improving physical attributes and performance (</w:t>
      </w:r>
      <w:r w:rsidR="00554E0B" w:rsidRPr="00DB56CA">
        <w:rPr>
          <w:color w:val="000000"/>
          <w:lang w:val="en-GB"/>
        </w:rPr>
        <w:t>10</w:t>
      </w:r>
      <w:r w:rsidRPr="00DB56CA">
        <w:rPr>
          <w:color w:val="000000"/>
          <w:lang w:val="en-GB"/>
        </w:rPr>
        <w:t xml:space="preserve">, </w:t>
      </w:r>
      <w:r w:rsidR="000476E0" w:rsidRPr="00DB56CA">
        <w:rPr>
          <w:color w:val="000000"/>
          <w:lang w:val="en-GB"/>
        </w:rPr>
        <w:t>18</w:t>
      </w:r>
      <w:r w:rsidRPr="00DB56CA">
        <w:rPr>
          <w:color w:val="000000"/>
          <w:lang w:val="en-GB"/>
        </w:rPr>
        <w:t>).</w:t>
      </w:r>
      <w:r w:rsidR="00E31286" w:rsidRPr="00DB56CA">
        <w:rPr>
          <w:color w:val="000000"/>
          <w:lang w:val="en-GB"/>
        </w:rPr>
        <w:t xml:space="preserve"> T</w:t>
      </w:r>
      <w:r w:rsidR="001A67B8" w:rsidRPr="00DB56CA">
        <w:rPr>
          <w:color w:val="000000"/>
          <w:lang w:val="en-GB"/>
        </w:rPr>
        <w:t>he weaker strength of correlation</w:t>
      </w:r>
      <w:r w:rsidR="00314B20" w:rsidRPr="00DB56CA">
        <w:rPr>
          <w:color w:val="000000"/>
          <w:lang w:val="en-GB"/>
        </w:rPr>
        <w:t>s</w:t>
      </w:r>
      <w:r w:rsidR="001A67B8" w:rsidRPr="00DB56CA">
        <w:rPr>
          <w:color w:val="000000"/>
          <w:lang w:val="en-GB"/>
        </w:rPr>
        <w:t xml:space="preserve"> found in this study, compared to Kelly et al. (</w:t>
      </w:r>
      <w:r w:rsidR="00554E0B" w:rsidRPr="00DB56CA">
        <w:rPr>
          <w:color w:val="000000"/>
          <w:lang w:val="en-GB"/>
        </w:rPr>
        <w:t>17</w:t>
      </w:r>
      <w:r w:rsidR="001A67B8" w:rsidRPr="00DB56CA">
        <w:rPr>
          <w:color w:val="000000"/>
          <w:lang w:val="en-GB"/>
        </w:rPr>
        <w:t>)</w:t>
      </w:r>
      <w:r w:rsidR="00CF67CE" w:rsidRPr="00DB56CA">
        <w:rPr>
          <w:color w:val="000000"/>
          <w:lang w:val="en-GB"/>
        </w:rPr>
        <w:t xml:space="preserve">, </w:t>
      </w:r>
      <w:r w:rsidR="00CF67CE" w:rsidRPr="00DB56CA">
        <w:rPr>
          <w:color w:val="000000"/>
          <w:highlight w:val="yellow"/>
          <w:lang w:val="en-GB"/>
        </w:rPr>
        <w:t xml:space="preserve">where </w:t>
      </w:r>
      <w:r w:rsidR="00CF67CE" w:rsidRPr="00DB56CA">
        <w:rPr>
          <w:i/>
          <w:color w:val="000000"/>
          <w:highlight w:val="yellow"/>
          <w:lang w:val="en-GB"/>
        </w:rPr>
        <w:t>r= 0.75,</w:t>
      </w:r>
      <w:r w:rsidR="00314B20" w:rsidRPr="00DB56CA">
        <w:rPr>
          <w:color w:val="000000"/>
          <w:lang w:val="en-GB"/>
        </w:rPr>
        <w:t xml:space="preserve"> on adult </w:t>
      </w:r>
      <w:r w:rsidR="00E31286" w:rsidRPr="00DB56CA">
        <w:rPr>
          <w:color w:val="000000"/>
          <w:lang w:val="en-GB"/>
        </w:rPr>
        <w:t xml:space="preserve">professional </w:t>
      </w:r>
      <w:r w:rsidR="00314B20" w:rsidRPr="00DB56CA">
        <w:rPr>
          <w:color w:val="000000"/>
          <w:lang w:val="en-GB"/>
        </w:rPr>
        <w:t>players</w:t>
      </w:r>
      <w:r w:rsidR="001A67B8" w:rsidRPr="00DB56CA">
        <w:rPr>
          <w:color w:val="000000"/>
          <w:lang w:val="en-GB"/>
        </w:rPr>
        <w:t>, may be due to the difference caused by the age</w:t>
      </w:r>
      <w:r w:rsidR="00A841AE" w:rsidRPr="00DB56CA">
        <w:rPr>
          <w:color w:val="000000"/>
          <w:lang w:val="en-GB"/>
        </w:rPr>
        <w:t xml:space="preserve"> and training status</w:t>
      </w:r>
      <w:r w:rsidR="001A67B8" w:rsidRPr="00DB56CA">
        <w:rPr>
          <w:color w:val="000000"/>
          <w:lang w:val="en-GB"/>
        </w:rPr>
        <w:t xml:space="preserve"> of the players.</w:t>
      </w:r>
      <w:r w:rsidR="00022B20" w:rsidRPr="00DB56CA">
        <w:rPr>
          <w:color w:val="000000"/>
          <w:lang w:val="en-GB"/>
        </w:rPr>
        <w:t xml:space="preserve"> </w:t>
      </w:r>
    </w:p>
    <w:p w14:paraId="5DC95B8C" w14:textId="77777777" w:rsidR="006F4F7E" w:rsidRPr="00DB56CA" w:rsidRDefault="005347A1" w:rsidP="006F4F7E">
      <w:pPr>
        <w:widowControl w:val="0"/>
        <w:autoSpaceDE w:val="0"/>
        <w:autoSpaceDN w:val="0"/>
        <w:adjustRightInd w:val="0"/>
        <w:spacing w:after="100" w:afterAutospacing="1" w:line="480" w:lineRule="auto"/>
        <w:contextualSpacing/>
        <w:jc w:val="both"/>
        <w:rPr>
          <w:color w:val="000000"/>
          <w:lang w:val="en-GB"/>
        </w:rPr>
      </w:pPr>
      <w:r w:rsidRPr="00DB56CA">
        <w:rPr>
          <w:color w:val="000000"/>
          <w:lang w:val="en-GB"/>
        </w:rPr>
        <w:t>The correlatio</w:t>
      </w:r>
      <w:r w:rsidR="00AE368E" w:rsidRPr="00DB56CA">
        <w:rPr>
          <w:color w:val="000000"/>
          <w:lang w:val="en-GB"/>
        </w:rPr>
        <w:t>n was strongest in October (</w:t>
      </w:r>
      <w:r w:rsidR="00AE368E" w:rsidRPr="00DB56CA">
        <w:rPr>
          <w:i/>
          <w:color w:val="000000"/>
          <w:lang w:val="en-GB"/>
        </w:rPr>
        <w:t>r=</w:t>
      </w:r>
      <w:r w:rsidRPr="00DB56CA">
        <w:rPr>
          <w:color w:val="000000"/>
          <w:lang w:val="en-GB"/>
        </w:rPr>
        <w:t xml:space="preserve">0.73) and </w:t>
      </w:r>
      <w:r w:rsidR="00AE368E" w:rsidRPr="00DB56CA">
        <w:rPr>
          <w:color w:val="000000"/>
          <w:lang w:val="en-GB"/>
        </w:rPr>
        <w:t>weakest in April (</w:t>
      </w:r>
      <w:r w:rsidR="00AE368E" w:rsidRPr="00DB56CA">
        <w:rPr>
          <w:i/>
          <w:color w:val="000000"/>
          <w:lang w:val="en-GB"/>
        </w:rPr>
        <w:t>r=</w:t>
      </w:r>
      <w:r w:rsidRPr="00DB56CA">
        <w:rPr>
          <w:color w:val="000000"/>
          <w:lang w:val="en-GB"/>
        </w:rPr>
        <w:t>0.60) s</w:t>
      </w:r>
      <w:r w:rsidR="00D37FD4" w:rsidRPr="00DB56CA">
        <w:rPr>
          <w:color w:val="000000"/>
          <w:lang w:val="en-GB"/>
        </w:rPr>
        <w:t>howing</w:t>
      </w:r>
      <w:r w:rsidRPr="00DB56CA">
        <w:rPr>
          <w:color w:val="000000"/>
          <w:lang w:val="en-GB"/>
        </w:rPr>
        <w:t xml:space="preserve"> </w:t>
      </w:r>
      <w:r w:rsidR="00D37FD4" w:rsidRPr="00DB56CA">
        <w:rPr>
          <w:color w:val="000000"/>
          <w:lang w:val="en-GB"/>
        </w:rPr>
        <w:t>a possible</w:t>
      </w:r>
      <w:r w:rsidRPr="00DB56CA">
        <w:rPr>
          <w:color w:val="000000"/>
          <w:lang w:val="en-GB"/>
        </w:rPr>
        <w:t xml:space="preserve"> </w:t>
      </w:r>
      <w:r w:rsidR="008D01EC" w:rsidRPr="00DB56CA">
        <w:rPr>
          <w:color w:val="000000"/>
          <w:lang w:val="en-GB"/>
        </w:rPr>
        <w:t xml:space="preserve">influence </w:t>
      </w:r>
      <w:r w:rsidRPr="00DB56CA">
        <w:rPr>
          <w:color w:val="000000"/>
          <w:lang w:val="en-GB"/>
        </w:rPr>
        <w:t>of time on the strength of correlation</w:t>
      </w:r>
      <w:r w:rsidR="00B73614" w:rsidRPr="00DB56CA">
        <w:rPr>
          <w:color w:val="000000"/>
          <w:lang w:val="en-GB"/>
        </w:rPr>
        <w:t xml:space="preserve"> (Table 1)</w:t>
      </w:r>
      <w:r w:rsidR="00172201" w:rsidRPr="00DB56CA">
        <w:rPr>
          <w:color w:val="000000"/>
          <w:lang w:val="en-GB"/>
        </w:rPr>
        <w:t xml:space="preserve">. </w:t>
      </w:r>
      <w:r w:rsidR="0010169A" w:rsidRPr="00DB56CA">
        <w:rPr>
          <w:color w:val="000000"/>
          <w:lang w:val="en-GB"/>
        </w:rPr>
        <w:t>However, the relatively weak</w:t>
      </w:r>
      <w:r w:rsidR="00D919CF" w:rsidRPr="00DB56CA">
        <w:rPr>
          <w:color w:val="000000"/>
          <w:lang w:val="en-GB"/>
        </w:rPr>
        <w:t xml:space="preserve"> correlation in April may be because the number of sessions analysed were fewer in April compared to other months</w:t>
      </w:r>
      <w:r w:rsidR="00AC53FF" w:rsidRPr="00DB56CA">
        <w:rPr>
          <w:color w:val="000000"/>
          <w:lang w:val="en-GB"/>
        </w:rPr>
        <w:t>.</w:t>
      </w:r>
      <w:r w:rsidR="00172201" w:rsidRPr="00DB56CA">
        <w:rPr>
          <w:color w:val="000000"/>
          <w:lang w:val="en-GB"/>
        </w:rPr>
        <w:t xml:space="preserve"> </w:t>
      </w:r>
      <w:r w:rsidR="00D919CF" w:rsidRPr="00DB56CA">
        <w:rPr>
          <w:color w:val="000000"/>
          <w:lang w:val="en-GB"/>
        </w:rPr>
        <w:t>O</w:t>
      </w:r>
      <w:r w:rsidR="0030440A" w:rsidRPr="00DB56CA">
        <w:rPr>
          <w:color w:val="000000"/>
          <w:lang w:val="en-GB"/>
        </w:rPr>
        <w:t xml:space="preserve">n analysis of the 95% </w:t>
      </w:r>
      <w:r w:rsidR="00C17608" w:rsidRPr="00DB56CA">
        <w:rPr>
          <w:color w:val="000000"/>
          <w:lang w:val="en-GB"/>
        </w:rPr>
        <w:t>CI</w:t>
      </w:r>
      <w:r w:rsidR="0030440A" w:rsidRPr="00DB56CA">
        <w:rPr>
          <w:color w:val="000000"/>
          <w:lang w:val="en-GB"/>
        </w:rPr>
        <w:t xml:space="preserve"> there appears a clear overlap of range of </w:t>
      </w:r>
      <w:r w:rsidR="001D5CE0" w:rsidRPr="00DB56CA">
        <w:rPr>
          <w:color w:val="000000"/>
          <w:lang w:val="en-GB"/>
        </w:rPr>
        <w:t xml:space="preserve">correlations </w:t>
      </w:r>
      <w:r w:rsidR="0030440A" w:rsidRPr="00DB56CA">
        <w:rPr>
          <w:color w:val="000000"/>
          <w:lang w:val="en-GB"/>
        </w:rPr>
        <w:t>for each month</w:t>
      </w:r>
      <w:r w:rsidR="00AC53FF" w:rsidRPr="00DB56CA">
        <w:rPr>
          <w:color w:val="000000"/>
          <w:lang w:val="en-GB"/>
        </w:rPr>
        <w:t>.</w:t>
      </w:r>
      <w:r w:rsidR="00172201" w:rsidRPr="00DB56CA">
        <w:rPr>
          <w:color w:val="000000"/>
          <w:lang w:val="en-GB"/>
        </w:rPr>
        <w:t xml:space="preserve"> </w:t>
      </w:r>
      <w:r w:rsidR="0030440A" w:rsidRPr="00DB56CA">
        <w:rPr>
          <w:color w:val="000000"/>
          <w:lang w:val="en-GB"/>
        </w:rPr>
        <w:t>Moreover</w:t>
      </w:r>
      <w:r w:rsidR="007D607C" w:rsidRPr="00DB56CA">
        <w:rPr>
          <w:color w:val="000000"/>
          <w:lang w:val="en-GB"/>
        </w:rPr>
        <w:t>,</w:t>
      </w:r>
      <w:r w:rsidR="0030440A" w:rsidRPr="00DB56CA">
        <w:rPr>
          <w:color w:val="000000"/>
          <w:lang w:val="en-GB"/>
        </w:rPr>
        <w:t xml:space="preserve"> wh</w:t>
      </w:r>
      <w:r w:rsidR="00C17608" w:rsidRPr="00DB56CA">
        <w:rPr>
          <w:color w:val="000000"/>
          <w:lang w:val="en-GB"/>
        </w:rPr>
        <w:t>en analysed using Fisher’s r-to-</w:t>
      </w:r>
      <w:r w:rsidR="0030440A" w:rsidRPr="00DB56CA">
        <w:rPr>
          <w:color w:val="000000"/>
          <w:lang w:val="en-GB"/>
        </w:rPr>
        <w:t>z transformation, t</w:t>
      </w:r>
      <w:r w:rsidR="00AE0CEE" w:rsidRPr="00DB56CA">
        <w:rPr>
          <w:color w:val="000000"/>
          <w:lang w:val="en-GB"/>
        </w:rPr>
        <w:t>here was no significant difference in the correlations</w:t>
      </w:r>
      <w:r w:rsidR="007D607C" w:rsidRPr="00DB56CA">
        <w:rPr>
          <w:color w:val="000000"/>
          <w:lang w:val="en-GB"/>
        </w:rPr>
        <w:t xml:space="preserve"> between the months</w:t>
      </w:r>
      <w:r w:rsidR="00172201" w:rsidRPr="00DB56CA">
        <w:rPr>
          <w:color w:val="000000"/>
          <w:lang w:val="en-GB"/>
        </w:rPr>
        <w:t>.</w:t>
      </w:r>
      <w:r w:rsidR="007D607C" w:rsidRPr="00DB56CA">
        <w:rPr>
          <w:color w:val="000000"/>
          <w:lang w:val="en-GB"/>
        </w:rPr>
        <w:t xml:space="preserve"> </w:t>
      </w:r>
      <w:r w:rsidR="00C17608" w:rsidRPr="00DB56CA">
        <w:rPr>
          <w:color w:val="000000"/>
          <w:lang w:val="en-GB"/>
        </w:rPr>
        <w:t>T</w:t>
      </w:r>
      <w:r w:rsidR="007D607C" w:rsidRPr="00DB56CA">
        <w:rPr>
          <w:color w:val="000000"/>
          <w:lang w:val="en-GB"/>
        </w:rPr>
        <w:t xml:space="preserve">he hypothesis </w:t>
      </w:r>
      <w:r w:rsidRPr="00DB56CA">
        <w:rPr>
          <w:color w:val="000000"/>
          <w:lang w:val="en-GB"/>
        </w:rPr>
        <w:t xml:space="preserve">that the correlation is stronger at the beginning of the season compared to the later parts of the season </w:t>
      </w:r>
      <w:r w:rsidR="00FF7EB4" w:rsidRPr="00DB56CA">
        <w:rPr>
          <w:color w:val="000000"/>
          <w:lang w:val="en-GB"/>
        </w:rPr>
        <w:t>wa</w:t>
      </w:r>
      <w:r w:rsidRPr="00DB56CA">
        <w:rPr>
          <w:color w:val="000000"/>
          <w:lang w:val="en-GB"/>
        </w:rPr>
        <w:t>s rejected</w:t>
      </w:r>
      <w:r w:rsidR="00172201" w:rsidRPr="00DB56CA">
        <w:rPr>
          <w:color w:val="000000"/>
          <w:lang w:val="en-GB"/>
        </w:rPr>
        <w:t>.</w:t>
      </w:r>
      <w:r w:rsidR="00224CCD" w:rsidRPr="00DB56CA">
        <w:rPr>
          <w:color w:val="000000"/>
          <w:lang w:val="en-GB"/>
        </w:rPr>
        <w:t xml:space="preserve"> </w:t>
      </w:r>
      <w:r w:rsidRPr="00DB56CA">
        <w:rPr>
          <w:color w:val="000000"/>
          <w:lang w:val="en-GB"/>
        </w:rPr>
        <w:t>There seems to be no effect of time on the strength of correlation</w:t>
      </w:r>
      <w:r w:rsidR="00172201" w:rsidRPr="00DB56CA">
        <w:rPr>
          <w:color w:val="000000"/>
          <w:lang w:val="en-GB"/>
        </w:rPr>
        <w:t xml:space="preserve">. </w:t>
      </w:r>
      <w:r w:rsidR="00220AA7" w:rsidRPr="00DB56CA">
        <w:rPr>
          <w:color w:val="000000"/>
          <w:lang w:val="en-GB"/>
        </w:rPr>
        <w:t>T</w:t>
      </w:r>
      <w:r w:rsidR="008062FE" w:rsidRPr="00DB56CA">
        <w:rPr>
          <w:color w:val="000000"/>
          <w:lang w:val="en-GB"/>
        </w:rPr>
        <w:t>hese results s</w:t>
      </w:r>
      <w:r w:rsidR="00FF7EB4" w:rsidRPr="00DB56CA">
        <w:rPr>
          <w:color w:val="000000"/>
          <w:lang w:val="en-GB"/>
        </w:rPr>
        <w:t>how</w:t>
      </w:r>
      <w:r w:rsidR="008062FE" w:rsidRPr="00DB56CA">
        <w:rPr>
          <w:color w:val="000000"/>
          <w:lang w:val="en-GB"/>
        </w:rPr>
        <w:t xml:space="preserve"> that sRPE</w:t>
      </w:r>
      <w:r w:rsidR="00131175" w:rsidRPr="00DB56CA">
        <w:rPr>
          <w:color w:val="000000"/>
          <w:lang w:val="en-GB"/>
        </w:rPr>
        <w:t xml:space="preserve"> is a reliable measure when compared to HR throughout the season</w:t>
      </w:r>
      <w:r w:rsidR="00172201" w:rsidRPr="00DB56CA">
        <w:rPr>
          <w:color w:val="000000"/>
          <w:lang w:val="en-GB"/>
        </w:rPr>
        <w:t xml:space="preserve">. </w:t>
      </w:r>
      <w:r w:rsidR="00131175" w:rsidRPr="00DB56CA">
        <w:rPr>
          <w:color w:val="000000"/>
          <w:lang w:val="en-GB"/>
        </w:rPr>
        <w:t>The players can perceive the training load through the season with reasonable accuracy</w:t>
      </w:r>
      <w:r w:rsidR="00172201" w:rsidRPr="00DB56CA">
        <w:rPr>
          <w:color w:val="000000"/>
          <w:lang w:val="en-GB"/>
        </w:rPr>
        <w:t>.</w:t>
      </w:r>
      <w:r w:rsidR="00224CCD" w:rsidRPr="00DB56CA">
        <w:rPr>
          <w:color w:val="000000"/>
          <w:lang w:val="en-GB"/>
        </w:rPr>
        <w:t xml:space="preserve"> </w:t>
      </w:r>
      <w:r w:rsidR="00131175" w:rsidRPr="00DB56CA">
        <w:rPr>
          <w:color w:val="000000"/>
          <w:lang w:val="en-GB"/>
        </w:rPr>
        <w:t xml:space="preserve">Any changes </w:t>
      </w:r>
      <w:r w:rsidR="00231270" w:rsidRPr="00DB56CA">
        <w:rPr>
          <w:color w:val="000000"/>
          <w:lang w:val="en-GB"/>
        </w:rPr>
        <w:t>that may occur in training load</w:t>
      </w:r>
      <w:r w:rsidR="00131175" w:rsidRPr="00DB56CA">
        <w:rPr>
          <w:color w:val="000000"/>
          <w:lang w:val="en-GB"/>
        </w:rPr>
        <w:t xml:space="preserve"> seem to be accounted for </w:t>
      </w:r>
      <w:r w:rsidR="001A2D54" w:rsidRPr="00DB56CA">
        <w:rPr>
          <w:color w:val="000000"/>
          <w:lang w:val="en-GB"/>
        </w:rPr>
        <w:t>in both</w:t>
      </w:r>
      <w:r w:rsidR="00131175" w:rsidRPr="00DB56CA">
        <w:rPr>
          <w:color w:val="000000"/>
          <w:lang w:val="en-GB"/>
        </w:rPr>
        <w:t xml:space="preserve"> </w:t>
      </w:r>
      <w:r w:rsidR="00B73614" w:rsidRPr="00DB56CA">
        <w:rPr>
          <w:color w:val="000000"/>
          <w:lang w:val="en-GB"/>
        </w:rPr>
        <w:t xml:space="preserve">measurement </w:t>
      </w:r>
      <w:r w:rsidR="00131175" w:rsidRPr="00DB56CA">
        <w:rPr>
          <w:color w:val="000000"/>
          <w:lang w:val="en-GB"/>
        </w:rPr>
        <w:t>methods.</w:t>
      </w:r>
    </w:p>
    <w:p w14:paraId="00CB0D2A" w14:textId="5D6D3B69" w:rsidR="006F4F7E" w:rsidRPr="00DB56CA" w:rsidRDefault="00922C6C" w:rsidP="006F4F7E">
      <w:pPr>
        <w:widowControl w:val="0"/>
        <w:autoSpaceDE w:val="0"/>
        <w:autoSpaceDN w:val="0"/>
        <w:adjustRightInd w:val="0"/>
        <w:spacing w:after="100" w:afterAutospacing="1" w:line="480" w:lineRule="auto"/>
        <w:contextualSpacing/>
        <w:jc w:val="both"/>
        <w:rPr>
          <w:color w:val="000000"/>
          <w:lang w:val="en-GB"/>
        </w:rPr>
      </w:pPr>
      <w:r w:rsidRPr="00DB56CA">
        <w:rPr>
          <w:color w:val="000000" w:themeColor="text1"/>
          <w:lang w:val="en-GB"/>
        </w:rPr>
        <w:lastRenderedPageBreak/>
        <w:t>Since correlations are compared over the whole range of data, high correlations are often report</w:t>
      </w:r>
      <w:r w:rsidR="00071736" w:rsidRPr="00DB56CA">
        <w:rPr>
          <w:color w:val="000000" w:themeColor="text1"/>
          <w:lang w:val="en-GB"/>
        </w:rPr>
        <w:t>ed despite biases in the method. This implies</w:t>
      </w:r>
      <w:r w:rsidRPr="00DB56CA">
        <w:rPr>
          <w:color w:val="000000" w:themeColor="text1"/>
          <w:lang w:val="en-GB"/>
        </w:rPr>
        <w:t xml:space="preserve"> that the methods may relate but may consistently over or underestimate the measurement (</w:t>
      </w:r>
      <w:r w:rsidR="00577B53" w:rsidRPr="00DB56CA">
        <w:rPr>
          <w:color w:val="000000" w:themeColor="text1"/>
          <w:lang w:val="en-GB"/>
        </w:rPr>
        <w:t>3</w:t>
      </w:r>
      <w:r w:rsidRPr="00DB56CA">
        <w:rPr>
          <w:color w:val="000000" w:themeColor="text1"/>
          <w:lang w:val="en-GB"/>
        </w:rPr>
        <w:t>).</w:t>
      </w:r>
      <w:r w:rsidR="00224CCD" w:rsidRPr="00DB56CA">
        <w:rPr>
          <w:color w:val="000000" w:themeColor="text1"/>
          <w:lang w:val="en-GB"/>
        </w:rPr>
        <w:t xml:space="preserve"> </w:t>
      </w:r>
      <w:r w:rsidR="008062FE" w:rsidRPr="00DB56CA">
        <w:rPr>
          <w:color w:val="000000" w:themeColor="text1"/>
          <w:lang w:val="en-GB"/>
        </w:rPr>
        <w:t>Bland-Al</w:t>
      </w:r>
      <w:r w:rsidR="00DE6F1E" w:rsidRPr="00DB56CA">
        <w:rPr>
          <w:color w:val="000000" w:themeColor="text1"/>
          <w:lang w:val="en-GB"/>
        </w:rPr>
        <w:t xml:space="preserve">tman agreement plots were plotted to </w:t>
      </w:r>
      <w:r w:rsidR="00B73614" w:rsidRPr="00DB56CA">
        <w:rPr>
          <w:color w:val="000000" w:themeColor="text1"/>
          <w:lang w:val="en-GB"/>
        </w:rPr>
        <w:t>observe</w:t>
      </w:r>
      <w:r w:rsidR="00DE6F1E" w:rsidRPr="00DB56CA">
        <w:rPr>
          <w:color w:val="000000" w:themeColor="text1"/>
          <w:lang w:val="en-GB"/>
        </w:rPr>
        <w:t xml:space="preserve"> the trends and biases in the data</w:t>
      </w:r>
      <w:r w:rsidR="00172201" w:rsidRPr="00DB56CA">
        <w:rPr>
          <w:color w:val="000000" w:themeColor="text1"/>
          <w:lang w:val="en-GB"/>
        </w:rPr>
        <w:t xml:space="preserve">. </w:t>
      </w:r>
      <w:r w:rsidR="00DE6F1E" w:rsidRPr="00DB56CA">
        <w:rPr>
          <w:color w:val="000000" w:themeColor="text1"/>
          <w:lang w:val="en-GB"/>
        </w:rPr>
        <w:t>This is the first study to use this statistical approach between HR and sRPE</w:t>
      </w:r>
      <w:r w:rsidR="00220AA7" w:rsidRPr="00DB56CA">
        <w:rPr>
          <w:color w:val="000000" w:themeColor="text1"/>
          <w:lang w:val="en-GB"/>
        </w:rPr>
        <w:t xml:space="preserve"> measures</w:t>
      </w:r>
      <w:r w:rsidR="00B03A93" w:rsidRPr="00DB56CA">
        <w:rPr>
          <w:color w:val="000000" w:themeColor="text1"/>
          <w:lang w:val="en-GB"/>
        </w:rPr>
        <w:t>, providing a better understanding of the spread of the data</w:t>
      </w:r>
      <w:r w:rsidR="00172201" w:rsidRPr="00DB56CA">
        <w:rPr>
          <w:color w:val="000000" w:themeColor="text1"/>
          <w:lang w:val="en-GB"/>
        </w:rPr>
        <w:t>.</w:t>
      </w:r>
      <w:r w:rsidR="00224CCD" w:rsidRPr="00DB56CA">
        <w:rPr>
          <w:color w:val="000000" w:themeColor="text1"/>
          <w:lang w:val="en-GB"/>
        </w:rPr>
        <w:t xml:space="preserve"> </w:t>
      </w:r>
      <w:r w:rsidR="001970A3" w:rsidRPr="00DB56CA">
        <w:rPr>
          <w:color w:val="000000"/>
          <w:lang w:val="en-GB"/>
        </w:rPr>
        <w:t>The Bland-Altman agreement plots</w:t>
      </w:r>
      <w:r w:rsidR="001C458A" w:rsidRPr="00DB56CA">
        <w:rPr>
          <w:color w:val="000000"/>
          <w:lang w:val="en-GB"/>
        </w:rPr>
        <w:t xml:space="preserve"> </w:t>
      </w:r>
      <w:r w:rsidR="001C458A" w:rsidRPr="00DB56CA">
        <w:rPr>
          <w:color w:val="000000"/>
          <w:highlight w:val="yellow"/>
          <w:lang w:val="en-GB"/>
        </w:rPr>
        <w:t>(Figure</w:t>
      </w:r>
      <w:r w:rsidR="00787046" w:rsidRPr="00DB56CA">
        <w:rPr>
          <w:color w:val="000000"/>
          <w:highlight w:val="yellow"/>
          <w:lang w:val="en-GB"/>
        </w:rPr>
        <w:t xml:space="preserve">s </w:t>
      </w:r>
      <w:r w:rsidR="001C458A" w:rsidRPr="00DB56CA">
        <w:rPr>
          <w:color w:val="000000"/>
          <w:highlight w:val="yellow"/>
          <w:lang w:val="en-GB"/>
        </w:rPr>
        <w:t>1</w:t>
      </w:r>
      <w:r w:rsidR="00787046" w:rsidRPr="00DB56CA">
        <w:rPr>
          <w:color w:val="000000"/>
          <w:highlight w:val="yellow"/>
          <w:lang w:val="en-GB"/>
        </w:rPr>
        <w:t>A and 1B</w:t>
      </w:r>
      <w:r w:rsidR="00910920" w:rsidRPr="00DB56CA">
        <w:rPr>
          <w:color w:val="000000"/>
          <w:highlight w:val="yellow"/>
          <w:lang w:val="en-GB"/>
        </w:rPr>
        <w:t>)</w:t>
      </w:r>
      <w:r w:rsidR="008D48C4" w:rsidRPr="00DB56CA">
        <w:rPr>
          <w:color w:val="000000"/>
          <w:lang w:val="en-GB"/>
        </w:rPr>
        <w:t xml:space="preserve"> for each month</w:t>
      </w:r>
      <w:r w:rsidR="001970A3" w:rsidRPr="00DB56CA">
        <w:rPr>
          <w:color w:val="000000"/>
          <w:lang w:val="en-GB"/>
        </w:rPr>
        <w:t xml:space="preserve"> show a bias</w:t>
      </w:r>
      <w:r w:rsidR="00372C97" w:rsidRPr="00DB56CA">
        <w:rPr>
          <w:color w:val="000000"/>
          <w:lang w:val="en-GB"/>
        </w:rPr>
        <w:t xml:space="preserve"> of 0.00</w:t>
      </w:r>
      <w:r w:rsidR="001970A3" w:rsidRPr="00DB56CA">
        <w:rPr>
          <w:color w:val="000000"/>
          <w:lang w:val="en-GB"/>
        </w:rPr>
        <w:t xml:space="preserve"> to -0.</w:t>
      </w:r>
      <w:r w:rsidR="00372C97" w:rsidRPr="00DB56CA">
        <w:rPr>
          <w:color w:val="000000"/>
          <w:lang w:val="en-GB"/>
        </w:rPr>
        <w:t>0002</w:t>
      </w:r>
      <w:r w:rsidR="001970A3" w:rsidRPr="00DB56CA">
        <w:rPr>
          <w:color w:val="000000"/>
          <w:lang w:val="en-GB"/>
        </w:rPr>
        <w:t xml:space="preserve"> </w:t>
      </w:r>
      <w:r w:rsidR="00231270" w:rsidRPr="00DB56CA">
        <w:rPr>
          <w:color w:val="000000"/>
          <w:lang w:val="en-GB"/>
        </w:rPr>
        <w:t>demonstrating</w:t>
      </w:r>
      <w:r w:rsidR="001970A3" w:rsidRPr="00DB56CA">
        <w:rPr>
          <w:color w:val="000000"/>
          <w:lang w:val="en-GB"/>
        </w:rPr>
        <w:t xml:space="preserve"> that the methods </w:t>
      </w:r>
      <w:r w:rsidR="00106812" w:rsidRPr="00DB56CA">
        <w:rPr>
          <w:color w:val="000000"/>
          <w:lang w:val="en-GB"/>
        </w:rPr>
        <w:t xml:space="preserve">agree and sRPETL estimates the </w:t>
      </w:r>
      <w:r w:rsidR="000F4758" w:rsidRPr="00DB56CA">
        <w:rPr>
          <w:color w:val="000000"/>
          <w:lang w:val="en-GB"/>
        </w:rPr>
        <w:t>internal training load with similar accuracy as HRTL</w:t>
      </w:r>
      <w:r w:rsidR="00172201" w:rsidRPr="00DB56CA">
        <w:rPr>
          <w:color w:val="000000"/>
          <w:lang w:val="en-GB"/>
        </w:rPr>
        <w:t xml:space="preserve">.  </w:t>
      </w:r>
    </w:p>
    <w:p w14:paraId="58F1D7EE" w14:textId="3903FA83" w:rsidR="006F4F7E" w:rsidRPr="00DB56CA" w:rsidRDefault="004A2D1D" w:rsidP="006F4F7E">
      <w:pPr>
        <w:widowControl w:val="0"/>
        <w:autoSpaceDE w:val="0"/>
        <w:autoSpaceDN w:val="0"/>
        <w:adjustRightInd w:val="0"/>
        <w:spacing w:after="100" w:afterAutospacing="1" w:line="480" w:lineRule="auto"/>
        <w:contextualSpacing/>
        <w:jc w:val="both"/>
        <w:rPr>
          <w:color w:val="000000"/>
          <w:lang w:val="en-GB"/>
        </w:rPr>
      </w:pPr>
      <w:r w:rsidRPr="00DB56CA">
        <w:rPr>
          <w:color w:val="000000"/>
          <w:lang w:val="en-GB"/>
        </w:rPr>
        <w:t>The diagona</w:t>
      </w:r>
      <w:r w:rsidR="00910920" w:rsidRPr="00DB56CA">
        <w:rPr>
          <w:color w:val="000000"/>
          <w:lang w:val="en-GB"/>
        </w:rPr>
        <w:t>l patterns visible in the data</w:t>
      </w:r>
      <w:r w:rsidRPr="00DB56CA">
        <w:rPr>
          <w:color w:val="000000"/>
          <w:lang w:val="en-GB"/>
        </w:rPr>
        <w:t xml:space="preserve"> are due to the </w:t>
      </w:r>
      <w:r w:rsidR="008809A4" w:rsidRPr="00DB56CA">
        <w:rPr>
          <w:color w:val="000000"/>
          <w:lang w:val="en-GB"/>
        </w:rPr>
        <w:t>discrete nature of the sRPE data</w:t>
      </w:r>
      <w:r w:rsidR="00172201" w:rsidRPr="00DB56CA">
        <w:rPr>
          <w:color w:val="000000"/>
          <w:lang w:val="en-GB"/>
        </w:rPr>
        <w:t xml:space="preserve">. </w:t>
      </w:r>
      <w:r w:rsidR="008809A4" w:rsidRPr="00DB56CA">
        <w:rPr>
          <w:color w:val="000000"/>
          <w:lang w:val="en-GB"/>
        </w:rPr>
        <w:t xml:space="preserve">The sRPE training load takes </w:t>
      </w:r>
      <w:r w:rsidR="00BF62E6" w:rsidRPr="00DB56CA">
        <w:rPr>
          <w:color w:val="000000"/>
          <w:lang w:val="en-GB"/>
        </w:rPr>
        <w:t xml:space="preserve">values as </w:t>
      </w:r>
      <w:r w:rsidR="008809A4" w:rsidRPr="00DB56CA">
        <w:rPr>
          <w:color w:val="000000"/>
          <w:lang w:val="en-GB"/>
        </w:rPr>
        <w:t>the product of 0 to 10 on the scale and session duration which typically ranges from 60-120 minutes</w:t>
      </w:r>
      <w:r w:rsidR="00A841AE" w:rsidRPr="00DB56CA">
        <w:rPr>
          <w:color w:val="000000"/>
          <w:lang w:val="en-GB"/>
        </w:rPr>
        <w:t xml:space="preserve">. </w:t>
      </w:r>
      <w:r w:rsidR="00BF62E6" w:rsidRPr="00DB56CA">
        <w:rPr>
          <w:color w:val="000000"/>
          <w:lang w:val="en-GB"/>
        </w:rPr>
        <w:t>The sRPETL values are distinct and repetitive</w:t>
      </w:r>
      <w:r w:rsidR="00E748B0" w:rsidRPr="00DB56CA">
        <w:rPr>
          <w:color w:val="000000"/>
          <w:lang w:val="en-GB"/>
        </w:rPr>
        <w:t>,</w:t>
      </w:r>
      <w:r w:rsidR="00003BBF" w:rsidRPr="00DB56CA">
        <w:rPr>
          <w:color w:val="000000"/>
          <w:lang w:val="en-GB"/>
        </w:rPr>
        <w:t xml:space="preserve"> </w:t>
      </w:r>
      <w:r w:rsidR="009607C2" w:rsidRPr="00DB56CA">
        <w:rPr>
          <w:color w:val="000000"/>
          <w:lang w:val="en-GB"/>
        </w:rPr>
        <w:t xml:space="preserve">for example </w:t>
      </w:r>
      <w:r w:rsidR="00E748B0" w:rsidRPr="00DB56CA">
        <w:rPr>
          <w:color w:val="000000"/>
          <w:lang w:val="en-GB"/>
        </w:rPr>
        <w:t>each score on the sRPE scale represents a HRTL range</w:t>
      </w:r>
      <w:r w:rsidR="009607C2" w:rsidRPr="00DB56CA">
        <w:rPr>
          <w:color w:val="000000"/>
          <w:lang w:val="en-GB"/>
        </w:rPr>
        <w:t xml:space="preserve"> and</w:t>
      </w:r>
      <w:r w:rsidR="00E748B0" w:rsidRPr="00DB56CA">
        <w:rPr>
          <w:color w:val="000000"/>
          <w:lang w:val="en-GB"/>
        </w:rPr>
        <w:t xml:space="preserve"> not a specific value</w:t>
      </w:r>
      <w:r w:rsidR="00A841AE" w:rsidRPr="00DB56CA">
        <w:rPr>
          <w:color w:val="000000"/>
          <w:lang w:val="en-GB"/>
        </w:rPr>
        <w:t xml:space="preserve">. </w:t>
      </w:r>
      <w:r w:rsidR="00BF62E6" w:rsidRPr="00DB56CA">
        <w:rPr>
          <w:color w:val="000000"/>
          <w:lang w:val="en-GB"/>
        </w:rPr>
        <w:t>Thus, the sensitivity of sRPE to changes in training load is weaker than HR, which is on a continuous scale with more precise values</w:t>
      </w:r>
      <w:r w:rsidR="00A841AE" w:rsidRPr="00DB56CA">
        <w:rPr>
          <w:color w:val="000000"/>
          <w:lang w:val="en-GB"/>
        </w:rPr>
        <w:t xml:space="preserve">. </w:t>
      </w:r>
      <w:r w:rsidR="00BF62E6" w:rsidRPr="00DB56CA">
        <w:rPr>
          <w:color w:val="000000"/>
          <w:lang w:val="en-GB"/>
        </w:rPr>
        <w:t xml:space="preserve">Therefore, over a certain range of HRTL values, the </w:t>
      </w:r>
      <w:r w:rsidR="00FF7EB4" w:rsidRPr="00DB56CA">
        <w:rPr>
          <w:color w:val="000000"/>
          <w:lang w:val="en-GB"/>
        </w:rPr>
        <w:t>player</w:t>
      </w:r>
      <w:r w:rsidR="00FF7EB4" w:rsidRPr="00DB56CA">
        <w:rPr>
          <w:rFonts w:ascii="Helvetica" w:eastAsia="Helvetica" w:hAnsi="Helvetica" w:cs="Helvetica"/>
          <w:color w:val="000000"/>
          <w:lang w:val="en-GB"/>
        </w:rPr>
        <w:t>’</w:t>
      </w:r>
      <w:r w:rsidR="00FF7EB4" w:rsidRPr="00DB56CA">
        <w:rPr>
          <w:rFonts w:eastAsia="Helvetica"/>
          <w:color w:val="000000"/>
          <w:lang w:val="en-GB"/>
        </w:rPr>
        <w:t>s</w:t>
      </w:r>
      <w:r w:rsidR="00BF62E6" w:rsidRPr="00DB56CA">
        <w:rPr>
          <w:color w:val="000000"/>
          <w:lang w:val="en-GB"/>
        </w:rPr>
        <w:t xml:space="preserve"> sRPE scale representation will be the same</w:t>
      </w:r>
      <w:r w:rsidR="00B73614" w:rsidRPr="00DB56CA">
        <w:rPr>
          <w:color w:val="000000"/>
          <w:lang w:val="en-GB"/>
        </w:rPr>
        <w:t>,</w:t>
      </w:r>
      <w:r w:rsidR="00E748B0" w:rsidRPr="00DB56CA">
        <w:rPr>
          <w:color w:val="000000"/>
          <w:lang w:val="en-GB"/>
        </w:rPr>
        <w:t xml:space="preserve"> which causes</w:t>
      </w:r>
      <w:r w:rsidR="00BF62E6" w:rsidRPr="00DB56CA">
        <w:rPr>
          <w:color w:val="000000"/>
          <w:lang w:val="en-GB"/>
        </w:rPr>
        <w:t xml:space="preserve"> the diagonal </w:t>
      </w:r>
      <w:r w:rsidR="00E748B0" w:rsidRPr="00DB56CA">
        <w:rPr>
          <w:color w:val="000000"/>
          <w:lang w:val="en-GB"/>
        </w:rPr>
        <w:t xml:space="preserve">patterns in the </w:t>
      </w:r>
      <w:r w:rsidR="00B73614" w:rsidRPr="00DB56CA">
        <w:rPr>
          <w:color w:val="000000"/>
          <w:lang w:val="en-GB"/>
        </w:rPr>
        <w:t>Figures 1 and 2</w:t>
      </w:r>
      <w:r w:rsidR="00C17608" w:rsidRPr="00DB56CA">
        <w:rPr>
          <w:color w:val="000000"/>
          <w:lang w:val="en-GB"/>
        </w:rPr>
        <w:t>.</w:t>
      </w:r>
      <w:r w:rsidR="00FB010C" w:rsidRPr="00DB56CA">
        <w:rPr>
          <w:color w:val="000000"/>
          <w:lang w:val="en-GB"/>
        </w:rPr>
        <w:t xml:space="preserve"> </w:t>
      </w:r>
      <w:r w:rsidR="00AD7087" w:rsidRPr="00DB56CA">
        <w:rPr>
          <w:color w:val="000000"/>
          <w:lang w:val="en-GB"/>
        </w:rPr>
        <w:t>Moreover, t</w:t>
      </w:r>
      <w:r w:rsidR="00647164" w:rsidRPr="00DB56CA">
        <w:rPr>
          <w:color w:val="000000"/>
          <w:lang w:val="en-GB"/>
        </w:rPr>
        <w:t>he sRPETL reflect</w:t>
      </w:r>
      <w:r w:rsidR="00AD7087" w:rsidRPr="00DB56CA">
        <w:rPr>
          <w:color w:val="000000"/>
          <w:lang w:val="en-GB"/>
        </w:rPr>
        <w:t>s</w:t>
      </w:r>
      <w:r w:rsidR="00647164" w:rsidRPr="00DB56CA">
        <w:rPr>
          <w:color w:val="000000"/>
          <w:lang w:val="en-GB"/>
        </w:rPr>
        <w:t xml:space="preserve"> the average session training load</w:t>
      </w:r>
      <w:r w:rsidR="006F6C85" w:rsidRPr="00DB56CA">
        <w:rPr>
          <w:color w:val="000000"/>
          <w:lang w:val="en-GB"/>
        </w:rPr>
        <w:t xml:space="preserve"> and </w:t>
      </w:r>
      <w:r w:rsidR="00AD7087" w:rsidRPr="00DB56CA">
        <w:rPr>
          <w:color w:val="000000"/>
          <w:lang w:val="en-GB"/>
        </w:rPr>
        <w:t>does</w:t>
      </w:r>
      <w:r w:rsidR="006F6C85" w:rsidRPr="00DB56CA">
        <w:rPr>
          <w:color w:val="000000"/>
          <w:lang w:val="en-GB"/>
        </w:rPr>
        <w:t xml:space="preserve"> not provide continuous data for the duration of the session</w:t>
      </w:r>
      <w:r w:rsidR="00137814" w:rsidRPr="00DB56CA">
        <w:rPr>
          <w:color w:val="000000"/>
          <w:lang w:val="en-GB"/>
        </w:rPr>
        <w:t xml:space="preserve">. </w:t>
      </w:r>
      <w:r w:rsidR="00557544" w:rsidRPr="00DB56CA">
        <w:rPr>
          <w:color w:val="000000"/>
          <w:lang w:val="en-GB"/>
        </w:rPr>
        <w:t xml:space="preserve">For a more detailed training load, </w:t>
      </w:r>
      <w:r w:rsidR="00B73614" w:rsidRPr="00DB56CA">
        <w:rPr>
          <w:color w:val="000000"/>
          <w:lang w:val="en-GB"/>
        </w:rPr>
        <w:t>c</w:t>
      </w:r>
      <w:r w:rsidR="006F6C85" w:rsidRPr="00DB56CA">
        <w:rPr>
          <w:color w:val="000000"/>
          <w:lang w:val="en-GB"/>
        </w:rPr>
        <w:t xml:space="preserve">oaches </w:t>
      </w:r>
      <w:r w:rsidR="00B73614" w:rsidRPr="00DB56CA">
        <w:rPr>
          <w:color w:val="000000"/>
          <w:lang w:val="en-GB"/>
        </w:rPr>
        <w:t>can</w:t>
      </w:r>
      <w:r w:rsidR="006F6C85" w:rsidRPr="00DB56CA">
        <w:rPr>
          <w:color w:val="000000"/>
          <w:lang w:val="en-GB"/>
        </w:rPr>
        <w:t xml:space="preserve"> measure the load during </w:t>
      </w:r>
      <w:r w:rsidR="00B73614" w:rsidRPr="00DB56CA">
        <w:rPr>
          <w:color w:val="000000"/>
          <w:lang w:val="en-GB"/>
        </w:rPr>
        <w:t xml:space="preserve">different </w:t>
      </w:r>
      <w:r w:rsidR="006F6C85" w:rsidRPr="00DB56CA">
        <w:rPr>
          <w:color w:val="000000"/>
          <w:lang w:val="en-GB"/>
        </w:rPr>
        <w:t>specific drills or components of the training session.</w:t>
      </w:r>
      <w:r w:rsidR="009A1181" w:rsidRPr="00DB56CA">
        <w:rPr>
          <w:color w:val="000000"/>
          <w:lang w:val="en-GB"/>
        </w:rPr>
        <w:t xml:space="preserve"> </w:t>
      </w:r>
      <w:r w:rsidR="00557544" w:rsidRPr="00DB56CA">
        <w:rPr>
          <w:color w:val="000000"/>
          <w:lang w:val="en-GB"/>
        </w:rPr>
        <w:t>However, m</w:t>
      </w:r>
      <w:r w:rsidR="00B73614" w:rsidRPr="00DB56CA">
        <w:rPr>
          <w:color w:val="000000"/>
          <w:lang w:val="en-GB"/>
        </w:rPr>
        <w:t>ultiple m</w:t>
      </w:r>
      <w:r w:rsidR="009A1181" w:rsidRPr="00DB56CA">
        <w:rPr>
          <w:color w:val="000000"/>
          <w:lang w:val="en-GB"/>
        </w:rPr>
        <w:t xml:space="preserve">onitoring </w:t>
      </w:r>
      <w:r w:rsidR="00B73614" w:rsidRPr="00DB56CA">
        <w:rPr>
          <w:color w:val="000000"/>
          <w:lang w:val="en-GB"/>
        </w:rPr>
        <w:t xml:space="preserve">of </w:t>
      </w:r>
      <w:r w:rsidR="009A1181" w:rsidRPr="00DB56CA">
        <w:rPr>
          <w:color w:val="000000"/>
          <w:lang w:val="en-GB"/>
        </w:rPr>
        <w:t>the intensity and progressions within the training session is</w:t>
      </w:r>
      <w:r w:rsidR="00B73614" w:rsidRPr="00DB56CA">
        <w:rPr>
          <w:color w:val="000000"/>
          <w:lang w:val="en-GB"/>
        </w:rPr>
        <w:t xml:space="preserve"> </w:t>
      </w:r>
      <w:r w:rsidR="005930D0" w:rsidRPr="00DB56CA">
        <w:rPr>
          <w:color w:val="000000"/>
          <w:lang w:val="en-GB"/>
        </w:rPr>
        <w:t xml:space="preserve">unlikely to be </w:t>
      </w:r>
      <w:r w:rsidR="00B73614" w:rsidRPr="00DB56CA">
        <w:rPr>
          <w:color w:val="000000"/>
          <w:lang w:val="en-GB"/>
        </w:rPr>
        <w:t>practical</w:t>
      </w:r>
      <w:r w:rsidR="005930D0" w:rsidRPr="00DB56CA">
        <w:rPr>
          <w:color w:val="000000"/>
          <w:lang w:val="en-GB"/>
        </w:rPr>
        <w:t xml:space="preserve"> given the limited resources of many academies, hence a single global estimation is more pragmatic</w:t>
      </w:r>
      <w:r w:rsidR="009A1181" w:rsidRPr="00DB56CA">
        <w:rPr>
          <w:color w:val="000000"/>
          <w:lang w:val="en-GB"/>
        </w:rPr>
        <w:t>.</w:t>
      </w:r>
      <w:r w:rsidR="006F6C85" w:rsidRPr="00DB56CA">
        <w:rPr>
          <w:color w:val="000000"/>
          <w:lang w:val="en-GB"/>
        </w:rPr>
        <w:t xml:space="preserve"> </w:t>
      </w:r>
    </w:p>
    <w:p w14:paraId="1D14C7E0" w14:textId="3AE9E8C6" w:rsidR="006F4F7E" w:rsidRPr="00DB56CA" w:rsidRDefault="00AA470C" w:rsidP="006F4F7E">
      <w:pPr>
        <w:widowControl w:val="0"/>
        <w:autoSpaceDE w:val="0"/>
        <w:autoSpaceDN w:val="0"/>
        <w:adjustRightInd w:val="0"/>
        <w:spacing w:after="100" w:afterAutospacing="1" w:line="480" w:lineRule="auto"/>
        <w:contextualSpacing/>
        <w:jc w:val="both"/>
        <w:rPr>
          <w:color w:val="000000"/>
          <w:lang w:val="en-GB"/>
        </w:rPr>
      </w:pPr>
      <w:r w:rsidRPr="00DB56CA">
        <w:rPr>
          <w:color w:val="000000"/>
          <w:lang w:val="en-GB"/>
        </w:rPr>
        <w:t xml:space="preserve">The secondary aim of the study was to examine the validity of the scale for individual players. </w:t>
      </w:r>
      <w:r w:rsidR="00291D97" w:rsidRPr="00DB56CA">
        <w:rPr>
          <w:color w:val="000000"/>
          <w:lang w:val="en-GB"/>
        </w:rPr>
        <w:t xml:space="preserve">While interpreting the data for each month, it is important to </w:t>
      </w:r>
      <w:r w:rsidR="005F7A5A" w:rsidRPr="00DB56CA">
        <w:rPr>
          <w:color w:val="000000"/>
          <w:lang w:val="en-GB"/>
        </w:rPr>
        <w:t xml:space="preserve">note </w:t>
      </w:r>
      <w:r w:rsidR="005F7A5A" w:rsidRPr="00DB56CA">
        <w:rPr>
          <w:color w:val="000000"/>
          <w:lang w:val="en-GB"/>
        </w:rPr>
        <w:lastRenderedPageBreak/>
        <w:t>that individual players may bias the overall result</w:t>
      </w:r>
      <w:r w:rsidR="00A841AE" w:rsidRPr="00DB56CA">
        <w:rPr>
          <w:color w:val="000000"/>
          <w:lang w:val="en-GB"/>
        </w:rPr>
        <w:t xml:space="preserve">. </w:t>
      </w:r>
      <w:r w:rsidR="00231270" w:rsidRPr="00DB56CA">
        <w:rPr>
          <w:color w:val="000000"/>
          <w:lang w:val="en-GB"/>
        </w:rPr>
        <w:t>F</w:t>
      </w:r>
      <w:r w:rsidR="00372C97" w:rsidRPr="00DB56CA">
        <w:rPr>
          <w:color w:val="000000"/>
          <w:lang w:val="en-GB"/>
        </w:rPr>
        <w:t>or practical use, it is crucial that the scale be valid for all players</w:t>
      </w:r>
      <w:r w:rsidR="00A841AE" w:rsidRPr="00DB56CA">
        <w:rPr>
          <w:color w:val="000000"/>
          <w:lang w:val="en-GB"/>
        </w:rPr>
        <w:t xml:space="preserve">. </w:t>
      </w:r>
      <w:r w:rsidR="005F7A5A" w:rsidRPr="00DB56CA">
        <w:rPr>
          <w:color w:val="000000"/>
          <w:lang w:val="en-GB"/>
        </w:rPr>
        <w:t>Ther</w:t>
      </w:r>
      <w:r w:rsidR="00307ABC" w:rsidRPr="00DB56CA">
        <w:rPr>
          <w:color w:val="000000"/>
          <w:lang w:val="en-GB"/>
        </w:rPr>
        <w:t>efore, individual player analyse</w:t>
      </w:r>
      <w:r w:rsidR="005F7A5A" w:rsidRPr="00DB56CA">
        <w:rPr>
          <w:color w:val="000000"/>
          <w:lang w:val="en-GB"/>
        </w:rPr>
        <w:t>s were completed</w:t>
      </w:r>
      <w:r w:rsidR="00A841AE" w:rsidRPr="00DB56CA">
        <w:rPr>
          <w:color w:val="000000"/>
          <w:lang w:val="en-GB"/>
        </w:rPr>
        <w:t xml:space="preserve">. </w:t>
      </w:r>
      <w:r w:rsidR="007D119C" w:rsidRPr="00DB56CA">
        <w:rPr>
          <w:color w:val="000000"/>
          <w:lang w:val="en-GB"/>
        </w:rPr>
        <w:t>The individual corr</w:t>
      </w:r>
      <w:r w:rsidR="00AE368E" w:rsidRPr="00DB56CA">
        <w:rPr>
          <w:color w:val="000000"/>
          <w:lang w:val="en-GB"/>
        </w:rPr>
        <w:t>elations ranged from large (</w:t>
      </w:r>
      <w:r w:rsidR="00AE368E" w:rsidRPr="00DB56CA">
        <w:rPr>
          <w:i/>
          <w:color w:val="000000"/>
          <w:lang w:val="en-GB"/>
        </w:rPr>
        <w:t>r=</w:t>
      </w:r>
      <w:r w:rsidR="00AE368E" w:rsidRPr="00DB56CA">
        <w:rPr>
          <w:color w:val="000000"/>
          <w:lang w:val="en-GB"/>
        </w:rPr>
        <w:t>0.54) to very large (</w:t>
      </w:r>
      <w:r w:rsidR="00AE368E" w:rsidRPr="00DB56CA">
        <w:rPr>
          <w:i/>
          <w:color w:val="000000"/>
          <w:lang w:val="en-GB"/>
        </w:rPr>
        <w:t>r=</w:t>
      </w:r>
      <w:r w:rsidR="007D119C" w:rsidRPr="00DB56CA">
        <w:rPr>
          <w:color w:val="000000"/>
          <w:lang w:val="en-GB"/>
        </w:rPr>
        <w:t>0.88), consistent with individual correlati</w:t>
      </w:r>
      <w:r w:rsidR="00547111" w:rsidRPr="00DB56CA">
        <w:rPr>
          <w:color w:val="000000"/>
          <w:lang w:val="en-GB"/>
        </w:rPr>
        <w:t>ons as reported by Impellizzeri</w:t>
      </w:r>
      <w:r w:rsidR="007D119C" w:rsidRPr="00DB56CA">
        <w:rPr>
          <w:color w:val="000000"/>
          <w:lang w:val="en-GB"/>
        </w:rPr>
        <w:t xml:space="preserve"> </w:t>
      </w:r>
      <w:r w:rsidR="003579B7" w:rsidRPr="00DB56CA">
        <w:rPr>
          <w:color w:val="000000"/>
          <w:lang w:val="en-GB"/>
        </w:rPr>
        <w:t>et al.</w:t>
      </w:r>
      <w:r w:rsidR="00C17608" w:rsidRPr="00DB56CA">
        <w:rPr>
          <w:color w:val="000000"/>
          <w:lang w:val="en-GB"/>
        </w:rPr>
        <w:t xml:space="preserve"> </w:t>
      </w:r>
      <w:r w:rsidR="00547111" w:rsidRPr="00DB56CA">
        <w:rPr>
          <w:color w:val="000000"/>
          <w:lang w:val="en-GB"/>
        </w:rPr>
        <w:t>(</w:t>
      </w:r>
      <w:r w:rsidR="00554E0B" w:rsidRPr="00DB56CA">
        <w:rPr>
          <w:color w:val="000000"/>
          <w:lang w:val="en-GB"/>
        </w:rPr>
        <w:t>15</w:t>
      </w:r>
      <w:r w:rsidR="00547111" w:rsidRPr="00DB56CA">
        <w:rPr>
          <w:color w:val="000000"/>
          <w:lang w:val="en-GB"/>
        </w:rPr>
        <w:t xml:space="preserve">) and Alexiou </w:t>
      </w:r>
      <w:r w:rsidR="001325E5" w:rsidRPr="00DB56CA">
        <w:rPr>
          <w:color w:val="000000"/>
          <w:lang w:val="en-GB"/>
        </w:rPr>
        <w:t>&amp;</w:t>
      </w:r>
      <w:r w:rsidR="00547111" w:rsidRPr="00DB56CA">
        <w:rPr>
          <w:color w:val="000000"/>
          <w:lang w:val="en-GB"/>
        </w:rPr>
        <w:t xml:space="preserve"> Coutts</w:t>
      </w:r>
      <w:r w:rsidR="007D119C" w:rsidRPr="00DB56CA">
        <w:rPr>
          <w:color w:val="000000"/>
          <w:lang w:val="en-GB"/>
        </w:rPr>
        <w:t xml:space="preserve"> </w:t>
      </w:r>
      <w:r w:rsidR="00547111" w:rsidRPr="00DB56CA">
        <w:rPr>
          <w:color w:val="000000"/>
          <w:lang w:val="en-GB"/>
        </w:rPr>
        <w:t>(</w:t>
      </w:r>
      <w:r w:rsidR="000255BB" w:rsidRPr="00DB56CA">
        <w:rPr>
          <w:color w:val="000000"/>
          <w:lang w:val="en-GB"/>
        </w:rPr>
        <w:t>2</w:t>
      </w:r>
      <w:r w:rsidR="00547111" w:rsidRPr="00DB56CA">
        <w:rPr>
          <w:color w:val="000000"/>
          <w:lang w:val="en-GB"/>
        </w:rPr>
        <w:t>)</w:t>
      </w:r>
      <w:r w:rsidR="00A841AE" w:rsidRPr="00DB56CA">
        <w:rPr>
          <w:color w:val="000000"/>
          <w:lang w:val="en-GB"/>
        </w:rPr>
        <w:t xml:space="preserve">. </w:t>
      </w:r>
      <w:r w:rsidR="008C5A2B" w:rsidRPr="00DB56CA">
        <w:rPr>
          <w:color w:val="000000"/>
          <w:lang w:val="en-GB"/>
        </w:rPr>
        <w:t xml:space="preserve">The large variation in individual correlations may be due </w:t>
      </w:r>
      <w:r w:rsidR="00093EAC" w:rsidRPr="00DB56CA">
        <w:rPr>
          <w:color w:val="000000"/>
          <w:lang w:val="en-GB"/>
        </w:rPr>
        <w:t>to varying</w:t>
      </w:r>
      <w:r w:rsidR="008C5A2B" w:rsidRPr="00DB56CA">
        <w:rPr>
          <w:color w:val="000000"/>
          <w:lang w:val="en-GB"/>
        </w:rPr>
        <w:t xml:space="preserve"> number of sessions analysed for each </w:t>
      </w:r>
      <w:r w:rsidR="00093EAC" w:rsidRPr="00DB56CA">
        <w:rPr>
          <w:color w:val="000000"/>
          <w:lang w:val="en-GB"/>
        </w:rPr>
        <w:t>player and</w:t>
      </w:r>
      <w:r w:rsidR="00421953" w:rsidRPr="00DB56CA">
        <w:rPr>
          <w:color w:val="000000"/>
          <w:lang w:val="en-GB"/>
        </w:rPr>
        <w:t xml:space="preserve"> the</w:t>
      </w:r>
      <w:r w:rsidR="00093EAC" w:rsidRPr="00DB56CA">
        <w:rPr>
          <w:color w:val="000000"/>
          <w:lang w:val="en-GB"/>
        </w:rPr>
        <w:t>ir</w:t>
      </w:r>
      <w:r w:rsidR="00421953" w:rsidRPr="00DB56CA">
        <w:rPr>
          <w:color w:val="000000"/>
          <w:lang w:val="en-GB"/>
        </w:rPr>
        <w:t xml:space="preserve"> different response </w:t>
      </w:r>
      <w:r w:rsidR="00C17608" w:rsidRPr="00DB56CA">
        <w:rPr>
          <w:color w:val="000000"/>
          <w:lang w:val="en-GB"/>
        </w:rPr>
        <w:t>and recovery to ITL</w:t>
      </w:r>
      <w:r w:rsidR="0038412E" w:rsidRPr="00DB56CA">
        <w:rPr>
          <w:color w:val="000000"/>
          <w:lang w:val="en-GB"/>
        </w:rPr>
        <w:t xml:space="preserve">. </w:t>
      </w:r>
      <w:r w:rsidR="00131D46" w:rsidRPr="00DB56CA">
        <w:rPr>
          <w:color w:val="000000"/>
          <w:lang w:val="en-GB"/>
        </w:rPr>
        <w:t>Players with less game time may have lower levels of cumulative fatigue</w:t>
      </w:r>
      <w:r w:rsidR="001F5B1A" w:rsidRPr="00DB56CA">
        <w:rPr>
          <w:color w:val="000000"/>
          <w:lang w:val="en-GB"/>
        </w:rPr>
        <w:t xml:space="preserve"> since match load accounts for a significant portion of the weekly training load (</w:t>
      </w:r>
      <w:r w:rsidR="00554E0B" w:rsidRPr="00DB56CA">
        <w:rPr>
          <w:color w:val="000000"/>
          <w:lang w:val="en-GB"/>
        </w:rPr>
        <w:t>14</w:t>
      </w:r>
      <w:r w:rsidR="001873A1" w:rsidRPr="00DB56CA">
        <w:rPr>
          <w:color w:val="000000"/>
          <w:lang w:val="en-GB"/>
        </w:rPr>
        <w:t>,</w:t>
      </w:r>
      <w:r w:rsidR="001F5B1A" w:rsidRPr="00DB56CA">
        <w:rPr>
          <w:color w:val="000000"/>
          <w:lang w:val="en-GB"/>
        </w:rPr>
        <w:t xml:space="preserve"> </w:t>
      </w:r>
      <w:r w:rsidR="00554E0B" w:rsidRPr="00DB56CA">
        <w:rPr>
          <w:color w:val="000000"/>
          <w:lang w:val="en-GB"/>
        </w:rPr>
        <w:t>17</w:t>
      </w:r>
      <w:r w:rsidR="001F5B1A" w:rsidRPr="00DB56CA">
        <w:rPr>
          <w:color w:val="000000"/>
          <w:lang w:val="en-GB"/>
        </w:rPr>
        <w:t>)</w:t>
      </w:r>
      <w:r w:rsidR="00A841AE" w:rsidRPr="00DB56CA">
        <w:rPr>
          <w:color w:val="000000"/>
          <w:lang w:val="en-GB"/>
        </w:rPr>
        <w:t xml:space="preserve">. </w:t>
      </w:r>
      <w:r w:rsidR="001F5B1A" w:rsidRPr="00DB56CA">
        <w:rPr>
          <w:color w:val="000000"/>
          <w:lang w:val="en-GB"/>
        </w:rPr>
        <w:t>Individual and team performance may also psychologically affect the s</w:t>
      </w:r>
      <w:r w:rsidR="006666FB" w:rsidRPr="00DB56CA">
        <w:rPr>
          <w:color w:val="000000"/>
          <w:lang w:val="en-GB"/>
        </w:rPr>
        <w:t>tress perception among athletes</w:t>
      </w:r>
      <w:r w:rsidR="00A841AE" w:rsidRPr="00DB56CA">
        <w:rPr>
          <w:color w:val="000000"/>
          <w:lang w:val="en-GB"/>
        </w:rPr>
        <w:t xml:space="preserve">. </w:t>
      </w:r>
      <w:r w:rsidR="00C17608" w:rsidRPr="00DB56CA">
        <w:rPr>
          <w:color w:val="000000"/>
          <w:lang w:val="en-GB"/>
        </w:rPr>
        <w:t>Better performance increases psychological wellbeing which may reduce perceived effort</w:t>
      </w:r>
      <w:r w:rsidR="006666FB" w:rsidRPr="00DB56CA">
        <w:rPr>
          <w:color w:val="000000"/>
          <w:lang w:val="en-GB"/>
        </w:rPr>
        <w:t>.</w:t>
      </w:r>
    </w:p>
    <w:p w14:paraId="53CBB1DC" w14:textId="77777777" w:rsidR="006F4F7E" w:rsidRPr="00DB56CA" w:rsidRDefault="00DE6F1E" w:rsidP="006F4F7E">
      <w:pPr>
        <w:widowControl w:val="0"/>
        <w:autoSpaceDE w:val="0"/>
        <w:autoSpaceDN w:val="0"/>
        <w:adjustRightInd w:val="0"/>
        <w:spacing w:after="100" w:afterAutospacing="1" w:line="480" w:lineRule="auto"/>
        <w:contextualSpacing/>
        <w:jc w:val="both"/>
        <w:rPr>
          <w:color w:val="000000"/>
          <w:lang w:val="en-GB"/>
        </w:rPr>
      </w:pPr>
      <w:r w:rsidRPr="00DB56CA">
        <w:rPr>
          <w:color w:val="000000"/>
          <w:lang w:val="en-GB"/>
        </w:rPr>
        <w:t xml:space="preserve">Players were often selected to play for the </w:t>
      </w:r>
      <w:r w:rsidR="009607C2" w:rsidRPr="00DB56CA">
        <w:rPr>
          <w:color w:val="000000"/>
          <w:lang w:val="en-GB"/>
        </w:rPr>
        <w:t>under-</w:t>
      </w:r>
      <w:r w:rsidRPr="00DB56CA">
        <w:rPr>
          <w:color w:val="000000"/>
          <w:lang w:val="en-GB"/>
        </w:rPr>
        <w:t xml:space="preserve">21 or senior team which would imply a higher workload compared to their peers in the </w:t>
      </w:r>
      <w:r w:rsidR="009607C2" w:rsidRPr="00DB56CA">
        <w:rPr>
          <w:color w:val="000000"/>
          <w:lang w:val="en-GB"/>
        </w:rPr>
        <w:t>under-</w:t>
      </w:r>
      <w:r w:rsidRPr="00DB56CA">
        <w:rPr>
          <w:color w:val="000000"/>
          <w:lang w:val="en-GB"/>
        </w:rPr>
        <w:t>18 team</w:t>
      </w:r>
      <w:r w:rsidR="00A841AE" w:rsidRPr="00DB56CA">
        <w:rPr>
          <w:color w:val="000000"/>
          <w:lang w:val="en-GB"/>
        </w:rPr>
        <w:t>.</w:t>
      </w:r>
      <w:r w:rsidRPr="00DB56CA">
        <w:rPr>
          <w:color w:val="000000"/>
          <w:lang w:val="en-GB"/>
        </w:rPr>
        <w:t xml:space="preserve"> These sessions, while excluded from analysis, may influence the training load in the subsequent sessions with the </w:t>
      </w:r>
      <w:r w:rsidR="009607C2" w:rsidRPr="00DB56CA">
        <w:rPr>
          <w:color w:val="000000"/>
          <w:lang w:val="en-GB"/>
        </w:rPr>
        <w:t>under-</w:t>
      </w:r>
      <w:r w:rsidRPr="00DB56CA">
        <w:rPr>
          <w:color w:val="000000"/>
          <w:lang w:val="en-GB"/>
        </w:rPr>
        <w:t>18 team</w:t>
      </w:r>
      <w:r w:rsidR="00A841AE" w:rsidRPr="00DB56CA">
        <w:rPr>
          <w:color w:val="000000"/>
          <w:lang w:val="en-GB"/>
        </w:rPr>
        <w:t>.</w:t>
      </w:r>
      <w:r w:rsidRPr="00DB56CA">
        <w:rPr>
          <w:color w:val="000000"/>
          <w:lang w:val="en-GB"/>
        </w:rPr>
        <w:t xml:space="preserve"> It has been reported that 72 hours after an intense training session or match, players have elevated levels of fatigue, tiredness, muscle soreness</w:t>
      </w:r>
      <w:r w:rsidR="00CE5931" w:rsidRPr="00DB56CA">
        <w:rPr>
          <w:color w:val="000000"/>
          <w:lang w:val="en-GB"/>
        </w:rPr>
        <w:t>, which</w:t>
      </w:r>
      <w:r w:rsidRPr="00DB56CA">
        <w:rPr>
          <w:color w:val="000000"/>
          <w:lang w:val="en-GB"/>
        </w:rPr>
        <w:t xml:space="preserve"> may influence sRPE in the subsequent sessions (</w:t>
      </w:r>
      <w:r w:rsidR="008C35CF" w:rsidRPr="00DB56CA">
        <w:rPr>
          <w:color w:val="000000"/>
          <w:lang w:val="en-GB"/>
        </w:rPr>
        <w:t>5</w:t>
      </w:r>
      <w:r w:rsidRPr="00DB56CA">
        <w:rPr>
          <w:color w:val="000000"/>
          <w:lang w:val="en-GB"/>
        </w:rPr>
        <w:t>)</w:t>
      </w:r>
      <w:r w:rsidR="00172201" w:rsidRPr="00DB56CA">
        <w:rPr>
          <w:color w:val="000000"/>
          <w:lang w:val="en-GB"/>
        </w:rPr>
        <w:t xml:space="preserve">.  </w:t>
      </w:r>
    </w:p>
    <w:p w14:paraId="5147380B" w14:textId="77777777" w:rsidR="006F4F7E" w:rsidRPr="00DB56CA" w:rsidRDefault="00D64896" w:rsidP="006F4F7E">
      <w:pPr>
        <w:widowControl w:val="0"/>
        <w:autoSpaceDE w:val="0"/>
        <w:autoSpaceDN w:val="0"/>
        <w:adjustRightInd w:val="0"/>
        <w:spacing w:after="100" w:afterAutospacing="1" w:line="480" w:lineRule="auto"/>
        <w:contextualSpacing/>
        <w:jc w:val="both"/>
        <w:rPr>
          <w:color w:val="000000"/>
          <w:lang w:val="en-GB"/>
        </w:rPr>
      </w:pPr>
      <w:r w:rsidRPr="00DB56CA">
        <w:rPr>
          <w:color w:val="000000"/>
          <w:lang w:val="en-GB"/>
        </w:rPr>
        <w:t xml:space="preserve">Research </w:t>
      </w:r>
      <w:r w:rsidR="006D6C02" w:rsidRPr="00DB56CA">
        <w:rPr>
          <w:color w:val="000000"/>
          <w:lang w:val="en-GB"/>
        </w:rPr>
        <w:t>has shown</w:t>
      </w:r>
      <w:r w:rsidRPr="00DB56CA">
        <w:rPr>
          <w:color w:val="000000"/>
          <w:lang w:val="en-GB"/>
        </w:rPr>
        <w:t xml:space="preserve"> (</w:t>
      </w:r>
      <w:r w:rsidR="00577B53" w:rsidRPr="00DB56CA">
        <w:rPr>
          <w:color w:val="000000"/>
          <w:lang w:val="en-GB"/>
        </w:rPr>
        <w:t>2,</w:t>
      </w:r>
      <w:r w:rsidRPr="00DB56CA">
        <w:rPr>
          <w:color w:val="000000"/>
          <w:lang w:val="en-GB"/>
        </w:rPr>
        <w:t xml:space="preserve"> </w:t>
      </w:r>
      <w:r w:rsidR="008C35CF" w:rsidRPr="00DB56CA">
        <w:rPr>
          <w:color w:val="000000"/>
          <w:lang w:val="en-GB"/>
        </w:rPr>
        <w:t>5</w:t>
      </w:r>
      <w:r w:rsidRPr="00DB56CA">
        <w:rPr>
          <w:color w:val="000000"/>
          <w:lang w:val="en-GB"/>
        </w:rPr>
        <w:t xml:space="preserve">) that the strength of correlation </w:t>
      </w:r>
      <w:r w:rsidR="008062FE" w:rsidRPr="00DB56CA">
        <w:rPr>
          <w:color w:val="000000"/>
          <w:lang w:val="en-GB"/>
        </w:rPr>
        <w:t>may</w:t>
      </w:r>
      <w:r w:rsidRPr="00DB56CA">
        <w:rPr>
          <w:color w:val="000000"/>
          <w:lang w:val="en-GB"/>
        </w:rPr>
        <w:t xml:space="preserve"> be dependent on the training session type</w:t>
      </w:r>
      <w:r w:rsidR="00706B62" w:rsidRPr="00DB56CA">
        <w:rPr>
          <w:color w:val="000000"/>
          <w:lang w:val="en-GB"/>
        </w:rPr>
        <w:t xml:space="preserve"> since the aerobic and anaerobic components vary significantly between resistance, endurance, technical, tactical and speed sessions</w:t>
      </w:r>
      <w:r w:rsidR="00172201" w:rsidRPr="00DB56CA">
        <w:rPr>
          <w:color w:val="000000"/>
          <w:lang w:val="en-GB"/>
        </w:rPr>
        <w:t>.</w:t>
      </w:r>
      <w:r w:rsidR="0038412E" w:rsidRPr="00DB56CA">
        <w:rPr>
          <w:color w:val="000000"/>
          <w:lang w:val="en-GB"/>
        </w:rPr>
        <w:t xml:space="preserve"> </w:t>
      </w:r>
      <w:r w:rsidRPr="00DB56CA">
        <w:rPr>
          <w:color w:val="000000"/>
          <w:lang w:val="en-GB"/>
        </w:rPr>
        <w:t xml:space="preserve">In this study, the variation in correlations may be </w:t>
      </w:r>
      <w:r w:rsidR="00B73614" w:rsidRPr="00DB56CA">
        <w:rPr>
          <w:color w:val="000000"/>
          <w:lang w:val="en-GB"/>
        </w:rPr>
        <w:t>due to</w:t>
      </w:r>
      <w:r w:rsidRPr="00DB56CA">
        <w:rPr>
          <w:color w:val="000000"/>
          <w:lang w:val="en-GB"/>
        </w:rPr>
        <w:t xml:space="preserve"> types of sessions </w:t>
      </w:r>
      <w:r w:rsidR="00B73614" w:rsidRPr="00DB56CA">
        <w:rPr>
          <w:color w:val="000000"/>
          <w:lang w:val="en-GB"/>
        </w:rPr>
        <w:t>being</w:t>
      </w:r>
      <w:r w:rsidRPr="00DB56CA">
        <w:rPr>
          <w:color w:val="000000"/>
          <w:lang w:val="en-GB"/>
        </w:rPr>
        <w:t xml:space="preserve"> </w:t>
      </w:r>
      <w:r w:rsidR="00706B62" w:rsidRPr="00DB56CA">
        <w:rPr>
          <w:color w:val="000000"/>
          <w:lang w:val="en-GB"/>
        </w:rPr>
        <w:t>grouped together</w:t>
      </w:r>
      <w:r w:rsidR="00A841AE" w:rsidRPr="00DB56CA">
        <w:rPr>
          <w:color w:val="000000"/>
          <w:lang w:val="en-GB"/>
        </w:rPr>
        <w:t xml:space="preserve">. </w:t>
      </w:r>
      <w:r w:rsidRPr="00DB56CA">
        <w:rPr>
          <w:color w:val="000000"/>
          <w:lang w:val="en-GB"/>
        </w:rPr>
        <w:t>Varied levels of player compliance resulted in the number of sessions analysed for each player to vary significantly</w:t>
      </w:r>
      <w:r w:rsidR="00A841AE" w:rsidRPr="00DB56CA">
        <w:rPr>
          <w:color w:val="000000"/>
          <w:lang w:val="en-GB"/>
        </w:rPr>
        <w:t xml:space="preserve">. </w:t>
      </w:r>
      <w:r w:rsidRPr="00DB56CA">
        <w:rPr>
          <w:color w:val="000000"/>
          <w:lang w:val="en-GB"/>
        </w:rPr>
        <w:t xml:space="preserve">Since the nature of training sessions analysed within this varying data set for each player is unknown, the different correlations </w:t>
      </w:r>
      <w:r w:rsidR="00B73614" w:rsidRPr="00DB56CA">
        <w:rPr>
          <w:color w:val="000000"/>
          <w:lang w:val="en-GB"/>
        </w:rPr>
        <w:lastRenderedPageBreak/>
        <w:t>could be possibly associated</w:t>
      </w:r>
      <w:r w:rsidRPr="00DB56CA">
        <w:rPr>
          <w:color w:val="000000"/>
          <w:lang w:val="en-GB"/>
        </w:rPr>
        <w:t xml:space="preserve"> to the proportional influence of different session types.</w:t>
      </w:r>
    </w:p>
    <w:p w14:paraId="47C48528" w14:textId="325E69D5" w:rsidR="006F4F7E" w:rsidRPr="00DB56CA" w:rsidRDefault="0032276A" w:rsidP="006F4F7E">
      <w:pPr>
        <w:widowControl w:val="0"/>
        <w:autoSpaceDE w:val="0"/>
        <w:autoSpaceDN w:val="0"/>
        <w:adjustRightInd w:val="0"/>
        <w:spacing w:after="100" w:afterAutospacing="1" w:line="480" w:lineRule="auto"/>
        <w:contextualSpacing/>
        <w:jc w:val="both"/>
        <w:rPr>
          <w:color w:val="000000"/>
          <w:lang w:val="en-GB"/>
        </w:rPr>
      </w:pPr>
      <w:r w:rsidRPr="00DB56CA">
        <w:rPr>
          <w:color w:val="000000"/>
          <w:lang w:val="en-GB"/>
        </w:rPr>
        <w:t xml:space="preserve">The Bland-Altman agreement </w:t>
      </w:r>
      <w:r w:rsidR="00910920" w:rsidRPr="00DB56CA">
        <w:rPr>
          <w:color w:val="000000"/>
          <w:lang w:val="en-GB"/>
        </w:rPr>
        <w:t>plots</w:t>
      </w:r>
      <w:r w:rsidR="001873A1" w:rsidRPr="00DB56CA">
        <w:rPr>
          <w:color w:val="000000"/>
          <w:lang w:val="en-GB"/>
        </w:rPr>
        <w:t xml:space="preserve"> for each player (Figures 2A</w:t>
      </w:r>
      <w:r w:rsidR="00787046" w:rsidRPr="00DB56CA">
        <w:rPr>
          <w:color w:val="000000"/>
          <w:lang w:val="en-GB"/>
        </w:rPr>
        <w:t>, 2B</w:t>
      </w:r>
      <w:r w:rsidR="001C458A" w:rsidRPr="00DB56CA">
        <w:rPr>
          <w:color w:val="000000"/>
          <w:lang w:val="en-GB"/>
        </w:rPr>
        <w:t xml:space="preserve"> and 2</w:t>
      </w:r>
      <w:r w:rsidR="00787046" w:rsidRPr="00DB56CA">
        <w:rPr>
          <w:color w:val="000000"/>
          <w:lang w:val="en-GB"/>
        </w:rPr>
        <w:t>C</w:t>
      </w:r>
      <w:r w:rsidRPr="00DB56CA">
        <w:rPr>
          <w:color w:val="000000"/>
          <w:lang w:val="en-GB"/>
        </w:rPr>
        <w:t xml:space="preserve">) show a bias of 0.00 to -0.59 </w:t>
      </w:r>
      <w:r w:rsidR="00CD046D" w:rsidRPr="00DB56CA">
        <w:rPr>
          <w:color w:val="000000"/>
          <w:lang w:val="en-GB"/>
        </w:rPr>
        <w:t>supporting the use of</w:t>
      </w:r>
      <w:r w:rsidRPr="00DB56CA">
        <w:rPr>
          <w:color w:val="000000"/>
          <w:lang w:val="en-GB"/>
        </w:rPr>
        <w:t xml:space="preserve"> sRPE </w:t>
      </w:r>
      <w:r w:rsidR="00CD046D" w:rsidRPr="00DB56CA">
        <w:rPr>
          <w:color w:val="000000"/>
          <w:lang w:val="en-GB"/>
        </w:rPr>
        <w:t>a</w:t>
      </w:r>
      <w:r w:rsidRPr="00DB56CA">
        <w:rPr>
          <w:color w:val="000000"/>
          <w:lang w:val="en-GB"/>
        </w:rPr>
        <w:t>s a valid measure of ITL for all the players</w:t>
      </w:r>
      <w:r w:rsidR="00B30814" w:rsidRPr="00DB56CA">
        <w:rPr>
          <w:color w:val="000000"/>
          <w:lang w:val="en-GB"/>
        </w:rPr>
        <w:t xml:space="preserve">. </w:t>
      </w:r>
      <w:r w:rsidRPr="00DB56CA">
        <w:rPr>
          <w:color w:val="000000"/>
          <w:lang w:val="en-GB"/>
        </w:rPr>
        <w:t>The</w:t>
      </w:r>
      <w:r w:rsidR="00B73614" w:rsidRPr="00DB56CA">
        <w:rPr>
          <w:color w:val="000000"/>
          <w:lang w:val="en-GB"/>
        </w:rPr>
        <w:t>se</w:t>
      </w:r>
      <w:r w:rsidRPr="00DB56CA">
        <w:rPr>
          <w:color w:val="000000"/>
          <w:lang w:val="en-GB"/>
        </w:rPr>
        <w:t xml:space="preserve"> </w:t>
      </w:r>
      <w:r w:rsidR="001C458A" w:rsidRPr="00DB56CA">
        <w:rPr>
          <w:color w:val="000000"/>
          <w:lang w:val="en-GB"/>
        </w:rPr>
        <w:t>Figures 2A</w:t>
      </w:r>
      <w:r w:rsidR="00787046" w:rsidRPr="00DB56CA">
        <w:rPr>
          <w:color w:val="000000"/>
          <w:lang w:val="en-GB"/>
        </w:rPr>
        <w:t>, 2B</w:t>
      </w:r>
      <w:r w:rsidR="001C458A" w:rsidRPr="00DB56CA">
        <w:rPr>
          <w:color w:val="000000"/>
          <w:lang w:val="en-GB"/>
        </w:rPr>
        <w:t xml:space="preserve"> and 2</w:t>
      </w:r>
      <w:r w:rsidR="00787046" w:rsidRPr="00DB56CA">
        <w:rPr>
          <w:color w:val="000000"/>
          <w:lang w:val="en-GB"/>
        </w:rPr>
        <w:t>C</w:t>
      </w:r>
      <w:r w:rsidRPr="00DB56CA">
        <w:rPr>
          <w:color w:val="000000"/>
          <w:lang w:val="en-GB"/>
        </w:rPr>
        <w:t xml:space="preserve"> show that there is no bias in the data</w:t>
      </w:r>
      <w:r w:rsidR="001D7E9B" w:rsidRPr="00DB56CA">
        <w:rPr>
          <w:color w:val="000000"/>
          <w:lang w:val="en-GB"/>
        </w:rPr>
        <w:t>.</w:t>
      </w:r>
      <w:r w:rsidR="00172201" w:rsidRPr="00DB56CA">
        <w:rPr>
          <w:color w:val="000000"/>
          <w:lang w:val="en-GB"/>
        </w:rPr>
        <w:t xml:space="preserve"> </w:t>
      </w:r>
      <w:r w:rsidRPr="00DB56CA">
        <w:rPr>
          <w:color w:val="000000"/>
          <w:lang w:val="en-GB"/>
        </w:rPr>
        <w:t>This is the first study to look at the spread of the data for individual players</w:t>
      </w:r>
      <w:r w:rsidR="001D7E9B" w:rsidRPr="00DB56CA">
        <w:rPr>
          <w:color w:val="000000"/>
          <w:lang w:val="en-GB"/>
        </w:rPr>
        <w:t>.</w:t>
      </w:r>
      <w:r w:rsidR="00B06F9C" w:rsidRPr="00DB56CA">
        <w:rPr>
          <w:color w:val="000000"/>
          <w:lang w:val="en-GB"/>
        </w:rPr>
        <w:t xml:space="preserve"> </w:t>
      </w:r>
      <w:r w:rsidRPr="00DB56CA">
        <w:rPr>
          <w:color w:val="000000"/>
          <w:lang w:val="en-GB"/>
        </w:rPr>
        <w:t xml:space="preserve">This </w:t>
      </w:r>
      <w:r w:rsidRPr="00DB56CA">
        <w:rPr>
          <w:color w:val="000000"/>
          <w:highlight w:val="yellow"/>
          <w:lang w:val="en-GB"/>
        </w:rPr>
        <w:t>supports</w:t>
      </w:r>
      <w:r w:rsidRPr="00DB56CA">
        <w:rPr>
          <w:color w:val="000000"/>
          <w:lang w:val="en-GB"/>
        </w:rPr>
        <w:t xml:space="preserve"> the use of sRPE as a measure of ITL in </w:t>
      </w:r>
      <w:r w:rsidR="007F2E73" w:rsidRPr="00DB56CA">
        <w:rPr>
          <w:color w:val="000000"/>
          <w:lang w:val="en-GB"/>
        </w:rPr>
        <w:t>soccer</w:t>
      </w:r>
      <w:r w:rsidR="001D7E9B" w:rsidRPr="00DB56CA">
        <w:rPr>
          <w:color w:val="000000"/>
          <w:lang w:val="en-GB"/>
        </w:rPr>
        <w:t>.</w:t>
      </w:r>
      <w:r w:rsidR="005F2FC0" w:rsidRPr="00DB56CA">
        <w:rPr>
          <w:color w:val="000000"/>
          <w:lang w:val="en-GB"/>
        </w:rPr>
        <w:t xml:space="preserve"> Coaches can thus confidently incorporate the use of sRPE for ITL monitoring for their players. </w:t>
      </w:r>
      <w:r w:rsidR="00846253" w:rsidRPr="00DB56CA">
        <w:rPr>
          <w:color w:val="000000"/>
          <w:lang w:val="en-GB"/>
        </w:rPr>
        <w:t xml:space="preserve">Though sRPE is not as precise as HR monitoring, it will provide coaches with immediate and reliable information regarding the ITL of the session. </w:t>
      </w:r>
      <w:r w:rsidR="00172201" w:rsidRPr="00DB56CA">
        <w:rPr>
          <w:color w:val="000000"/>
          <w:lang w:val="en-GB"/>
        </w:rPr>
        <w:t xml:space="preserve"> </w:t>
      </w:r>
    </w:p>
    <w:p w14:paraId="2AF09145" w14:textId="77777777" w:rsidR="006F4F7E" w:rsidRPr="00DB56CA" w:rsidRDefault="006F4F7E" w:rsidP="006F4F7E">
      <w:pPr>
        <w:widowControl w:val="0"/>
        <w:autoSpaceDE w:val="0"/>
        <w:autoSpaceDN w:val="0"/>
        <w:adjustRightInd w:val="0"/>
        <w:spacing w:after="100" w:afterAutospacing="1" w:line="480" w:lineRule="auto"/>
        <w:contextualSpacing/>
        <w:jc w:val="both"/>
        <w:rPr>
          <w:b/>
          <w:color w:val="000000"/>
          <w:lang w:val="en-GB"/>
        </w:rPr>
      </w:pPr>
    </w:p>
    <w:p w14:paraId="2E4DC004" w14:textId="77777777" w:rsidR="006F4F7E" w:rsidRPr="00DB56CA" w:rsidRDefault="008C4CA5" w:rsidP="006F4F7E">
      <w:pPr>
        <w:widowControl w:val="0"/>
        <w:autoSpaceDE w:val="0"/>
        <w:autoSpaceDN w:val="0"/>
        <w:adjustRightInd w:val="0"/>
        <w:spacing w:after="100" w:afterAutospacing="1" w:line="480" w:lineRule="auto"/>
        <w:contextualSpacing/>
        <w:jc w:val="both"/>
        <w:rPr>
          <w:b/>
          <w:color w:val="000000"/>
          <w:lang w:val="en-GB"/>
        </w:rPr>
      </w:pPr>
      <w:r w:rsidRPr="00DB56CA">
        <w:rPr>
          <w:b/>
          <w:color w:val="000000"/>
          <w:lang w:val="en-GB"/>
        </w:rPr>
        <w:t>Limitations and future research:</w:t>
      </w:r>
      <w:r w:rsidR="00022C57" w:rsidRPr="00DB56CA">
        <w:rPr>
          <w:b/>
          <w:color w:val="000000"/>
          <w:lang w:val="en-GB"/>
        </w:rPr>
        <w:t xml:space="preserve"> </w:t>
      </w:r>
    </w:p>
    <w:p w14:paraId="3CE60297" w14:textId="77777777" w:rsidR="006F4F7E" w:rsidRPr="00DB56CA" w:rsidRDefault="002A0AD9" w:rsidP="006F4F7E">
      <w:pPr>
        <w:widowControl w:val="0"/>
        <w:autoSpaceDE w:val="0"/>
        <w:autoSpaceDN w:val="0"/>
        <w:adjustRightInd w:val="0"/>
        <w:spacing w:after="100" w:afterAutospacing="1" w:line="480" w:lineRule="auto"/>
        <w:contextualSpacing/>
        <w:jc w:val="both"/>
        <w:rPr>
          <w:color w:val="000000"/>
          <w:lang w:val="en-GB"/>
        </w:rPr>
      </w:pPr>
      <w:r w:rsidRPr="00DB56CA">
        <w:rPr>
          <w:rFonts w:eastAsia="Times New Roman"/>
          <w:color w:val="000000" w:themeColor="text1"/>
          <w:shd w:val="clear" w:color="auto" w:fill="FFFFFF"/>
          <w:lang w:val="en-GB"/>
        </w:rPr>
        <w:t>Since</w:t>
      </w:r>
      <w:r w:rsidR="000A7AF9" w:rsidRPr="00DB56CA">
        <w:rPr>
          <w:rFonts w:eastAsia="Times New Roman"/>
          <w:color w:val="000000" w:themeColor="text1"/>
          <w:shd w:val="clear" w:color="auto" w:fill="FFFFFF"/>
          <w:lang w:val="en-GB"/>
        </w:rPr>
        <w:t xml:space="preserve"> the current study </w:t>
      </w:r>
      <w:r w:rsidR="005C62F9" w:rsidRPr="00DB56CA">
        <w:rPr>
          <w:rFonts w:eastAsia="Times New Roman"/>
          <w:color w:val="000000" w:themeColor="text1"/>
          <w:shd w:val="clear" w:color="auto" w:fill="FFFFFF"/>
          <w:lang w:val="en-GB"/>
        </w:rPr>
        <w:t>initiated</w:t>
      </w:r>
      <w:r w:rsidR="000A7AF9" w:rsidRPr="00DB56CA">
        <w:rPr>
          <w:rFonts w:eastAsia="Times New Roman"/>
          <w:color w:val="000000" w:themeColor="text1"/>
          <w:shd w:val="clear" w:color="auto" w:fill="FFFFFF"/>
          <w:lang w:val="en-GB"/>
        </w:rPr>
        <w:t xml:space="preserve"> data collection two months into the season due to logistical c</w:t>
      </w:r>
      <w:r w:rsidR="00085C82" w:rsidRPr="00DB56CA">
        <w:rPr>
          <w:rFonts w:eastAsia="Times New Roman"/>
          <w:color w:val="000000" w:themeColor="text1"/>
          <w:shd w:val="clear" w:color="auto" w:fill="FFFFFF"/>
          <w:lang w:val="en-GB"/>
        </w:rPr>
        <w:t>onstraints</w:t>
      </w:r>
      <w:r w:rsidR="000A7AF9" w:rsidRPr="00DB56CA">
        <w:rPr>
          <w:rFonts w:eastAsia="Times New Roman"/>
          <w:color w:val="000000" w:themeColor="text1"/>
          <w:shd w:val="clear" w:color="auto" w:fill="FFFFFF"/>
          <w:lang w:val="en-GB"/>
        </w:rPr>
        <w:t>, findings were restricted to the concluding seven months. Furthermore, the number of</w:t>
      </w:r>
      <w:r w:rsidR="00CB4A3B" w:rsidRPr="00DB56CA">
        <w:rPr>
          <w:color w:val="000000" w:themeColor="text1"/>
          <w:lang w:val="en-GB"/>
        </w:rPr>
        <w:t xml:space="preserve"> </w:t>
      </w:r>
      <w:r w:rsidR="005F002A" w:rsidRPr="00DB56CA">
        <w:rPr>
          <w:color w:val="000000" w:themeColor="text1"/>
          <w:lang w:val="en-GB"/>
        </w:rPr>
        <w:t xml:space="preserve">sessions analysed for each month varies significantly due to </w:t>
      </w:r>
      <w:r w:rsidR="00CE5931" w:rsidRPr="00DB56CA">
        <w:rPr>
          <w:color w:val="000000" w:themeColor="text1"/>
          <w:lang w:val="en-GB"/>
        </w:rPr>
        <w:t>variable</w:t>
      </w:r>
      <w:r w:rsidR="005F002A" w:rsidRPr="00DB56CA">
        <w:rPr>
          <w:color w:val="000000" w:themeColor="text1"/>
          <w:lang w:val="en-GB"/>
        </w:rPr>
        <w:t xml:space="preserve"> player compliance</w:t>
      </w:r>
      <w:r w:rsidR="00172201" w:rsidRPr="00DB56CA">
        <w:rPr>
          <w:color w:val="000000" w:themeColor="text1"/>
          <w:lang w:val="en-GB"/>
        </w:rPr>
        <w:t>.</w:t>
      </w:r>
      <w:r w:rsidR="0038412E" w:rsidRPr="00DB56CA">
        <w:rPr>
          <w:color w:val="000000" w:themeColor="text1"/>
          <w:lang w:val="en-GB"/>
        </w:rPr>
        <w:t xml:space="preserve"> </w:t>
      </w:r>
      <w:r w:rsidR="008C4CA5" w:rsidRPr="00DB56CA">
        <w:rPr>
          <w:color w:val="000000" w:themeColor="text1"/>
          <w:lang w:val="en-GB"/>
        </w:rPr>
        <w:t xml:space="preserve">Future research must increase the monitoring of </w:t>
      </w:r>
      <w:r w:rsidR="00123AC2" w:rsidRPr="00DB56CA">
        <w:rPr>
          <w:color w:val="000000"/>
          <w:lang w:val="en-GB"/>
        </w:rPr>
        <w:t xml:space="preserve">player </w:t>
      </w:r>
      <w:r w:rsidR="008C4CA5" w:rsidRPr="00DB56CA">
        <w:rPr>
          <w:color w:val="000000"/>
          <w:lang w:val="en-GB"/>
        </w:rPr>
        <w:t>data to increase strength of analysis</w:t>
      </w:r>
      <w:r w:rsidR="001D7E9B" w:rsidRPr="00DB56CA">
        <w:rPr>
          <w:color w:val="000000"/>
          <w:lang w:val="en-GB"/>
        </w:rPr>
        <w:t>.</w:t>
      </w:r>
      <w:r w:rsidR="00172201" w:rsidRPr="00DB56CA">
        <w:rPr>
          <w:color w:val="000000"/>
          <w:lang w:val="en-GB"/>
        </w:rPr>
        <w:t xml:space="preserve"> </w:t>
      </w:r>
      <w:r w:rsidR="008C4CA5" w:rsidRPr="00DB56CA">
        <w:rPr>
          <w:color w:val="000000"/>
          <w:lang w:val="en-GB"/>
        </w:rPr>
        <w:t>Another limitation in the study is that the HR monitors were changed mid-November</w:t>
      </w:r>
      <w:r w:rsidR="001D7E9B" w:rsidRPr="00DB56CA">
        <w:rPr>
          <w:color w:val="000000"/>
          <w:lang w:val="en-GB"/>
        </w:rPr>
        <w:t>.</w:t>
      </w:r>
      <w:r w:rsidR="0038412E" w:rsidRPr="00DB56CA">
        <w:rPr>
          <w:color w:val="000000"/>
          <w:lang w:val="en-GB"/>
        </w:rPr>
        <w:t xml:space="preserve"> </w:t>
      </w:r>
      <w:r w:rsidR="008C4CA5" w:rsidRPr="00DB56CA">
        <w:rPr>
          <w:color w:val="000000"/>
          <w:lang w:val="en-GB"/>
        </w:rPr>
        <w:t>However, since both HR monitors were from the same brand and showed same levels of sensitivity, this change did not</w:t>
      </w:r>
      <w:r w:rsidR="00085C82" w:rsidRPr="00DB56CA">
        <w:rPr>
          <w:color w:val="000000"/>
          <w:lang w:val="en-GB"/>
        </w:rPr>
        <w:t xml:space="preserve"> </w:t>
      </w:r>
      <w:r w:rsidR="008C4CA5" w:rsidRPr="00DB56CA">
        <w:rPr>
          <w:color w:val="000000"/>
          <w:lang w:val="en-GB"/>
        </w:rPr>
        <w:t>affect the data</w:t>
      </w:r>
      <w:r w:rsidR="00172201" w:rsidRPr="00DB56CA">
        <w:rPr>
          <w:color w:val="000000"/>
          <w:lang w:val="en-GB"/>
        </w:rPr>
        <w:t xml:space="preserve">. </w:t>
      </w:r>
      <w:r w:rsidR="008C4CA5" w:rsidRPr="00DB56CA">
        <w:rPr>
          <w:color w:val="000000"/>
          <w:lang w:val="en-GB"/>
        </w:rPr>
        <w:t>sRPE is a subjective measure of ITL</w:t>
      </w:r>
      <w:r w:rsidR="00085C82" w:rsidRPr="00DB56CA">
        <w:rPr>
          <w:color w:val="000000"/>
          <w:lang w:val="en-GB"/>
        </w:rPr>
        <w:t xml:space="preserve"> and w</w:t>
      </w:r>
      <w:r w:rsidR="008C4CA5" w:rsidRPr="00DB56CA">
        <w:rPr>
          <w:color w:val="000000"/>
          <w:lang w:val="en-GB"/>
        </w:rPr>
        <w:t xml:space="preserve">hile </w:t>
      </w:r>
      <w:r w:rsidR="00085C82" w:rsidRPr="00DB56CA">
        <w:rPr>
          <w:color w:val="000000"/>
          <w:lang w:val="en-GB"/>
        </w:rPr>
        <w:t>we</w:t>
      </w:r>
      <w:r w:rsidR="008C4CA5" w:rsidRPr="00DB56CA">
        <w:rPr>
          <w:color w:val="000000"/>
          <w:lang w:val="en-GB"/>
        </w:rPr>
        <w:t xml:space="preserve"> controlled for peer pressure and coaches</w:t>
      </w:r>
      <w:r w:rsidR="008C4CA5" w:rsidRPr="00DB56CA">
        <w:rPr>
          <w:rFonts w:ascii="Helvetica" w:eastAsia="Helvetica" w:hAnsi="Helvetica" w:cs="Helvetica"/>
          <w:color w:val="000000"/>
          <w:lang w:val="en-GB"/>
        </w:rPr>
        <w:t xml:space="preserve">’ </w:t>
      </w:r>
      <w:r w:rsidR="008C4CA5" w:rsidRPr="00DB56CA">
        <w:rPr>
          <w:rFonts w:eastAsia="Helvetica"/>
          <w:color w:val="000000"/>
          <w:lang w:val="en-GB"/>
        </w:rPr>
        <w:t>influence</w:t>
      </w:r>
      <w:r w:rsidR="008062FE" w:rsidRPr="00DB56CA">
        <w:rPr>
          <w:color w:val="000000"/>
          <w:lang w:val="en-GB"/>
        </w:rPr>
        <w:t>s</w:t>
      </w:r>
      <w:r w:rsidR="008C4CA5" w:rsidRPr="00DB56CA">
        <w:rPr>
          <w:color w:val="000000"/>
          <w:lang w:val="en-GB"/>
        </w:rPr>
        <w:t xml:space="preserve"> on the players</w:t>
      </w:r>
      <w:r w:rsidR="008C4CA5" w:rsidRPr="00DB56CA">
        <w:rPr>
          <w:rFonts w:ascii="Helvetica" w:eastAsia="Helvetica" w:hAnsi="Helvetica" w:cs="Helvetica"/>
          <w:color w:val="000000"/>
          <w:lang w:val="en-GB"/>
        </w:rPr>
        <w:t xml:space="preserve">’ </w:t>
      </w:r>
      <w:r w:rsidR="008C4CA5" w:rsidRPr="00DB56CA">
        <w:rPr>
          <w:rFonts w:eastAsia="Helvetica"/>
          <w:color w:val="000000"/>
          <w:lang w:val="en-GB"/>
        </w:rPr>
        <w:t>report</w:t>
      </w:r>
      <w:r w:rsidR="008C4CA5" w:rsidRPr="00DB56CA">
        <w:rPr>
          <w:rFonts w:ascii="Helvetica" w:eastAsia="Helvetica" w:hAnsi="Helvetica" w:cs="Helvetica"/>
          <w:color w:val="000000"/>
          <w:lang w:val="en-GB"/>
        </w:rPr>
        <w:t xml:space="preserve">, </w:t>
      </w:r>
      <w:r w:rsidR="008062FE" w:rsidRPr="00DB56CA">
        <w:rPr>
          <w:color w:val="000000"/>
          <w:lang w:val="en-GB"/>
        </w:rPr>
        <w:t>in practice,</w:t>
      </w:r>
      <w:r w:rsidR="008C4CA5" w:rsidRPr="00DB56CA">
        <w:rPr>
          <w:color w:val="000000"/>
          <w:lang w:val="en-GB"/>
        </w:rPr>
        <w:t xml:space="preserve"> it is impossible to </w:t>
      </w:r>
      <w:r w:rsidR="00C04D0C" w:rsidRPr="00DB56CA">
        <w:rPr>
          <w:color w:val="000000"/>
          <w:lang w:val="en-GB"/>
        </w:rPr>
        <w:t>eliminate</w:t>
      </w:r>
      <w:r w:rsidR="00085C82" w:rsidRPr="00DB56CA">
        <w:rPr>
          <w:color w:val="000000"/>
          <w:lang w:val="en-GB"/>
        </w:rPr>
        <w:t xml:space="preserve"> </w:t>
      </w:r>
      <w:r w:rsidR="008C4CA5" w:rsidRPr="00DB56CA">
        <w:rPr>
          <w:color w:val="000000"/>
          <w:lang w:val="en-GB"/>
        </w:rPr>
        <w:t>external influences</w:t>
      </w:r>
      <w:r w:rsidR="00172201" w:rsidRPr="00DB56CA">
        <w:rPr>
          <w:color w:val="000000"/>
          <w:lang w:val="en-GB"/>
        </w:rPr>
        <w:t xml:space="preserve">.  </w:t>
      </w:r>
      <w:r w:rsidR="00B06F9C" w:rsidRPr="00DB56CA">
        <w:rPr>
          <w:color w:val="000000"/>
          <w:lang w:val="en-GB"/>
        </w:rPr>
        <w:t xml:space="preserve"> </w:t>
      </w:r>
    </w:p>
    <w:p w14:paraId="247C457D" w14:textId="6BF5F1A2" w:rsidR="006F4F7E" w:rsidRPr="00DB56CA" w:rsidRDefault="008C4CA5" w:rsidP="006F4F7E">
      <w:pPr>
        <w:widowControl w:val="0"/>
        <w:autoSpaceDE w:val="0"/>
        <w:autoSpaceDN w:val="0"/>
        <w:adjustRightInd w:val="0"/>
        <w:spacing w:after="100" w:afterAutospacing="1" w:line="480" w:lineRule="auto"/>
        <w:contextualSpacing/>
        <w:jc w:val="both"/>
        <w:rPr>
          <w:color w:val="000000"/>
          <w:lang w:val="en-GB"/>
        </w:rPr>
      </w:pPr>
      <w:r w:rsidRPr="00DB56CA">
        <w:rPr>
          <w:color w:val="000000"/>
          <w:lang w:val="en-GB"/>
        </w:rPr>
        <w:t xml:space="preserve">Future research </w:t>
      </w:r>
      <w:r w:rsidR="00214633" w:rsidRPr="00DB56CA">
        <w:rPr>
          <w:color w:val="000000"/>
          <w:lang w:val="en-GB"/>
        </w:rPr>
        <w:t xml:space="preserve">should establish </w:t>
      </w:r>
      <w:r w:rsidRPr="00DB56CA">
        <w:rPr>
          <w:color w:val="000000"/>
          <w:lang w:val="en-GB"/>
        </w:rPr>
        <w:t xml:space="preserve">base-line HR values corresponding to the sRPE scale using laboratory </w:t>
      </w:r>
      <w:r w:rsidR="00557544" w:rsidRPr="00DB56CA">
        <w:rPr>
          <w:color w:val="000000"/>
          <w:lang w:val="en-GB"/>
        </w:rPr>
        <w:t xml:space="preserve">tests </w:t>
      </w:r>
      <w:r w:rsidR="00214633" w:rsidRPr="00DB56CA">
        <w:rPr>
          <w:color w:val="000000"/>
          <w:lang w:val="en-GB"/>
        </w:rPr>
        <w:t xml:space="preserve">of field </w:t>
      </w:r>
      <w:r w:rsidRPr="00DB56CA">
        <w:rPr>
          <w:color w:val="000000"/>
          <w:lang w:val="en-GB"/>
        </w:rPr>
        <w:t xml:space="preserve">techniques at the start of the season to </w:t>
      </w:r>
      <w:r w:rsidR="00123AC2" w:rsidRPr="00DB56CA">
        <w:rPr>
          <w:color w:val="000000"/>
          <w:lang w:val="en-GB"/>
        </w:rPr>
        <w:t>analyse the validity of the scale more accurately</w:t>
      </w:r>
      <w:r w:rsidR="00B30814" w:rsidRPr="00DB56CA">
        <w:rPr>
          <w:color w:val="000000"/>
          <w:lang w:val="en-GB"/>
        </w:rPr>
        <w:t>.</w:t>
      </w:r>
      <w:r w:rsidR="0038412E" w:rsidRPr="00DB56CA">
        <w:rPr>
          <w:color w:val="000000"/>
          <w:lang w:val="en-GB"/>
        </w:rPr>
        <w:t xml:space="preserve"> </w:t>
      </w:r>
      <w:r w:rsidR="002516B9" w:rsidRPr="00DB56CA">
        <w:rPr>
          <w:color w:val="000000"/>
          <w:lang w:val="en-GB"/>
        </w:rPr>
        <w:t xml:space="preserve">Studies have varied in their understanding of the different strengths of correlations suggesting it may be the nature of training type </w:t>
      </w:r>
      <w:r w:rsidR="002516B9" w:rsidRPr="00DB56CA">
        <w:rPr>
          <w:color w:val="000000"/>
          <w:lang w:val="en-GB"/>
        </w:rPr>
        <w:lastRenderedPageBreak/>
        <w:t>(</w:t>
      </w:r>
      <w:r w:rsidR="00577B53" w:rsidRPr="00DB56CA">
        <w:rPr>
          <w:color w:val="000000"/>
          <w:lang w:val="en-GB"/>
        </w:rPr>
        <w:t>2,</w:t>
      </w:r>
      <w:r w:rsidR="002516B9" w:rsidRPr="00DB56CA">
        <w:rPr>
          <w:color w:val="000000"/>
          <w:lang w:val="en-GB"/>
        </w:rPr>
        <w:t xml:space="preserve"> </w:t>
      </w:r>
      <w:r w:rsidR="008C35CF" w:rsidRPr="00DB56CA">
        <w:rPr>
          <w:color w:val="000000"/>
          <w:lang w:val="en-GB"/>
        </w:rPr>
        <w:t>5</w:t>
      </w:r>
      <w:r w:rsidR="002516B9" w:rsidRPr="00DB56CA">
        <w:rPr>
          <w:color w:val="000000"/>
          <w:lang w:val="en-GB"/>
        </w:rPr>
        <w:t>), age (</w:t>
      </w:r>
      <w:r w:rsidR="000476E0" w:rsidRPr="00DB56CA">
        <w:rPr>
          <w:color w:val="000000"/>
          <w:lang w:val="en-GB"/>
        </w:rPr>
        <w:t>21</w:t>
      </w:r>
      <w:r w:rsidR="002516B9" w:rsidRPr="00DB56CA">
        <w:rPr>
          <w:color w:val="000000"/>
          <w:lang w:val="en-GB"/>
        </w:rPr>
        <w:t>), time point in the season or duration of study that affect the correlation</w:t>
      </w:r>
      <w:r w:rsidR="00172201" w:rsidRPr="00DB56CA">
        <w:rPr>
          <w:color w:val="000000"/>
          <w:lang w:val="en-GB"/>
        </w:rPr>
        <w:t>.</w:t>
      </w:r>
      <w:r w:rsidR="0038412E" w:rsidRPr="00DB56CA">
        <w:rPr>
          <w:color w:val="000000"/>
          <w:lang w:val="en-GB"/>
        </w:rPr>
        <w:t xml:space="preserve"> </w:t>
      </w:r>
      <w:r w:rsidR="00706B62" w:rsidRPr="00DB56CA">
        <w:rPr>
          <w:color w:val="000000"/>
          <w:lang w:val="en-GB"/>
        </w:rPr>
        <w:t>Coutts et al</w:t>
      </w:r>
      <w:r w:rsidR="00172201" w:rsidRPr="00DB56CA">
        <w:rPr>
          <w:color w:val="000000"/>
          <w:lang w:val="en-GB"/>
        </w:rPr>
        <w:t xml:space="preserve">. </w:t>
      </w:r>
      <w:r w:rsidR="00706B62" w:rsidRPr="00DB56CA">
        <w:rPr>
          <w:color w:val="000000"/>
          <w:lang w:val="en-GB"/>
        </w:rPr>
        <w:t>(</w:t>
      </w:r>
      <w:r w:rsidR="000255BB" w:rsidRPr="00DB56CA">
        <w:rPr>
          <w:color w:val="000000"/>
          <w:lang w:val="en-GB"/>
        </w:rPr>
        <w:t>7</w:t>
      </w:r>
      <w:r w:rsidR="00706B62" w:rsidRPr="00DB56CA">
        <w:rPr>
          <w:color w:val="000000"/>
          <w:lang w:val="en-GB"/>
        </w:rPr>
        <w:t>) found that measuring blood lacta</w:t>
      </w:r>
      <w:r w:rsidR="001B33ED" w:rsidRPr="00DB56CA">
        <w:rPr>
          <w:color w:val="000000"/>
          <w:lang w:val="en-GB"/>
        </w:rPr>
        <w:t>te</w:t>
      </w:r>
      <w:r w:rsidR="00214633" w:rsidRPr="00DB56CA">
        <w:rPr>
          <w:color w:val="000000"/>
          <w:lang w:val="en-GB"/>
        </w:rPr>
        <w:t>,</w:t>
      </w:r>
      <w:r w:rsidR="001B33ED" w:rsidRPr="00DB56CA">
        <w:rPr>
          <w:color w:val="000000"/>
          <w:lang w:val="en-GB"/>
        </w:rPr>
        <w:t xml:space="preserve"> as well as sRPE</w:t>
      </w:r>
      <w:r w:rsidR="00214633" w:rsidRPr="00DB56CA">
        <w:rPr>
          <w:color w:val="000000"/>
          <w:lang w:val="en-GB"/>
        </w:rPr>
        <w:t>,</w:t>
      </w:r>
      <w:r w:rsidR="001B33ED" w:rsidRPr="00DB56CA">
        <w:rPr>
          <w:color w:val="000000"/>
          <w:lang w:val="en-GB"/>
        </w:rPr>
        <w:t xml:space="preserve"> explain</w:t>
      </w:r>
      <w:r w:rsidR="00085C82" w:rsidRPr="00DB56CA">
        <w:rPr>
          <w:color w:val="000000"/>
          <w:lang w:val="en-GB"/>
        </w:rPr>
        <w:t>ed</w:t>
      </w:r>
      <w:r w:rsidR="00605617" w:rsidRPr="00DB56CA">
        <w:rPr>
          <w:color w:val="000000"/>
          <w:lang w:val="en-GB"/>
        </w:rPr>
        <w:t xml:space="preserve"> an increased 14.7</w:t>
      </w:r>
      <w:r w:rsidR="001B33ED" w:rsidRPr="00DB56CA">
        <w:rPr>
          <w:color w:val="000000"/>
          <w:lang w:val="en-GB"/>
        </w:rPr>
        <w:t xml:space="preserve">% in </w:t>
      </w:r>
      <w:r w:rsidR="00085C82" w:rsidRPr="00DB56CA">
        <w:rPr>
          <w:color w:val="000000"/>
          <w:lang w:val="en-GB"/>
        </w:rPr>
        <w:t>total</w:t>
      </w:r>
      <w:r w:rsidR="000255BB" w:rsidRPr="00DB56CA">
        <w:rPr>
          <w:color w:val="000000"/>
          <w:lang w:val="en-GB"/>
        </w:rPr>
        <w:t xml:space="preserve"> </w:t>
      </w:r>
      <w:r w:rsidR="001B33ED" w:rsidRPr="00DB56CA">
        <w:rPr>
          <w:color w:val="000000"/>
          <w:lang w:val="en-GB"/>
        </w:rPr>
        <w:t>variance of HRTL compared to sRPE alone</w:t>
      </w:r>
      <w:r w:rsidR="00B30814" w:rsidRPr="00DB56CA">
        <w:rPr>
          <w:color w:val="000000"/>
          <w:lang w:val="en-GB"/>
        </w:rPr>
        <w:t xml:space="preserve">. </w:t>
      </w:r>
      <w:r w:rsidR="002516B9" w:rsidRPr="00DB56CA">
        <w:rPr>
          <w:color w:val="000000"/>
          <w:lang w:val="en-GB"/>
        </w:rPr>
        <w:t xml:space="preserve">A </w:t>
      </w:r>
      <w:r w:rsidR="00123AC2" w:rsidRPr="00DB56CA">
        <w:rPr>
          <w:color w:val="000000"/>
          <w:lang w:val="en-GB"/>
        </w:rPr>
        <w:t xml:space="preserve">more </w:t>
      </w:r>
      <w:r w:rsidR="00085C82" w:rsidRPr="00DB56CA">
        <w:rPr>
          <w:color w:val="000000"/>
          <w:lang w:val="en-GB"/>
        </w:rPr>
        <w:t>comprehensive</w:t>
      </w:r>
      <w:r w:rsidR="00123AC2" w:rsidRPr="00DB56CA">
        <w:rPr>
          <w:color w:val="000000"/>
          <w:lang w:val="en-GB"/>
        </w:rPr>
        <w:t xml:space="preserve"> longitudinal study analysing different session types </w:t>
      </w:r>
      <w:r w:rsidR="001B33ED" w:rsidRPr="00DB56CA">
        <w:rPr>
          <w:color w:val="000000"/>
          <w:lang w:val="en-GB"/>
        </w:rPr>
        <w:t xml:space="preserve">and including more extensive measures of ITL </w:t>
      </w:r>
      <w:r w:rsidR="00123AC2" w:rsidRPr="00DB56CA">
        <w:rPr>
          <w:color w:val="000000"/>
          <w:lang w:val="en-GB"/>
        </w:rPr>
        <w:t>throughout the season may explain the variability in the correlations</w:t>
      </w:r>
      <w:r w:rsidR="00B30814" w:rsidRPr="00DB56CA">
        <w:rPr>
          <w:color w:val="000000"/>
          <w:lang w:val="en-GB"/>
        </w:rPr>
        <w:t xml:space="preserve">. </w:t>
      </w:r>
      <w:r w:rsidR="002516B9" w:rsidRPr="00DB56CA">
        <w:rPr>
          <w:color w:val="000000"/>
          <w:lang w:val="en-GB"/>
        </w:rPr>
        <w:t xml:space="preserve">Comparisons between age groups may be difficult due to different external loads, however studies across different age groups </w:t>
      </w:r>
      <w:r w:rsidR="007A1740" w:rsidRPr="00DB56CA">
        <w:rPr>
          <w:color w:val="000000"/>
          <w:lang w:val="en-GB"/>
        </w:rPr>
        <w:t xml:space="preserve">must be conducted </w:t>
      </w:r>
      <w:r w:rsidR="002516B9" w:rsidRPr="00DB56CA">
        <w:rPr>
          <w:color w:val="000000"/>
          <w:lang w:val="en-GB"/>
        </w:rPr>
        <w:t xml:space="preserve">for </w:t>
      </w:r>
      <w:r w:rsidR="00C924A5" w:rsidRPr="00DB56CA">
        <w:rPr>
          <w:color w:val="000000"/>
          <w:lang w:val="en-GB"/>
        </w:rPr>
        <w:t>universal</w:t>
      </w:r>
      <w:r w:rsidR="002516B9" w:rsidRPr="00DB56CA">
        <w:rPr>
          <w:color w:val="000000"/>
          <w:lang w:val="en-GB"/>
        </w:rPr>
        <w:t xml:space="preserve"> use of </w:t>
      </w:r>
      <w:r w:rsidR="004E18CA" w:rsidRPr="00DB56CA">
        <w:rPr>
          <w:color w:val="000000"/>
          <w:lang w:val="en-GB"/>
        </w:rPr>
        <w:t xml:space="preserve">the scale in </w:t>
      </w:r>
      <w:r w:rsidR="007F2E73" w:rsidRPr="00DB56CA">
        <w:rPr>
          <w:color w:val="000000"/>
          <w:lang w:val="en-GB"/>
        </w:rPr>
        <w:t>soccer</w:t>
      </w:r>
      <w:r w:rsidR="00172201" w:rsidRPr="00DB56CA">
        <w:rPr>
          <w:color w:val="000000"/>
          <w:lang w:val="en-GB"/>
        </w:rPr>
        <w:t xml:space="preserve">.  </w:t>
      </w:r>
    </w:p>
    <w:p w14:paraId="55B548CE" w14:textId="77777777" w:rsidR="006F4F7E" w:rsidRPr="00DB56CA" w:rsidRDefault="006F4F7E" w:rsidP="006F4F7E">
      <w:pPr>
        <w:widowControl w:val="0"/>
        <w:autoSpaceDE w:val="0"/>
        <w:autoSpaceDN w:val="0"/>
        <w:adjustRightInd w:val="0"/>
        <w:spacing w:after="100" w:afterAutospacing="1" w:line="480" w:lineRule="auto"/>
        <w:contextualSpacing/>
        <w:jc w:val="both"/>
        <w:rPr>
          <w:b/>
          <w:color w:val="000000"/>
          <w:lang w:val="en-GB"/>
        </w:rPr>
      </w:pPr>
    </w:p>
    <w:p w14:paraId="0932D366" w14:textId="77777777" w:rsidR="006F4F7E" w:rsidRPr="00DB56CA" w:rsidRDefault="00B06F9C" w:rsidP="006F4F7E">
      <w:pPr>
        <w:widowControl w:val="0"/>
        <w:autoSpaceDE w:val="0"/>
        <w:autoSpaceDN w:val="0"/>
        <w:adjustRightInd w:val="0"/>
        <w:spacing w:after="100" w:afterAutospacing="1" w:line="480" w:lineRule="auto"/>
        <w:contextualSpacing/>
        <w:jc w:val="both"/>
        <w:rPr>
          <w:b/>
          <w:color w:val="000000"/>
          <w:lang w:val="en-GB"/>
        </w:rPr>
      </w:pPr>
      <w:r w:rsidRPr="00DB56CA">
        <w:rPr>
          <w:b/>
          <w:color w:val="000000"/>
          <w:lang w:val="en-GB"/>
        </w:rPr>
        <w:t>Conclusion:</w:t>
      </w:r>
    </w:p>
    <w:p w14:paraId="47FBF438" w14:textId="4AA1056A" w:rsidR="006D6C02" w:rsidRPr="00DB56CA" w:rsidRDefault="00B06F9C" w:rsidP="006F4F7E">
      <w:pPr>
        <w:widowControl w:val="0"/>
        <w:autoSpaceDE w:val="0"/>
        <w:autoSpaceDN w:val="0"/>
        <w:adjustRightInd w:val="0"/>
        <w:spacing w:after="100" w:afterAutospacing="1" w:line="480" w:lineRule="auto"/>
        <w:contextualSpacing/>
        <w:jc w:val="both"/>
        <w:rPr>
          <w:color w:val="FF0000"/>
          <w:lang w:val="en-GB"/>
        </w:rPr>
      </w:pPr>
      <w:r w:rsidRPr="00DB56CA">
        <w:rPr>
          <w:color w:val="000000"/>
          <w:lang w:val="en-GB"/>
        </w:rPr>
        <w:t xml:space="preserve">To the best of the author’s knowledge, this </w:t>
      </w:r>
      <w:r w:rsidR="00547111" w:rsidRPr="00DB56CA">
        <w:rPr>
          <w:color w:val="000000"/>
          <w:lang w:val="en-GB"/>
        </w:rPr>
        <w:t xml:space="preserve">is </w:t>
      </w:r>
      <w:r w:rsidRPr="00DB56CA">
        <w:rPr>
          <w:color w:val="000000"/>
          <w:lang w:val="en-GB"/>
        </w:rPr>
        <w:t xml:space="preserve">the first study on professional youth </w:t>
      </w:r>
      <w:r w:rsidR="007F2E73" w:rsidRPr="00DB56CA">
        <w:rPr>
          <w:color w:val="000000"/>
          <w:lang w:val="en-GB"/>
        </w:rPr>
        <w:t>soccer players</w:t>
      </w:r>
      <w:r w:rsidR="00D12142" w:rsidRPr="00DB56CA">
        <w:rPr>
          <w:color w:val="000000"/>
          <w:lang w:val="en-GB"/>
        </w:rPr>
        <w:t xml:space="preserve"> </w:t>
      </w:r>
      <w:r w:rsidR="00D12142" w:rsidRPr="00DB56CA">
        <w:rPr>
          <w:color w:val="000000"/>
          <w:highlight w:val="yellow"/>
          <w:lang w:val="en-GB"/>
        </w:rPr>
        <w:t>to be conducted for the entire season</w:t>
      </w:r>
      <w:r w:rsidR="00B30814" w:rsidRPr="00DB56CA">
        <w:rPr>
          <w:color w:val="000000"/>
          <w:lang w:val="en-GB"/>
        </w:rPr>
        <w:t xml:space="preserve">. </w:t>
      </w:r>
      <w:r w:rsidRPr="00DB56CA">
        <w:rPr>
          <w:color w:val="000000"/>
          <w:lang w:val="en-GB"/>
        </w:rPr>
        <w:t xml:space="preserve">The large data set collected and higher statistical strength of this study may provide a more accurate representation of training load in youth professional </w:t>
      </w:r>
      <w:r w:rsidR="007F2E73" w:rsidRPr="00DB56CA">
        <w:rPr>
          <w:color w:val="000000"/>
          <w:lang w:val="en-GB"/>
        </w:rPr>
        <w:t>soccer</w:t>
      </w:r>
      <w:r w:rsidR="001D7E9B" w:rsidRPr="00DB56CA">
        <w:rPr>
          <w:color w:val="000000"/>
          <w:lang w:val="en-GB"/>
        </w:rPr>
        <w:t>.</w:t>
      </w:r>
      <w:r w:rsidRPr="00DB56CA">
        <w:rPr>
          <w:color w:val="000000"/>
          <w:lang w:val="en-GB"/>
        </w:rPr>
        <w:t xml:space="preserve"> This is the first study to </w:t>
      </w:r>
      <w:r w:rsidR="005E03F7" w:rsidRPr="00DB56CA">
        <w:rPr>
          <w:color w:val="000000"/>
          <w:lang w:val="en-GB"/>
        </w:rPr>
        <w:t xml:space="preserve">examine </w:t>
      </w:r>
      <w:r w:rsidRPr="00DB56CA">
        <w:rPr>
          <w:color w:val="000000"/>
          <w:lang w:val="en-GB"/>
        </w:rPr>
        <w:t xml:space="preserve">the agreement of HRTL and sRPETL in </w:t>
      </w:r>
      <w:r w:rsidR="005E03F7" w:rsidRPr="00DB56CA">
        <w:rPr>
          <w:color w:val="000000"/>
          <w:lang w:val="en-GB"/>
        </w:rPr>
        <w:t xml:space="preserve">youth </w:t>
      </w:r>
      <w:r w:rsidR="007F2E73" w:rsidRPr="00DB56CA">
        <w:rPr>
          <w:color w:val="000000"/>
          <w:lang w:val="en-GB"/>
        </w:rPr>
        <w:t>soccer</w:t>
      </w:r>
      <w:r w:rsidR="00B30814" w:rsidRPr="00DB56CA">
        <w:rPr>
          <w:color w:val="000000"/>
          <w:lang w:val="en-GB"/>
        </w:rPr>
        <w:t>.</w:t>
      </w:r>
      <w:r w:rsidR="00172201" w:rsidRPr="00DB56CA">
        <w:rPr>
          <w:color w:val="000000"/>
          <w:lang w:val="en-GB"/>
        </w:rPr>
        <w:t xml:space="preserve"> </w:t>
      </w:r>
      <w:r w:rsidRPr="00DB56CA">
        <w:rPr>
          <w:color w:val="000000"/>
          <w:lang w:val="en-GB"/>
        </w:rPr>
        <w:t xml:space="preserve">The </w:t>
      </w:r>
      <w:r w:rsidR="00E407D6" w:rsidRPr="00DB56CA">
        <w:rPr>
          <w:color w:val="000000"/>
          <w:lang w:val="en-GB"/>
        </w:rPr>
        <w:t xml:space="preserve">large to very large correlations between HRTL and sRPETL found in </w:t>
      </w:r>
      <w:r w:rsidRPr="00DB56CA">
        <w:rPr>
          <w:color w:val="000000"/>
          <w:lang w:val="en-GB"/>
        </w:rPr>
        <w:t>th</w:t>
      </w:r>
      <w:r w:rsidR="00E407D6" w:rsidRPr="00DB56CA">
        <w:rPr>
          <w:color w:val="000000"/>
          <w:lang w:val="en-GB"/>
        </w:rPr>
        <w:t>is</w:t>
      </w:r>
      <w:r w:rsidRPr="00DB56CA">
        <w:rPr>
          <w:color w:val="000000"/>
          <w:lang w:val="en-GB"/>
        </w:rPr>
        <w:t xml:space="preserve"> study s</w:t>
      </w:r>
      <w:r w:rsidR="00085C82" w:rsidRPr="00DB56CA">
        <w:rPr>
          <w:color w:val="000000"/>
          <w:lang w:val="en-GB"/>
        </w:rPr>
        <w:t>how</w:t>
      </w:r>
      <w:r w:rsidRPr="00DB56CA">
        <w:rPr>
          <w:color w:val="000000"/>
          <w:lang w:val="en-GB"/>
        </w:rPr>
        <w:t xml:space="preserve"> that sRPETL is a reliable measure of ITL for the entire duration of the season, with small variations</w:t>
      </w:r>
      <w:r w:rsidR="00085C82" w:rsidRPr="00DB56CA">
        <w:rPr>
          <w:color w:val="000000"/>
          <w:lang w:val="en-GB"/>
        </w:rPr>
        <w:t>,</w:t>
      </w:r>
      <w:r w:rsidRPr="00DB56CA">
        <w:rPr>
          <w:color w:val="000000"/>
          <w:lang w:val="en-GB"/>
        </w:rPr>
        <w:t xml:space="preserve"> which may be due to number of sessions analysed, type of session, away or home game load</w:t>
      </w:r>
      <w:r w:rsidR="00172201" w:rsidRPr="00DB56CA">
        <w:rPr>
          <w:color w:val="000000"/>
          <w:lang w:val="en-GB"/>
        </w:rPr>
        <w:t>.</w:t>
      </w:r>
      <w:r w:rsidR="00E407D6" w:rsidRPr="00DB56CA">
        <w:rPr>
          <w:color w:val="000000"/>
          <w:lang w:val="en-GB"/>
        </w:rPr>
        <w:t xml:space="preserve"> Individual player analysis supports the use of</w:t>
      </w:r>
      <w:r w:rsidR="00172201" w:rsidRPr="00DB56CA">
        <w:rPr>
          <w:color w:val="000000"/>
          <w:lang w:val="en-GB"/>
        </w:rPr>
        <w:t xml:space="preserve"> </w:t>
      </w:r>
      <w:r w:rsidRPr="00DB56CA">
        <w:rPr>
          <w:color w:val="000000"/>
          <w:lang w:val="en-GB"/>
        </w:rPr>
        <w:t xml:space="preserve">sRPE </w:t>
      </w:r>
      <w:r w:rsidR="00E407D6" w:rsidRPr="00DB56CA">
        <w:rPr>
          <w:color w:val="000000"/>
          <w:lang w:val="en-GB"/>
        </w:rPr>
        <w:t>a</w:t>
      </w:r>
      <w:r w:rsidRPr="00DB56CA">
        <w:rPr>
          <w:color w:val="000000"/>
          <w:lang w:val="en-GB"/>
        </w:rPr>
        <w:t xml:space="preserve">s a valid measure of ITL when compared to HR </w:t>
      </w:r>
      <w:r w:rsidR="00E407D6" w:rsidRPr="00DB56CA">
        <w:rPr>
          <w:color w:val="000000"/>
          <w:lang w:val="en-GB"/>
        </w:rPr>
        <w:t>with</w:t>
      </w:r>
      <w:r w:rsidR="00CD046D" w:rsidRPr="00DB56CA">
        <w:rPr>
          <w:color w:val="000000"/>
          <w:lang w:val="en-GB"/>
        </w:rPr>
        <w:t xml:space="preserve"> </w:t>
      </w:r>
      <w:r w:rsidR="00CD046D" w:rsidRPr="00DB56CA">
        <w:rPr>
          <w:color w:val="000000"/>
          <w:highlight w:val="yellow"/>
          <w:lang w:val="en-GB"/>
        </w:rPr>
        <w:t>little bias</w:t>
      </w:r>
      <w:r w:rsidR="00CD046D" w:rsidRPr="00DB56CA">
        <w:rPr>
          <w:color w:val="000000"/>
          <w:lang w:val="en-GB"/>
        </w:rPr>
        <w:t xml:space="preserve"> </w:t>
      </w:r>
      <w:r w:rsidR="00E407D6" w:rsidRPr="00DB56CA">
        <w:rPr>
          <w:color w:val="000000"/>
          <w:lang w:val="en-GB"/>
        </w:rPr>
        <w:t>between the two methods of measures</w:t>
      </w:r>
      <w:r w:rsidR="001D7E9B" w:rsidRPr="00DB56CA">
        <w:rPr>
          <w:color w:val="000000"/>
          <w:lang w:val="en-GB"/>
        </w:rPr>
        <w:t>.</w:t>
      </w:r>
      <w:r w:rsidR="00172201" w:rsidRPr="00DB56CA">
        <w:rPr>
          <w:color w:val="000000"/>
          <w:lang w:val="en-GB"/>
        </w:rPr>
        <w:t xml:space="preserve"> </w:t>
      </w:r>
      <w:r w:rsidR="006D6C02" w:rsidRPr="00DB56CA">
        <w:rPr>
          <w:b/>
          <w:color w:val="000000" w:themeColor="text1"/>
          <w:lang w:val="en-GB"/>
        </w:rPr>
        <w:br w:type="page"/>
      </w:r>
    </w:p>
    <w:p w14:paraId="1266CDE7" w14:textId="4EC072AB" w:rsidR="00BB1806" w:rsidRPr="00DB56CA" w:rsidRDefault="00BB1806" w:rsidP="001B3525">
      <w:pPr>
        <w:spacing w:after="100" w:afterAutospacing="1" w:line="480" w:lineRule="auto"/>
        <w:contextualSpacing/>
        <w:jc w:val="both"/>
        <w:rPr>
          <w:b/>
          <w:color w:val="000000" w:themeColor="text1"/>
          <w:lang w:val="en-GB"/>
        </w:rPr>
      </w:pPr>
      <w:r w:rsidRPr="00DB56CA">
        <w:rPr>
          <w:b/>
          <w:color w:val="000000" w:themeColor="text1"/>
          <w:lang w:val="en-GB"/>
        </w:rPr>
        <w:lastRenderedPageBreak/>
        <w:t>Reference:</w:t>
      </w:r>
    </w:p>
    <w:p w14:paraId="594817A5" w14:textId="2AD4F8A6" w:rsidR="006374AE" w:rsidRPr="00DB56CA" w:rsidRDefault="006374AE" w:rsidP="001B3525">
      <w:pPr>
        <w:pStyle w:val="ListParagraph"/>
        <w:numPr>
          <w:ilvl w:val="0"/>
          <w:numId w:val="9"/>
        </w:numPr>
        <w:spacing w:after="100" w:afterAutospacing="1" w:line="480" w:lineRule="auto"/>
        <w:jc w:val="both"/>
        <w:rPr>
          <w:rFonts w:eastAsia="Times New Roman"/>
          <w:lang w:val="en-GB"/>
        </w:rPr>
      </w:pPr>
      <w:r w:rsidRPr="00DB56CA">
        <w:rPr>
          <w:rFonts w:eastAsia="Times New Roman"/>
          <w:color w:val="222222"/>
          <w:shd w:val="clear" w:color="auto" w:fill="FFFFFF"/>
          <w:lang w:val="en-GB"/>
        </w:rPr>
        <w:t>Akubat I, Patel E, Barrett S, Abt G. Methods of monitoring the training and match load and their relationship to changes in fitness in professional yo</w:t>
      </w:r>
      <w:r w:rsidR="006D6C02" w:rsidRPr="00DB56CA">
        <w:rPr>
          <w:rFonts w:eastAsia="Times New Roman"/>
          <w:color w:val="222222"/>
          <w:shd w:val="clear" w:color="auto" w:fill="FFFFFF"/>
          <w:lang w:val="en-GB"/>
        </w:rPr>
        <w:t>uth soccer players. Journal of Sports S</w:t>
      </w:r>
      <w:r w:rsidRPr="00DB56CA">
        <w:rPr>
          <w:rFonts w:eastAsia="Times New Roman"/>
          <w:color w:val="222222"/>
          <w:shd w:val="clear" w:color="auto" w:fill="FFFFFF"/>
          <w:lang w:val="en-GB"/>
        </w:rPr>
        <w:t>ciences. 2012 Oct 1;30(14):1473-80.</w:t>
      </w:r>
    </w:p>
    <w:p w14:paraId="54ECC903" w14:textId="77777777" w:rsidR="00141B77" w:rsidRPr="00DB56CA" w:rsidRDefault="00141B77" w:rsidP="001B3525">
      <w:pPr>
        <w:pStyle w:val="ListParagraph"/>
        <w:numPr>
          <w:ilvl w:val="0"/>
          <w:numId w:val="9"/>
        </w:numPr>
        <w:spacing w:after="100" w:afterAutospacing="1" w:line="480" w:lineRule="auto"/>
        <w:jc w:val="both"/>
        <w:rPr>
          <w:rFonts w:eastAsia="Times New Roman"/>
          <w:lang w:val="en-GB"/>
        </w:rPr>
      </w:pPr>
      <w:r w:rsidRPr="00DB56CA">
        <w:rPr>
          <w:rFonts w:eastAsia="Times New Roman"/>
          <w:color w:val="222222"/>
          <w:shd w:val="clear" w:color="auto" w:fill="FFFFFF"/>
          <w:lang w:val="en-GB"/>
        </w:rPr>
        <w:t>Alexiou H, Coutts AJ. A comparison of methods used for quantifying internal training load in women soccer players. International Journal of Sports Physiology and Performance. 2008 Sep;3(3):320-30.</w:t>
      </w:r>
    </w:p>
    <w:p w14:paraId="2E9C64B3" w14:textId="544E79C0" w:rsidR="008D3D4F" w:rsidRPr="00DB56CA" w:rsidRDefault="008D3D4F" w:rsidP="001B3525">
      <w:pPr>
        <w:pStyle w:val="ListParagraph"/>
        <w:numPr>
          <w:ilvl w:val="0"/>
          <w:numId w:val="9"/>
        </w:numPr>
        <w:spacing w:after="100" w:afterAutospacing="1" w:line="480" w:lineRule="auto"/>
        <w:jc w:val="both"/>
        <w:rPr>
          <w:rFonts w:eastAsia="Times New Roman"/>
          <w:lang w:val="en-GB"/>
        </w:rPr>
      </w:pPr>
      <w:r w:rsidRPr="00DB56CA">
        <w:rPr>
          <w:rFonts w:eastAsia="Times New Roman"/>
          <w:color w:val="222222"/>
          <w:shd w:val="clear" w:color="auto" w:fill="FFFFFF"/>
          <w:lang w:val="en-GB"/>
        </w:rPr>
        <w:t>Bland JM, Altman D. Statistical methods for assessing agreement between two methods of c</w:t>
      </w:r>
      <w:r w:rsidR="006D6C02" w:rsidRPr="00DB56CA">
        <w:rPr>
          <w:rFonts w:eastAsia="Times New Roman"/>
          <w:color w:val="222222"/>
          <w:shd w:val="clear" w:color="auto" w:fill="FFFFFF"/>
          <w:lang w:val="en-GB"/>
        </w:rPr>
        <w:t>linical measurement. The L</w:t>
      </w:r>
      <w:r w:rsidRPr="00DB56CA">
        <w:rPr>
          <w:rFonts w:eastAsia="Times New Roman"/>
          <w:color w:val="222222"/>
          <w:shd w:val="clear" w:color="auto" w:fill="FFFFFF"/>
          <w:lang w:val="en-GB"/>
        </w:rPr>
        <w:t>ancet. 1986 Feb 8;327(8476):307-10.</w:t>
      </w:r>
    </w:p>
    <w:p w14:paraId="0EC5789C" w14:textId="3FFA8194" w:rsidR="008D3D4F" w:rsidRPr="00DB56CA" w:rsidRDefault="008D3D4F" w:rsidP="001B3525">
      <w:pPr>
        <w:pStyle w:val="ListParagraph"/>
        <w:numPr>
          <w:ilvl w:val="0"/>
          <w:numId w:val="9"/>
        </w:numPr>
        <w:spacing w:after="100" w:afterAutospacing="1" w:line="480" w:lineRule="auto"/>
        <w:jc w:val="both"/>
        <w:rPr>
          <w:rFonts w:eastAsia="Times New Roman"/>
          <w:lang w:val="en-GB"/>
        </w:rPr>
      </w:pPr>
      <w:r w:rsidRPr="00DB56CA">
        <w:rPr>
          <w:rFonts w:eastAsia="Times New Roman"/>
          <w:color w:val="222222"/>
          <w:shd w:val="clear" w:color="auto" w:fill="FFFFFF"/>
          <w:lang w:val="en-GB"/>
        </w:rPr>
        <w:t>Borg E, Kaijser L. A comparison between three rating scales for perceived exertion and two diff</w:t>
      </w:r>
      <w:r w:rsidR="006D6C02" w:rsidRPr="00DB56CA">
        <w:rPr>
          <w:rFonts w:eastAsia="Times New Roman"/>
          <w:color w:val="222222"/>
          <w:shd w:val="clear" w:color="auto" w:fill="FFFFFF"/>
          <w:lang w:val="en-GB"/>
        </w:rPr>
        <w:t>erent work tests. Scandinavian Journal of Medicine &amp; Science in S</w:t>
      </w:r>
      <w:r w:rsidRPr="00DB56CA">
        <w:rPr>
          <w:rFonts w:eastAsia="Times New Roman"/>
          <w:color w:val="222222"/>
          <w:shd w:val="clear" w:color="auto" w:fill="FFFFFF"/>
          <w:lang w:val="en-GB"/>
        </w:rPr>
        <w:t>ports. 2006 Feb 1;16(1):57-69.</w:t>
      </w:r>
    </w:p>
    <w:p w14:paraId="4D40B3C0" w14:textId="3EB16C2D" w:rsidR="008D3D4F" w:rsidRPr="00DB56CA" w:rsidRDefault="008D3D4F" w:rsidP="001B3525">
      <w:pPr>
        <w:pStyle w:val="ListParagraph"/>
        <w:numPr>
          <w:ilvl w:val="0"/>
          <w:numId w:val="9"/>
        </w:numPr>
        <w:spacing w:after="100" w:afterAutospacing="1" w:line="480" w:lineRule="auto"/>
        <w:jc w:val="both"/>
        <w:rPr>
          <w:rFonts w:eastAsia="Times New Roman"/>
          <w:lang w:val="en-GB"/>
        </w:rPr>
      </w:pPr>
      <w:r w:rsidRPr="00DB56CA">
        <w:rPr>
          <w:rFonts w:eastAsia="Times New Roman"/>
          <w:color w:val="222222"/>
          <w:shd w:val="clear" w:color="auto" w:fill="FFFFFF"/>
          <w:lang w:val="en-GB"/>
        </w:rPr>
        <w:t>Campos-Vazquez MA, Mendez-Villanueva A, Gonzalez-Jurado JA, León-Prados JA, Santalla A, Suarez-Arrones L. Relationships between rating-of-perceived-exertion-and heart-rate-derived internal training load in professional soccer players: a comparison of on-field integrated tr</w:t>
      </w:r>
      <w:r w:rsidR="006D6C02" w:rsidRPr="00DB56CA">
        <w:rPr>
          <w:rFonts w:eastAsia="Times New Roman"/>
          <w:color w:val="222222"/>
          <w:shd w:val="clear" w:color="auto" w:fill="FFFFFF"/>
          <w:lang w:val="en-GB"/>
        </w:rPr>
        <w:t>aining sessions. International Journal of S</w:t>
      </w:r>
      <w:r w:rsidRPr="00DB56CA">
        <w:rPr>
          <w:rFonts w:eastAsia="Times New Roman"/>
          <w:color w:val="222222"/>
          <w:shd w:val="clear" w:color="auto" w:fill="FFFFFF"/>
          <w:lang w:val="en-GB"/>
        </w:rPr>
        <w:t>port</w:t>
      </w:r>
      <w:r w:rsidR="006D6C02" w:rsidRPr="00DB56CA">
        <w:rPr>
          <w:rFonts w:eastAsia="Times New Roman"/>
          <w:color w:val="222222"/>
          <w:shd w:val="clear" w:color="auto" w:fill="FFFFFF"/>
          <w:lang w:val="en-GB"/>
        </w:rPr>
        <w:t>s Physiology and P</w:t>
      </w:r>
      <w:r w:rsidRPr="00DB56CA">
        <w:rPr>
          <w:rFonts w:eastAsia="Times New Roman"/>
          <w:color w:val="222222"/>
          <w:shd w:val="clear" w:color="auto" w:fill="FFFFFF"/>
          <w:lang w:val="en-GB"/>
        </w:rPr>
        <w:t>erformance. 2015 Jul;10(5):587-92.</w:t>
      </w:r>
    </w:p>
    <w:p w14:paraId="4B51BB6A" w14:textId="77777777" w:rsidR="008D3D4F" w:rsidRPr="00DB56CA" w:rsidRDefault="008D3D4F" w:rsidP="001B3525">
      <w:pPr>
        <w:pStyle w:val="ListParagraph"/>
        <w:numPr>
          <w:ilvl w:val="0"/>
          <w:numId w:val="9"/>
        </w:numPr>
        <w:spacing w:after="100" w:afterAutospacing="1" w:line="480" w:lineRule="auto"/>
        <w:jc w:val="both"/>
        <w:rPr>
          <w:rFonts w:eastAsia="Times New Roman"/>
          <w:lang w:val="en-GB"/>
        </w:rPr>
      </w:pPr>
      <w:r w:rsidRPr="00DB56CA">
        <w:rPr>
          <w:rFonts w:eastAsia="Times New Roman"/>
          <w:color w:val="222222"/>
          <w:shd w:val="clear" w:color="auto" w:fill="FFFFFF"/>
          <w:lang w:val="en-GB"/>
        </w:rPr>
        <w:t>Casamichana D, Castellano J, Calleja-Gonzalez J, San Román J, Castagna C. Relationship between indicators of training load in soccer players. The Journal of Strength &amp; Conditioning Research. 2013 Feb 1;27(2):369-74.</w:t>
      </w:r>
    </w:p>
    <w:p w14:paraId="4020DA14" w14:textId="467FEE06" w:rsidR="0095507E" w:rsidRPr="00DB56CA" w:rsidRDefault="0095507E" w:rsidP="001B3525">
      <w:pPr>
        <w:pStyle w:val="ListParagraph"/>
        <w:numPr>
          <w:ilvl w:val="0"/>
          <w:numId w:val="9"/>
        </w:numPr>
        <w:spacing w:after="100" w:afterAutospacing="1" w:line="480" w:lineRule="auto"/>
        <w:jc w:val="both"/>
        <w:rPr>
          <w:rFonts w:eastAsia="Times New Roman"/>
          <w:lang w:val="en-GB"/>
        </w:rPr>
      </w:pPr>
      <w:r w:rsidRPr="00DB56CA">
        <w:rPr>
          <w:rFonts w:eastAsia="Times New Roman"/>
          <w:color w:val="222222"/>
          <w:shd w:val="clear" w:color="auto" w:fill="FFFFFF"/>
          <w:lang w:val="en-GB"/>
        </w:rPr>
        <w:t xml:space="preserve">Coutts AJ, Rampinini E, Marcora SM, Castagna C, Impellizzeri FM. Heart rate and blood lactate correlates of perceived exertion during small-sided </w:t>
      </w:r>
      <w:r w:rsidRPr="00DB56CA">
        <w:rPr>
          <w:rFonts w:eastAsia="Times New Roman"/>
          <w:color w:val="222222"/>
          <w:shd w:val="clear" w:color="auto" w:fill="FFFFFF"/>
          <w:lang w:val="en-GB"/>
        </w:rPr>
        <w:lastRenderedPageBreak/>
        <w:t>soccer games. Journal of Science and Medicine in Sport. 2009 Jan 31;12(1):79-84.</w:t>
      </w:r>
    </w:p>
    <w:p w14:paraId="14B84006" w14:textId="7F6C8214" w:rsidR="00D21F86" w:rsidRPr="00DB56CA" w:rsidRDefault="00D21F86" w:rsidP="00DA0CF7">
      <w:pPr>
        <w:pStyle w:val="ListParagraph"/>
        <w:numPr>
          <w:ilvl w:val="0"/>
          <w:numId w:val="9"/>
        </w:numPr>
        <w:spacing w:line="480" w:lineRule="auto"/>
        <w:jc w:val="both"/>
        <w:rPr>
          <w:rFonts w:eastAsia="Times New Roman"/>
          <w:lang w:val="en-GB"/>
        </w:rPr>
      </w:pPr>
      <w:r w:rsidRPr="00DB56CA">
        <w:rPr>
          <w:rFonts w:eastAsia="Times New Roman"/>
          <w:color w:val="222222"/>
          <w:shd w:val="clear" w:color="auto" w:fill="FFFFFF"/>
          <w:lang w:val="en-GB"/>
        </w:rPr>
        <w:t>Christen J, Foster C, Porcari JP, Mikat RP. Temporal robustness of the session rating of perceived exertion. International journal of sports physiology and performance. 2016 Nov;11(8):1088-93.</w:t>
      </w:r>
    </w:p>
    <w:p w14:paraId="65D72F66" w14:textId="6525EE38" w:rsidR="008D3D4F" w:rsidRPr="00DB56CA" w:rsidRDefault="008D3D4F" w:rsidP="001B3525">
      <w:pPr>
        <w:pStyle w:val="ListParagraph"/>
        <w:numPr>
          <w:ilvl w:val="0"/>
          <w:numId w:val="9"/>
        </w:numPr>
        <w:spacing w:after="100" w:afterAutospacing="1" w:line="480" w:lineRule="auto"/>
        <w:jc w:val="both"/>
        <w:rPr>
          <w:rFonts w:eastAsia="Times New Roman"/>
          <w:lang w:val="en-GB"/>
        </w:rPr>
      </w:pPr>
      <w:r w:rsidRPr="00DB56CA">
        <w:rPr>
          <w:rFonts w:eastAsia="Times New Roman"/>
          <w:color w:val="222222"/>
          <w:shd w:val="clear" w:color="auto" w:fill="FFFFFF"/>
          <w:lang w:val="en-GB"/>
        </w:rPr>
        <w:t>Fanchini M, Ferraresi I, Modena R, Schena F, Coutts AJ, Impellizzeri FM. Use of the CR100 Scale for Session Rating of Perceived Exertion in Soccer and Its Interchangeabilit</w:t>
      </w:r>
      <w:r w:rsidR="00346C9E" w:rsidRPr="00DB56CA">
        <w:rPr>
          <w:rFonts w:eastAsia="Times New Roman"/>
          <w:color w:val="222222"/>
          <w:shd w:val="clear" w:color="auto" w:fill="FFFFFF"/>
          <w:lang w:val="en-GB"/>
        </w:rPr>
        <w:t>y w</w:t>
      </w:r>
      <w:r w:rsidR="006D6C02" w:rsidRPr="00DB56CA">
        <w:rPr>
          <w:rFonts w:eastAsia="Times New Roman"/>
          <w:color w:val="222222"/>
          <w:shd w:val="clear" w:color="auto" w:fill="FFFFFF"/>
          <w:lang w:val="en-GB"/>
        </w:rPr>
        <w:t>ith the CR10. International Journal of Sports Physiology and P</w:t>
      </w:r>
      <w:r w:rsidRPr="00DB56CA">
        <w:rPr>
          <w:rFonts w:eastAsia="Times New Roman"/>
          <w:color w:val="222222"/>
          <w:shd w:val="clear" w:color="auto" w:fill="FFFFFF"/>
          <w:lang w:val="en-GB"/>
        </w:rPr>
        <w:t>erformance. 2016 Apr;11(3):388-92.</w:t>
      </w:r>
    </w:p>
    <w:p w14:paraId="21E0B497" w14:textId="54B8530C" w:rsidR="00BE0328" w:rsidRPr="00DB56CA" w:rsidRDefault="00BE0328" w:rsidP="001B3525">
      <w:pPr>
        <w:pStyle w:val="ListParagraph"/>
        <w:numPr>
          <w:ilvl w:val="0"/>
          <w:numId w:val="9"/>
        </w:numPr>
        <w:spacing w:after="100" w:afterAutospacing="1" w:line="480" w:lineRule="auto"/>
        <w:jc w:val="both"/>
        <w:rPr>
          <w:rFonts w:eastAsia="Times New Roman"/>
          <w:lang w:val="en-GB"/>
        </w:rPr>
      </w:pPr>
      <w:r w:rsidRPr="00DB56CA">
        <w:rPr>
          <w:rFonts w:eastAsia="Times New Roman"/>
          <w:color w:val="222222"/>
          <w:shd w:val="clear" w:color="auto" w:fill="FFFFFF"/>
          <w:lang w:val="en-GB"/>
        </w:rPr>
        <w:t>Ford P, De Ste Croix M, Lloyd R, Meyers R, Moosavi M, Oliver J, Till K, Williams C. The long-term athlete development model: Physiological eviden</w:t>
      </w:r>
      <w:r w:rsidR="006D6C02" w:rsidRPr="00DB56CA">
        <w:rPr>
          <w:rFonts w:eastAsia="Times New Roman"/>
          <w:color w:val="222222"/>
          <w:shd w:val="clear" w:color="auto" w:fill="FFFFFF"/>
          <w:lang w:val="en-GB"/>
        </w:rPr>
        <w:t>ce and application. Journal of Sports S</w:t>
      </w:r>
      <w:r w:rsidRPr="00DB56CA">
        <w:rPr>
          <w:rFonts w:eastAsia="Times New Roman"/>
          <w:color w:val="222222"/>
          <w:shd w:val="clear" w:color="auto" w:fill="FFFFFF"/>
          <w:lang w:val="en-GB"/>
        </w:rPr>
        <w:t>ciences. 2011 Feb 15;29(4):389-402.</w:t>
      </w:r>
    </w:p>
    <w:p w14:paraId="7135904E" w14:textId="77777777" w:rsidR="00BE0328" w:rsidRPr="00DB56CA" w:rsidRDefault="00BE0328" w:rsidP="001B3525">
      <w:pPr>
        <w:pStyle w:val="ListParagraph"/>
        <w:numPr>
          <w:ilvl w:val="0"/>
          <w:numId w:val="9"/>
        </w:numPr>
        <w:spacing w:after="100" w:afterAutospacing="1" w:line="480" w:lineRule="auto"/>
        <w:jc w:val="both"/>
        <w:rPr>
          <w:rFonts w:eastAsia="Times New Roman"/>
          <w:lang w:val="en-GB"/>
        </w:rPr>
      </w:pPr>
      <w:r w:rsidRPr="00DB56CA">
        <w:rPr>
          <w:rFonts w:eastAsia="Times New Roman"/>
          <w:color w:val="222222"/>
          <w:shd w:val="clear" w:color="auto" w:fill="FFFFFF"/>
          <w:lang w:val="en-GB"/>
        </w:rPr>
        <w:t>Foster C, Florhaug JA, Franklin J, Gottschall L, Hrovatin LA, Parker S, Doleshal P, Dodge C. A new approach to monitoring exercise training. The Journal of Strength &amp; Conditioning Research. 2001 Feb 1;15(1):109-15.</w:t>
      </w:r>
    </w:p>
    <w:p w14:paraId="7916826D" w14:textId="41BD3625" w:rsidR="00BE0328" w:rsidRPr="00DB56CA" w:rsidRDefault="00BE0328" w:rsidP="001B3525">
      <w:pPr>
        <w:pStyle w:val="ListParagraph"/>
        <w:numPr>
          <w:ilvl w:val="0"/>
          <w:numId w:val="9"/>
        </w:numPr>
        <w:spacing w:after="100" w:afterAutospacing="1" w:line="480" w:lineRule="auto"/>
        <w:jc w:val="both"/>
        <w:rPr>
          <w:rFonts w:eastAsia="Times New Roman"/>
          <w:lang w:val="en-GB"/>
        </w:rPr>
      </w:pPr>
      <w:r w:rsidRPr="00DB56CA">
        <w:rPr>
          <w:rFonts w:eastAsia="Times New Roman"/>
          <w:color w:val="222222"/>
          <w:shd w:val="clear" w:color="auto" w:fill="FFFFFF"/>
          <w:lang w:val="en-GB"/>
        </w:rPr>
        <w:t>Gaudino, P., Iaia, F. M., Strudwick, A. J., Hawkins, R. D., Alberti, G., Atkinson, G., &amp; Gregson, W. (2015). Factors influencing perception of effort (session rating of perceived exertion) during elite soccer training. </w:t>
      </w:r>
      <w:r w:rsidRPr="00DB56CA">
        <w:rPr>
          <w:rFonts w:eastAsia="Times New Roman"/>
          <w:iCs/>
          <w:color w:val="222222"/>
          <w:shd w:val="clear" w:color="auto" w:fill="FFFFFF"/>
          <w:lang w:val="en-GB"/>
        </w:rPr>
        <w:t>International Journal of Sports Physiology and Performance</w:t>
      </w:r>
      <w:r w:rsidRPr="00DB56CA">
        <w:rPr>
          <w:rFonts w:eastAsia="Times New Roman"/>
          <w:color w:val="222222"/>
          <w:shd w:val="clear" w:color="auto" w:fill="FFFFFF"/>
          <w:lang w:val="en-GB"/>
        </w:rPr>
        <w:t>, </w:t>
      </w:r>
      <w:r w:rsidRPr="00DB56CA">
        <w:rPr>
          <w:rFonts w:eastAsia="Times New Roman"/>
          <w:iCs/>
          <w:color w:val="222222"/>
          <w:shd w:val="clear" w:color="auto" w:fill="FFFFFF"/>
          <w:lang w:val="en-GB"/>
        </w:rPr>
        <w:t>10</w:t>
      </w:r>
      <w:r w:rsidRPr="00DB56CA">
        <w:rPr>
          <w:rFonts w:eastAsia="Times New Roman"/>
          <w:color w:val="222222"/>
          <w:shd w:val="clear" w:color="auto" w:fill="FFFFFF"/>
          <w:lang w:val="en-GB"/>
        </w:rPr>
        <w:t>(7), 860-864.</w:t>
      </w:r>
    </w:p>
    <w:p w14:paraId="158306A6" w14:textId="77777777" w:rsidR="00BE0328" w:rsidRPr="00DB56CA" w:rsidRDefault="00BE0328" w:rsidP="001B3525">
      <w:pPr>
        <w:pStyle w:val="ListParagraph"/>
        <w:numPr>
          <w:ilvl w:val="0"/>
          <w:numId w:val="9"/>
        </w:numPr>
        <w:spacing w:after="100" w:afterAutospacing="1" w:line="480" w:lineRule="auto"/>
        <w:jc w:val="both"/>
        <w:rPr>
          <w:rFonts w:eastAsia="Times New Roman"/>
          <w:lang w:val="en-GB"/>
        </w:rPr>
      </w:pPr>
      <w:r w:rsidRPr="00DB56CA">
        <w:rPr>
          <w:rFonts w:eastAsia="Times New Roman"/>
          <w:color w:val="222222"/>
          <w:shd w:val="clear" w:color="auto" w:fill="FFFFFF"/>
          <w:lang w:val="en-GB"/>
        </w:rPr>
        <w:t>Halson SL. Monitoring training load to understand fatigue in athletes. Sports Medicine. 2014 Nov 1;44(2):139-47.</w:t>
      </w:r>
    </w:p>
    <w:p w14:paraId="39FC2BB2" w14:textId="1A9C4A52" w:rsidR="00D32016" w:rsidRPr="00DB56CA" w:rsidRDefault="00D32016" w:rsidP="001B3525">
      <w:pPr>
        <w:pStyle w:val="ListParagraph"/>
        <w:numPr>
          <w:ilvl w:val="0"/>
          <w:numId w:val="9"/>
        </w:numPr>
        <w:spacing w:after="100" w:afterAutospacing="1" w:line="480" w:lineRule="auto"/>
        <w:jc w:val="both"/>
        <w:rPr>
          <w:rFonts w:eastAsia="Times New Roman"/>
          <w:lang w:val="en-GB"/>
        </w:rPr>
      </w:pPr>
      <w:r w:rsidRPr="00DB56CA">
        <w:rPr>
          <w:rFonts w:eastAsia="Times New Roman"/>
          <w:color w:val="222222"/>
          <w:shd w:val="clear" w:color="auto" w:fill="FFFFFF"/>
          <w:lang w:val="en-GB"/>
        </w:rPr>
        <w:lastRenderedPageBreak/>
        <w:t>Hoff J, Wisløff U, Engen LC, Kemi OJ, Helgerud J. Soccer specific aerobic endurance training. British journal of sports medicine. 2002 Jun 1;36(3):218-21.</w:t>
      </w:r>
    </w:p>
    <w:p w14:paraId="69290AF6" w14:textId="2DF4FE03" w:rsidR="00BE0328" w:rsidRPr="00DB56CA" w:rsidRDefault="00BE0328" w:rsidP="001B3525">
      <w:pPr>
        <w:pStyle w:val="ListParagraph"/>
        <w:numPr>
          <w:ilvl w:val="0"/>
          <w:numId w:val="9"/>
        </w:numPr>
        <w:spacing w:after="100" w:afterAutospacing="1" w:line="480" w:lineRule="auto"/>
        <w:jc w:val="both"/>
        <w:rPr>
          <w:rFonts w:eastAsia="Times New Roman"/>
          <w:lang w:val="en-GB"/>
        </w:rPr>
      </w:pPr>
      <w:r w:rsidRPr="00DB56CA">
        <w:rPr>
          <w:rFonts w:eastAsia="Times New Roman"/>
          <w:color w:val="222222"/>
          <w:shd w:val="clear" w:color="auto" w:fill="FFFFFF"/>
          <w:lang w:val="en-GB"/>
        </w:rPr>
        <w:t>Impellizzeri FM, Rampinini E, Coutts AJ, Sassi AL, Marcora SM. Use of RPE-based training load in</w:t>
      </w:r>
      <w:r w:rsidR="006D6C02" w:rsidRPr="00DB56CA">
        <w:rPr>
          <w:rFonts w:eastAsia="Times New Roman"/>
          <w:color w:val="222222"/>
          <w:shd w:val="clear" w:color="auto" w:fill="FFFFFF"/>
          <w:lang w:val="en-GB"/>
        </w:rPr>
        <w:t xml:space="preserve"> soccer. Medicine &amp; Science in Sports &amp; E</w:t>
      </w:r>
      <w:r w:rsidRPr="00DB56CA">
        <w:rPr>
          <w:rFonts w:eastAsia="Times New Roman"/>
          <w:color w:val="222222"/>
          <w:shd w:val="clear" w:color="auto" w:fill="FFFFFF"/>
          <w:lang w:val="en-GB"/>
        </w:rPr>
        <w:t>xercise. 2004 Jun 1;36(6):1042-7.</w:t>
      </w:r>
    </w:p>
    <w:p w14:paraId="5D205D56" w14:textId="39F696B6" w:rsidR="00BE0328" w:rsidRPr="00DB56CA" w:rsidRDefault="00BE0328" w:rsidP="001B3525">
      <w:pPr>
        <w:pStyle w:val="ListParagraph"/>
        <w:numPr>
          <w:ilvl w:val="0"/>
          <w:numId w:val="9"/>
        </w:numPr>
        <w:spacing w:after="100" w:afterAutospacing="1" w:line="480" w:lineRule="auto"/>
        <w:jc w:val="both"/>
        <w:rPr>
          <w:rFonts w:eastAsia="Times New Roman"/>
          <w:lang w:val="en-GB"/>
        </w:rPr>
      </w:pPr>
      <w:r w:rsidRPr="00DB56CA">
        <w:rPr>
          <w:rFonts w:eastAsia="Times New Roman"/>
          <w:color w:val="222222"/>
          <w:shd w:val="clear" w:color="auto" w:fill="FFFFFF"/>
          <w:lang w:val="en-GB"/>
        </w:rPr>
        <w:t xml:space="preserve">Impellizzeri FM, Rampinini E, Marcora SM. Physiological assessment of aerobic </w:t>
      </w:r>
      <w:r w:rsidR="006D6C02" w:rsidRPr="00DB56CA">
        <w:rPr>
          <w:rFonts w:eastAsia="Times New Roman"/>
          <w:color w:val="222222"/>
          <w:shd w:val="clear" w:color="auto" w:fill="FFFFFF"/>
          <w:lang w:val="en-GB"/>
        </w:rPr>
        <w:t>training in soccer. Journal of Sports S</w:t>
      </w:r>
      <w:r w:rsidRPr="00DB56CA">
        <w:rPr>
          <w:rFonts w:eastAsia="Times New Roman"/>
          <w:color w:val="222222"/>
          <w:shd w:val="clear" w:color="auto" w:fill="FFFFFF"/>
          <w:lang w:val="en-GB"/>
        </w:rPr>
        <w:t>ciences. 2005 Jun 1;23(6):583-92.</w:t>
      </w:r>
    </w:p>
    <w:p w14:paraId="12A0DE64" w14:textId="1587345C" w:rsidR="00BE0328" w:rsidRPr="00DB56CA" w:rsidRDefault="00BE0328" w:rsidP="001B3525">
      <w:pPr>
        <w:pStyle w:val="ListParagraph"/>
        <w:numPr>
          <w:ilvl w:val="0"/>
          <w:numId w:val="9"/>
        </w:numPr>
        <w:spacing w:after="100" w:afterAutospacing="1" w:line="480" w:lineRule="auto"/>
        <w:jc w:val="both"/>
        <w:rPr>
          <w:rFonts w:eastAsia="Times New Roman"/>
          <w:lang w:val="en-GB"/>
        </w:rPr>
      </w:pPr>
      <w:r w:rsidRPr="00DB56CA">
        <w:rPr>
          <w:rFonts w:eastAsia="Times New Roman"/>
          <w:color w:val="222222"/>
          <w:shd w:val="clear" w:color="auto" w:fill="FFFFFF"/>
          <w:lang w:val="en-GB"/>
        </w:rPr>
        <w:t>Kelly DM, Strudwick AJ, Atkinson G, Drust B, Gregson W. The within-participant correlation between perception of effort and heart rate-based estimations of training load in el</w:t>
      </w:r>
      <w:r w:rsidR="006D6C02" w:rsidRPr="00DB56CA">
        <w:rPr>
          <w:rFonts w:eastAsia="Times New Roman"/>
          <w:color w:val="222222"/>
          <w:shd w:val="clear" w:color="auto" w:fill="FFFFFF"/>
          <w:lang w:val="en-GB"/>
        </w:rPr>
        <w:t>ite soccer players. Journal of Sports S</w:t>
      </w:r>
      <w:r w:rsidRPr="00DB56CA">
        <w:rPr>
          <w:rFonts w:eastAsia="Times New Roman"/>
          <w:color w:val="222222"/>
          <w:shd w:val="clear" w:color="auto" w:fill="FFFFFF"/>
          <w:lang w:val="en-GB"/>
        </w:rPr>
        <w:t>ciences. 2016 Jul 17;34(14):1328-32.</w:t>
      </w:r>
    </w:p>
    <w:p w14:paraId="6D6588BE" w14:textId="77777777" w:rsidR="00BE0328" w:rsidRPr="00DB56CA" w:rsidRDefault="00BE0328" w:rsidP="001B3525">
      <w:pPr>
        <w:pStyle w:val="ListParagraph"/>
        <w:numPr>
          <w:ilvl w:val="0"/>
          <w:numId w:val="9"/>
        </w:numPr>
        <w:spacing w:after="100" w:afterAutospacing="1" w:line="480" w:lineRule="auto"/>
        <w:jc w:val="both"/>
        <w:rPr>
          <w:rFonts w:eastAsia="Times New Roman"/>
          <w:color w:val="000000" w:themeColor="text1"/>
          <w:lang w:val="en-GB"/>
        </w:rPr>
      </w:pPr>
      <w:r w:rsidRPr="00DB56CA">
        <w:rPr>
          <w:rFonts w:eastAsia="Times New Roman"/>
          <w:color w:val="000000" w:themeColor="text1"/>
          <w:shd w:val="clear" w:color="auto" w:fill="FFFFFF"/>
          <w:lang w:val="en-GB"/>
        </w:rPr>
        <w:t>Lloyd RS, Oliver JL. The youth physical development model: A new approach to long-term athletic development. Strength &amp; Conditioning Journal. 2012 Jun 1;34(3):61-72.</w:t>
      </w:r>
    </w:p>
    <w:p w14:paraId="7D4CE0D6" w14:textId="041DA904" w:rsidR="00E56DC7" w:rsidRPr="00DB56CA" w:rsidRDefault="00E56DC7" w:rsidP="001B3525">
      <w:pPr>
        <w:pStyle w:val="ListParagraph"/>
        <w:numPr>
          <w:ilvl w:val="0"/>
          <w:numId w:val="9"/>
        </w:numPr>
        <w:spacing w:line="480" w:lineRule="auto"/>
        <w:jc w:val="both"/>
        <w:rPr>
          <w:rFonts w:eastAsia="Times New Roman"/>
          <w:lang w:val="en-GB"/>
        </w:rPr>
      </w:pPr>
      <w:r w:rsidRPr="00DB56CA">
        <w:rPr>
          <w:rFonts w:eastAsia="Times New Roman"/>
          <w:color w:val="222222"/>
          <w:shd w:val="clear" w:color="auto" w:fill="FFFFFF"/>
          <w:lang w:val="en-GB"/>
        </w:rPr>
        <w:t>Matos NF, Winsley RJ, Williams CA. Prevalence of nonfunctional overreaching/overtraining in young English athletes. Medicine &amp; Science in Sports &amp; Exercise. 2011 Jul 1;43(7):1287-94.</w:t>
      </w:r>
    </w:p>
    <w:p w14:paraId="27C66AE4" w14:textId="6C244742" w:rsidR="00BE0328" w:rsidRPr="00DB56CA" w:rsidRDefault="00BE0328" w:rsidP="001B3525">
      <w:pPr>
        <w:pStyle w:val="ListParagraph"/>
        <w:numPr>
          <w:ilvl w:val="0"/>
          <w:numId w:val="9"/>
        </w:numPr>
        <w:spacing w:after="100" w:afterAutospacing="1" w:line="480" w:lineRule="auto"/>
        <w:jc w:val="both"/>
        <w:rPr>
          <w:rFonts w:eastAsia="Times New Roman"/>
          <w:lang w:val="en-GB"/>
        </w:rPr>
      </w:pPr>
      <w:r w:rsidRPr="00DB56CA">
        <w:rPr>
          <w:rFonts w:eastAsia="Times New Roman"/>
          <w:color w:val="222222"/>
          <w:shd w:val="clear" w:color="auto" w:fill="FFFFFF"/>
          <w:lang w:val="en-GB"/>
        </w:rPr>
        <w:t>Rebelo A, Brito J, Seabra A, Oliveira J, Drust B, Krustrup P. A new tool to measure training load in soccer training</w:t>
      </w:r>
      <w:r w:rsidR="006D6C02" w:rsidRPr="00DB56CA">
        <w:rPr>
          <w:rFonts w:eastAsia="Times New Roman"/>
          <w:color w:val="222222"/>
          <w:shd w:val="clear" w:color="auto" w:fill="FFFFFF"/>
          <w:lang w:val="en-GB"/>
        </w:rPr>
        <w:t xml:space="preserve"> and match play. International Journal of Sports M</w:t>
      </w:r>
      <w:r w:rsidRPr="00DB56CA">
        <w:rPr>
          <w:rFonts w:eastAsia="Times New Roman"/>
          <w:color w:val="222222"/>
          <w:shd w:val="clear" w:color="auto" w:fill="FFFFFF"/>
          <w:lang w:val="en-GB"/>
        </w:rPr>
        <w:t>edicine. 2012 Apr;33(04):297-304.</w:t>
      </w:r>
    </w:p>
    <w:p w14:paraId="79361EE6" w14:textId="0DA3BC36" w:rsidR="00BE0328" w:rsidRPr="00DB56CA" w:rsidRDefault="00BE0328" w:rsidP="001B3525">
      <w:pPr>
        <w:pStyle w:val="ListParagraph"/>
        <w:numPr>
          <w:ilvl w:val="0"/>
          <w:numId w:val="9"/>
        </w:numPr>
        <w:spacing w:after="100" w:afterAutospacing="1" w:line="480" w:lineRule="auto"/>
        <w:jc w:val="both"/>
        <w:rPr>
          <w:rFonts w:eastAsia="Times New Roman"/>
          <w:lang w:val="en-GB"/>
        </w:rPr>
      </w:pPr>
      <w:r w:rsidRPr="00DB56CA">
        <w:rPr>
          <w:rFonts w:eastAsia="Times New Roman"/>
          <w:color w:val="222222"/>
          <w:shd w:val="clear" w:color="auto" w:fill="FFFFFF"/>
          <w:lang w:val="en-GB"/>
        </w:rPr>
        <w:t xml:space="preserve">Rodriguez-Marroyo JA, Antoñan C. Validity of the session rating of perceived exertion for monitoring exercise demands in youth soccer players. </w:t>
      </w:r>
      <w:r w:rsidRPr="00DB56CA">
        <w:rPr>
          <w:rFonts w:eastAsia="Times New Roman"/>
          <w:color w:val="222222"/>
          <w:shd w:val="clear" w:color="auto" w:fill="FFFFFF"/>
          <w:lang w:val="en-GB"/>
        </w:rPr>
        <w:lastRenderedPageBreak/>
        <w:t>Inter</w:t>
      </w:r>
      <w:r w:rsidR="006D6C02" w:rsidRPr="00DB56CA">
        <w:rPr>
          <w:rFonts w:eastAsia="Times New Roman"/>
          <w:color w:val="222222"/>
          <w:shd w:val="clear" w:color="auto" w:fill="FFFFFF"/>
          <w:lang w:val="en-GB"/>
        </w:rPr>
        <w:t>national Journal of Sports Physiology and P</w:t>
      </w:r>
      <w:r w:rsidRPr="00DB56CA">
        <w:rPr>
          <w:rFonts w:eastAsia="Times New Roman"/>
          <w:color w:val="222222"/>
          <w:shd w:val="clear" w:color="auto" w:fill="FFFFFF"/>
          <w:lang w:val="en-GB"/>
        </w:rPr>
        <w:t>erformance. 2015 Apr;10(3):404-7.</w:t>
      </w:r>
    </w:p>
    <w:p w14:paraId="5D51DEFF" w14:textId="71E0932B" w:rsidR="00BA4854" w:rsidRPr="00DB56CA" w:rsidRDefault="00BA4854" w:rsidP="001B3525">
      <w:pPr>
        <w:pStyle w:val="ListParagraph"/>
        <w:numPr>
          <w:ilvl w:val="0"/>
          <w:numId w:val="9"/>
        </w:numPr>
        <w:spacing w:line="480" w:lineRule="auto"/>
        <w:jc w:val="both"/>
        <w:rPr>
          <w:rFonts w:eastAsia="Times New Roman"/>
          <w:lang w:val="en-GB"/>
        </w:rPr>
      </w:pPr>
      <w:r w:rsidRPr="00DB56CA">
        <w:rPr>
          <w:rFonts w:eastAsia="Times New Roman"/>
          <w:color w:val="222222"/>
          <w:shd w:val="clear" w:color="auto" w:fill="FFFFFF"/>
          <w:lang w:val="en-GB"/>
        </w:rPr>
        <w:t>Scantlebury S, Till K, Atkinson G, Sawczuk T, Jones B. The within-participant Correlation between s-RPE and Heart Rate in Youth Sport. Sports Medicine International Open. 2017 Jun;1(06)</w:t>
      </w:r>
      <w:r w:rsidR="00FC1E3B" w:rsidRPr="00DB56CA">
        <w:rPr>
          <w:rFonts w:eastAsia="Times New Roman"/>
          <w:color w:val="222222"/>
          <w:shd w:val="clear" w:color="auto" w:fill="FFFFFF"/>
          <w:lang w:val="en-GB"/>
        </w:rPr>
        <w:t xml:space="preserve"> </w:t>
      </w:r>
      <w:r w:rsidRPr="00DB56CA">
        <w:rPr>
          <w:rFonts w:eastAsia="Times New Roman"/>
          <w:color w:val="222222"/>
          <w:shd w:val="clear" w:color="auto" w:fill="FFFFFF"/>
          <w:lang w:val="en-GB"/>
        </w:rPr>
        <w:t>:</w:t>
      </w:r>
      <w:r w:rsidR="00FC1E3B" w:rsidRPr="00DB56CA">
        <w:rPr>
          <w:rFonts w:eastAsia="Times New Roman"/>
          <w:color w:val="222222"/>
          <w:shd w:val="clear" w:color="auto" w:fill="FFFFFF"/>
          <w:lang w:val="en-GB"/>
        </w:rPr>
        <w:t xml:space="preserve"> </w:t>
      </w:r>
      <w:r w:rsidRPr="00DB56CA">
        <w:rPr>
          <w:rFonts w:eastAsia="Times New Roman"/>
          <w:color w:val="222222"/>
          <w:shd w:val="clear" w:color="auto" w:fill="FFFFFF"/>
          <w:lang w:val="en-GB"/>
        </w:rPr>
        <w:t>E195-9.</w:t>
      </w:r>
    </w:p>
    <w:p w14:paraId="72259668" w14:textId="34715D32" w:rsidR="00896B35" w:rsidRPr="00DB56CA" w:rsidRDefault="00BE0328" w:rsidP="001B3525">
      <w:pPr>
        <w:pStyle w:val="ListParagraph"/>
        <w:numPr>
          <w:ilvl w:val="0"/>
          <w:numId w:val="9"/>
        </w:numPr>
        <w:spacing w:after="100" w:afterAutospacing="1" w:line="480" w:lineRule="auto"/>
        <w:jc w:val="both"/>
        <w:rPr>
          <w:rFonts w:eastAsia="Times New Roman"/>
          <w:lang w:val="en-GB"/>
        </w:rPr>
      </w:pPr>
      <w:r w:rsidRPr="00DB56CA">
        <w:rPr>
          <w:rFonts w:eastAsia="Times New Roman"/>
          <w:color w:val="222222"/>
          <w:shd w:val="clear" w:color="auto" w:fill="FFFFFF"/>
          <w:lang w:val="en-GB"/>
        </w:rPr>
        <w:t>Scott BR, Lockie RG, Knight TJ, Clark AC, Janse de Jonge XA. A comparison of methods to quantify the in-season training load of professional soccer players. International Journal of Sports Physiology and Performance. 2013 Mar;8(2):195-202.</w:t>
      </w:r>
      <w:r w:rsidR="00896B35" w:rsidRPr="00DB56CA">
        <w:rPr>
          <w:rFonts w:eastAsia="Times New Roman"/>
          <w:b/>
          <w:lang w:val="en-GB"/>
        </w:rPr>
        <w:br w:type="page"/>
      </w:r>
    </w:p>
    <w:p w14:paraId="48117D7F" w14:textId="77777777" w:rsidR="00FF7140" w:rsidRPr="00DB56CA" w:rsidRDefault="00FF7140" w:rsidP="00FF7140">
      <w:pPr>
        <w:tabs>
          <w:tab w:val="left" w:pos="7313"/>
        </w:tabs>
        <w:spacing w:line="480" w:lineRule="auto"/>
        <w:rPr>
          <w:rFonts w:eastAsia="Times New Roman"/>
          <w:b/>
          <w:lang w:val="en-GB"/>
        </w:rPr>
      </w:pPr>
      <w:r w:rsidRPr="00DB56CA">
        <w:rPr>
          <w:rFonts w:eastAsia="Times New Roman"/>
          <w:b/>
          <w:lang w:val="en-GB"/>
        </w:rPr>
        <w:lastRenderedPageBreak/>
        <w:t>Figures:</w:t>
      </w:r>
      <w:r w:rsidRPr="00DB56CA">
        <w:rPr>
          <w:rFonts w:eastAsia="Times New Roman"/>
          <w:b/>
          <w:lang w:val="en-GB"/>
        </w:rPr>
        <w:tab/>
      </w:r>
    </w:p>
    <w:p w14:paraId="5B9E8A62" w14:textId="1E59A0D5" w:rsidR="00787046" w:rsidRPr="00DB56CA" w:rsidRDefault="00986049" w:rsidP="00986049">
      <w:pPr>
        <w:tabs>
          <w:tab w:val="left" w:pos="7313"/>
        </w:tabs>
        <w:spacing w:line="480" w:lineRule="auto"/>
        <w:rPr>
          <w:highlight w:val="yellow"/>
          <w:lang w:val="en-GB"/>
        </w:rPr>
      </w:pPr>
      <w:r w:rsidRPr="00DB56CA">
        <w:rPr>
          <w:highlight w:val="yellow"/>
          <w:lang w:val="en-GB"/>
        </w:rPr>
        <w:t>Figure 1</w:t>
      </w:r>
      <w:r w:rsidR="00787046" w:rsidRPr="00DB56CA">
        <w:rPr>
          <w:highlight w:val="yellow"/>
          <w:lang w:val="en-GB"/>
        </w:rPr>
        <w:t>A</w:t>
      </w:r>
      <w:r w:rsidR="00FF7140" w:rsidRPr="00DB56CA">
        <w:rPr>
          <w:highlight w:val="yellow"/>
          <w:lang w:val="en-GB"/>
        </w:rPr>
        <w:t xml:space="preserve">. Bland-Altman Agreement plots between HRTL and sRPETL </w:t>
      </w:r>
      <w:r w:rsidR="00515198" w:rsidRPr="00DB56CA">
        <w:rPr>
          <w:highlight w:val="yellow"/>
          <w:lang w:val="en-GB"/>
        </w:rPr>
        <w:t>fr</w:t>
      </w:r>
      <w:r w:rsidR="00787046" w:rsidRPr="00DB56CA">
        <w:rPr>
          <w:highlight w:val="yellow"/>
          <w:lang w:val="en-GB"/>
        </w:rPr>
        <w:t>om</w:t>
      </w:r>
      <w:r w:rsidRPr="00DB56CA">
        <w:rPr>
          <w:highlight w:val="yellow"/>
          <w:lang w:val="en-GB"/>
        </w:rPr>
        <w:t xml:space="preserve"> </w:t>
      </w:r>
      <w:r w:rsidR="00E5077C" w:rsidRPr="00DB56CA">
        <w:rPr>
          <w:highlight w:val="yellow"/>
          <w:lang w:val="en-GB"/>
        </w:rPr>
        <w:t>October</w:t>
      </w:r>
      <w:r w:rsidR="00515198" w:rsidRPr="00DB56CA">
        <w:rPr>
          <w:highlight w:val="yellow"/>
          <w:lang w:val="en-GB"/>
        </w:rPr>
        <w:t xml:space="preserve"> to </w:t>
      </w:r>
      <w:r w:rsidR="00787046" w:rsidRPr="00DB56CA">
        <w:rPr>
          <w:highlight w:val="yellow"/>
          <w:lang w:val="en-GB"/>
        </w:rPr>
        <w:t>January</w:t>
      </w:r>
    </w:p>
    <w:p w14:paraId="3A42A0A3" w14:textId="6F7BBF60" w:rsidR="00FF7140" w:rsidRPr="00DB56CA" w:rsidRDefault="00787046" w:rsidP="00986049">
      <w:pPr>
        <w:tabs>
          <w:tab w:val="left" w:pos="7313"/>
        </w:tabs>
        <w:spacing w:line="480" w:lineRule="auto"/>
        <w:rPr>
          <w:highlight w:val="yellow"/>
          <w:lang w:val="en-GB"/>
        </w:rPr>
      </w:pPr>
      <w:r w:rsidRPr="00DB56CA">
        <w:rPr>
          <w:highlight w:val="yellow"/>
          <w:lang w:val="en-GB"/>
        </w:rPr>
        <w:t xml:space="preserve">Figure 1B. Bland-Altman Agreement plots between HRTL and sRPETL from February to April </w:t>
      </w:r>
    </w:p>
    <w:p w14:paraId="34FBFD7B" w14:textId="7969C852" w:rsidR="00E72E45" w:rsidRPr="00DB56CA" w:rsidRDefault="00986049" w:rsidP="00FF7140">
      <w:pPr>
        <w:pStyle w:val="Caption"/>
        <w:keepNext/>
        <w:spacing w:after="100" w:afterAutospacing="1" w:line="480" w:lineRule="auto"/>
        <w:contextualSpacing/>
        <w:rPr>
          <w:i w:val="0"/>
          <w:color w:val="auto"/>
          <w:sz w:val="24"/>
          <w:szCs w:val="24"/>
          <w:highlight w:val="yellow"/>
        </w:rPr>
      </w:pPr>
      <w:r w:rsidRPr="00DB56CA">
        <w:rPr>
          <w:i w:val="0"/>
          <w:color w:val="auto"/>
          <w:sz w:val="24"/>
          <w:szCs w:val="24"/>
          <w:highlight w:val="yellow"/>
        </w:rPr>
        <w:t>Figure 2</w:t>
      </w:r>
      <w:r w:rsidR="00E72E45" w:rsidRPr="00DB56CA">
        <w:rPr>
          <w:i w:val="0"/>
          <w:color w:val="auto"/>
          <w:sz w:val="24"/>
          <w:szCs w:val="24"/>
          <w:highlight w:val="yellow"/>
        </w:rPr>
        <w:t>A</w:t>
      </w:r>
      <w:r w:rsidR="00FF7140" w:rsidRPr="00DB56CA">
        <w:rPr>
          <w:i w:val="0"/>
          <w:color w:val="auto"/>
          <w:sz w:val="24"/>
          <w:szCs w:val="24"/>
          <w:highlight w:val="yellow"/>
        </w:rPr>
        <w:t xml:space="preserve">.  Bland-Altman Agreement plots between HRTL and sRPETL for individual </w:t>
      </w:r>
      <w:r w:rsidRPr="00DB56CA">
        <w:rPr>
          <w:i w:val="0"/>
          <w:color w:val="auto"/>
          <w:sz w:val="24"/>
          <w:szCs w:val="24"/>
          <w:highlight w:val="yellow"/>
        </w:rPr>
        <w:t xml:space="preserve">players </w:t>
      </w:r>
      <w:r w:rsidR="001C458A" w:rsidRPr="00DB56CA">
        <w:rPr>
          <w:i w:val="0"/>
          <w:color w:val="auto"/>
          <w:sz w:val="24"/>
          <w:szCs w:val="24"/>
          <w:highlight w:val="yellow"/>
        </w:rPr>
        <w:t xml:space="preserve">(Player 1 to Player </w:t>
      </w:r>
      <w:r w:rsidR="00787046" w:rsidRPr="00DB56CA">
        <w:rPr>
          <w:i w:val="0"/>
          <w:color w:val="auto"/>
          <w:sz w:val="24"/>
          <w:szCs w:val="24"/>
          <w:highlight w:val="yellow"/>
        </w:rPr>
        <w:t>5</w:t>
      </w:r>
      <w:r w:rsidR="001C458A" w:rsidRPr="00DB56CA">
        <w:rPr>
          <w:i w:val="0"/>
          <w:color w:val="auto"/>
          <w:sz w:val="24"/>
          <w:szCs w:val="24"/>
          <w:highlight w:val="yellow"/>
        </w:rPr>
        <w:t>)</w:t>
      </w:r>
    </w:p>
    <w:p w14:paraId="7EA05D9D" w14:textId="4DED0E83" w:rsidR="00787046" w:rsidRPr="00DB56CA" w:rsidRDefault="00787046" w:rsidP="00787046">
      <w:pPr>
        <w:pStyle w:val="Caption"/>
        <w:keepNext/>
        <w:spacing w:after="100" w:afterAutospacing="1" w:line="480" w:lineRule="auto"/>
        <w:contextualSpacing/>
        <w:rPr>
          <w:i w:val="0"/>
          <w:color w:val="auto"/>
          <w:sz w:val="24"/>
          <w:szCs w:val="24"/>
          <w:highlight w:val="yellow"/>
        </w:rPr>
      </w:pPr>
      <w:r w:rsidRPr="00DB56CA">
        <w:rPr>
          <w:i w:val="0"/>
          <w:color w:val="auto"/>
          <w:sz w:val="24"/>
          <w:szCs w:val="24"/>
          <w:highlight w:val="yellow"/>
        </w:rPr>
        <w:t>Figure 2B.  Bland-Altman Agreement plots between HRTL and sRPETL for individual players (Player 6 to Player 10)</w:t>
      </w:r>
    </w:p>
    <w:p w14:paraId="45568C37" w14:textId="5A4D1F3E" w:rsidR="00A227F0" w:rsidRPr="00DB56CA" w:rsidRDefault="00E72E45" w:rsidP="00FF7140">
      <w:pPr>
        <w:pStyle w:val="Caption"/>
        <w:keepNext/>
        <w:spacing w:after="100" w:afterAutospacing="1" w:line="480" w:lineRule="auto"/>
        <w:contextualSpacing/>
        <w:rPr>
          <w:i w:val="0"/>
          <w:color w:val="auto"/>
          <w:sz w:val="24"/>
          <w:szCs w:val="24"/>
        </w:rPr>
      </w:pPr>
      <w:r w:rsidRPr="00DB56CA">
        <w:rPr>
          <w:i w:val="0"/>
          <w:color w:val="auto"/>
          <w:sz w:val="24"/>
          <w:szCs w:val="24"/>
          <w:highlight w:val="yellow"/>
        </w:rPr>
        <w:t>Figure 2</w:t>
      </w:r>
      <w:r w:rsidR="00787046" w:rsidRPr="00DB56CA">
        <w:rPr>
          <w:i w:val="0"/>
          <w:color w:val="auto"/>
          <w:sz w:val="24"/>
          <w:szCs w:val="24"/>
          <w:highlight w:val="yellow"/>
        </w:rPr>
        <w:t>C</w:t>
      </w:r>
      <w:r w:rsidRPr="00DB56CA">
        <w:rPr>
          <w:i w:val="0"/>
          <w:color w:val="auto"/>
          <w:sz w:val="24"/>
          <w:szCs w:val="24"/>
          <w:highlight w:val="yellow"/>
        </w:rPr>
        <w:t xml:space="preserve">.  Bland-Altman Agreement plots between HRTL and sRPETL for individual players </w:t>
      </w:r>
      <w:r w:rsidR="001C458A" w:rsidRPr="00DB56CA">
        <w:rPr>
          <w:i w:val="0"/>
          <w:color w:val="auto"/>
          <w:sz w:val="24"/>
          <w:szCs w:val="24"/>
          <w:highlight w:val="yellow"/>
        </w:rPr>
        <w:t xml:space="preserve">(Player </w:t>
      </w:r>
      <w:r w:rsidR="00787046" w:rsidRPr="00DB56CA">
        <w:rPr>
          <w:i w:val="0"/>
          <w:color w:val="auto"/>
          <w:sz w:val="24"/>
          <w:szCs w:val="24"/>
          <w:highlight w:val="yellow"/>
        </w:rPr>
        <w:t>11</w:t>
      </w:r>
      <w:r w:rsidR="001C458A" w:rsidRPr="00DB56CA">
        <w:rPr>
          <w:i w:val="0"/>
          <w:color w:val="auto"/>
          <w:sz w:val="24"/>
          <w:szCs w:val="24"/>
          <w:highlight w:val="yellow"/>
        </w:rPr>
        <w:t xml:space="preserve"> to Player 15)</w:t>
      </w:r>
      <w:r w:rsidR="00A227F0" w:rsidRPr="00DB56CA">
        <w:rPr>
          <w:rFonts w:eastAsia="Times New Roman"/>
          <w:b/>
        </w:rPr>
        <w:br w:type="page"/>
      </w:r>
    </w:p>
    <w:p w14:paraId="6B4E2C0E" w14:textId="5EFA59DE" w:rsidR="000D638A" w:rsidRPr="00DB56CA" w:rsidRDefault="002D430C" w:rsidP="000D638A">
      <w:pPr>
        <w:spacing w:after="100" w:afterAutospacing="1" w:line="480" w:lineRule="auto"/>
        <w:contextualSpacing/>
        <w:jc w:val="both"/>
        <w:rPr>
          <w:rFonts w:eastAsia="Times New Roman"/>
          <w:b/>
          <w:lang w:val="en-GB"/>
        </w:rPr>
      </w:pPr>
      <w:r w:rsidRPr="00DB56CA">
        <w:rPr>
          <w:rFonts w:eastAsia="Times New Roman"/>
          <w:b/>
          <w:lang w:val="en-GB"/>
        </w:rPr>
        <w:lastRenderedPageBreak/>
        <w:t>Tables:</w:t>
      </w:r>
    </w:p>
    <w:p w14:paraId="524BB513" w14:textId="4910BF61" w:rsidR="002D430C" w:rsidRPr="00DB56CA" w:rsidRDefault="002D430C" w:rsidP="000D638A">
      <w:pPr>
        <w:spacing w:after="100" w:afterAutospacing="1" w:line="480" w:lineRule="auto"/>
        <w:contextualSpacing/>
        <w:jc w:val="both"/>
        <w:rPr>
          <w:rFonts w:eastAsia="Times New Roman"/>
          <w:b/>
          <w:lang w:val="en-GB"/>
        </w:rPr>
      </w:pPr>
      <w:r w:rsidRPr="00DB56CA">
        <w:rPr>
          <w:lang w:val="en-GB"/>
        </w:rPr>
        <w:t>Tabl</w:t>
      </w:r>
      <w:r w:rsidR="002721AD" w:rsidRPr="00DB56CA">
        <w:rPr>
          <w:lang w:val="en-GB"/>
        </w:rPr>
        <w:t xml:space="preserve">e </w:t>
      </w:r>
      <w:r w:rsidR="00020D65" w:rsidRPr="00DB56CA">
        <w:rPr>
          <w:lang w:val="en-GB"/>
        </w:rPr>
        <w:t>1</w:t>
      </w:r>
      <w:r w:rsidR="00B14EDE" w:rsidRPr="00DB56CA">
        <w:rPr>
          <w:lang w:val="en-GB"/>
        </w:rPr>
        <w:t>.</w:t>
      </w:r>
      <w:r w:rsidR="0038412E" w:rsidRPr="00DB56CA">
        <w:rPr>
          <w:lang w:val="en-GB"/>
        </w:rPr>
        <w:t xml:space="preserve"> </w:t>
      </w:r>
      <w:r w:rsidRPr="00DB56CA">
        <w:rPr>
          <w:lang w:val="en-GB"/>
        </w:rPr>
        <w:t>Within participant monthly correlation and R</w:t>
      </w:r>
      <w:r w:rsidRPr="00DB56CA">
        <w:rPr>
          <w:vertAlign w:val="superscript"/>
          <w:lang w:val="en-GB"/>
        </w:rPr>
        <w:t>2</w:t>
      </w:r>
      <w:r w:rsidR="00BA0614" w:rsidRPr="00DB56CA">
        <w:rPr>
          <w:lang w:val="en-GB"/>
        </w:rPr>
        <w:t xml:space="preserve"> between HRTL and sRPETL. *S</w:t>
      </w:r>
      <w:r w:rsidRPr="00DB56CA">
        <w:rPr>
          <w:lang w:val="en-GB"/>
        </w:rPr>
        <w:t xml:space="preserve">ignificant at p&lt;0.05 </w:t>
      </w:r>
    </w:p>
    <w:tbl>
      <w:tblPr>
        <w:tblStyle w:val="TableGrid"/>
        <w:tblW w:w="8430" w:type="dxa"/>
        <w:tblBorders>
          <w:insideH w:val="none" w:sz="0" w:space="0" w:color="auto"/>
          <w:insideV w:val="none" w:sz="0" w:space="0" w:color="auto"/>
        </w:tblBorders>
        <w:tblLook w:val="04A0" w:firstRow="1" w:lastRow="0" w:firstColumn="1" w:lastColumn="0" w:noHBand="0" w:noVBand="1"/>
        <w:tblCaption w:val="Within participant correlation between HRTL and sRPE TL"/>
        <w:tblDescription w:val="**significant at p&lt;0.001"/>
      </w:tblPr>
      <w:tblGrid>
        <w:gridCol w:w="1323"/>
        <w:gridCol w:w="1628"/>
        <w:gridCol w:w="1134"/>
        <w:gridCol w:w="1276"/>
        <w:gridCol w:w="2049"/>
        <w:gridCol w:w="1020"/>
      </w:tblGrid>
      <w:tr w:rsidR="003A098A" w:rsidRPr="00DB56CA" w14:paraId="527226E1" w14:textId="77777777" w:rsidTr="00DA0CF7">
        <w:trPr>
          <w:trHeight w:val="1577"/>
        </w:trPr>
        <w:tc>
          <w:tcPr>
            <w:tcW w:w="1323" w:type="dxa"/>
            <w:tcBorders>
              <w:top w:val="single" w:sz="4" w:space="0" w:color="auto"/>
              <w:left w:val="nil"/>
              <w:bottom w:val="single" w:sz="4" w:space="0" w:color="auto"/>
            </w:tcBorders>
          </w:tcPr>
          <w:p w14:paraId="3D6E7C49" w14:textId="77777777" w:rsidR="007C2805" w:rsidRPr="00DB56CA" w:rsidRDefault="007C2805" w:rsidP="001B3525">
            <w:pPr>
              <w:widowControl w:val="0"/>
              <w:autoSpaceDE w:val="0"/>
              <w:autoSpaceDN w:val="0"/>
              <w:adjustRightInd w:val="0"/>
              <w:spacing w:after="100" w:afterAutospacing="1" w:line="480" w:lineRule="auto"/>
              <w:contextualSpacing/>
              <w:jc w:val="both"/>
              <w:rPr>
                <w:b/>
                <w:color w:val="000000" w:themeColor="text1"/>
                <w:lang w:val="en-GB"/>
              </w:rPr>
            </w:pPr>
            <w:r w:rsidRPr="00DB56CA">
              <w:rPr>
                <w:b/>
                <w:color w:val="000000" w:themeColor="text1"/>
                <w:lang w:val="en-GB"/>
              </w:rPr>
              <w:t>Months</w:t>
            </w:r>
          </w:p>
        </w:tc>
        <w:tc>
          <w:tcPr>
            <w:tcW w:w="1628" w:type="dxa"/>
            <w:tcBorders>
              <w:top w:val="single" w:sz="4" w:space="0" w:color="auto"/>
              <w:bottom w:val="single" w:sz="4" w:space="0" w:color="auto"/>
            </w:tcBorders>
          </w:tcPr>
          <w:p w14:paraId="52A2C2F4" w14:textId="77777777" w:rsidR="007C2805" w:rsidRPr="00DB56CA" w:rsidRDefault="007C2805" w:rsidP="001B3525">
            <w:pPr>
              <w:widowControl w:val="0"/>
              <w:autoSpaceDE w:val="0"/>
              <w:autoSpaceDN w:val="0"/>
              <w:adjustRightInd w:val="0"/>
              <w:spacing w:after="100" w:afterAutospacing="1" w:line="480" w:lineRule="auto"/>
              <w:contextualSpacing/>
              <w:rPr>
                <w:b/>
                <w:color w:val="000000" w:themeColor="text1"/>
                <w:lang w:val="en-GB"/>
              </w:rPr>
            </w:pPr>
            <w:r w:rsidRPr="00DB56CA">
              <w:rPr>
                <w:b/>
                <w:color w:val="000000" w:themeColor="text1"/>
                <w:lang w:val="en-GB"/>
              </w:rPr>
              <w:t>Number of sessions analysed (N)</w:t>
            </w:r>
          </w:p>
        </w:tc>
        <w:tc>
          <w:tcPr>
            <w:tcW w:w="1134" w:type="dxa"/>
            <w:tcBorders>
              <w:top w:val="single" w:sz="4" w:space="0" w:color="auto"/>
              <w:bottom w:val="single" w:sz="4" w:space="0" w:color="auto"/>
            </w:tcBorders>
          </w:tcPr>
          <w:p w14:paraId="6FFA179E" w14:textId="062BE588" w:rsidR="007C2805" w:rsidRPr="00DB56CA" w:rsidRDefault="007C2805" w:rsidP="001B3525">
            <w:pPr>
              <w:widowControl w:val="0"/>
              <w:autoSpaceDE w:val="0"/>
              <w:autoSpaceDN w:val="0"/>
              <w:adjustRightInd w:val="0"/>
              <w:spacing w:after="100" w:afterAutospacing="1" w:line="480" w:lineRule="auto"/>
              <w:contextualSpacing/>
              <w:jc w:val="both"/>
              <w:rPr>
                <w:b/>
                <w:color w:val="000000" w:themeColor="text1"/>
                <w:highlight w:val="yellow"/>
                <w:lang w:val="en-GB"/>
              </w:rPr>
            </w:pPr>
            <w:r w:rsidRPr="00DB56CA">
              <w:rPr>
                <w:b/>
                <w:color w:val="000000" w:themeColor="text1"/>
                <w:highlight w:val="yellow"/>
                <w:lang w:val="en-GB"/>
              </w:rPr>
              <w:t>Average HRTL (AU)</w:t>
            </w:r>
          </w:p>
        </w:tc>
        <w:tc>
          <w:tcPr>
            <w:tcW w:w="1276" w:type="dxa"/>
            <w:tcBorders>
              <w:top w:val="single" w:sz="4" w:space="0" w:color="auto"/>
              <w:bottom w:val="single" w:sz="4" w:space="0" w:color="auto"/>
            </w:tcBorders>
          </w:tcPr>
          <w:p w14:paraId="47A059C8" w14:textId="2E81A98C" w:rsidR="007C2805" w:rsidRPr="00DB56CA" w:rsidRDefault="007C2805" w:rsidP="001B3525">
            <w:pPr>
              <w:widowControl w:val="0"/>
              <w:autoSpaceDE w:val="0"/>
              <w:autoSpaceDN w:val="0"/>
              <w:adjustRightInd w:val="0"/>
              <w:spacing w:after="100" w:afterAutospacing="1" w:line="480" w:lineRule="auto"/>
              <w:contextualSpacing/>
              <w:jc w:val="both"/>
              <w:rPr>
                <w:b/>
                <w:color w:val="000000" w:themeColor="text1"/>
                <w:highlight w:val="yellow"/>
                <w:lang w:val="en-GB"/>
              </w:rPr>
            </w:pPr>
            <w:r w:rsidRPr="00DB56CA">
              <w:rPr>
                <w:b/>
                <w:color w:val="000000" w:themeColor="text1"/>
                <w:highlight w:val="yellow"/>
                <w:lang w:val="en-GB"/>
              </w:rPr>
              <w:t>Average sRPETL (AU)</w:t>
            </w:r>
          </w:p>
        </w:tc>
        <w:tc>
          <w:tcPr>
            <w:tcW w:w="2049" w:type="dxa"/>
            <w:tcBorders>
              <w:top w:val="single" w:sz="4" w:space="0" w:color="auto"/>
              <w:bottom w:val="single" w:sz="4" w:space="0" w:color="auto"/>
            </w:tcBorders>
          </w:tcPr>
          <w:p w14:paraId="13C71908" w14:textId="2F46BBD3" w:rsidR="007C2805" w:rsidRPr="00DB56CA" w:rsidRDefault="007C2805" w:rsidP="001B3525">
            <w:pPr>
              <w:widowControl w:val="0"/>
              <w:autoSpaceDE w:val="0"/>
              <w:autoSpaceDN w:val="0"/>
              <w:adjustRightInd w:val="0"/>
              <w:spacing w:after="100" w:afterAutospacing="1" w:line="480" w:lineRule="auto"/>
              <w:contextualSpacing/>
              <w:jc w:val="both"/>
              <w:rPr>
                <w:b/>
                <w:color w:val="000000" w:themeColor="text1"/>
                <w:lang w:val="en-GB"/>
              </w:rPr>
            </w:pPr>
            <w:r w:rsidRPr="00DB56CA">
              <w:rPr>
                <w:b/>
                <w:color w:val="000000" w:themeColor="text1"/>
                <w:lang w:val="en-GB"/>
              </w:rPr>
              <w:t xml:space="preserve">Correlation (r) </w:t>
            </w:r>
          </w:p>
          <w:p w14:paraId="491DDA97" w14:textId="58180C3D" w:rsidR="007C2805" w:rsidRPr="00DB56CA" w:rsidRDefault="007C2805" w:rsidP="001B3525">
            <w:pPr>
              <w:widowControl w:val="0"/>
              <w:autoSpaceDE w:val="0"/>
              <w:autoSpaceDN w:val="0"/>
              <w:adjustRightInd w:val="0"/>
              <w:spacing w:after="100" w:afterAutospacing="1" w:line="480" w:lineRule="auto"/>
              <w:contextualSpacing/>
              <w:jc w:val="both"/>
              <w:rPr>
                <w:b/>
                <w:color w:val="000000" w:themeColor="text1"/>
                <w:lang w:val="en-GB"/>
              </w:rPr>
            </w:pPr>
            <w:r w:rsidRPr="00DB56CA">
              <w:rPr>
                <w:b/>
                <w:color w:val="000000" w:themeColor="text1"/>
                <w:lang w:val="en-GB"/>
              </w:rPr>
              <w:t>with 95%CI</w:t>
            </w:r>
          </w:p>
        </w:tc>
        <w:tc>
          <w:tcPr>
            <w:tcW w:w="1020" w:type="dxa"/>
            <w:tcBorders>
              <w:top w:val="single" w:sz="4" w:space="0" w:color="auto"/>
              <w:bottom w:val="single" w:sz="4" w:space="0" w:color="auto"/>
              <w:right w:val="nil"/>
            </w:tcBorders>
          </w:tcPr>
          <w:p w14:paraId="1957A56E" w14:textId="77777777" w:rsidR="007C2805" w:rsidRPr="00DB56CA" w:rsidRDefault="007C2805" w:rsidP="001B3525">
            <w:pPr>
              <w:widowControl w:val="0"/>
              <w:autoSpaceDE w:val="0"/>
              <w:autoSpaceDN w:val="0"/>
              <w:adjustRightInd w:val="0"/>
              <w:spacing w:after="100" w:afterAutospacing="1" w:line="480" w:lineRule="auto"/>
              <w:contextualSpacing/>
              <w:jc w:val="both"/>
              <w:rPr>
                <w:b/>
                <w:color w:val="000000" w:themeColor="text1"/>
                <w:vertAlign w:val="superscript"/>
                <w:lang w:val="en-GB"/>
              </w:rPr>
            </w:pPr>
            <w:r w:rsidRPr="00DB56CA">
              <w:rPr>
                <w:b/>
                <w:color w:val="000000" w:themeColor="text1"/>
                <w:lang w:val="en-GB"/>
              </w:rPr>
              <w:t>R</w:t>
            </w:r>
            <w:r w:rsidRPr="00DB56CA">
              <w:rPr>
                <w:b/>
                <w:color w:val="000000" w:themeColor="text1"/>
                <w:vertAlign w:val="superscript"/>
                <w:lang w:val="en-GB"/>
              </w:rPr>
              <w:t>2</w:t>
            </w:r>
          </w:p>
        </w:tc>
      </w:tr>
      <w:tr w:rsidR="003A098A" w:rsidRPr="00DB56CA" w14:paraId="51789DD1" w14:textId="77777777" w:rsidTr="00DA0CF7">
        <w:trPr>
          <w:trHeight w:val="373"/>
        </w:trPr>
        <w:tc>
          <w:tcPr>
            <w:tcW w:w="1323" w:type="dxa"/>
            <w:tcBorders>
              <w:top w:val="single" w:sz="4" w:space="0" w:color="auto"/>
              <w:left w:val="nil"/>
            </w:tcBorders>
          </w:tcPr>
          <w:p w14:paraId="004A6F3E" w14:textId="77777777" w:rsidR="007C2805" w:rsidRPr="00DB56CA" w:rsidRDefault="007C2805" w:rsidP="001B3525">
            <w:pPr>
              <w:widowControl w:val="0"/>
              <w:autoSpaceDE w:val="0"/>
              <w:autoSpaceDN w:val="0"/>
              <w:adjustRightInd w:val="0"/>
              <w:spacing w:after="100" w:afterAutospacing="1" w:line="480" w:lineRule="auto"/>
              <w:contextualSpacing/>
              <w:jc w:val="center"/>
              <w:rPr>
                <w:b/>
                <w:color w:val="000000" w:themeColor="text1"/>
                <w:lang w:val="en-GB"/>
              </w:rPr>
            </w:pPr>
            <w:r w:rsidRPr="00DB56CA">
              <w:rPr>
                <w:b/>
                <w:color w:val="000000" w:themeColor="text1"/>
                <w:lang w:val="en-GB"/>
              </w:rPr>
              <w:t>October</w:t>
            </w:r>
          </w:p>
        </w:tc>
        <w:tc>
          <w:tcPr>
            <w:tcW w:w="1628" w:type="dxa"/>
            <w:tcBorders>
              <w:top w:val="single" w:sz="4" w:space="0" w:color="auto"/>
            </w:tcBorders>
          </w:tcPr>
          <w:p w14:paraId="429A4769" w14:textId="77777777" w:rsidR="007C2805" w:rsidRPr="00DB56CA" w:rsidRDefault="007C2805" w:rsidP="001B3525">
            <w:pPr>
              <w:widowControl w:val="0"/>
              <w:autoSpaceDE w:val="0"/>
              <w:autoSpaceDN w:val="0"/>
              <w:adjustRightInd w:val="0"/>
              <w:spacing w:after="100" w:afterAutospacing="1" w:line="480" w:lineRule="auto"/>
              <w:contextualSpacing/>
              <w:jc w:val="both"/>
              <w:rPr>
                <w:color w:val="000000" w:themeColor="text1"/>
                <w:lang w:val="en-GB"/>
              </w:rPr>
            </w:pPr>
            <w:r w:rsidRPr="00DB56CA">
              <w:rPr>
                <w:color w:val="000000" w:themeColor="text1"/>
                <w:lang w:val="en-GB"/>
              </w:rPr>
              <w:t>53</w:t>
            </w:r>
          </w:p>
        </w:tc>
        <w:tc>
          <w:tcPr>
            <w:tcW w:w="1134" w:type="dxa"/>
            <w:tcBorders>
              <w:top w:val="single" w:sz="4" w:space="0" w:color="auto"/>
            </w:tcBorders>
          </w:tcPr>
          <w:p w14:paraId="1E3CE78F" w14:textId="0DA29CBB" w:rsidR="007C2805" w:rsidRPr="00DB56CA" w:rsidRDefault="007C2805" w:rsidP="001B3525">
            <w:pPr>
              <w:widowControl w:val="0"/>
              <w:autoSpaceDE w:val="0"/>
              <w:autoSpaceDN w:val="0"/>
              <w:adjustRightInd w:val="0"/>
              <w:spacing w:after="100" w:afterAutospacing="1" w:line="480" w:lineRule="auto"/>
              <w:contextualSpacing/>
              <w:jc w:val="both"/>
              <w:rPr>
                <w:color w:val="000000" w:themeColor="text1"/>
                <w:highlight w:val="yellow"/>
                <w:lang w:val="en-GB"/>
              </w:rPr>
            </w:pPr>
            <w:r w:rsidRPr="00DB56CA">
              <w:rPr>
                <w:color w:val="000000" w:themeColor="text1"/>
                <w:highlight w:val="yellow"/>
                <w:lang w:val="en-GB"/>
              </w:rPr>
              <w:t>222.40</w:t>
            </w:r>
          </w:p>
        </w:tc>
        <w:tc>
          <w:tcPr>
            <w:tcW w:w="1276" w:type="dxa"/>
            <w:tcBorders>
              <w:top w:val="single" w:sz="4" w:space="0" w:color="auto"/>
            </w:tcBorders>
          </w:tcPr>
          <w:p w14:paraId="57DA22D0" w14:textId="38C58898" w:rsidR="007C2805" w:rsidRPr="00DB56CA" w:rsidRDefault="007C2805" w:rsidP="001B3525">
            <w:pPr>
              <w:widowControl w:val="0"/>
              <w:autoSpaceDE w:val="0"/>
              <w:autoSpaceDN w:val="0"/>
              <w:adjustRightInd w:val="0"/>
              <w:spacing w:after="100" w:afterAutospacing="1" w:line="480" w:lineRule="auto"/>
              <w:contextualSpacing/>
              <w:jc w:val="both"/>
              <w:rPr>
                <w:color w:val="000000" w:themeColor="text1"/>
                <w:highlight w:val="yellow"/>
                <w:lang w:val="en-GB"/>
              </w:rPr>
            </w:pPr>
            <w:r w:rsidRPr="00DB56CA">
              <w:rPr>
                <w:color w:val="000000" w:themeColor="text1"/>
                <w:highlight w:val="yellow"/>
                <w:lang w:val="en-GB"/>
              </w:rPr>
              <w:t>416.32</w:t>
            </w:r>
          </w:p>
        </w:tc>
        <w:tc>
          <w:tcPr>
            <w:tcW w:w="2049" w:type="dxa"/>
            <w:tcBorders>
              <w:top w:val="single" w:sz="4" w:space="0" w:color="auto"/>
            </w:tcBorders>
          </w:tcPr>
          <w:p w14:paraId="33B24F3A" w14:textId="6DA1161C" w:rsidR="007C2805" w:rsidRPr="00DB56CA" w:rsidRDefault="007C2805" w:rsidP="001B3525">
            <w:pPr>
              <w:widowControl w:val="0"/>
              <w:autoSpaceDE w:val="0"/>
              <w:autoSpaceDN w:val="0"/>
              <w:adjustRightInd w:val="0"/>
              <w:spacing w:after="100" w:afterAutospacing="1" w:line="480" w:lineRule="auto"/>
              <w:contextualSpacing/>
              <w:jc w:val="both"/>
              <w:rPr>
                <w:color w:val="000000" w:themeColor="text1"/>
                <w:lang w:val="en-GB"/>
              </w:rPr>
            </w:pPr>
            <w:r w:rsidRPr="00DB56CA">
              <w:rPr>
                <w:color w:val="000000" w:themeColor="text1"/>
                <w:lang w:val="en-GB"/>
              </w:rPr>
              <w:t>0.73 (0.55; 0.85) *</w:t>
            </w:r>
          </w:p>
        </w:tc>
        <w:tc>
          <w:tcPr>
            <w:tcW w:w="1020" w:type="dxa"/>
            <w:tcBorders>
              <w:top w:val="single" w:sz="4" w:space="0" w:color="auto"/>
              <w:right w:val="nil"/>
            </w:tcBorders>
          </w:tcPr>
          <w:p w14:paraId="5A964241" w14:textId="77777777" w:rsidR="007C2805" w:rsidRPr="00DB56CA" w:rsidRDefault="007C2805" w:rsidP="001B3525">
            <w:pPr>
              <w:widowControl w:val="0"/>
              <w:autoSpaceDE w:val="0"/>
              <w:autoSpaceDN w:val="0"/>
              <w:adjustRightInd w:val="0"/>
              <w:spacing w:after="100" w:afterAutospacing="1" w:line="480" w:lineRule="auto"/>
              <w:contextualSpacing/>
              <w:jc w:val="both"/>
              <w:rPr>
                <w:color w:val="000000" w:themeColor="text1"/>
                <w:lang w:val="en-GB"/>
              </w:rPr>
            </w:pPr>
            <w:r w:rsidRPr="00DB56CA">
              <w:rPr>
                <w:color w:val="000000" w:themeColor="text1"/>
                <w:lang w:val="en-GB"/>
              </w:rPr>
              <w:t>0.53</w:t>
            </w:r>
          </w:p>
        </w:tc>
      </w:tr>
      <w:tr w:rsidR="003A098A" w:rsidRPr="00DB56CA" w14:paraId="4F8CECF5" w14:textId="77777777" w:rsidTr="00DA0CF7">
        <w:trPr>
          <w:trHeight w:val="542"/>
        </w:trPr>
        <w:tc>
          <w:tcPr>
            <w:tcW w:w="1323" w:type="dxa"/>
            <w:tcBorders>
              <w:left w:val="nil"/>
            </w:tcBorders>
          </w:tcPr>
          <w:p w14:paraId="1B4B2B7A" w14:textId="77777777" w:rsidR="007C2805" w:rsidRPr="00DB56CA" w:rsidRDefault="007C2805" w:rsidP="001B3525">
            <w:pPr>
              <w:widowControl w:val="0"/>
              <w:autoSpaceDE w:val="0"/>
              <w:autoSpaceDN w:val="0"/>
              <w:adjustRightInd w:val="0"/>
              <w:spacing w:after="100" w:afterAutospacing="1" w:line="480" w:lineRule="auto"/>
              <w:contextualSpacing/>
              <w:jc w:val="center"/>
              <w:rPr>
                <w:b/>
                <w:color w:val="000000" w:themeColor="text1"/>
                <w:lang w:val="en-GB"/>
              </w:rPr>
            </w:pPr>
            <w:r w:rsidRPr="00DB56CA">
              <w:rPr>
                <w:b/>
                <w:color w:val="000000" w:themeColor="text1"/>
                <w:lang w:val="en-GB"/>
              </w:rPr>
              <w:t>November</w:t>
            </w:r>
          </w:p>
        </w:tc>
        <w:tc>
          <w:tcPr>
            <w:tcW w:w="1628" w:type="dxa"/>
          </w:tcPr>
          <w:p w14:paraId="2DCFA4EA" w14:textId="77777777" w:rsidR="007C2805" w:rsidRPr="00DB56CA" w:rsidRDefault="007C2805" w:rsidP="001B3525">
            <w:pPr>
              <w:widowControl w:val="0"/>
              <w:autoSpaceDE w:val="0"/>
              <w:autoSpaceDN w:val="0"/>
              <w:adjustRightInd w:val="0"/>
              <w:spacing w:after="100" w:afterAutospacing="1" w:line="480" w:lineRule="auto"/>
              <w:contextualSpacing/>
              <w:jc w:val="both"/>
              <w:rPr>
                <w:color w:val="000000" w:themeColor="text1"/>
                <w:lang w:val="en-GB"/>
              </w:rPr>
            </w:pPr>
            <w:r w:rsidRPr="00DB56CA">
              <w:rPr>
                <w:color w:val="000000" w:themeColor="text1"/>
                <w:lang w:val="en-GB"/>
              </w:rPr>
              <w:t>190</w:t>
            </w:r>
          </w:p>
        </w:tc>
        <w:tc>
          <w:tcPr>
            <w:tcW w:w="1134" w:type="dxa"/>
          </w:tcPr>
          <w:p w14:paraId="188877F3" w14:textId="6AABB8A1" w:rsidR="007C2805" w:rsidRPr="00DB56CA" w:rsidRDefault="007C2805" w:rsidP="001B3525">
            <w:pPr>
              <w:widowControl w:val="0"/>
              <w:autoSpaceDE w:val="0"/>
              <w:autoSpaceDN w:val="0"/>
              <w:adjustRightInd w:val="0"/>
              <w:spacing w:after="100" w:afterAutospacing="1" w:line="480" w:lineRule="auto"/>
              <w:contextualSpacing/>
              <w:jc w:val="both"/>
              <w:rPr>
                <w:color w:val="000000" w:themeColor="text1"/>
                <w:highlight w:val="yellow"/>
                <w:lang w:val="en-GB"/>
              </w:rPr>
            </w:pPr>
            <w:r w:rsidRPr="00DB56CA">
              <w:rPr>
                <w:color w:val="000000" w:themeColor="text1"/>
                <w:highlight w:val="yellow"/>
                <w:lang w:val="en-GB"/>
              </w:rPr>
              <w:t>248.12</w:t>
            </w:r>
          </w:p>
        </w:tc>
        <w:tc>
          <w:tcPr>
            <w:tcW w:w="1276" w:type="dxa"/>
          </w:tcPr>
          <w:p w14:paraId="65B849C7" w14:textId="0C64E552" w:rsidR="007C2805" w:rsidRPr="00DB56CA" w:rsidRDefault="007C2805" w:rsidP="001B3525">
            <w:pPr>
              <w:widowControl w:val="0"/>
              <w:autoSpaceDE w:val="0"/>
              <w:autoSpaceDN w:val="0"/>
              <w:adjustRightInd w:val="0"/>
              <w:spacing w:after="100" w:afterAutospacing="1" w:line="480" w:lineRule="auto"/>
              <w:contextualSpacing/>
              <w:jc w:val="both"/>
              <w:rPr>
                <w:color w:val="000000" w:themeColor="text1"/>
                <w:highlight w:val="yellow"/>
                <w:lang w:val="en-GB"/>
              </w:rPr>
            </w:pPr>
            <w:r w:rsidRPr="00DB56CA">
              <w:rPr>
                <w:color w:val="000000" w:themeColor="text1"/>
                <w:highlight w:val="yellow"/>
                <w:lang w:val="en-GB"/>
              </w:rPr>
              <w:t>416.73</w:t>
            </w:r>
          </w:p>
        </w:tc>
        <w:tc>
          <w:tcPr>
            <w:tcW w:w="2049" w:type="dxa"/>
          </w:tcPr>
          <w:p w14:paraId="11F66453" w14:textId="66765C1A" w:rsidR="007C2805" w:rsidRPr="00DB56CA" w:rsidRDefault="007C2805" w:rsidP="001B3525">
            <w:pPr>
              <w:widowControl w:val="0"/>
              <w:autoSpaceDE w:val="0"/>
              <w:autoSpaceDN w:val="0"/>
              <w:adjustRightInd w:val="0"/>
              <w:spacing w:after="100" w:afterAutospacing="1" w:line="480" w:lineRule="auto"/>
              <w:contextualSpacing/>
              <w:jc w:val="both"/>
              <w:rPr>
                <w:color w:val="000000" w:themeColor="text1"/>
                <w:lang w:val="en-GB"/>
              </w:rPr>
            </w:pPr>
            <w:r w:rsidRPr="00DB56CA">
              <w:rPr>
                <w:color w:val="000000" w:themeColor="text1"/>
                <w:lang w:val="en-GB"/>
              </w:rPr>
              <w:t>0.70 (0.61; 0.77) *</w:t>
            </w:r>
          </w:p>
        </w:tc>
        <w:tc>
          <w:tcPr>
            <w:tcW w:w="1020" w:type="dxa"/>
            <w:tcBorders>
              <w:right w:val="nil"/>
            </w:tcBorders>
          </w:tcPr>
          <w:p w14:paraId="34738A49" w14:textId="77777777" w:rsidR="007C2805" w:rsidRPr="00DB56CA" w:rsidRDefault="007C2805" w:rsidP="001B3525">
            <w:pPr>
              <w:widowControl w:val="0"/>
              <w:autoSpaceDE w:val="0"/>
              <w:autoSpaceDN w:val="0"/>
              <w:adjustRightInd w:val="0"/>
              <w:spacing w:after="100" w:afterAutospacing="1" w:line="480" w:lineRule="auto"/>
              <w:contextualSpacing/>
              <w:jc w:val="both"/>
              <w:rPr>
                <w:color w:val="000000" w:themeColor="text1"/>
                <w:lang w:val="en-GB"/>
              </w:rPr>
            </w:pPr>
            <w:r w:rsidRPr="00DB56CA">
              <w:rPr>
                <w:color w:val="000000" w:themeColor="text1"/>
                <w:lang w:val="en-GB"/>
              </w:rPr>
              <w:t>0.49</w:t>
            </w:r>
          </w:p>
        </w:tc>
      </w:tr>
      <w:tr w:rsidR="003A098A" w:rsidRPr="00DB56CA" w14:paraId="3469B731" w14:textId="77777777" w:rsidTr="00DA0CF7">
        <w:trPr>
          <w:trHeight w:val="542"/>
        </w:trPr>
        <w:tc>
          <w:tcPr>
            <w:tcW w:w="1323" w:type="dxa"/>
            <w:tcBorders>
              <w:left w:val="nil"/>
            </w:tcBorders>
          </w:tcPr>
          <w:p w14:paraId="6C6B560F" w14:textId="77777777" w:rsidR="007C2805" w:rsidRPr="00DB56CA" w:rsidRDefault="007C2805" w:rsidP="001B3525">
            <w:pPr>
              <w:widowControl w:val="0"/>
              <w:autoSpaceDE w:val="0"/>
              <w:autoSpaceDN w:val="0"/>
              <w:adjustRightInd w:val="0"/>
              <w:spacing w:after="100" w:afterAutospacing="1" w:line="480" w:lineRule="auto"/>
              <w:contextualSpacing/>
              <w:jc w:val="center"/>
              <w:rPr>
                <w:b/>
                <w:color w:val="000000" w:themeColor="text1"/>
                <w:lang w:val="en-GB"/>
              </w:rPr>
            </w:pPr>
            <w:r w:rsidRPr="00DB56CA">
              <w:rPr>
                <w:b/>
                <w:color w:val="000000" w:themeColor="text1"/>
                <w:lang w:val="en-GB"/>
              </w:rPr>
              <w:t>December</w:t>
            </w:r>
          </w:p>
        </w:tc>
        <w:tc>
          <w:tcPr>
            <w:tcW w:w="1628" w:type="dxa"/>
          </w:tcPr>
          <w:p w14:paraId="6CD15C3B" w14:textId="77777777" w:rsidR="007C2805" w:rsidRPr="00DB56CA" w:rsidRDefault="007C2805" w:rsidP="001B3525">
            <w:pPr>
              <w:widowControl w:val="0"/>
              <w:autoSpaceDE w:val="0"/>
              <w:autoSpaceDN w:val="0"/>
              <w:adjustRightInd w:val="0"/>
              <w:spacing w:after="100" w:afterAutospacing="1" w:line="480" w:lineRule="auto"/>
              <w:contextualSpacing/>
              <w:jc w:val="both"/>
              <w:rPr>
                <w:color w:val="000000" w:themeColor="text1"/>
                <w:lang w:val="en-GB"/>
              </w:rPr>
            </w:pPr>
            <w:r w:rsidRPr="00DB56CA">
              <w:rPr>
                <w:color w:val="000000" w:themeColor="text1"/>
                <w:lang w:val="en-GB"/>
              </w:rPr>
              <w:t>107</w:t>
            </w:r>
          </w:p>
        </w:tc>
        <w:tc>
          <w:tcPr>
            <w:tcW w:w="1134" w:type="dxa"/>
          </w:tcPr>
          <w:p w14:paraId="125295A9" w14:textId="1BBCCE04" w:rsidR="007C2805" w:rsidRPr="00DB56CA" w:rsidRDefault="007C2805" w:rsidP="001B3525">
            <w:pPr>
              <w:widowControl w:val="0"/>
              <w:autoSpaceDE w:val="0"/>
              <w:autoSpaceDN w:val="0"/>
              <w:adjustRightInd w:val="0"/>
              <w:spacing w:after="100" w:afterAutospacing="1" w:line="480" w:lineRule="auto"/>
              <w:contextualSpacing/>
              <w:jc w:val="both"/>
              <w:rPr>
                <w:color w:val="000000" w:themeColor="text1"/>
                <w:highlight w:val="yellow"/>
                <w:lang w:val="en-GB"/>
              </w:rPr>
            </w:pPr>
            <w:r w:rsidRPr="00DB56CA">
              <w:rPr>
                <w:color w:val="000000" w:themeColor="text1"/>
                <w:highlight w:val="yellow"/>
                <w:lang w:val="en-GB"/>
              </w:rPr>
              <w:t>263.06</w:t>
            </w:r>
          </w:p>
        </w:tc>
        <w:tc>
          <w:tcPr>
            <w:tcW w:w="1276" w:type="dxa"/>
          </w:tcPr>
          <w:p w14:paraId="35CCC7B1" w14:textId="7FF08E75" w:rsidR="007C2805" w:rsidRPr="00DB56CA" w:rsidRDefault="007C2805" w:rsidP="001B3525">
            <w:pPr>
              <w:widowControl w:val="0"/>
              <w:autoSpaceDE w:val="0"/>
              <w:autoSpaceDN w:val="0"/>
              <w:adjustRightInd w:val="0"/>
              <w:spacing w:after="100" w:afterAutospacing="1" w:line="480" w:lineRule="auto"/>
              <w:contextualSpacing/>
              <w:jc w:val="both"/>
              <w:rPr>
                <w:color w:val="000000" w:themeColor="text1"/>
                <w:highlight w:val="yellow"/>
                <w:lang w:val="en-GB"/>
              </w:rPr>
            </w:pPr>
            <w:r w:rsidRPr="00DB56CA">
              <w:rPr>
                <w:color w:val="000000" w:themeColor="text1"/>
                <w:highlight w:val="yellow"/>
                <w:lang w:val="en-GB"/>
              </w:rPr>
              <w:t>429.95</w:t>
            </w:r>
          </w:p>
        </w:tc>
        <w:tc>
          <w:tcPr>
            <w:tcW w:w="2049" w:type="dxa"/>
          </w:tcPr>
          <w:p w14:paraId="36CC3B18" w14:textId="69F34C8E" w:rsidR="007C2805" w:rsidRPr="00DB56CA" w:rsidRDefault="007C2805" w:rsidP="001B3525">
            <w:pPr>
              <w:widowControl w:val="0"/>
              <w:autoSpaceDE w:val="0"/>
              <w:autoSpaceDN w:val="0"/>
              <w:adjustRightInd w:val="0"/>
              <w:spacing w:after="100" w:afterAutospacing="1" w:line="480" w:lineRule="auto"/>
              <w:contextualSpacing/>
              <w:jc w:val="both"/>
              <w:rPr>
                <w:color w:val="000000" w:themeColor="text1"/>
                <w:lang w:val="en-GB"/>
              </w:rPr>
            </w:pPr>
            <w:r w:rsidRPr="00DB56CA">
              <w:rPr>
                <w:color w:val="000000" w:themeColor="text1"/>
                <w:lang w:val="en-GB"/>
              </w:rPr>
              <w:t>0.63 (0.49; 0.77) *</w:t>
            </w:r>
          </w:p>
        </w:tc>
        <w:tc>
          <w:tcPr>
            <w:tcW w:w="1020" w:type="dxa"/>
            <w:tcBorders>
              <w:right w:val="nil"/>
            </w:tcBorders>
          </w:tcPr>
          <w:p w14:paraId="5403E4B4" w14:textId="77777777" w:rsidR="007C2805" w:rsidRPr="00DB56CA" w:rsidRDefault="007C2805" w:rsidP="001B3525">
            <w:pPr>
              <w:widowControl w:val="0"/>
              <w:autoSpaceDE w:val="0"/>
              <w:autoSpaceDN w:val="0"/>
              <w:adjustRightInd w:val="0"/>
              <w:spacing w:after="100" w:afterAutospacing="1" w:line="480" w:lineRule="auto"/>
              <w:contextualSpacing/>
              <w:jc w:val="both"/>
              <w:rPr>
                <w:color w:val="000000" w:themeColor="text1"/>
                <w:lang w:val="en-GB"/>
              </w:rPr>
            </w:pPr>
            <w:r w:rsidRPr="00DB56CA">
              <w:rPr>
                <w:color w:val="000000" w:themeColor="text1"/>
                <w:lang w:val="en-GB"/>
              </w:rPr>
              <w:t>0.40</w:t>
            </w:r>
          </w:p>
        </w:tc>
      </w:tr>
      <w:tr w:rsidR="003A098A" w:rsidRPr="00DB56CA" w14:paraId="5C2AC5B2" w14:textId="77777777" w:rsidTr="00DA0CF7">
        <w:trPr>
          <w:trHeight w:val="373"/>
        </w:trPr>
        <w:tc>
          <w:tcPr>
            <w:tcW w:w="1323" w:type="dxa"/>
            <w:tcBorders>
              <w:left w:val="nil"/>
            </w:tcBorders>
          </w:tcPr>
          <w:p w14:paraId="56A5988F" w14:textId="77777777" w:rsidR="007C2805" w:rsidRPr="00DB56CA" w:rsidRDefault="007C2805" w:rsidP="001B3525">
            <w:pPr>
              <w:widowControl w:val="0"/>
              <w:autoSpaceDE w:val="0"/>
              <w:autoSpaceDN w:val="0"/>
              <w:adjustRightInd w:val="0"/>
              <w:spacing w:after="100" w:afterAutospacing="1" w:line="480" w:lineRule="auto"/>
              <w:contextualSpacing/>
              <w:jc w:val="center"/>
              <w:rPr>
                <w:b/>
                <w:color w:val="000000" w:themeColor="text1"/>
                <w:lang w:val="en-GB"/>
              </w:rPr>
            </w:pPr>
            <w:r w:rsidRPr="00DB56CA">
              <w:rPr>
                <w:b/>
                <w:color w:val="000000" w:themeColor="text1"/>
                <w:lang w:val="en-GB"/>
              </w:rPr>
              <w:t>January</w:t>
            </w:r>
          </w:p>
        </w:tc>
        <w:tc>
          <w:tcPr>
            <w:tcW w:w="1628" w:type="dxa"/>
          </w:tcPr>
          <w:p w14:paraId="29DA83E9" w14:textId="77777777" w:rsidR="007C2805" w:rsidRPr="00DB56CA" w:rsidRDefault="007C2805" w:rsidP="001B3525">
            <w:pPr>
              <w:widowControl w:val="0"/>
              <w:autoSpaceDE w:val="0"/>
              <w:autoSpaceDN w:val="0"/>
              <w:adjustRightInd w:val="0"/>
              <w:spacing w:after="100" w:afterAutospacing="1" w:line="480" w:lineRule="auto"/>
              <w:contextualSpacing/>
              <w:rPr>
                <w:color w:val="000000" w:themeColor="text1"/>
                <w:lang w:val="en-GB"/>
              </w:rPr>
            </w:pPr>
            <w:r w:rsidRPr="00DB56CA">
              <w:rPr>
                <w:color w:val="000000" w:themeColor="text1"/>
                <w:lang w:val="en-GB"/>
              </w:rPr>
              <w:t>186</w:t>
            </w:r>
          </w:p>
        </w:tc>
        <w:tc>
          <w:tcPr>
            <w:tcW w:w="1134" w:type="dxa"/>
          </w:tcPr>
          <w:p w14:paraId="220B0F93" w14:textId="489913FA" w:rsidR="007C2805" w:rsidRPr="00DB56CA" w:rsidRDefault="007C2805" w:rsidP="001B3525">
            <w:pPr>
              <w:widowControl w:val="0"/>
              <w:autoSpaceDE w:val="0"/>
              <w:autoSpaceDN w:val="0"/>
              <w:adjustRightInd w:val="0"/>
              <w:spacing w:after="100" w:afterAutospacing="1" w:line="480" w:lineRule="auto"/>
              <w:contextualSpacing/>
              <w:rPr>
                <w:color w:val="000000" w:themeColor="text1"/>
                <w:highlight w:val="yellow"/>
                <w:lang w:val="en-GB"/>
              </w:rPr>
            </w:pPr>
            <w:r w:rsidRPr="00DB56CA">
              <w:rPr>
                <w:color w:val="000000" w:themeColor="text1"/>
                <w:highlight w:val="yellow"/>
                <w:lang w:val="en-GB"/>
              </w:rPr>
              <w:t>264.14</w:t>
            </w:r>
          </w:p>
        </w:tc>
        <w:tc>
          <w:tcPr>
            <w:tcW w:w="1276" w:type="dxa"/>
          </w:tcPr>
          <w:p w14:paraId="34706B7A" w14:textId="700BC8B3" w:rsidR="007C2805" w:rsidRPr="00DB56CA" w:rsidRDefault="007C2805" w:rsidP="001B3525">
            <w:pPr>
              <w:widowControl w:val="0"/>
              <w:autoSpaceDE w:val="0"/>
              <w:autoSpaceDN w:val="0"/>
              <w:adjustRightInd w:val="0"/>
              <w:spacing w:after="100" w:afterAutospacing="1" w:line="480" w:lineRule="auto"/>
              <w:contextualSpacing/>
              <w:rPr>
                <w:color w:val="000000" w:themeColor="text1"/>
                <w:highlight w:val="yellow"/>
                <w:lang w:val="en-GB"/>
              </w:rPr>
            </w:pPr>
            <w:r w:rsidRPr="00DB56CA">
              <w:rPr>
                <w:color w:val="000000" w:themeColor="text1"/>
                <w:highlight w:val="yellow"/>
                <w:lang w:val="en-GB"/>
              </w:rPr>
              <w:t>388.04</w:t>
            </w:r>
          </w:p>
        </w:tc>
        <w:tc>
          <w:tcPr>
            <w:tcW w:w="2049" w:type="dxa"/>
          </w:tcPr>
          <w:p w14:paraId="3F0352F1" w14:textId="0C159E8E" w:rsidR="007C2805" w:rsidRPr="00DB56CA" w:rsidRDefault="007C2805" w:rsidP="001B3525">
            <w:pPr>
              <w:widowControl w:val="0"/>
              <w:autoSpaceDE w:val="0"/>
              <w:autoSpaceDN w:val="0"/>
              <w:adjustRightInd w:val="0"/>
              <w:spacing w:after="100" w:afterAutospacing="1" w:line="480" w:lineRule="auto"/>
              <w:contextualSpacing/>
              <w:rPr>
                <w:color w:val="000000" w:themeColor="text1"/>
                <w:lang w:val="en-GB"/>
              </w:rPr>
            </w:pPr>
            <w:r w:rsidRPr="00DB56CA">
              <w:rPr>
                <w:color w:val="000000" w:themeColor="text1"/>
                <w:lang w:val="en-GB"/>
              </w:rPr>
              <w:t>0.64 (0.54; 0.73) *</w:t>
            </w:r>
          </w:p>
        </w:tc>
        <w:tc>
          <w:tcPr>
            <w:tcW w:w="1020" w:type="dxa"/>
            <w:tcBorders>
              <w:right w:val="nil"/>
            </w:tcBorders>
          </w:tcPr>
          <w:p w14:paraId="7D91C475" w14:textId="77777777" w:rsidR="007C2805" w:rsidRPr="00DB56CA" w:rsidRDefault="007C2805" w:rsidP="001B3525">
            <w:pPr>
              <w:widowControl w:val="0"/>
              <w:autoSpaceDE w:val="0"/>
              <w:autoSpaceDN w:val="0"/>
              <w:adjustRightInd w:val="0"/>
              <w:spacing w:after="100" w:afterAutospacing="1" w:line="480" w:lineRule="auto"/>
              <w:contextualSpacing/>
              <w:rPr>
                <w:color w:val="000000" w:themeColor="text1"/>
                <w:lang w:val="en-GB"/>
              </w:rPr>
            </w:pPr>
            <w:r w:rsidRPr="00DB56CA">
              <w:rPr>
                <w:color w:val="000000" w:themeColor="text1"/>
                <w:lang w:val="en-GB"/>
              </w:rPr>
              <w:t>0.41</w:t>
            </w:r>
          </w:p>
        </w:tc>
      </w:tr>
      <w:tr w:rsidR="003A098A" w:rsidRPr="00DB56CA" w14:paraId="1EA49C7F" w14:textId="77777777" w:rsidTr="00DA0CF7">
        <w:trPr>
          <w:trHeight w:val="373"/>
        </w:trPr>
        <w:tc>
          <w:tcPr>
            <w:tcW w:w="1323" w:type="dxa"/>
            <w:tcBorders>
              <w:left w:val="nil"/>
            </w:tcBorders>
          </w:tcPr>
          <w:p w14:paraId="6FEF2DFB" w14:textId="77777777" w:rsidR="007C2805" w:rsidRPr="00DB56CA" w:rsidRDefault="007C2805" w:rsidP="001B3525">
            <w:pPr>
              <w:widowControl w:val="0"/>
              <w:autoSpaceDE w:val="0"/>
              <w:autoSpaceDN w:val="0"/>
              <w:adjustRightInd w:val="0"/>
              <w:spacing w:after="100" w:afterAutospacing="1" w:line="480" w:lineRule="auto"/>
              <w:contextualSpacing/>
              <w:jc w:val="center"/>
              <w:rPr>
                <w:b/>
                <w:color w:val="000000" w:themeColor="text1"/>
                <w:lang w:val="en-GB"/>
              </w:rPr>
            </w:pPr>
            <w:r w:rsidRPr="00DB56CA">
              <w:rPr>
                <w:b/>
                <w:color w:val="000000" w:themeColor="text1"/>
                <w:lang w:val="en-GB"/>
              </w:rPr>
              <w:t>February</w:t>
            </w:r>
          </w:p>
        </w:tc>
        <w:tc>
          <w:tcPr>
            <w:tcW w:w="1628" w:type="dxa"/>
          </w:tcPr>
          <w:p w14:paraId="45C3DABD" w14:textId="77777777" w:rsidR="007C2805" w:rsidRPr="00DB56CA" w:rsidRDefault="007C2805" w:rsidP="001B3525">
            <w:pPr>
              <w:widowControl w:val="0"/>
              <w:autoSpaceDE w:val="0"/>
              <w:autoSpaceDN w:val="0"/>
              <w:adjustRightInd w:val="0"/>
              <w:spacing w:after="100" w:afterAutospacing="1" w:line="480" w:lineRule="auto"/>
              <w:contextualSpacing/>
              <w:rPr>
                <w:color w:val="000000" w:themeColor="text1"/>
                <w:lang w:val="en-GB"/>
              </w:rPr>
            </w:pPr>
            <w:r w:rsidRPr="00DB56CA">
              <w:rPr>
                <w:color w:val="000000" w:themeColor="text1"/>
                <w:lang w:val="en-GB"/>
              </w:rPr>
              <w:t>177</w:t>
            </w:r>
          </w:p>
        </w:tc>
        <w:tc>
          <w:tcPr>
            <w:tcW w:w="1134" w:type="dxa"/>
          </w:tcPr>
          <w:p w14:paraId="37461E96" w14:textId="32A7FFE1" w:rsidR="007C2805" w:rsidRPr="00DB56CA" w:rsidRDefault="007C2805" w:rsidP="001B3525">
            <w:pPr>
              <w:widowControl w:val="0"/>
              <w:autoSpaceDE w:val="0"/>
              <w:autoSpaceDN w:val="0"/>
              <w:adjustRightInd w:val="0"/>
              <w:spacing w:after="100" w:afterAutospacing="1" w:line="480" w:lineRule="auto"/>
              <w:contextualSpacing/>
              <w:rPr>
                <w:color w:val="000000" w:themeColor="text1"/>
                <w:highlight w:val="yellow"/>
                <w:lang w:val="en-GB"/>
              </w:rPr>
            </w:pPr>
            <w:r w:rsidRPr="00DB56CA">
              <w:rPr>
                <w:color w:val="000000" w:themeColor="text1"/>
                <w:highlight w:val="yellow"/>
                <w:lang w:val="en-GB"/>
              </w:rPr>
              <w:t>256.67</w:t>
            </w:r>
          </w:p>
        </w:tc>
        <w:tc>
          <w:tcPr>
            <w:tcW w:w="1276" w:type="dxa"/>
          </w:tcPr>
          <w:p w14:paraId="14E5113E" w14:textId="64BE559D" w:rsidR="007C2805" w:rsidRPr="00DB56CA" w:rsidRDefault="007C2805" w:rsidP="001B3525">
            <w:pPr>
              <w:widowControl w:val="0"/>
              <w:autoSpaceDE w:val="0"/>
              <w:autoSpaceDN w:val="0"/>
              <w:adjustRightInd w:val="0"/>
              <w:spacing w:after="100" w:afterAutospacing="1" w:line="480" w:lineRule="auto"/>
              <w:contextualSpacing/>
              <w:rPr>
                <w:color w:val="000000" w:themeColor="text1"/>
                <w:highlight w:val="yellow"/>
                <w:lang w:val="en-GB"/>
              </w:rPr>
            </w:pPr>
            <w:r w:rsidRPr="00DB56CA">
              <w:rPr>
                <w:color w:val="000000" w:themeColor="text1"/>
                <w:highlight w:val="yellow"/>
                <w:lang w:val="en-GB"/>
              </w:rPr>
              <w:t>392.54</w:t>
            </w:r>
          </w:p>
        </w:tc>
        <w:tc>
          <w:tcPr>
            <w:tcW w:w="2049" w:type="dxa"/>
          </w:tcPr>
          <w:p w14:paraId="05AB5583" w14:textId="57D80282" w:rsidR="007C2805" w:rsidRPr="00DB56CA" w:rsidRDefault="007C2805" w:rsidP="001B3525">
            <w:pPr>
              <w:widowControl w:val="0"/>
              <w:autoSpaceDE w:val="0"/>
              <w:autoSpaceDN w:val="0"/>
              <w:adjustRightInd w:val="0"/>
              <w:spacing w:after="100" w:afterAutospacing="1" w:line="480" w:lineRule="auto"/>
              <w:contextualSpacing/>
              <w:rPr>
                <w:color w:val="000000" w:themeColor="text1"/>
                <w:lang w:val="en-GB"/>
              </w:rPr>
            </w:pPr>
            <w:r w:rsidRPr="00DB56CA">
              <w:rPr>
                <w:color w:val="000000" w:themeColor="text1"/>
                <w:lang w:val="en-GB"/>
              </w:rPr>
              <w:t>0.67 (0.58; 0.74) *</w:t>
            </w:r>
          </w:p>
        </w:tc>
        <w:tc>
          <w:tcPr>
            <w:tcW w:w="1020" w:type="dxa"/>
            <w:tcBorders>
              <w:right w:val="nil"/>
            </w:tcBorders>
          </w:tcPr>
          <w:p w14:paraId="18FC35B2" w14:textId="77777777" w:rsidR="007C2805" w:rsidRPr="00DB56CA" w:rsidRDefault="007C2805" w:rsidP="001B3525">
            <w:pPr>
              <w:widowControl w:val="0"/>
              <w:autoSpaceDE w:val="0"/>
              <w:autoSpaceDN w:val="0"/>
              <w:adjustRightInd w:val="0"/>
              <w:spacing w:after="100" w:afterAutospacing="1" w:line="480" w:lineRule="auto"/>
              <w:contextualSpacing/>
              <w:rPr>
                <w:color w:val="000000" w:themeColor="text1"/>
                <w:lang w:val="en-GB"/>
              </w:rPr>
            </w:pPr>
            <w:r w:rsidRPr="00DB56CA">
              <w:rPr>
                <w:color w:val="000000" w:themeColor="text1"/>
                <w:lang w:val="en-GB"/>
              </w:rPr>
              <w:t>0.44</w:t>
            </w:r>
          </w:p>
        </w:tc>
      </w:tr>
      <w:tr w:rsidR="003A098A" w:rsidRPr="00DB56CA" w14:paraId="43CF5F22" w14:textId="77777777" w:rsidTr="00DA0CF7">
        <w:trPr>
          <w:trHeight w:val="373"/>
        </w:trPr>
        <w:tc>
          <w:tcPr>
            <w:tcW w:w="1323" w:type="dxa"/>
            <w:tcBorders>
              <w:left w:val="nil"/>
            </w:tcBorders>
          </w:tcPr>
          <w:p w14:paraId="2C147BC5" w14:textId="77777777" w:rsidR="007C2805" w:rsidRPr="00DB56CA" w:rsidRDefault="007C2805" w:rsidP="001B3525">
            <w:pPr>
              <w:widowControl w:val="0"/>
              <w:autoSpaceDE w:val="0"/>
              <w:autoSpaceDN w:val="0"/>
              <w:adjustRightInd w:val="0"/>
              <w:spacing w:after="100" w:afterAutospacing="1" w:line="480" w:lineRule="auto"/>
              <w:contextualSpacing/>
              <w:jc w:val="center"/>
              <w:rPr>
                <w:b/>
                <w:color w:val="000000" w:themeColor="text1"/>
                <w:lang w:val="en-GB"/>
              </w:rPr>
            </w:pPr>
            <w:r w:rsidRPr="00DB56CA">
              <w:rPr>
                <w:b/>
                <w:color w:val="000000" w:themeColor="text1"/>
                <w:lang w:val="en-GB"/>
              </w:rPr>
              <w:t>March</w:t>
            </w:r>
          </w:p>
        </w:tc>
        <w:tc>
          <w:tcPr>
            <w:tcW w:w="1628" w:type="dxa"/>
          </w:tcPr>
          <w:p w14:paraId="28DD00EC" w14:textId="77777777" w:rsidR="007C2805" w:rsidRPr="00DB56CA" w:rsidRDefault="007C2805" w:rsidP="001B3525">
            <w:pPr>
              <w:widowControl w:val="0"/>
              <w:autoSpaceDE w:val="0"/>
              <w:autoSpaceDN w:val="0"/>
              <w:adjustRightInd w:val="0"/>
              <w:spacing w:after="100" w:afterAutospacing="1" w:line="480" w:lineRule="auto"/>
              <w:contextualSpacing/>
              <w:rPr>
                <w:color w:val="000000" w:themeColor="text1"/>
                <w:lang w:val="en-GB"/>
              </w:rPr>
            </w:pPr>
            <w:r w:rsidRPr="00DB56CA">
              <w:rPr>
                <w:color w:val="000000" w:themeColor="text1"/>
                <w:lang w:val="en-GB"/>
              </w:rPr>
              <w:t>114</w:t>
            </w:r>
          </w:p>
        </w:tc>
        <w:tc>
          <w:tcPr>
            <w:tcW w:w="1134" w:type="dxa"/>
          </w:tcPr>
          <w:p w14:paraId="42F0B129" w14:textId="66F0B1C2" w:rsidR="007C2805" w:rsidRPr="00DB56CA" w:rsidRDefault="007C2805" w:rsidP="001B3525">
            <w:pPr>
              <w:widowControl w:val="0"/>
              <w:autoSpaceDE w:val="0"/>
              <w:autoSpaceDN w:val="0"/>
              <w:adjustRightInd w:val="0"/>
              <w:spacing w:after="100" w:afterAutospacing="1" w:line="480" w:lineRule="auto"/>
              <w:contextualSpacing/>
              <w:rPr>
                <w:color w:val="000000" w:themeColor="text1"/>
                <w:highlight w:val="yellow"/>
                <w:lang w:val="en-GB"/>
              </w:rPr>
            </w:pPr>
            <w:r w:rsidRPr="00DB56CA">
              <w:rPr>
                <w:color w:val="000000" w:themeColor="text1"/>
                <w:highlight w:val="yellow"/>
                <w:lang w:val="en-GB"/>
              </w:rPr>
              <w:t>273.38</w:t>
            </w:r>
          </w:p>
        </w:tc>
        <w:tc>
          <w:tcPr>
            <w:tcW w:w="1276" w:type="dxa"/>
          </w:tcPr>
          <w:p w14:paraId="6A75ED0C" w14:textId="0C919199" w:rsidR="007C2805" w:rsidRPr="00DB56CA" w:rsidRDefault="007C2805" w:rsidP="001B3525">
            <w:pPr>
              <w:widowControl w:val="0"/>
              <w:autoSpaceDE w:val="0"/>
              <w:autoSpaceDN w:val="0"/>
              <w:adjustRightInd w:val="0"/>
              <w:spacing w:after="100" w:afterAutospacing="1" w:line="480" w:lineRule="auto"/>
              <w:contextualSpacing/>
              <w:rPr>
                <w:color w:val="000000" w:themeColor="text1"/>
                <w:highlight w:val="yellow"/>
                <w:lang w:val="en-GB"/>
              </w:rPr>
            </w:pPr>
            <w:r w:rsidRPr="00DB56CA">
              <w:rPr>
                <w:color w:val="000000" w:themeColor="text1"/>
                <w:highlight w:val="yellow"/>
                <w:lang w:val="en-GB"/>
              </w:rPr>
              <w:t>369.96</w:t>
            </w:r>
          </w:p>
        </w:tc>
        <w:tc>
          <w:tcPr>
            <w:tcW w:w="2049" w:type="dxa"/>
          </w:tcPr>
          <w:p w14:paraId="417914BB" w14:textId="32D32D19" w:rsidR="007C2805" w:rsidRPr="00DB56CA" w:rsidRDefault="007C2805" w:rsidP="001B3525">
            <w:pPr>
              <w:widowControl w:val="0"/>
              <w:autoSpaceDE w:val="0"/>
              <w:autoSpaceDN w:val="0"/>
              <w:adjustRightInd w:val="0"/>
              <w:spacing w:after="100" w:afterAutospacing="1" w:line="480" w:lineRule="auto"/>
              <w:contextualSpacing/>
              <w:rPr>
                <w:color w:val="000000" w:themeColor="text1"/>
                <w:lang w:val="en-GB"/>
              </w:rPr>
            </w:pPr>
            <w:r w:rsidRPr="00DB56CA">
              <w:rPr>
                <w:color w:val="000000" w:themeColor="text1"/>
                <w:lang w:val="en-GB"/>
              </w:rPr>
              <w:t>0.70 (0.61; 0.79) *</w:t>
            </w:r>
          </w:p>
        </w:tc>
        <w:tc>
          <w:tcPr>
            <w:tcW w:w="1020" w:type="dxa"/>
            <w:tcBorders>
              <w:right w:val="nil"/>
            </w:tcBorders>
          </w:tcPr>
          <w:p w14:paraId="5D1D3036" w14:textId="77777777" w:rsidR="007C2805" w:rsidRPr="00DB56CA" w:rsidRDefault="007C2805" w:rsidP="001B3525">
            <w:pPr>
              <w:widowControl w:val="0"/>
              <w:autoSpaceDE w:val="0"/>
              <w:autoSpaceDN w:val="0"/>
              <w:adjustRightInd w:val="0"/>
              <w:spacing w:after="100" w:afterAutospacing="1" w:line="480" w:lineRule="auto"/>
              <w:contextualSpacing/>
              <w:rPr>
                <w:color w:val="000000" w:themeColor="text1"/>
                <w:lang w:val="en-GB"/>
              </w:rPr>
            </w:pPr>
            <w:r w:rsidRPr="00DB56CA">
              <w:rPr>
                <w:color w:val="000000" w:themeColor="text1"/>
                <w:lang w:val="en-GB"/>
              </w:rPr>
              <w:t>0.49</w:t>
            </w:r>
          </w:p>
        </w:tc>
      </w:tr>
      <w:tr w:rsidR="003A098A" w:rsidRPr="00DB56CA" w14:paraId="1E0F0039" w14:textId="77777777" w:rsidTr="00DA0CF7">
        <w:trPr>
          <w:trHeight w:val="363"/>
        </w:trPr>
        <w:tc>
          <w:tcPr>
            <w:tcW w:w="1323" w:type="dxa"/>
            <w:tcBorders>
              <w:left w:val="nil"/>
              <w:bottom w:val="single" w:sz="4" w:space="0" w:color="auto"/>
            </w:tcBorders>
          </w:tcPr>
          <w:p w14:paraId="05817B30" w14:textId="77777777" w:rsidR="007C2805" w:rsidRPr="00DB56CA" w:rsidRDefault="007C2805" w:rsidP="001B3525">
            <w:pPr>
              <w:widowControl w:val="0"/>
              <w:autoSpaceDE w:val="0"/>
              <w:autoSpaceDN w:val="0"/>
              <w:adjustRightInd w:val="0"/>
              <w:spacing w:after="100" w:afterAutospacing="1" w:line="480" w:lineRule="auto"/>
              <w:contextualSpacing/>
              <w:jc w:val="center"/>
              <w:rPr>
                <w:b/>
                <w:color w:val="000000" w:themeColor="text1"/>
                <w:lang w:val="en-GB"/>
              </w:rPr>
            </w:pPr>
            <w:r w:rsidRPr="00DB56CA">
              <w:rPr>
                <w:b/>
                <w:color w:val="000000" w:themeColor="text1"/>
                <w:lang w:val="en-GB"/>
              </w:rPr>
              <w:t>April</w:t>
            </w:r>
          </w:p>
        </w:tc>
        <w:tc>
          <w:tcPr>
            <w:tcW w:w="1628" w:type="dxa"/>
          </w:tcPr>
          <w:p w14:paraId="535FA020" w14:textId="77777777" w:rsidR="007C2805" w:rsidRPr="00DB56CA" w:rsidRDefault="007C2805" w:rsidP="001B3525">
            <w:pPr>
              <w:widowControl w:val="0"/>
              <w:autoSpaceDE w:val="0"/>
              <w:autoSpaceDN w:val="0"/>
              <w:adjustRightInd w:val="0"/>
              <w:spacing w:after="100" w:afterAutospacing="1" w:line="480" w:lineRule="auto"/>
              <w:contextualSpacing/>
              <w:rPr>
                <w:color w:val="000000" w:themeColor="text1"/>
                <w:lang w:val="en-GB"/>
              </w:rPr>
            </w:pPr>
            <w:r w:rsidRPr="00DB56CA">
              <w:rPr>
                <w:color w:val="000000" w:themeColor="text1"/>
                <w:lang w:val="en-GB"/>
              </w:rPr>
              <w:t>36</w:t>
            </w:r>
          </w:p>
        </w:tc>
        <w:tc>
          <w:tcPr>
            <w:tcW w:w="1134" w:type="dxa"/>
          </w:tcPr>
          <w:p w14:paraId="14990F64" w14:textId="69BCC6A7" w:rsidR="007C2805" w:rsidRPr="00DB56CA" w:rsidRDefault="007C2805" w:rsidP="001B3525">
            <w:pPr>
              <w:widowControl w:val="0"/>
              <w:autoSpaceDE w:val="0"/>
              <w:autoSpaceDN w:val="0"/>
              <w:adjustRightInd w:val="0"/>
              <w:spacing w:after="100" w:afterAutospacing="1" w:line="480" w:lineRule="auto"/>
              <w:contextualSpacing/>
              <w:rPr>
                <w:color w:val="000000" w:themeColor="text1"/>
                <w:highlight w:val="yellow"/>
                <w:lang w:val="en-GB"/>
              </w:rPr>
            </w:pPr>
            <w:r w:rsidRPr="00DB56CA">
              <w:rPr>
                <w:color w:val="000000" w:themeColor="text1"/>
                <w:highlight w:val="yellow"/>
                <w:lang w:val="en-GB"/>
              </w:rPr>
              <w:t>285.11</w:t>
            </w:r>
          </w:p>
        </w:tc>
        <w:tc>
          <w:tcPr>
            <w:tcW w:w="1276" w:type="dxa"/>
          </w:tcPr>
          <w:p w14:paraId="1B3DD848" w14:textId="68291079" w:rsidR="007C2805" w:rsidRPr="00DB56CA" w:rsidRDefault="007C2805" w:rsidP="001B3525">
            <w:pPr>
              <w:widowControl w:val="0"/>
              <w:autoSpaceDE w:val="0"/>
              <w:autoSpaceDN w:val="0"/>
              <w:adjustRightInd w:val="0"/>
              <w:spacing w:after="100" w:afterAutospacing="1" w:line="480" w:lineRule="auto"/>
              <w:contextualSpacing/>
              <w:rPr>
                <w:color w:val="000000" w:themeColor="text1"/>
                <w:highlight w:val="yellow"/>
                <w:lang w:val="en-GB"/>
              </w:rPr>
            </w:pPr>
            <w:r w:rsidRPr="00DB56CA">
              <w:rPr>
                <w:color w:val="000000" w:themeColor="text1"/>
                <w:highlight w:val="yellow"/>
                <w:lang w:val="en-GB"/>
              </w:rPr>
              <w:t>352.50</w:t>
            </w:r>
          </w:p>
        </w:tc>
        <w:tc>
          <w:tcPr>
            <w:tcW w:w="2049" w:type="dxa"/>
          </w:tcPr>
          <w:p w14:paraId="168ED49A" w14:textId="4913E4D0" w:rsidR="007C2805" w:rsidRPr="00DB56CA" w:rsidRDefault="007C2805" w:rsidP="001B3525">
            <w:pPr>
              <w:widowControl w:val="0"/>
              <w:autoSpaceDE w:val="0"/>
              <w:autoSpaceDN w:val="0"/>
              <w:adjustRightInd w:val="0"/>
              <w:spacing w:after="100" w:afterAutospacing="1" w:line="480" w:lineRule="auto"/>
              <w:contextualSpacing/>
              <w:rPr>
                <w:color w:val="000000" w:themeColor="text1"/>
                <w:lang w:val="en-GB"/>
              </w:rPr>
            </w:pPr>
            <w:r w:rsidRPr="00DB56CA">
              <w:rPr>
                <w:color w:val="000000" w:themeColor="text1"/>
                <w:lang w:val="en-GB"/>
              </w:rPr>
              <w:t>0.60 (0.31; 0.82) *</w:t>
            </w:r>
          </w:p>
        </w:tc>
        <w:tc>
          <w:tcPr>
            <w:tcW w:w="1020" w:type="dxa"/>
            <w:tcBorders>
              <w:bottom w:val="single" w:sz="4" w:space="0" w:color="auto"/>
              <w:right w:val="nil"/>
            </w:tcBorders>
          </w:tcPr>
          <w:p w14:paraId="007EDDC8" w14:textId="77777777" w:rsidR="007C2805" w:rsidRPr="00DB56CA" w:rsidRDefault="007C2805" w:rsidP="001B3525">
            <w:pPr>
              <w:widowControl w:val="0"/>
              <w:autoSpaceDE w:val="0"/>
              <w:autoSpaceDN w:val="0"/>
              <w:adjustRightInd w:val="0"/>
              <w:spacing w:after="100" w:afterAutospacing="1" w:line="480" w:lineRule="auto"/>
              <w:contextualSpacing/>
              <w:rPr>
                <w:color w:val="000000" w:themeColor="text1"/>
                <w:lang w:val="en-GB"/>
              </w:rPr>
            </w:pPr>
            <w:r w:rsidRPr="00DB56CA">
              <w:rPr>
                <w:color w:val="000000" w:themeColor="text1"/>
                <w:lang w:val="en-GB"/>
              </w:rPr>
              <w:t>0.35</w:t>
            </w:r>
          </w:p>
        </w:tc>
      </w:tr>
    </w:tbl>
    <w:p w14:paraId="2FC736DA" w14:textId="21A4542D" w:rsidR="002D430C" w:rsidRPr="00DB56CA" w:rsidRDefault="009B4D62" w:rsidP="00683C25">
      <w:pPr>
        <w:spacing w:line="480" w:lineRule="auto"/>
        <w:rPr>
          <w:i/>
          <w:iCs/>
          <w:color w:val="44546A" w:themeColor="text2"/>
          <w:lang w:val="en-GB"/>
        </w:rPr>
      </w:pPr>
      <w:r w:rsidRPr="00DB56CA">
        <w:rPr>
          <w:lang w:val="en-GB"/>
        </w:rPr>
        <w:br w:type="page"/>
      </w:r>
      <w:r w:rsidR="002D430C" w:rsidRPr="00DB56CA">
        <w:rPr>
          <w:lang w:val="en-GB"/>
        </w:rPr>
        <w:lastRenderedPageBreak/>
        <w:t xml:space="preserve">Table </w:t>
      </w:r>
      <w:r w:rsidR="00020D65" w:rsidRPr="00DB56CA">
        <w:rPr>
          <w:lang w:val="en-GB"/>
        </w:rPr>
        <w:t>2</w:t>
      </w:r>
      <w:r w:rsidR="002D430C" w:rsidRPr="00DB56CA">
        <w:rPr>
          <w:lang w:val="en-GB"/>
        </w:rPr>
        <w:t>. Individual player correlations and R</w:t>
      </w:r>
      <w:r w:rsidR="002D430C" w:rsidRPr="00DB56CA">
        <w:rPr>
          <w:vertAlign w:val="superscript"/>
          <w:lang w:val="en-GB"/>
        </w:rPr>
        <w:t xml:space="preserve">2 </w:t>
      </w:r>
      <w:r w:rsidR="002D430C" w:rsidRPr="00DB56CA">
        <w:rPr>
          <w:lang w:val="en-GB"/>
        </w:rPr>
        <w:t>between HRTL and sRPETL. *Significant at p&lt;0.05</w:t>
      </w:r>
    </w:p>
    <w:tbl>
      <w:tblPr>
        <w:tblStyle w:val="TableGrid"/>
        <w:tblW w:w="8113" w:type="dxa"/>
        <w:jc w:val="center"/>
        <w:tblBorders>
          <w:insideH w:val="none" w:sz="0" w:space="0" w:color="auto"/>
          <w:insideV w:val="none" w:sz="0" w:space="0" w:color="auto"/>
        </w:tblBorders>
        <w:tblLook w:val="04A0" w:firstRow="1" w:lastRow="0" w:firstColumn="1" w:lastColumn="0" w:noHBand="0" w:noVBand="1"/>
        <w:tblCaption w:val="Within participant correlation between HRTL and sRPE TL"/>
        <w:tblDescription w:val="**significant at p&lt;0.001"/>
      </w:tblPr>
      <w:tblGrid>
        <w:gridCol w:w="1782"/>
        <w:gridCol w:w="2273"/>
        <w:gridCol w:w="1999"/>
        <w:gridCol w:w="2059"/>
      </w:tblGrid>
      <w:tr w:rsidR="002D430C" w:rsidRPr="00DB56CA" w14:paraId="714B4ABA" w14:textId="77777777" w:rsidTr="00DA0CF7">
        <w:trPr>
          <w:trHeight w:val="546"/>
          <w:jc w:val="center"/>
        </w:trPr>
        <w:tc>
          <w:tcPr>
            <w:tcW w:w="1782" w:type="dxa"/>
            <w:tcBorders>
              <w:top w:val="single" w:sz="4" w:space="0" w:color="auto"/>
              <w:left w:val="nil"/>
              <w:bottom w:val="single" w:sz="4" w:space="0" w:color="auto"/>
            </w:tcBorders>
          </w:tcPr>
          <w:p w14:paraId="08901C12" w14:textId="77777777" w:rsidR="002D430C" w:rsidRPr="00DB56CA" w:rsidRDefault="002D430C" w:rsidP="001B3525">
            <w:pPr>
              <w:widowControl w:val="0"/>
              <w:autoSpaceDE w:val="0"/>
              <w:autoSpaceDN w:val="0"/>
              <w:adjustRightInd w:val="0"/>
              <w:spacing w:after="100" w:afterAutospacing="1" w:line="480" w:lineRule="auto"/>
              <w:contextualSpacing/>
              <w:jc w:val="center"/>
              <w:rPr>
                <w:b/>
                <w:color w:val="000000" w:themeColor="text1"/>
                <w:lang w:val="en-GB"/>
              </w:rPr>
            </w:pPr>
            <w:r w:rsidRPr="00DB56CA">
              <w:rPr>
                <w:b/>
                <w:color w:val="000000" w:themeColor="text1"/>
                <w:lang w:val="en-GB"/>
              </w:rPr>
              <w:t>Participant</w:t>
            </w:r>
          </w:p>
        </w:tc>
        <w:tc>
          <w:tcPr>
            <w:tcW w:w="2273" w:type="dxa"/>
            <w:tcBorders>
              <w:top w:val="single" w:sz="4" w:space="0" w:color="auto"/>
              <w:bottom w:val="single" w:sz="4" w:space="0" w:color="auto"/>
            </w:tcBorders>
          </w:tcPr>
          <w:p w14:paraId="1B918DF9" w14:textId="77777777" w:rsidR="002D430C" w:rsidRPr="00DB56CA" w:rsidRDefault="002D430C" w:rsidP="001B3525">
            <w:pPr>
              <w:widowControl w:val="0"/>
              <w:autoSpaceDE w:val="0"/>
              <w:autoSpaceDN w:val="0"/>
              <w:adjustRightInd w:val="0"/>
              <w:spacing w:after="100" w:afterAutospacing="1" w:line="480" w:lineRule="auto"/>
              <w:contextualSpacing/>
              <w:jc w:val="center"/>
              <w:rPr>
                <w:color w:val="000000" w:themeColor="text1"/>
                <w:lang w:val="en-GB"/>
              </w:rPr>
            </w:pPr>
            <w:r w:rsidRPr="00DB56CA">
              <w:rPr>
                <w:b/>
                <w:color w:val="000000" w:themeColor="text1"/>
                <w:lang w:val="en-GB"/>
              </w:rPr>
              <w:t>Number of sessions analysed (N)</w:t>
            </w:r>
          </w:p>
        </w:tc>
        <w:tc>
          <w:tcPr>
            <w:tcW w:w="1999" w:type="dxa"/>
            <w:tcBorders>
              <w:top w:val="single" w:sz="4" w:space="0" w:color="auto"/>
              <w:bottom w:val="single" w:sz="4" w:space="0" w:color="auto"/>
            </w:tcBorders>
          </w:tcPr>
          <w:p w14:paraId="3A003C1C" w14:textId="2209A2EC" w:rsidR="002D430C" w:rsidRPr="00DB56CA" w:rsidRDefault="002D430C" w:rsidP="001B3525">
            <w:pPr>
              <w:widowControl w:val="0"/>
              <w:autoSpaceDE w:val="0"/>
              <w:autoSpaceDN w:val="0"/>
              <w:adjustRightInd w:val="0"/>
              <w:spacing w:after="100" w:afterAutospacing="1" w:line="480" w:lineRule="auto"/>
              <w:contextualSpacing/>
              <w:jc w:val="center"/>
              <w:rPr>
                <w:color w:val="000000" w:themeColor="text1"/>
                <w:lang w:val="en-GB"/>
              </w:rPr>
            </w:pPr>
            <w:r w:rsidRPr="00DB56CA">
              <w:rPr>
                <w:b/>
                <w:color w:val="000000" w:themeColor="text1"/>
                <w:lang w:val="en-GB"/>
              </w:rPr>
              <w:t>Correlation (r)</w:t>
            </w:r>
          </w:p>
        </w:tc>
        <w:tc>
          <w:tcPr>
            <w:tcW w:w="2059" w:type="dxa"/>
            <w:tcBorders>
              <w:top w:val="single" w:sz="4" w:space="0" w:color="auto"/>
              <w:bottom w:val="single" w:sz="4" w:space="0" w:color="auto"/>
              <w:right w:val="nil"/>
            </w:tcBorders>
          </w:tcPr>
          <w:p w14:paraId="360ECFEB" w14:textId="77777777" w:rsidR="002D430C" w:rsidRPr="00DB56CA" w:rsidRDefault="002D430C" w:rsidP="001B3525">
            <w:pPr>
              <w:widowControl w:val="0"/>
              <w:autoSpaceDE w:val="0"/>
              <w:autoSpaceDN w:val="0"/>
              <w:adjustRightInd w:val="0"/>
              <w:spacing w:after="100" w:afterAutospacing="1" w:line="480" w:lineRule="auto"/>
              <w:contextualSpacing/>
              <w:jc w:val="center"/>
              <w:rPr>
                <w:color w:val="000000" w:themeColor="text1"/>
                <w:lang w:val="en-GB"/>
              </w:rPr>
            </w:pPr>
            <w:r w:rsidRPr="00DB56CA">
              <w:rPr>
                <w:b/>
                <w:color w:val="000000" w:themeColor="text1"/>
                <w:lang w:val="en-GB"/>
              </w:rPr>
              <w:t>R</w:t>
            </w:r>
            <w:r w:rsidRPr="00DB56CA">
              <w:rPr>
                <w:b/>
                <w:color w:val="000000" w:themeColor="text1"/>
                <w:vertAlign w:val="superscript"/>
                <w:lang w:val="en-GB"/>
              </w:rPr>
              <w:t>2</w:t>
            </w:r>
          </w:p>
        </w:tc>
      </w:tr>
      <w:tr w:rsidR="002D430C" w:rsidRPr="00DB56CA" w14:paraId="252939F4" w14:textId="77777777" w:rsidTr="00DA0CF7">
        <w:trPr>
          <w:trHeight w:val="141"/>
          <w:jc w:val="center"/>
        </w:trPr>
        <w:tc>
          <w:tcPr>
            <w:tcW w:w="1782" w:type="dxa"/>
            <w:tcBorders>
              <w:top w:val="single" w:sz="4" w:space="0" w:color="auto"/>
              <w:left w:val="nil"/>
            </w:tcBorders>
          </w:tcPr>
          <w:p w14:paraId="707EB209" w14:textId="77777777" w:rsidR="002D430C" w:rsidRPr="00DB56CA" w:rsidRDefault="002D430C" w:rsidP="001B3525">
            <w:pPr>
              <w:widowControl w:val="0"/>
              <w:autoSpaceDE w:val="0"/>
              <w:autoSpaceDN w:val="0"/>
              <w:adjustRightInd w:val="0"/>
              <w:spacing w:after="100" w:afterAutospacing="1" w:line="480" w:lineRule="auto"/>
              <w:contextualSpacing/>
              <w:jc w:val="center"/>
              <w:rPr>
                <w:color w:val="000000" w:themeColor="text1"/>
                <w:lang w:val="en-GB"/>
              </w:rPr>
            </w:pPr>
            <w:r w:rsidRPr="00DB56CA">
              <w:rPr>
                <w:color w:val="000000" w:themeColor="text1"/>
                <w:lang w:val="en-GB"/>
              </w:rPr>
              <w:t>1</w:t>
            </w:r>
          </w:p>
        </w:tc>
        <w:tc>
          <w:tcPr>
            <w:tcW w:w="2273" w:type="dxa"/>
            <w:tcBorders>
              <w:top w:val="single" w:sz="4" w:space="0" w:color="auto"/>
            </w:tcBorders>
          </w:tcPr>
          <w:p w14:paraId="4780F5D6" w14:textId="77777777" w:rsidR="002D430C" w:rsidRPr="00DB56CA" w:rsidRDefault="002D430C" w:rsidP="001B3525">
            <w:pPr>
              <w:widowControl w:val="0"/>
              <w:autoSpaceDE w:val="0"/>
              <w:autoSpaceDN w:val="0"/>
              <w:adjustRightInd w:val="0"/>
              <w:spacing w:after="100" w:afterAutospacing="1" w:line="480" w:lineRule="auto"/>
              <w:contextualSpacing/>
              <w:jc w:val="center"/>
              <w:rPr>
                <w:color w:val="000000" w:themeColor="text1"/>
                <w:lang w:val="en-GB"/>
              </w:rPr>
            </w:pPr>
            <w:r w:rsidRPr="00DB56CA">
              <w:rPr>
                <w:color w:val="000000" w:themeColor="text1"/>
                <w:lang w:val="en-GB"/>
              </w:rPr>
              <w:t>35</w:t>
            </w:r>
          </w:p>
        </w:tc>
        <w:tc>
          <w:tcPr>
            <w:tcW w:w="1999" w:type="dxa"/>
            <w:tcBorders>
              <w:top w:val="single" w:sz="4" w:space="0" w:color="auto"/>
            </w:tcBorders>
          </w:tcPr>
          <w:p w14:paraId="3963E23E" w14:textId="77777777" w:rsidR="002D430C" w:rsidRPr="00DB56CA" w:rsidRDefault="002D430C" w:rsidP="001B3525">
            <w:pPr>
              <w:widowControl w:val="0"/>
              <w:autoSpaceDE w:val="0"/>
              <w:autoSpaceDN w:val="0"/>
              <w:adjustRightInd w:val="0"/>
              <w:spacing w:after="100" w:afterAutospacing="1" w:line="480" w:lineRule="auto"/>
              <w:contextualSpacing/>
              <w:jc w:val="center"/>
              <w:rPr>
                <w:color w:val="000000" w:themeColor="text1"/>
                <w:lang w:val="en-GB"/>
              </w:rPr>
            </w:pPr>
            <w:r w:rsidRPr="00DB56CA">
              <w:rPr>
                <w:color w:val="000000" w:themeColor="text1"/>
                <w:lang w:val="en-GB"/>
              </w:rPr>
              <w:t>0.81*</w:t>
            </w:r>
          </w:p>
        </w:tc>
        <w:tc>
          <w:tcPr>
            <w:tcW w:w="2059" w:type="dxa"/>
            <w:tcBorders>
              <w:top w:val="single" w:sz="4" w:space="0" w:color="auto"/>
              <w:right w:val="nil"/>
            </w:tcBorders>
          </w:tcPr>
          <w:p w14:paraId="47EB33A6" w14:textId="77777777" w:rsidR="002D430C" w:rsidRPr="00DB56CA" w:rsidRDefault="002D430C" w:rsidP="001B3525">
            <w:pPr>
              <w:widowControl w:val="0"/>
              <w:autoSpaceDE w:val="0"/>
              <w:autoSpaceDN w:val="0"/>
              <w:adjustRightInd w:val="0"/>
              <w:spacing w:after="100" w:afterAutospacing="1" w:line="480" w:lineRule="auto"/>
              <w:contextualSpacing/>
              <w:jc w:val="center"/>
              <w:rPr>
                <w:color w:val="000000" w:themeColor="text1"/>
                <w:lang w:val="en-GB"/>
              </w:rPr>
            </w:pPr>
            <w:r w:rsidRPr="00DB56CA">
              <w:rPr>
                <w:color w:val="000000" w:themeColor="text1"/>
                <w:lang w:val="en-GB"/>
              </w:rPr>
              <w:t>0.65</w:t>
            </w:r>
          </w:p>
        </w:tc>
      </w:tr>
      <w:tr w:rsidR="002D430C" w:rsidRPr="00DB56CA" w14:paraId="16315951" w14:textId="77777777" w:rsidTr="00DA0CF7">
        <w:trPr>
          <w:trHeight w:val="141"/>
          <w:jc w:val="center"/>
        </w:trPr>
        <w:tc>
          <w:tcPr>
            <w:tcW w:w="1782" w:type="dxa"/>
            <w:tcBorders>
              <w:left w:val="nil"/>
            </w:tcBorders>
          </w:tcPr>
          <w:p w14:paraId="39A10687" w14:textId="77777777" w:rsidR="002D430C" w:rsidRPr="00DB56CA" w:rsidRDefault="002D430C" w:rsidP="001B3525">
            <w:pPr>
              <w:widowControl w:val="0"/>
              <w:autoSpaceDE w:val="0"/>
              <w:autoSpaceDN w:val="0"/>
              <w:adjustRightInd w:val="0"/>
              <w:spacing w:after="100" w:afterAutospacing="1" w:line="480" w:lineRule="auto"/>
              <w:contextualSpacing/>
              <w:jc w:val="center"/>
              <w:rPr>
                <w:color w:val="000000" w:themeColor="text1"/>
                <w:lang w:val="en-GB"/>
              </w:rPr>
            </w:pPr>
            <w:r w:rsidRPr="00DB56CA">
              <w:rPr>
                <w:color w:val="000000" w:themeColor="text1"/>
                <w:lang w:val="en-GB"/>
              </w:rPr>
              <w:t>2</w:t>
            </w:r>
          </w:p>
        </w:tc>
        <w:tc>
          <w:tcPr>
            <w:tcW w:w="2273" w:type="dxa"/>
          </w:tcPr>
          <w:p w14:paraId="71844E6B" w14:textId="77777777" w:rsidR="002D430C" w:rsidRPr="00DB56CA" w:rsidRDefault="002D430C" w:rsidP="001B3525">
            <w:pPr>
              <w:widowControl w:val="0"/>
              <w:autoSpaceDE w:val="0"/>
              <w:autoSpaceDN w:val="0"/>
              <w:adjustRightInd w:val="0"/>
              <w:spacing w:after="100" w:afterAutospacing="1" w:line="480" w:lineRule="auto"/>
              <w:contextualSpacing/>
              <w:jc w:val="center"/>
              <w:rPr>
                <w:color w:val="000000" w:themeColor="text1"/>
                <w:lang w:val="en-GB"/>
              </w:rPr>
            </w:pPr>
            <w:r w:rsidRPr="00DB56CA">
              <w:rPr>
                <w:color w:val="000000" w:themeColor="text1"/>
                <w:lang w:val="en-GB"/>
              </w:rPr>
              <w:t>125</w:t>
            </w:r>
          </w:p>
        </w:tc>
        <w:tc>
          <w:tcPr>
            <w:tcW w:w="1999" w:type="dxa"/>
          </w:tcPr>
          <w:p w14:paraId="7BC155DB" w14:textId="77777777" w:rsidR="002D430C" w:rsidRPr="00DB56CA" w:rsidRDefault="002D430C" w:rsidP="001B3525">
            <w:pPr>
              <w:widowControl w:val="0"/>
              <w:autoSpaceDE w:val="0"/>
              <w:autoSpaceDN w:val="0"/>
              <w:adjustRightInd w:val="0"/>
              <w:spacing w:after="100" w:afterAutospacing="1" w:line="480" w:lineRule="auto"/>
              <w:contextualSpacing/>
              <w:jc w:val="center"/>
              <w:rPr>
                <w:color w:val="000000" w:themeColor="text1"/>
                <w:lang w:val="en-GB"/>
              </w:rPr>
            </w:pPr>
            <w:r w:rsidRPr="00DB56CA">
              <w:rPr>
                <w:color w:val="000000" w:themeColor="text1"/>
                <w:lang w:val="en-GB"/>
              </w:rPr>
              <w:t>0.69*</w:t>
            </w:r>
          </w:p>
        </w:tc>
        <w:tc>
          <w:tcPr>
            <w:tcW w:w="2059" w:type="dxa"/>
            <w:tcBorders>
              <w:right w:val="nil"/>
            </w:tcBorders>
          </w:tcPr>
          <w:p w14:paraId="43079D7B" w14:textId="77777777" w:rsidR="002D430C" w:rsidRPr="00DB56CA" w:rsidRDefault="002D430C" w:rsidP="001B3525">
            <w:pPr>
              <w:widowControl w:val="0"/>
              <w:autoSpaceDE w:val="0"/>
              <w:autoSpaceDN w:val="0"/>
              <w:adjustRightInd w:val="0"/>
              <w:spacing w:after="100" w:afterAutospacing="1" w:line="480" w:lineRule="auto"/>
              <w:contextualSpacing/>
              <w:jc w:val="center"/>
              <w:rPr>
                <w:color w:val="000000" w:themeColor="text1"/>
                <w:lang w:val="en-GB"/>
              </w:rPr>
            </w:pPr>
            <w:r w:rsidRPr="00DB56CA">
              <w:rPr>
                <w:color w:val="000000" w:themeColor="text1"/>
                <w:lang w:val="en-GB"/>
              </w:rPr>
              <w:t>0.48</w:t>
            </w:r>
          </w:p>
        </w:tc>
      </w:tr>
      <w:tr w:rsidR="002D430C" w:rsidRPr="00DB56CA" w14:paraId="67C86E38" w14:textId="77777777" w:rsidTr="00DA0CF7">
        <w:trPr>
          <w:trHeight w:val="141"/>
          <w:jc w:val="center"/>
        </w:trPr>
        <w:tc>
          <w:tcPr>
            <w:tcW w:w="1782" w:type="dxa"/>
            <w:tcBorders>
              <w:left w:val="nil"/>
            </w:tcBorders>
          </w:tcPr>
          <w:p w14:paraId="7E3C45E6" w14:textId="77777777" w:rsidR="002D430C" w:rsidRPr="00DB56CA" w:rsidRDefault="002D430C" w:rsidP="001B3525">
            <w:pPr>
              <w:widowControl w:val="0"/>
              <w:autoSpaceDE w:val="0"/>
              <w:autoSpaceDN w:val="0"/>
              <w:adjustRightInd w:val="0"/>
              <w:spacing w:after="100" w:afterAutospacing="1" w:line="480" w:lineRule="auto"/>
              <w:contextualSpacing/>
              <w:jc w:val="center"/>
              <w:rPr>
                <w:color w:val="000000" w:themeColor="text1"/>
                <w:lang w:val="en-GB"/>
              </w:rPr>
            </w:pPr>
            <w:r w:rsidRPr="00DB56CA">
              <w:rPr>
                <w:color w:val="000000" w:themeColor="text1"/>
                <w:lang w:val="en-GB"/>
              </w:rPr>
              <w:t>3</w:t>
            </w:r>
          </w:p>
        </w:tc>
        <w:tc>
          <w:tcPr>
            <w:tcW w:w="2273" w:type="dxa"/>
          </w:tcPr>
          <w:p w14:paraId="695281B6" w14:textId="77777777" w:rsidR="002D430C" w:rsidRPr="00DB56CA" w:rsidRDefault="002D430C" w:rsidP="001B3525">
            <w:pPr>
              <w:widowControl w:val="0"/>
              <w:autoSpaceDE w:val="0"/>
              <w:autoSpaceDN w:val="0"/>
              <w:adjustRightInd w:val="0"/>
              <w:spacing w:after="100" w:afterAutospacing="1" w:line="480" w:lineRule="auto"/>
              <w:contextualSpacing/>
              <w:jc w:val="center"/>
              <w:rPr>
                <w:color w:val="000000" w:themeColor="text1"/>
                <w:lang w:val="en-GB"/>
              </w:rPr>
            </w:pPr>
            <w:r w:rsidRPr="00DB56CA">
              <w:rPr>
                <w:color w:val="000000" w:themeColor="text1"/>
                <w:lang w:val="en-GB"/>
              </w:rPr>
              <w:t>40</w:t>
            </w:r>
          </w:p>
        </w:tc>
        <w:tc>
          <w:tcPr>
            <w:tcW w:w="1999" w:type="dxa"/>
          </w:tcPr>
          <w:p w14:paraId="1D471862" w14:textId="77777777" w:rsidR="002D430C" w:rsidRPr="00DB56CA" w:rsidRDefault="002D430C" w:rsidP="001B3525">
            <w:pPr>
              <w:widowControl w:val="0"/>
              <w:autoSpaceDE w:val="0"/>
              <w:autoSpaceDN w:val="0"/>
              <w:adjustRightInd w:val="0"/>
              <w:spacing w:after="100" w:afterAutospacing="1" w:line="480" w:lineRule="auto"/>
              <w:contextualSpacing/>
              <w:jc w:val="center"/>
              <w:rPr>
                <w:color w:val="000000" w:themeColor="text1"/>
                <w:lang w:val="en-GB"/>
              </w:rPr>
            </w:pPr>
            <w:r w:rsidRPr="00DB56CA">
              <w:rPr>
                <w:color w:val="000000" w:themeColor="text1"/>
                <w:lang w:val="en-GB"/>
              </w:rPr>
              <w:t>0.54*</w:t>
            </w:r>
          </w:p>
        </w:tc>
        <w:tc>
          <w:tcPr>
            <w:tcW w:w="2059" w:type="dxa"/>
            <w:tcBorders>
              <w:right w:val="nil"/>
            </w:tcBorders>
          </w:tcPr>
          <w:p w14:paraId="4B7F2558" w14:textId="77777777" w:rsidR="002D430C" w:rsidRPr="00DB56CA" w:rsidRDefault="002D430C" w:rsidP="001B3525">
            <w:pPr>
              <w:widowControl w:val="0"/>
              <w:autoSpaceDE w:val="0"/>
              <w:autoSpaceDN w:val="0"/>
              <w:adjustRightInd w:val="0"/>
              <w:spacing w:after="100" w:afterAutospacing="1" w:line="480" w:lineRule="auto"/>
              <w:contextualSpacing/>
              <w:jc w:val="center"/>
              <w:rPr>
                <w:color w:val="000000" w:themeColor="text1"/>
                <w:lang w:val="en-GB"/>
              </w:rPr>
            </w:pPr>
            <w:r w:rsidRPr="00DB56CA">
              <w:rPr>
                <w:color w:val="000000" w:themeColor="text1"/>
                <w:lang w:val="en-GB"/>
              </w:rPr>
              <w:t>0.29</w:t>
            </w:r>
          </w:p>
        </w:tc>
      </w:tr>
      <w:tr w:rsidR="002D430C" w:rsidRPr="00DB56CA" w14:paraId="30BBC25C" w14:textId="77777777" w:rsidTr="00DA0CF7">
        <w:trPr>
          <w:trHeight w:val="141"/>
          <w:jc w:val="center"/>
        </w:trPr>
        <w:tc>
          <w:tcPr>
            <w:tcW w:w="1782" w:type="dxa"/>
            <w:tcBorders>
              <w:left w:val="nil"/>
            </w:tcBorders>
          </w:tcPr>
          <w:p w14:paraId="0F393E9A" w14:textId="77777777" w:rsidR="002D430C" w:rsidRPr="00DB56CA" w:rsidRDefault="002D430C" w:rsidP="001B3525">
            <w:pPr>
              <w:widowControl w:val="0"/>
              <w:autoSpaceDE w:val="0"/>
              <w:autoSpaceDN w:val="0"/>
              <w:adjustRightInd w:val="0"/>
              <w:spacing w:after="100" w:afterAutospacing="1" w:line="480" w:lineRule="auto"/>
              <w:contextualSpacing/>
              <w:jc w:val="center"/>
              <w:rPr>
                <w:color w:val="000000" w:themeColor="text1"/>
                <w:lang w:val="en-GB"/>
              </w:rPr>
            </w:pPr>
            <w:r w:rsidRPr="00DB56CA">
              <w:rPr>
                <w:color w:val="000000" w:themeColor="text1"/>
                <w:lang w:val="en-GB"/>
              </w:rPr>
              <w:t>4</w:t>
            </w:r>
          </w:p>
        </w:tc>
        <w:tc>
          <w:tcPr>
            <w:tcW w:w="2273" w:type="dxa"/>
          </w:tcPr>
          <w:p w14:paraId="22234EC6" w14:textId="77777777" w:rsidR="002D430C" w:rsidRPr="00DB56CA" w:rsidRDefault="002D430C" w:rsidP="001B3525">
            <w:pPr>
              <w:widowControl w:val="0"/>
              <w:autoSpaceDE w:val="0"/>
              <w:autoSpaceDN w:val="0"/>
              <w:adjustRightInd w:val="0"/>
              <w:spacing w:after="100" w:afterAutospacing="1" w:line="480" w:lineRule="auto"/>
              <w:contextualSpacing/>
              <w:jc w:val="center"/>
              <w:rPr>
                <w:color w:val="000000" w:themeColor="text1"/>
                <w:lang w:val="en-GB"/>
              </w:rPr>
            </w:pPr>
            <w:r w:rsidRPr="00DB56CA">
              <w:rPr>
                <w:color w:val="000000" w:themeColor="text1"/>
                <w:lang w:val="en-GB"/>
              </w:rPr>
              <w:t>37</w:t>
            </w:r>
          </w:p>
        </w:tc>
        <w:tc>
          <w:tcPr>
            <w:tcW w:w="1999" w:type="dxa"/>
          </w:tcPr>
          <w:p w14:paraId="3F91B794" w14:textId="77777777" w:rsidR="002D430C" w:rsidRPr="00DB56CA" w:rsidRDefault="002D430C" w:rsidP="001B3525">
            <w:pPr>
              <w:widowControl w:val="0"/>
              <w:autoSpaceDE w:val="0"/>
              <w:autoSpaceDN w:val="0"/>
              <w:adjustRightInd w:val="0"/>
              <w:spacing w:after="100" w:afterAutospacing="1" w:line="480" w:lineRule="auto"/>
              <w:contextualSpacing/>
              <w:jc w:val="center"/>
              <w:rPr>
                <w:color w:val="000000" w:themeColor="text1"/>
                <w:lang w:val="en-GB"/>
              </w:rPr>
            </w:pPr>
            <w:r w:rsidRPr="00DB56CA">
              <w:rPr>
                <w:color w:val="000000" w:themeColor="text1"/>
                <w:lang w:val="en-GB"/>
              </w:rPr>
              <w:t>0.79*</w:t>
            </w:r>
          </w:p>
        </w:tc>
        <w:tc>
          <w:tcPr>
            <w:tcW w:w="2059" w:type="dxa"/>
            <w:tcBorders>
              <w:right w:val="nil"/>
            </w:tcBorders>
          </w:tcPr>
          <w:p w14:paraId="543C84B4" w14:textId="77777777" w:rsidR="002D430C" w:rsidRPr="00DB56CA" w:rsidRDefault="002D430C" w:rsidP="001B3525">
            <w:pPr>
              <w:widowControl w:val="0"/>
              <w:autoSpaceDE w:val="0"/>
              <w:autoSpaceDN w:val="0"/>
              <w:adjustRightInd w:val="0"/>
              <w:spacing w:after="100" w:afterAutospacing="1" w:line="480" w:lineRule="auto"/>
              <w:contextualSpacing/>
              <w:jc w:val="center"/>
              <w:rPr>
                <w:color w:val="000000" w:themeColor="text1"/>
                <w:lang w:val="en-GB"/>
              </w:rPr>
            </w:pPr>
            <w:r w:rsidRPr="00DB56CA">
              <w:rPr>
                <w:color w:val="000000" w:themeColor="text1"/>
                <w:lang w:val="en-GB"/>
              </w:rPr>
              <w:t>0.63</w:t>
            </w:r>
          </w:p>
        </w:tc>
      </w:tr>
      <w:tr w:rsidR="002D430C" w:rsidRPr="00DB56CA" w14:paraId="64A5BDB5" w14:textId="77777777" w:rsidTr="00DA0CF7">
        <w:trPr>
          <w:trHeight w:val="141"/>
          <w:jc w:val="center"/>
        </w:trPr>
        <w:tc>
          <w:tcPr>
            <w:tcW w:w="1782" w:type="dxa"/>
            <w:tcBorders>
              <w:left w:val="nil"/>
            </w:tcBorders>
          </w:tcPr>
          <w:p w14:paraId="2E1C1C83" w14:textId="77777777" w:rsidR="002D430C" w:rsidRPr="00DB56CA" w:rsidRDefault="002D430C" w:rsidP="001B3525">
            <w:pPr>
              <w:widowControl w:val="0"/>
              <w:autoSpaceDE w:val="0"/>
              <w:autoSpaceDN w:val="0"/>
              <w:adjustRightInd w:val="0"/>
              <w:spacing w:after="100" w:afterAutospacing="1" w:line="480" w:lineRule="auto"/>
              <w:contextualSpacing/>
              <w:jc w:val="center"/>
              <w:rPr>
                <w:color w:val="000000" w:themeColor="text1"/>
                <w:lang w:val="en-GB"/>
              </w:rPr>
            </w:pPr>
            <w:r w:rsidRPr="00DB56CA">
              <w:rPr>
                <w:color w:val="000000" w:themeColor="text1"/>
                <w:lang w:val="en-GB"/>
              </w:rPr>
              <w:t>5</w:t>
            </w:r>
          </w:p>
        </w:tc>
        <w:tc>
          <w:tcPr>
            <w:tcW w:w="2273" w:type="dxa"/>
          </w:tcPr>
          <w:p w14:paraId="077EA64F" w14:textId="77777777" w:rsidR="002D430C" w:rsidRPr="00DB56CA" w:rsidRDefault="002D430C" w:rsidP="001B3525">
            <w:pPr>
              <w:widowControl w:val="0"/>
              <w:autoSpaceDE w:val="0"/>
              <w:autoSpaceDN w:val="0"/>
              <w:adjustRightInd w:val="0"/>
              <w:spacing w:after="100" w:afterAutospacing="1" w:line="480" w:lineRule="auto"/>
              <w:contextualSpacing/>
              <w:jc w:val="center"/>
              <w:rPr>
                <w:color w:val="000000" w:themeColor="text1"/>
                <w:lang w:val="en-GB"/>
              </w:rPr>
            </w:pPr>
            <w:r w:rsidRPr="00DB56CA">
              <w:rPr>
                <w:color w:val="000000" w:themeColor="text1"/>
                <w:lang w:val="en-GB"/>
              </w:rPr>
              <w:t>85</w:t>
            </w:r>
          </w:p>
        </w:tc>
        <w:tc>
          <w:tcPr>
            <w:tcW w:w="1999" w:type="dxa"/>
          </w:tcPr>
          <w:p w14:paraId="20BEDA93" w14:textId="77777777" w:rsidR="002D430C" w:rsidRPr="00DB56CA" w:rsidRDefault="002D430C" w:rsidP="001B3525">
            <w:pPr>
              <w:widowControl w:val="0"/>
              <w:autoSpaceDE w:val="0"/>
              <w:autoSpaceDN w:val="0"/>
              <w:adjustRightInd w:val="0"/>
              <w:spacing w:after="100" w:afterAutospacing="1" w:line="480" w:lineRule="auto"/>
              <w:contextualSpacing/>
              <w:jc w:val="center"/>
              <w:rPr>
                <w:color w:val="000000" w:themeColor="text1"/>
                <w:lang w:val="en-GB"/>
              </w:rPr>
            </w:pPr>
            <w:r w:rsidRPr="00DB56CA">
              <w:rPr>
                <w:color w:val="000000" w:themeColor="text1"/>
                <w:lang w:val="en-GB"/>
              </w:rPr>
              <w:t>0.70*</w:t>
            </w:r>
          </w:p>
        </w:tc>
        <w:tc>
          <w:tcPr>
            <w:tcW w:w="2059" w:type="dxa"/>
            <w:tcBorders>
              <w:right w:val="nil"/>
            </w:tcBorders>
          </w:tcPr>
          <w:p w14:paraId="54D403E1" w14:textId="77777777" w:rsidR="002D430C" w:rsidRPr="00DB56CA" w:rsidRDefault="002D430C" w:rsidP="001B3525">
            <w:pPr>
              <w:widowControl w:val="0"/>
              <w:autoSpaceDE w:val="0"/>
              <w:autoSpaceDN w:val="0"/>
              <w:adjustRightInd w:val="0"/>
              <w:spacing w:after="100" w:afterAutospacing="1" w:line="480" w:lineRule="auto"/>
              <w:contextualSpacing/>
              <w:jc w:val="center"/>
              <w:rPr>
                <w:color w:val="000000" w:themeColor="text1"/>
                <w:lang w:val="en-GB"/>
              </w:rPr>
            </w:pPr>
            <w:r w:rsidRPr="00DB56CA">
              <w:rPr>
                <w:color w:val="000000" w:themeColor="text1"/>
                <w:lang w:val="en-GB"/>
              </w:rPr>
              <w:t>0.49</w:t>
            </w:r>
          </w:p>
        </w:tc>
      </w:tr>
      <w:tr w:rsidR="002D430C" w:rsidRPr="00DB56CA" w14:paraId="1BC369A4" w14:textId="77777777" w:rsidTr="00DA0CF7">
        <w:trPr>
          <w:trHeight w:val="141"/>
          <w:jc w:val="center"/>
        </w:trPr>
        <w:tc>
          <w:tcPr>
            <w:tcW w:w="1782" w:type="dxa"/>
            <w:tcBorders>
              <w:left w:val="nil"/>
            </w:tcBorders>
          </w:tcPr>
          <w:p w14:paraId="456BA2F8" w14:textId="77777777" w:rsidR="002D430C" w:rsidRPr="00DB56CA" w:rsidRDefault="002D430C" w:rsidP="001B3525">
            <w:pPr>
              <w:widowControl w:val="0"/>
              <w:autoSpaceDE w:val="0"/>
              <w:autoSpaceDN w:val="0"/>
              <w:adjustRightInd w:val="0"/>
              <w:spacing w:after="100" w:afterAutospacing="1" w:line="480" w:lineRule="auto"/>
              <w:contextualSpacing/>
              <w:jc w:val="center"/>
              <w:rPr>
                <w:color w:val="000000" w:themeColor="text1"/>
                <w:lang w:val="en-GB"/>
              </w:rPr>
            </w:pPr>
            <w:r w:rsidRPr="00DB56CA">
              <w:rPr>
                <w:color w:val="000000" w:themeColor="text1"/>
                <w:lang w:val="en-GB"/>
              </w:rPr>
              <w:t>6</w:t>
            </w:r>
          </w:p>
        </w:tc>
        <w:tc>
          <w:tcPr>
            <w:tcW w:w="2273" w:type="dxa"/>
          </w:tcPr>
          <w:p w14:paraId="4D57D23E" w14:textId="77777777" w:rsidR="002D430C" w:rsidRPr="00DB56CA" w:rsidRDefault="002D430C" w:rsidP="001B3525">
            <w:pPr>
              <w:widowControl w:val="0"/>
              <w:autoSpaceDE w:val="0"/>
              <w:autoSpaceDN w:val="0"/>
              <w:adjustRightInd w:val="0"/>
              <w:spacing w:after="100" w:afterAutospacing="1" w:line="480" w:lineRule="auto"/>
              <w:contextualSpacing/>
              <w:jc w:val="center"/>
              <w:rPr>
                <w:color w:val="000000" w:themeColor="text1"/>
                <w:lang w:val="en-GB"/>
              </w:rPr>
            </w:pPr>
            <w:r w:rsidRPr="00DB56CA">
              <w:rPr>
                <w:color w:val="000000" w:themeColor="text1"/>
                <w:lang w:val="en-GB"/>
              </w:rPr>
              <w:t>59</w:t>
            </w:r>
          </w:p>
        </w:tc>
        <w:tc>
          <w:tcPr>
            <w:tcW w:w="1999" w:type="dxa"/>
          </w:tcPr>
          <w:p w14:paraId="3D297FAC" w14:textId="77777777" w:rsidR="002D430C" w:rsidRPr="00DB56CA" w:rsidRDefault="002D430C" w:rsidP="001B3525">
            <w:pPr>
              <w:widowControl w:val="0"/>
              <w:autoSpaceDE w:val="0"/>
              <w:autoSpaceDN w:val="0"/>
              <w:adjustRightInd w:val="0"/>
              <w:spacing w:after="100" w:afterAutospacing="1" w:line="480" w:lineRule="auto"/>
              <w:contextualSpacing/>
              <w:jc w:val="center"/>
              <w:rPr>
                <w:color w:val="000000" w:themeColor="text1"/>
                <w:lang w:val="en-GB"/>
              </w:rPr>
            </w:pPr>
            <w:r w:rsidRPr="00DB56CA">
              <w:rPr>
                <w:color w:val="000000" w:themeColor="text1"/>
                <w:lang w:val="en-GB"/>
              </w:rPr>
              <w:t>0.69*</w:t>
            </w:r>
          </w:p>
        </w:tc>
        <w:tc>
          <w:tcPr>
            <w:tcW w:w="2059" w:type="dxa"/>
            <w:tcBorders>
              <w:right w:val="nil"/>
            </w:tcBorders>
          </w:tcPr>
          <w:p w14:paraId="7C13B994" w14:textId="77777777" w:rsidR="002D430C" w:rsidRPr="00DB56CA" w:rsidRDefault="002D430C" w:rsidP="001B3525">
            <w:pPr>
              <w:widowControl w:val="0"/>
              <w:autoSpaceDE w:val="0"/>
              <w:autoSpaceDN w:val="0"/>
              <w:adjustRightInd w:val="0"/>
              <w:spacing w:after="100" w:afterAutospacing="1" w:line="480" w:lineRule="auto"/>
              <w:contextualSpacing/>
              <w:jc w:val="center"/>
              <w:rPr>
                <w:color w:val="000000" w:themeColor="text1"/>
                <w:lang w:val="en-GB"/>
              </w:rPr>
            </w:pPr>
            <w:r w:rsidRPr="00DB56CA">
              <w:rPr>
                <w:color w:val="000000" w:themeColor="text1"/>
                <w:lang w:val="en-GB"/>
              </w:rPr>
              <w:t>0.47</w:t>
            </w:r>
          </w:p>
        </w:tc>
      </w:tr>
      <w:tr w:rsidR="002D430C" w:rsidRPr="00DB56CA" w14:paraId="7609F745" w14:textId="77777777" w:rsidTr="00DA0CF7">
        <w:trPr>
          <w:trHeight w:val="141"/>
          <w:jc w:val="center"/>
        </w:trPr>
        <w:tc>
          <w:tcPr>
            <w:tcW w:w="1782" w:type="dxa"/>
            <w:tcBorders>
              <w:left w:val="nil"/>
            </w:tcBorders>
          </w:tcPr>
          <w:p w14:paraId="32B86A42" w14:textId="77777777" w:rsidR="002D430C" w:rsidRPr="00DB56CA" w:rsidRDefault="002D430C" w:rsidP="001B3525">
            <w:pPr>
              <w:widowControl w:val="0"/>
              <w:autoSpaceDE w:val="0"/>
              <w:autoSpaceDN w:val="0"/>
              <w:adjustRightInd w:val="0"/>
              <w:spacing w:after="100" w:afterAutospacing="1" w:line="480" w:lineRule="auto"/>
              <w:contextualSpacing/>
              <w:jc w:val="center"/>
              <w:rPr>
                <w:color w:val="000000" w:themeColor="text1"/>
                <w:lang w:val="en-GB"/>
              </w:rPr>
            </w:pPr>
            <w:r w:rsidRPr="00DB56CA">
              <w:rPr>
                <w:color w:val="000000" w:themeColor="text1"/>
                <w:lang w:val="en-GB"/>
              </w:rPr>
              <w:t>7</w:t>
            </w:r>
          </w:p>
        </w:tc>
        <w:tc>
          <w:tcPr>
            <w:tcW w:w="2273" w:type="dxa"/>
          </w:tcPr>
          <w:p w14:paraId="67D129DC" w14:textId="77777777" w:rsidR="002D430C" w:rsidRPr="00DB56CA" w:rsidRDefault="002D430C" w:rsidP="001B3525">
            <w:pPr>
              <w:widowControl w:val="0"/>
              <w:autoSpaceDE w:val="0"/>
              <w:autoSpaceDN w:val="0"/>
              <w:adjustRightInd w:val="0"/>
              <w:spacing w:after="100" w:afterAutospacing="1" w:line="480" w:lineRule="auto"/>
              <w:contextualSpacing/>
              <w:jc w:val="center"/>
              <w:rPr>
                <w:color w:val="000000" w:themeColor="text1"/>
                <w:lang w:val="en-GB"/>
              </w:rPr>
            </w:pPr>
            <w:r w:rsidRPr="00DB56CA">
              <w:rPr>
                <w:color w:val="000000" w:themeColor="text1"/>
                <w:lang w:val="en-GB"/>
              </w:rPr>
              <w:t>49</w:t>
            </w:r>
          </w:p>
        </w:tc>
        <w:tc>
          <w:tcPr>
            <w:tcW w:w="1999" w:type="dxa"/>
          </w:tcPr>
          <w:p w14:paraId="5E3FCC7D" w14:textId="77777777" w:rsidR="002D430C" w:rsidRPr="00DB56CA" w:rsidRDefault="002D430C" w:rsidP="001B3525">
            <w:pPr>
              <w:widowControl w:val="0"/>
              <w:autoSpaceDE w:val="0"/>
              <w:autoSpaceDN w:val="0"/>
              <w:adjustRightInd w:val="0"/>
              <w:spacing w:after="100" w:afterAutospacing="1" w:line="480" w:lineRule="auto"/>
              <w:contextualSpacing/>
              <w:jc w:val="center"/>
              <w:rPr>
                <w:color w:val="000000" w:themeColor="text1"/>
                <w:lang w:val="en-GB"/>
              </w:rPr>
            </w:pPr>
            <w:r w:rsidRPr="00DB56CA">
              <w:rPr>
                <w:color w:val="000000" w:themeColor="text1"/>
                <w:lang w:val="en-GB"/>
              </w:rPr>
              <w:t>0.76*</w:t>
            </w:r>
          </w:p>
        </w:tc>
        <w:tc>
          <w:tcPr>
            <w:tcW w:w="2059" w:type="dxa"/>
            <w:tcBorders>
              <w:right w:val="nil"/>
            </w:tcBorders>
          </w:tcPr>
          <w:p w14:paraId="5094C302" w14:textId="77777777" w:rsidR="002D430C" w:rsidRPr="00DB56CA" w:rsidRDefault="002D430C" w:rsidP="001B3525">
            <w:pPr>
              <w:widowControl w:val="0"/>
              <w:autoSpaceDE w:val="0"/>
              <w:autoSpaceDN w:val="0"/>
              <w:adjustRightInd w:val="0"/>
              <w:spacing w:after="100" w:afterAutospacing="1" w:line="480" w:lineRule="auto"/>
              <w:contextualSpacing/>
              <w:jc w:val="center"/>
              <w:rPr>
                <w:color w:val="000000" w:themeColor="text1"/>
                <w:lang w:val="en-GB"/>
              </w:rPr>
            </w:pPr>
            <w:r w:rsidRPr="00DB56CA">
              <w:rPr>
                <w:color w:val="000000" w:themeColor="text1"/>
                <w:lang w:val="en-GB"/>
              </w:rPr>
              <w:t>0.57</w:t>
            </w:r>
          </w:p>
        </w:tc>
      </w:tr>
      <w:tr w:rsidR="002D430C" w:rsidRPr="00DB56CA" w14:paraId="57B14666" w14:textId="77777777" w:rsidTr="00DA0CF7">
        <w:trPr>
          <w:trHeight w:val="141"/>
          <w:jc w:val="center"/>
        </w:trPr>
        <w:tc>
          <w:tcPr>
            <w:tcW w:w="1782" w:type="dxa"/>
            <w:tcBorders>
              <w:left w:val="nil"/>
            </w:tcBorders>
          </w:tcPr>
          <w:p w14:paraId="77600035" w14:textId="77777777" w:rsidR="002D430C" w:rsidRPr="00DB56CA" w:rsidRDefault="002D430C" w:rsidP="001B3525">
            <w:pPr>
              <w:widowControl w:val="0"/>
              <w:autoSpaceDE w:val="0"/>
              <w:autoSpaceDN w:val="0"/>
              <w:adjustRightInd w:val="0"/>
              <w:spacing w:after="100" w:afterAutospacing="1" w:line="480" w:lineRule="auto"/>
              <w:contextualSpacing/>
              <w:jc w:val="center"/>
              <w:rPr>
                <w:color w:val="000000" w:themeColor="text1"/>
                <w:lang w:val="en-GB"/>
              </w:rPr>
            </w:pPr>
            <w:r w:rsidRPr="00DB56CA">
              <w:rPr>
                <w:color w:val="000000" w:themeColor="text1"/>
                <w:lang w:val="en-GB"/>
              </w:rPr>
              <w:t>8</w:t>
            </w:r>
          </w:p>
        </w:tc>
        <w:tc>
          <w:tcPr>
            <w:tcW w:w="2273" w:type="dxa"/>
          </w:tcPr>
          <w:p w14:paraId="38F4F20E" w14:textId="77777777" w:rsidR="002D430C" w:rsidRPr="00DB56CA" w:rsidRDefault="002D430C" w:rsidP="001B3525">
            <w:pPr>
              <w:widowControl w:val="0"/>
              <w:autoSpaceDE w:val="0"/>
              <w:autoSpaceDN w:val="0"/>
              <w:adjustRightInd w:val="0"/>
              <w:spacing w:after="100" w:afterAutospacing="1" w:line="480" w:lineRule="auto"/>
              <w:contextualSpacing/>
              <w:jc w:val="center"/>
              <w:rPr>
                <w:color w:val="000000" w:themeColor="text1"/>
                <w:lang w:val="en-GB"/>
              </w:rPr>
            </w:pPr>
            <w:r w:rsidRPr="00DB56CA">
              <w:rPr>
                <w:color w:val="000000" w:themeColor="text1"/>
                <w:lang w:val="en-GB"/>
              </w:rPr>
              <w:t>28</w:t>
            </w:r>
          </w:p>
        </w:tc>
        <w:tc>
          <w:tcPr>
            <w:tcW w:w="1999" w:type="dxa"/>
          </w:tcPr>
          <w:p w14:paraId="27F6E638" w14:textId="77777777" w:rsidR="002D430C" w:rsidRPr="00DB56CA" w:rsidRDefault="002D430C" w:rsidP="001B3525">
            <w:pPr>
              <w:widowControl w:val="0"/>
              <w:autoSpaceDE w:val="0"/>
              <w:autoSpaceDN w:val="0"/>
              <w:adjustRightInd w:val="0"/>
              <w:spacing w:after="100" w:afterAutospacing="1" w:line="480" w:lineRule="auto"/>
              <w:contextualSpacing/>
              <w:jc w:val="center"/>
              <w:rPr>
                <w:color w:val="000000" w:themeColor="text1"/>
                <w:lang w:val="en-GB"/>
              </w:rPr>
            </w:pPr>
            <w:r w:rsidRPr="00DB56CA">
              <w:rPr>
                <w:color w:val="000000" w:themeColor="text1"/>
                <w:lang w:val="en-GB"/>
              </w:rPr>
              <w:t>0.67*</w:t>
            </w:r>
          </w:p>
        </w:tc>
        <w:tc>
          <w:tcPr>
            <w:tcW w:w="2059" w:type="dxa"/>
            <w:tcBorders>
              <w:right w:val="nil"/>
            </w:tcBorders>
          </w:tcPr>
          <w:p w14:paraId="45EAB1BC" w14:textId="77777777" w:rsidR="002D430C" w:rsidRPr="00DB56CA" w:rsidRDefault="002D430C" w:rsidP="001B3525">
            <w:pPr>
              <w:widowControl w:val="0"/>
              <w:autoSpaceDE w:val="0"/>
              <w:autoSpaceDN w:val="0"/>
              <w:adjustRightInd w:val="0"/>
              <w:spacing w:after="100" w:afterAutospacing="1" w:line="480" w:lineRule="auto"/>
              <w:contextualSpacing/>
              <w:jc w:val="center"/>
              <w:rPr>
                <w:color w:val="000000" w:themeColor="text1"/>
                <w:lang w:val="en-GB"/>
              </w:rPr>
            </w:pPr>
            <w:r w:rsidRPr="00DB56CA">
              <w:rPr>
                <w:color w:val="000000" w:themeColor="text1"/>
                <w:lang w:val="en-GB"/>
              </w:rPr>
              <w:t>0.44</w:t>
            </w:r>
          </w:p>
        </w:tc>
      </w:tr>
      <w:tr w:rsidR="002D430C" w:rsidRPr="00DB56CA" w14:paraId="16753251" w14:textId="77777777" w:rsidTr="00DA0CF7">
        <w:trPr>
          <w:trHeight w:val="141"/>
          <w:jc w:val="center"/>
        </w:trPr>
        <w:tc>
          <w:tcPr>
            <w:tcW w:w="1782" w:type="dxa"/>
            <w:tcBorders>
              <w:left w:val="nil"/>
            </w:tcBorders>
          </w:tcPr>
          <w:p w14:paraId="46E68D5F" w14:textId="77777777" w:rsidR="002D430C" w:rsidRPr="00DB56CA" w:rsidRDefault="002D430C" w:rsidP="001B3525">
            <w:pPr>
              <w:widowControl w:val="0"/>
              <w:autoSpaceDE w:val="0"/>
              <w:autoSpaceDN w:val="0"/>
              <w:adjustRightInd w:val="0"/>
              <w:spacing w:after="100" w:afterAutospacing="1" w:line="480" w:lineRule="auto"/>
              <w:contextualSpacing/>
              <w:jc w:val="center"/>
              <w:rPr>
                <w:color w:val="000000" w:themeColor="text1"/>
                <w:lang w:val="en-GB"/>
              </w:rPr>
            </w:pPr>
            <w:r w:rsidRPr="00DB56CA">
              <w:rPr>
                <w:color w:val="000000" w:themeColor="text1"/>
                <w:lang w:val="en-GB"/>
              </w:rPr>
              <w:t>9</w:t>
            </w:r>
          </w:p>
        </w:tc>
        <w:tc>
          <w:tcPr>
            <w:tcW w:w="2273" w:type="dxa"/>
          </w:tcPr>
          <w:p w14:paraId="15CA58F2" w14:textId="77777777" w:rsidR="002D430C" w:rsidRPr="00DB56CA" w:rsidRDefault="002D430C" w:rsidP="001B3525">
            <w:pPr>
              <w:widowControl w:val="0"/>
              <w:autoSpaceDE w:val="0"/>
              <w:autoSpaceDN w:val="0"/>
              <w:adjustRightInd w:val="0"/>
              <w:spacing w:after="100" w:afterAutospacing="1" w:line="480" w:lineRule="auto"/>
              <w:contextualSpacing/>
              <w:jc w:val="center"/>
              <w:rPr>
                <w:color w:val="000000" w:themeColor="text1"/>
                <w:lang w:val="en-GB"/>
              </w:rPr>
            </w:pPr>
            <w:r w:rsidRPr="00DB56CA">
              <w:rPr>
                <w:color w:val="000000" w:themeColor="text1"/>
                <w:lang w:val="en-GB"/>
              </w:rPr>
              <w:t>42</w:t>
            </w:r>
          </w:p>
        </w:tc>
        <w:tc>
          <w:tcPr>
            <w:tcW w:w="1999" w:type="dxa"/>
          </w:tcPr>
          <w:p w14:paraId="0EC2F0D1" w14:textId="77777777" w:rsidR="002D430C" w:rsidRPr="00DB56CA" w:rsidRDefault="002D430C" w:rsidP="001B3525">
            <w:pPr>
              <w:widowControl w:val="0"/>
              <w:autoSpaceDE w:val="0"/>
              <w:autoSpaceDN w:val="0"/>
              <w:adjustRightInd w:val="0"/>
              <w:spacing w:after="100" w:afterAutospacing="1" w:line="480" w:lineRule="auto"/>
              <w:contextualSpacing/>
              <w:jc w:val="center"/>
              <w:rPr>
                <w:color w:val="000000" w:themeColor="text1"/>
                <w:lang w:val="en-GB"/>
              </w:rPr>
            </w:pPr>
            <w:r w:rsidRPr="00DB56CA">
              <w:rPr>
                <w:color w:val="000000" w:themeColor="text1"/>
                <w:lang w:val="en-GB"/>
              </w:rPr>
              <w:t>0.74*</w:t>
            </w:r>
          </w:p>
        </w:tc>
        <w:tc>
          <w:tcPr>
            <w:tcW w:w="2059" w:type="dxa"/>
            <w:tcBorders>
              <w:right w:val="nil"/>
            </w:tcBorders>
          </w:tcPr>
          <w:p w14:paraId="679D3E8A" w14:textId="77777777" w:rsidR="002D430C" w:rsidRPr="00DB56CA" w:rsidRDefault="002D430C" w:rsidP="001B3525">
            <w:pPr>
              <w:widowControl w:val="0"/>
              <w:autoSpaceDE w:val="0"/>
              <w:autoSpaceDN w:val="0"/>
              <w:adjustRightInd w:val="0"/>
              <w:spacing w:after="100" w:afterAutospacing="1" w:line="480" w:lineRule="auto"/>
              <w:contextualSpacing/>
              <w:jc w:val="center"/>
              <w:rPr>
                <w:color w:val="000000" w:themeColor="text1"/>
                <w:lang w:val="en-GB"/>
              </w:rPr>
            </w:pPr>
            <w:r w:rsidRPr="00DB56CA">
              <w:rPr>
                <w:color w:val="000000" w:themeColor="text1"/>
                <w:lang w:val="en-GB"/>
              </w:rPr>
              <w:t>0.55</w:t>
            </w:r>
          </w:p>
        </w:tc>
      </w:tr>
      <w:tr w:rsidR="002D430C" w:rsidRPr="00DB56CA" w14:paraId="7FF78225" w14:textId="77777777" w:rsidTr="00DA0CF7">
        <w:trPr>
          <w:trHeight w:val="141"/>
          <w:jc w:val="center"/>
        </w:trPr>
        <w:tc>
          <w:tcPr>
            <w:tcW w:w="1782" w:type="dxa"/>
            <w:tcBorders>
              <w:left w:val="nil"/>
            </w:tcBorders>
          </w:tcPr>
          <w:p w14:paraId="2917FC68" w14:textId="77777777" w:rsidR="002D430C" w:rsidRPr="00DB56CA" w:rsidRDefault="002D430C" w:rsidP="001B3525">
            <w:pPr>
              <w:widowControl w:val="0"/>
              <w:autoSpaceDE w:val="0"/>
              <w:autoSpaceDN w:val="0"/>
              <w:adjustRightInd w:val="0"/>
              <w:spacing w:after="100" w:afterAutospacing="1" w:line="480" w:lineRule="auto"/>
              <w:contextualSpacing/>
              <w:jc w:val="center"/>
              <w:rPr>
                <w:color w:val="000000" w:themeColor="text1"/>
                <w:lang w:val="en-GB"/>
              </w:rPr>
            </w:pPr>
            <w:r w:rsidRPr="00DB56CA">
              <w:rPr>
                <w:color w:val="000000" w:themeColor="text1"/>
                <w:lang w:val="en-GB"/>
              </w:rPr>
              <w:t>10</w:t>
            </w:r>
          </w:p>
        </w:tc>
        <w:tc>
          <w:tcPr>
            <w:tcW w:w="2273" w:type="dxa"/>
          </w:tcPr>
          <w:p w14:paraId="183AF75A" w14:textId="77777777" w:rsidR="002D430C" w:rsidRPr="00DB56CA" w:rsidRDefault="002D430C" w:rsidP="001B3525">
            <w:pPr>
              <w:widowControl w:val="0"/>
              <w:autoSpaceDE w:val="0"/>
              <w:autoSpaceDN w:val="0"/>
              <w:adjustRightInd w:val="0"/>
              <w:spacing w:after="100" w:afterAutospacing="1" w:line="480" w:lineRule="auto"/>
              <w:contextualSpacing/>
              <w:jc w:val="center"/>
              <w:rPr>
                <w:color w:val="000000" w:themeColor="text1"/>
                <w:lang w:val="en-GB"/>
              </w:rPr>
            </w:pPr>
            <w:r w:rsidRPr="00DB56CA">
              <w:rPr>
                <w:color w:val="000000" w:themeColor="text1"/>
                <w:lang w:val="en-GB"/>
              </w:rPr>
              <w:t>53</w:t>
            </w:r>
          </w:p>
        </w:tc>
        <w:tc>
          <w:tcPr>
            <w:tcW w:w="1999" w:type="dxa"/>
          </w:tcPr>
          <w:p w14:paraId="292FFBCF" w14:textId="77777777" w:rsidR="002D430C" w:rsidRPr="00DB56CA" w:rsidRDefault="002D430C" w:rsidP="001B3525">
            <w:pPr>
              <w:widowControl w:val="0"/>
              <w:autoSpaceDE w:val="0"/>
              <w:autoSpaceDN w:val="0"/>
              <w:adjustRightInd w:val="0"/>
              <w:spacing w:after="100" w:afterAutospacing="1" w:line="480" w:lineRule="auto"/>
              <w:contextualSpacing/>
              <w:jc w:val="center"/>
              <w:rPr>
                <w:color w:val="000000" w:themeColor="text1"/>
                <w:lang w:val="en-GB"/>
              </w:rPr>
            </w:pPr>
            <w:r w:rsidRPr="00DB56CA">
              <w:rPr>
                <w:color w:val="000000" w:themeColor="text1"/>
                <w:lang w:val="en-GB"/>
              </w:rPr>
              <w:t>0.64*</w:t>
            </w:r>
          </w:p>
        </w:tc>
        <w:tc>
          <w:tcPr>
            <w:tcW w:w="2059" w:type="dxa"/>
            <w:tcBorders>
              <w:right w:val="nil"/>
            </w:tcBorders>
          </w:tcPr>
          <w:p w14:paraId="30DBEBF2" w14:textId="77777777" w:rsidR="002D430C" w:rsidRPr="00DB56CA" w:rsidRDefault="002D430C" w:rsidP="001B3525">
            <w:pPr>
              <w:widowControl w:val="0"/>
              <w:autoSpaceDE w:val="0"/>
              <w:autoSpaceDN w:val="0"/>
              <w:adjustRightInd w:val="0"/>
              <w:spacing w:after="100" w:afterAutospacing="1" w:line="480" w:lineRule="auto"/>
              <w:contextualSpacing/>
              <w:jc w:val="center"/>
              <w:rPr>
                <w:color w:val="000000" w:themeColor="text1"/>
                <w:lang w:val="en-GB"/>
              </w:rPr>
            </w:pPr>
            <w:r w:rsidRPr="00DB56CA">
              <w:rPr>
                <w:color w:val="000000" w:themeColor="text1"/>
                <w:lang w:val="en-GB"/>
              </w:rPr>
              <w:t>0.42</w:t>
            </w:r>
          </w:p>
        </w:tc>
      </w:tr>
      <w:tr w:rsidR="002D430C" w:rsidRPr="00DB56CA" w14:paraId="44A1A16D" w14:textId="77777777" w:rsidTr="00DA0CF7">
        <w:trPr>
          <w:trHeight w:val="141"/>
          <w:jc w:val="center"/>
        </w:trPr>
        <w:tc>
          <w:tcPr>
            <w:tcW w:w="1782" w:type="dxa"/>
            <w:tcBorders>
              <w:left w:val="nil"/>
            </w:tcBorders>
          </w:tcPr>
          <w:p w14:paraId="5548C079" w14:textId="77777777" w:rsidR="002D430C" w:rsidRPr="00DB56CA" w:rsidRDefault="002D430C" w:rsidP="001B3525">
            <w:pPr>
              <w:widowControl w:val="0"/>
              <w:autoSpaceDE w:val="0"/>
              <w:autoSpaceDN w:val="0"/>
              <w:adjustRightInd w:val="0"/>
              <w:spacing w:after="100" w:afterAutospacing="1" w:line="480" w:lineRule="auto"/>
              <w:contextualSpacing/>
              <w:jc w:val="center"/>
              <w:rPr>
                <w:color w:val="000000" w:themeColor="text1"/>
                <w:lang w:val="en-GB"/>
              </w:rPr>
            </w:pPr>
            <w:r w:rsidRPr="00DB56CA">
              <w:rPr>
                <w:color w:val="000000" w:themeColor="text1"/>
                <w:lang w:val="en-GB"/>
              </w:rPr>
              <w:t>11</w:t>
            </w:r>
          </w:p>
        </w:tc>
        <w:tc>
          <w:tcPr>
            <w:tcW w:w="2273" w:type="dxa"/>
          </w:tcPr>
          <w:p w14:paraId="630CC5AF" w14:textId="77777777" w:rsidR="002D430C" w:rsidRPr="00DB56CA" w:rsidRDefault="002D430C" w:rsidP="001B3525">
            <w:pPr>
              <w:widowControl w:val="0"/>
              <w:autoSpaceDE w:val="0"/>
              <w:autoSpaceDN w:val="0"/>
              <w:adjustRightInd w:val="0"/>
              <w:spacing w:after="100" w:afterAutospacing="1" w:line="480" w:lineRule="auto"/>
              <w:contextualSpacing/>
              <w:jc w:val="center"/>
              <w:rPr>
                <w:color w:val="000000" w:themeColor="text1"/>
                <w:lang w:val="en-GB"/>
              </w:rPr>
            </w:pPr>
            <w:r w:rsidRPr="00DB56CA">
              <w:rPr>
                <w:color w:val="000000" w:themeColor="text1"/>
                <w:lang w:val="en-GB"/>
              </w:rPr>
              <w:t>50</w:t>
            </w:r>
          </w:p>
        </w:tc>
        <w:tc>
          <w:tcPr>
            <w:tcW w:w="1999" w:type="dxa"/>
          </w:tcPr>
          <w:p w14:paraId="7C08C1B5" w14:textId="77777777" w:rsidR="002D430C" w:rsidRPr="00DB56CA" w:rsidRDefault="002D430C" w:rsidP="001B3525">
            <w:pPr>
              <w:widowControl w:val="0"/>
              <w:autoSpaceDE w:val="0"/>
              <w:autoSpaceDN w:val="0"/>
              <w:adjustRightInd w:val="0"/>
              <w:spacing w:after="100" w:afterAutospacing="1" w:line="480" w:lineRule="auto"/>
              <w:contextualSpacing/>
              <w:jc w:val="center"/>
              <w:rPr>
                <w:color w:val="000000" w:themeColor="text1"/>
                <w:lang w:val="en-GB"/>
              </w:rPr>
            </w:pPr>
            <w:r w:rsidRPr="00DB56CA">
              <w:rPr>
                <w:color w:val="000000" w:themeColor="text1"/>
                <w:lang w:val="en-GB"/>
              </w:rPr>
              <w:t>0.65*</w:t>
            </w:r>
          </w:p>
        </w:tc>
        <w:tc>
          <w:tcPr>
            <w:tcW w:w="2059" w:type="dxa"/>
            <w:tcBorders>
              <w:right w:val="nil"/>
            </w:tcBorders>
          </w:tcPr>
          <w:p w14:paraId="76FC359C" w14:textId="77777777" w:rsidR="002D430C" w:rsidRPr="00DB56CA" w:rsidRDefault="002D430C" w:rsidP="001B3525">
            <w:pPr>
              <w:widowControl w:val="0"/>
              <w:autoSpaceDE w:val="0"/>
              <w:autoSpaceDN w:val="0"/>
              <w:adjustRightInd w:val="0"/>
              <w:spacing w:after="100" w:afterAutospacing="1" w:line="480" w:lineRule="auto"/>
              <w:contextualSpacing/>
              <w:jc w:val="center"/>
              <w:rPr>
                <w:color w:val="000000" w:themeColor="text1"/>
                <w:lang w:val="en-GB"/>
              </w:rPr>
            </w:pPr>
            <w:r w:rsidRPr="00DB56CA">
              <w:rPr>
                <w:color w:val="000000" w:themeColor="text1"/>
                <w:lang w:val="en-GB"/>
              </w:rPr>
              <w:t>0.43</w:t>
            </w:r>
          </w:p>
        </w:tc>
      </w:tr>
      <w:tr w:rsidR="002D430C" w:rsidRPr="00DB56CA" w14:paraId="545A974F" w14:textId="77777777" w:rsidTr="00DA0CF7">
        <w:trPr>
          <w:trHeight w:val="141"/>
          <w:jc w:val="center"/>
        </w:trPr>
        <w:tc>
          <w:tcPr>
            <w:tcW w:w="1782" w:type="dxa"/>
            <w:tcBorders>
              <w:left w:val="nil"/>
            </w:tcBorders>
          </w:tcPr>
          <w:p w14:paraId="07BAA0E7" w14:textId="77777777" w:rsidR="002D430C" w:rsidRPr="00DB56CA" w:rsidRDefault="002D430C" w:rsidP="001B3525">
            <w:pPr>
              <w:widowControl w:val="0"/>
              <w:autoSpaceDE w:val="0"/>
              <w:autoSpaceDN w:val="0"/>
              <w:adjustRightInd w:val="0"/>
              <w:spacing w:after="100" w:afterAutospacing="1" w:line="480" w:lineRule="auto"/>
              <w:contextualSpacing/>
              <w:jc w:val="center"/>
              <w:rPr>
                <w:color w:val="000000" w:themeColor="text1"/>
                <w:lang w:val="en-GB"/>
              </w:rPr>
            </w:pPr>
            <w:r w:rsidRPr="00DB56CA">
              <w:rPr>
                <w:color w:val="000000" w:themeColor="text1"/>
                <w:lang w:val="en-GB"/>
              </w:rPr>
              <w:t>12</w:t>
            </w:r>
          </w:p>
        </w:tc>
        <w:tc>
          <w:tcPr>
            <w:tcW w:w="2273" w:type="dxa"/>
          </w:tcPr>
          <w:p w14:paraId="1DBB6A47" w14:textId="77777777" w:rsidR="002D430C" w:rsidRPr="00DB56CA" w:rsidRDefault="002D430C" w:rsidP="001B3525">
            <w:pPr>
              <w:widowControl w:val="0"/>
              <w:autoSpaceDE w:val="0"/>
              <w:autoSpaceDN w:val="0"/>
              <w:adjustRightInd w:val="0"/>
              <w:spacing w:after="100" w:afterAutospacing="1" w:line="480" w:lineRule="auto"/>
              <w:contextualSpacing/>
              <w:jc w:val="center"/>
              <w:rPr>
                <w:color w:val="000000" w:themeColor="text1"/>
                <w:lang w:val="en-GB"/>
              </w:rPr>
            </w:pPr>
            <w:r w:rsidRPr="00DB56CA">
              <w:rPr>
                <w:color w:val="000000" w:themeColor="text1"/>
                <w:lang w:val="en-GB"/>
              </w:rPr>
              <w:t>76</w:t>
            </w:r>
          </w:p>
        </w:tc>
        <w:tc>
          <w:tcPr>
            <w:tcW w:w="1999" w:type="dxa"/>
          </w:tcPr>
          <w:p w14:paraId="39E8EDA6" w14:textId="77777777" w:rsidR="002D430C" w:rsidRPr="00DB56CA" w:rsidRDefault="002D430C" w:rsidP="001B3525">
            <w:pPr>
              <w:widowControl w:val="0"/>
              <w:autoSpaceDE w:val="0"/>
              <w:autoSpaceDN w:val="0"/>
              <w:adjustRightInd w:val="0"/>
              <w:spacing w:after="100" w:afterAutospacing="1" w:line="480" w:lineRule="auto"/>
              <w:contextualSpacing/>
              <w:jc w:val="center"/>
              <w:rPr>
                <w:color w:val="000000" w:themeColor="text1"/>
                <w:lang w:val="en-GB"/>
              </w:rPr>
            </w:pPr>
            <w:r w:rsidRPr="00DB56CA">
              <w:rPr>
                <w:color w:val="000000" w:themeColor="text1"/>
                <w:lang w:val="en-GB"/>
              </w:rPr>
              <w:t>0.64*</w:t>
            </w:r>
          </w:p>
        </w:tc>
        <w:tc>
          <w:tcPr>
            <w:tcW w:w="2059" w:type="dxa"/>
            <w:tcBorders>
              <w:right w:val="nil"/>
            </w:tcBorders>
          </w:tcPr>
          <w:p w14:paraId="37F1DA90" w14:textId="77777777" w:rsidR="002D430C" w:rsidRPr="00DB56CA" w:rsidRDefault="002D430C" w:rsidP="001B3525">
            <w:pPr>
              <w:widowControl w:val="0"/>
              <w:autoSpaceDE w:val="0"/>
              <w:autoSpaceDN w:val="0"/>
              <w:adjustRightInd w:val="0"/>
              <w:spacing w:after="100" w:afterAutospacing="1" w:line="480" w:lineRule="auto"/>
              <w:contextualSpacing/>
              <w:jc w:val="center"/>
              <w:rPr>
                <w:color w:val="000000" w:themeColor="text1"/>
                <w:lang w:val="en-GB"/>
              </w:rPr>
            </w:pPr>
            <w:r w:rsidRPr="00DB56CA">
              <w:rPr>
                <w:color w:val="000000" w:themeColor="text1"/>
                <w:lang w:val="en-GB"/>
              </w:rPr>
              <w:t>0.41</w:t>
            </w:r>
          </w:p>
        </w:tc>
      </w:tr>
      <w:tr w:rsidR="002D430C" w:rsidRPr="00DB56CA" w14:paraId="653E0626" w14:textId="77777777" w:rsidTr="00DA0CF7">
        <w:trPr>
          <w:trHeight w:val="141"/>
          <w:jc w:val="center"/>
        </w:trPr>
        <w:tc>
          <w:tcPr>
            <w:tcW w:w="1782" w:type="dxa"/>
            <w:tcBorders>
              <w:left w:val="nil"/>
            </w:tcBorders>
          </w:tcPr>
          <w:p w14:paraId="326B991A" w14:textId="77777777" w:rsidR="002D430C" w:rsidRPr="00DB56CA" w:rsidRDefault="002D430C" w:rsidP="001B3525">
            <w:pPr>
              <w:widowControl w:val="0"/>
              <w:autoSpaceDE w:val="0"/>
              <w:autoSpaceDN w:val="0"/>
              <w:adjustRightInd w:val="0"/>
              <w:spacing w:after="100" w:afterAutospacing="1" w:line="480" w:lineRule="auto"/>
              <w:contextualSpacing/>
              <w:jc w:val="center"/>
              <w:rPr>
                <w:color w:val="000000" w:themeColor="text1"/>
                <w:lang w:val="en-GB"/>
              </w:rPr>
            </w:pPr>
            <w:r w:rsidRPr="00DB56CA">
              <w:rPr>
                <w:color w:val="000000" w:themeColor="text1"/>
                <w:lang w:val="en-GB"/>
              </w:rPr>
              <w:t>13</w:t>
            </w:r>
          </w:p>
        </w:tc>
        <w:tc>
          <w:tcPr>
            <w:tcW w:w="2273" w:type="dxa"/>
          </w:tcPr>
          <w:p w14:paraId="64DD4765" w14:textId="77777777" w:rsidR="002D430C" w:rsidRPr="00DB56CA" w:rsidRDefault="002D430C" w:rsidP="001B3525">
            <w:pPr>
              <w:widowControl w:val="0"/>
              <w:autoSpaceDE w:val="0"/>
              <w:autoSpaceDN w:val="0"/>
              <w:adjustRightInd w:val="0"/>
              <w:spacing w:after="100" w:afterAutospacing="1" w:line="480" w:lineRule="auto"/>
              <w:contextualSpacing/>
              <w:jc w:val="center"/>
              <w:rPr>
                <w:color w:val="000000" w:themeColor="text1"/>
                <w:lang w:val="en-GB"/>
              </w:rPr>
            </w:pPr>
            <w:r w:rsidRPr="00DB56CA">
              <w:rPr>
                <w:color w:val="000000" w:themeColor="text1"/>
                <w:lang w:val="en-GB"/>
              </w:rPr>
              <w:t>37</w:t>
            </w:r>
          </w:p>
        </w:tc>
        <w:tc>
          <w:tcPr>
            <w:tcW w:w="1999" w:type="dxa"/>
          </w:tcPr>
          <w:p w14:paraId="1808DC70" w14:textId="77777777" w:rsidR="002D430C" w:rsidRPr="00DB56CA" w:rsidRDefault="002D430C" w:rsidP="001B3525">
            <w:pPr>
              <w:widowControl w:val="0"/>
              <w:autoSpaceDE w:val="0"/>
              <w:autoSpaceDN w:val="0"/>
              <w:adjustRightInd w:val="0"/>
              <w:spacing w:after="100" w:afterAutospacing="1" w:line="480" w:lineRule="auto"/>
              <w:contextualSpacing/>
              <w:jc w:val="center"/>
              <w:rPr>
                <w:color w:val="000000" w:themeColor="text1"/>
                <w:lang w:val="en-GB"/>
              </w:rPr>
            </w:pPr>
            <w:r w:rsidRPr="00DB56CA">
              <w:rPr>
                <w:color w:val="000000" w:themeColor="text1"/>
                <w:lang w:val="en-GB"/>
              </w:rPr>
              <w:t>0.58*</w:t>
            </w:r>
          </w:p>
        </w:tc>
        <w:tc>
          <w:tcPr>
            <w:tcW w:w="2059" w:type="dxa"/>
            <w:tcBorders>
              <w:right w:val="nil"/>
            </w:tcBorders>
          </w:tcPr>
          <w:p w14:paraId="26FD79FF" w14:textId="77777777" w:rsidR="002D430C" w:rsidRPr="00DB56CA" w:rsidRDefault="002D430C" w:rsidP="001B3525">
            <w:pPr>
              <w:widowControl w:val="0"/>
              <w:autoSpaceDE w:val="0"/>
              <w:autoSpaceDN w:val="0"/>
              <w:adjustRightInd w:val="0"/>
              <w:spacing w:after="100" w:afterAutospacing="1" w:line="480" w:lineRule="auto"/>
              <w:contextualSpacing/>
              <w:jc w:val="center"/>
              <w:rPr>
                <w:color w:val="000000" w:themeColor="text1"/>
                <w:lang w:val="en-GB"/>
              </w:rPr>
            </w:pPr>
            <w:r w:rsidRPr="00DB56CA">
              <w:rPr>
                <w:color w:val="000000" w:themeColor="text1"/>
                <w:lang w:val="en-GB"/>
              </w:rPr>
              <w:t>0.33</w:t>
            </w:r>
          </w:p>
        </w:tc>
      </w:tr>
      <w:tr w:rsidR="002D430C" w:rsidRPr="00DB56CA" w14:paraId="6253D8FA" w14:textId="77777777" w:rsidTr="00DA0CF7">
        <w:trPr>
          <w:trHeight w:val="141"/>
          <w:jc w:val="center"/>
        </w:trPr>
        <w:tc>
          <w:tcPr>
            <w:tcW w:w="1782" w:type="dxa"/>
            <w:tcBorders>
              <w:left w:val="nil"/>
            </w:tcBorders>
          </w:tcPr>
          <w:p w14:paraId="177EC9D5" w14:textId="77777777" w:rsidR="002D430C" w:rsidRPr="00DB56CA" w:rsidRDefault="002D430C" w:rsidP="001B3525">
            <w:pPr>
              <w:widowControl w:val="0"/>
              <w:autoSpaceDE w:val="0"/>
              <w:autoSpaceDN w:val="0"/>
              <w:adjustRightInd w:val="0"/>
              <w:spacing w:after="100" w:afterAutospacing="1" w:line="480" w:lineRule="auto"/>
              <w:contextualSpacing/>
              <w:jc w:val="center"/>
              <w:rPr>
                <w:color w:val="000000" w:themeColor="text1"/>
                <w:lang w:val="en-GB"/>
              </w:rPr>
            </w:pPr>
            <w:r w:rsidRPr="00DB56CA">
              <w:rPr>
                <w:color w:val="000000" w:themeColor="text1"/>
                <w:lang w:val="en-GB"/>
              </w:rPr>
              <w:t>14</w:t>
            </w:r>
          </w:p>
        </w:tc>
        <w:tc>
          <w:tcPr>
            <w:tcW w:w="2273" w:type="dxa"/>
          </w:tcPr>
          <w:p w14:paraId="7611A4AD" w14:textId="77777777" w:rsidR="002D430C" w:rsidRPr="00DB56CA" w:rsidRDefault="002D430C" w:rsidP="001B3525">
            <w:pPr>
              <w:widowControl w:val="0"/>
              <w:autoSpaceDE w:val="0"/>
              <w:autoSpaceDN w:val="0"/>
              <w:adjustRightInd w:val="0"/>
              <w:spacing w:after="100" w:afterAutospacing="1" w:line="480" w:lineRule="auto"/>
              <w:contextualSpacing/>
              <w:jc w:val="center"/>
              <w:rPr>
                <w:color w:val="000000" w:themeColor="text1"/>
                <w:lang w:val="en-GB"/>
              </w:rPr>
            </w:pPr>
            <w:r w:rsidRPr="00DB56CA">
              <w:rPr>
                <w:color w:val="000000" w:themeColor="text1"/>
                <w:lang w:val="en-GB"/>
              </w:rPr>
              <w:t>55</w:t>
            </w:r>
          </w:p>
        </w:tc>
        <w:tc>
          <w:tcPr>
            <w:tcW w:w="1999" w:type="dxa"/>
          </w:tcPr>
          <w:p w14:paraId="1DE778CF" w14:textId="77777777" w:rsidR="002D430C" w:rsidRPr="00DB56CA" w:rsidRDefault="002D430C" w:rsidP="001B3525">
            <w:pPr>
              <w:widowControl w:val="0"/>
              <w:autoSpaceDE w:val="0"/>
              <w:autoSpaceDN w:val="0"/>
              <w:adjustRightInd w:val="0"/>
              <w:spacing w:after="100" w:afterAutospacing="1" w:line="480" w:lineRule="auto"/>
              <w:contextualSpacing/>
              <w:jc w:val="center"/>
              <w:rPr>
                <w:color w:val="000000" w:themeColor="text1"/>
                <w:lang w:val="en-GB"/>
              </w:rPr>
            </w:pPr>
            <w:r w:rsidRPr="00DB56CA">
              <w:rPr>
                <w:color w:val="000000" w:themeColor="text1"/>
                <w:lang w:val="en-GB"/>
              </w:rPr>
              <w:t>0.88*</w:t>
            </w:r>
          </w:p>
        </w:tc>
        <w:tc>
          <w:tcPr>
            <w:tcW w:w="2059" w:type="dxa"/>
            <w:tcBorders>
              <w:right w:val="nil"/>
            </w:tcBorders>
          </w:tcPr>
          <w:p w14:paraId="54126FB2" w14:textId="77777777" w:rsidR="002D430C" w:rsidRPr="00DB56CA" w:rsidRDefault="002D430C" w:rsidP="001B3525">
            <w:pPr>
              <w:widowControl w:val="0"/>
              <w:autoSpaceDE w:val="0"/>
              <w:autoSpaceDN w:val="0"/>
              <w:adjustRightInd w:val="0"/>
              <w:spacing w:after="100" w:afterAutospacing="1" w:line="480" w:lineRule="auto"/>
              <w:contextualSpacing/>
              <w:jc w:val="center"/>
              <w:rPr>
                <w:color w:val="000000" w:themeColor="text1"/>
                <w:lang w:val="en-GB"/>
              </w:rPr>
            </w:pPr>
            <w:r w:rsidRPr="00DB56CA">
              <w:rPr>
                <w:color w:val="000000" w:themeColor="text1"/>
                <w:lang w:val="en-GB"/>
              </w:rPr>
              <w:t>0.78</w:t>
            </w:r>
          </w:p>
        </w:tc>
      </w:tr>
      <w:tr w:rsidR="002D430C" w:rsidRPr="00DB56CA" w14:paraId="14993917" w14:textId="77777777" w:rsidTr="00DA0CF7">
        <w:trPr>
          <w:trHeight w:val="530"/>
          <w:jc w:val="center"/>
        </w:trPr>
        <w:tc>
          <w:tcPr>
            <w:tcW w:w="1782" w:type="dxa"/>
            <w:tcBorders>
              <w:left w:val="nil"/>
              <w:bottom w:val="single" w:sz="4" w:space="0" w:color="auto"/>
            </w:tcBorders>
          </w:tcPr>
          <w:p w14:paraId="45B7DC71" w14:textId="77777777" w:rsidR="002D430C" w:rsidRPr="00DB56CA" w:rsidRDefault="002D430C" w:rsidP="001B3525">
            <w:pPr>
              <w:widowControl w:val="0"/>
              <w:autoSpaceDE w:val="0"/>
              <w:autoSpaceDN w:val="0"/>
              <w:adjustRightInd w:val="0"/>
              <w:spacing w:after="100" w:afterAutospacing="1" w:line="480" w:lineRule="auto"/>
              <w:contextualSpacing/>
              <w:jc w:val="center"/>
              <w:rPr>
                <w:color w:val="000000" w:themeColor="text1"/>
                <w:lang w:val="en-GB"/>
              </w:rPr>
            </w:pPr>
            <w:r w:rsidRPr="00DB56CA">
              <w:rPr>
                <w:color w:val="000000" w:themeColor="text1"/>
                <w:lang w:val="en-GB"/>
              </w:rPr>
              <w:t>15</w:t>
            </w:r>
          </w:p>
        </w:tc>
        <w:tc>
          <w:tcPr>
            <w:tcW w:w="2273" w:type="dxa"/>
          </w:tcPr>
          <w:p w14:paraId="3990AAED" w14:textId="77777777" w:rsidR="002D430C" w:rsidRPr="00DB56CA" w:rsidRDefault="002D430C" w:rsidP="001B3525">
            <w:pPr>
              <w:widowControl w:val="0"/>
              <w:autoSpaceDE w:val="0"/>
              <w:autoSpaceDN w:val="0"/>
              <w:adjustRightInd w:val="0"/>
              <w:spacing w:after="100" w:afterAutospacing="1" w:line="480" w:lineRule="auto"/>
              <w:contextualSpacing/>
              <w:jc w:val="center"/>
              <w:rPr>
                <w:color w:val="000000" w:themeColor="text1"/>
                <w:lang w:val="en-GB"/>
              </w:rPr>
            </w:pPr>
            <w:r w:rsidRPr="00DB56CA">
              <w:rPr>
                <w:color w:val="000000" w:themeColor="text1"/>
                <w:lang w:val="en-GB"/>
              </w:rPr>
              <w:t>92</w:t>
            </w:r>
          </w:p>
        </w:tc>
        <w:tc>
          <w:tcPr>
            <w:tcW w:w="1999" w:type="dxa"/>
          </w:tcPr>
          <w:p w14:paraId="7DFA11B2" w14:textId="77777777" w:rsidR="002D430C" w:rsidRPr="00DB56CA" w:rsidRDefault="002D430C" w:rsidP="001B3525">
            <w:pPr>
              <w:widowControl w:val="0"/>
              <w:autoSpaceDE w:val="0"/>
              <w:autoSpaceDN w:val="0"/>
              <w:adjustRightInd w:val="0"/>
              <w:spacing w:after="100" w:afterAutospacing="1" w:line="480" w:lineRule="auto"/>
              <w:contextualSpacing/>
              <w:jc w:val="center"/>
              <w:rPr>
                <w:color w:val="000000" w:themeColor="text1"/>
                <w:lang w:val="en-GB"/>
              </w:rPr>
            </w:pPr>
            <w:r w:rsidRPr="00DB56CA">
              <w:rPr>
                <w:color w:val="000000" w:themeColor="text1"/>
                <w:lang w:val="en-GB"/>
              </w:rPr>
              <w:t>0.59*</w:t>
            </w:r>
          </w:p>
        </w:tc>
        <w:tc>
          <w:tcPr>
            <w:tcW w:w="2059" w:type="dxa"/>
            <w:tcBorders>
              <w:bottom w:val="single" w:sz="4" w:space="0" w:color="auto"/>
              <w:right w:val="nil"/>
            </w:tcBorders>
          </w:tcPr>
          <w:p w14:paraId="7D85E46E" w14:textId="77777777" w:rsidR="002D430C" w:rsidRPr="00DB56CA" w:rsidRDefault="002D430C" w:rsidP="001B3525">
            <w:pPr>
              <w:widowControl w:val="0"/>
              <w:autoSpaceDE w:val="0"/>
              <w:autoSpaceDN w:val="0"/>
              <w:adjustRightInd w:val="0"/>
              <w:spacing w:after="100" w:afterAutospacing="1" w:line="480" w:lineRule="auto"/>
              <w:contextualSpacing/>
              <w:jc w:val="center"/>
              <w:rPr>
                <w:color w:val="000000" w:themeColor="text1"/>
                <w:lang w:val="en-GB"/>
              </w:rPr>
            </w:pPr>
            <w:r w:rsidRPr="00DB56CA">
              <w:rPr>
                <w:color w:val="000000" w:themeColor="text1"/>
                <w:lang w:val="en-GB"/>
              </w:rPr>
              <w:t>0.35</w:t>
            </w:r>
          </w:p>
        </w:tc>
      </w:tr>
    </w:tbl>
    <w:p w14:paraId="531FAD56" w14:textId="55EB8981" w:rsidR="002D430C" w:rsidRPr="00DB56CA" w:rsidRDefault="002D430C" w:rsidP="00DA0CF7">
      <w:pPr>
        <w:spacing w:line="480" w:lineRule="auto"/>
        <w:rPr>
          <w:rFonts w:eastAsia="Times New Roman"/>
          <w:lang w:val="en-GB"/>
        </w:rPr>
      </w:pPr>
    </w:p>
    <w:sectPr w:rsidR="002D430C" w:rsidRPr="00DB56CA" w:rsidSect="0035447B">
      <w:headerReference w:type="even" r:id="rId9"/>
      <w:headerReference w:type="default" r:id="rId10"/>
      <w:footerReference w:type="default" r:id="rId11"/>
      <w:pgSz w:w="11900" w:h="16840"/>
      <w:pgMar w:top="1418" w:right="1418" w:bottom="1418" w:left="2268" w:header="709" w:footer="709" w:gutter="0"/>
      <w:lnNumType w:countBy="1"/>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753053" w14:textId="77777777" w:rsidR="00A5288B" w:rsidRDefault="00A5288B" w:rsidP="00A31762">
      <w:r>
        <w:separator/>
      </w:r>
    </w:p>
  </w:endnote>
  <w:endnote w:type="continuationSeparator" w:id="0">
    <w:p w14:paraId="396F3C31" w14:textId="77777777" w:rsidR="00A5288B" w:rsidRDefault="00A5288B" w:rsidP="00A31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8189933"/>
      <w:docPartObj>
        <w:docPartGallery w:val="Page Numbers (Bottom of Page)"/>
        <w:docPartUnique/>
      </w:docPartObj>
    </w:sdtPr>
    <w:sdtEndPr>
      <w:rPr>
        <w:noProof/>
      </w:rPr>
    </w:sdtEndPr>
    <w:sdtContent>
      <w:p w14:paraId="26677A3A" w14:textId="33491C6D" w:rsidR="00085C82" w:rsidRDefault="00085C82">
        <w:pPr>
          <w:pStyle w:val="Footer"/>
          <w:jc w:val="right"/>
        </w:pPr>
        <w:r>
          <w:fldChar w:fldCharType="begin"/>
        </w:r>
        <w:r>
          <w:instrText xml:space="preserve"> PAGE   \* MERGEFORMAT </w:instrText>
        </w:r>
        <w:r>
          <w:fldChar w:fldCharType="separate"/>
        </w:r>
        <w:r w:rsidR="00DB56CA">
          <w:rPr>
            <w:noProof/>
          </w:rPr>
          <w:t>1</w:t>
        </w:r>
        <w:r>
          <w:rPr>
            <w:noProof/>
          </w:rPr>
          <w:fldChar w:fldCharType="end"/>
        </w:r>
      </w:p>
    </w:sdtContent>
  </w:sdt>
  <w:p w14:paraId="4CEBF217" w14:textId="77777777" w:rsidR="00085C82" w:rsidRDefault="00085C8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D9A17A" w14:textId="77777777" w:rsidR="00A5288B" w:rsidRDefault="00A5288B" w:rsidP="00A31762">
      <w:r>
        <w:separator/>
      </w:r>
    </w:p>
  </w:footnote>
  <w:footnote w:type="continuationSeparator" w:id="0">
    <w:p w14:paraId="36C9AC01" w14:textId="77777777" w:rsidR="00A5288B" w:rsidRDefault="00A5288B" w:rsidP="00A3176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6C33B" w14:textId="77777777" w:rsidR="00085C82" w:rsidRDefault="00085C82" w:rsidP="00B06F9C">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C060D8" w14:textId="77777777" w:rsidR="00085C82" w:rsidRDefault="00085C82" w:rsidP="00A31762">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ACA0ED" w14:textId="1783A4B9" w:rsidR="00085C82" w:rsidRDefault="00085C82" w:rsidP="00B06F9C">
    <w:pPr>
      <w:pStyle w:val="Header"/>
      <w:framePr w:wrap="none" w:vAnchor="text" w:hAnchor="margin" w:xAlign="right" w:y="1"/>
      <w:rPr>
        <w:rStyle w:val="PageNumber"/>
      </w:rPr>
    </w:pPr>
  </w:p>
  <w:p w14:paraId="401FB993" w14:textId="399A52CC" w:rsidR="00085C82" w:rsidRDefault="00085C82" w:rsidP="00A31762">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4183100"/>
    <w:multiLevelType w:val="hybridMultilevel"/>
    <w:tmpl w:val="F2A694C0"/>
    <w:lvl w:ilvl="0" w:tplc="F3967440">
      <w:start w:val="1"/>
      <w:numFmt w:val="bullet"/>
      <w:lvlText w:val="•"/>
      <w:lvlJc w:val="left"/>
      <w:pPr>
        <w:tabs>
          <w:tab w:val="num" w:pos="720"/>
        </w:tabs>
        <w:ind w:left="720" w:hanging="360"/>
      </w:pPr>
      <w:rPr>
        <w:rFonts w:ascii="Arial" w:hAnsi="Arial" w:hint="default"/>
      </w:rPr>
    </w:lvl>
    <w:lvl w:ilvl="1" w:tplc="2C3E9DCA" w:tentative="1">
      <w:start w:val="1"/>
      <w:numFmt w:val="bullet"/>
      <w:lvlText w:val="•"/>
      <w:lvlJc w:val="left"/>
      <w:pPr>
        <w:tabs>
          <w:tab w:val="num" w:pos="1440"/>
        </w:tabs>
        <w:ind w:left="1440" w:hanging="360"/>
      </w:pPr>
      <w:rPr>
        <w:rFonts w:ascii="Arial" w:hAnsi="Arial" w:hint="default"/>
      </w:rPr>
    </w:lvl>
    <w:lvl w:ilvl="2" w:tplc="E94A47E8" w:tentative="1">
      <w:start w:val="1"/>
      <w:numFmt w:val="bullet"/>
      <w:lvlText w:val="•"/>
      <w:lvlJc w:val="left"/>
      <w:pPr>
        <w:tabs>
          <w:tab w:val="num" w:pos="2160"/>
        </w:tabs>
        <w:ind w:left="2160" w:hanging="360"/>
      </w:pPr>
      <w:rPr>
        <w:rFonts w:ascii="Arial" w:hAnsi="Arial" w:hint="default"/>
      </w:rPr>
    </w:lvl>
    <w:lvl w:ilvl="3" w:tplc="0B60DE4E" w:tentative="1">
      <w:start w:val="1"/>
      <w:numFmt w:val="bullet"/>
      <w:lvlText w:val="•"/>
      <w:lvlJc w:val="left"/>
      <w:pPr>
        <w:tabs>
          <w:tab w:val="num" w:pos="2880"/>
        </w:tabs>
        <w:ind w:left="2880" w:hanging="360"/>
      </w:pPr>
      <w:rPr>
        <w:rFonts w:ascii="Arial" w:hAnsi="Arial" w:hint="default"/>
      </w:rPr>
    </w:lvl>
    <w:lvl w:ilvl="4" w:tplc="F322E388" w:tentative="1">
      <w:start w:val="1"/>
      <w:numFmt w:val="bullet"/>
      <w:lvlText w:val="•"/>
      <w:lvlJc w:val="left"/>
      <w:pPr>
        <w:tabs>
          <w:tab w:val="num" w:pos="3600"/>
        </w:tabs>
        <w:ind w:left="3600" w:hanging="360"/>
      </w:pPr>
      <w:rPr>
        <w:rFonts w:ascii="Arial" w:hAnsi="Arial" w:hint="default"/>
      </w:rPr>
    </w:lvl>
    <w:lvl w:ilvl="5" w:tplc="536A9CE0" w:tentative="1">
      <w:start w:val="1"/>
      <w:numFmt w:val="bullet"/>
      <w:lvlText w:val="•"/>
      <w:lvlJc w:val="left"/>
      <w:pPr>
        <w:tabs>
          <w:tab w:val="num" w:pos="4320"/>
        </w:tabs>
        <w:ind w:left="4320" w:hanging="360"/>
      </w:pPr>
      <w:rPr>
        <w:rFonts w:ascii="Arial" w:hAnsi="Arial" w:hint="default"/>
      </w:rPr>
    </w:lvl>
    <w:lvl w:ilvl="6" w:tplc="E57ED802" w:tentative="1">
      <w:start w:val="1"/>
      <w:numFmt w:val="bullet"/>
      <w:lvlText w:val="•"/>
      <w:lvlJc w:val="left"/>
      <w:pPr>
        <w:tabs>
          <w:tab w:val="num" w:pos="5040"/>
        </w:tabs>
        <w:ind w:left="5040" w:hanging="360"/>
      </w:pPr>
      <w:rPr>
        <w:rFonts w:ascii="Arial" w:hAnsi="Arial" w:hint="default"/>
      </w:rPr>
    </w:lvl>
    <w:lvl w:ilvl="7" w:tplc="74FA3CB8" w:tentative="1">
      <w:start w:val="1"/>
      <w:numFmt w:val="bullet"/>
      <w:lvlText w:val="•"/>
      <w:lvlJc w:val="left"/>
      <w:pPr>
        <w:tabs>
          <w:tab w:val="num" w:pos="5760"/>
        </w:tabs>
        <w:ind w:left="5760" w:hanging="360"/>
      </w:pPr>
      <w:rPr>
        <w:rFonts w:ascii="Arial" w:hAnsi="Arial" w:hint="default"/>
      </w:rPr>
    </w:lvl>
    <w:lvl w:ilvl="8" w:tplc="A83A5A3E" w:tentative="1">
      <w:start w:val="1"/>
      <w:numFmt w:val="bullet"/>
      <w:lvlText w:val="•"/>
      <w:lvlJc w:val="left"/>
      <w:pPr>
        <w:tabs>
          <w:tab w:val="num" w:pos="6480"/>
        </w:tabs>
        <w:ind w:left="6480" w:hanging="360"/>
      </w:pPr>
      <w:rPr>
        <w:rFonts w:ascii="Arial" w:hAnsi="Arial" w:hint="default"/>
      </w:rPr>
    </w:lvl>
  </w:abstractNum>
  <w:abstractNum w:abstractNumId="4">
    <w:nsid w:val="31B108DC"/>
    <w:multiLevelType w:val="multilevel"/>
    <w:tmpl w:val="3280C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069698D"/>
    <w:multiLevelType w:val="hybridMultilevel"/>
    <w:tmpl w:val="1BEA2CE2"/>
    <w:lvl w:ilvl="0" w:tplc="3B8E1B94">
      <w:start w:val="1"/>
      <w:numFmt w:val="bullet"/>
      <w:lvlText w:val="•"/>
      <w:lvlJc w:val="left"/>
      <w:pPr>
        <w:tabs>
          <w:tab w:val="num" w:pos="720"/>
        </w:tabs>
        <w:ind w:left="720" w:hanging="360"/>
      </w:pPr>
      <w:rPr>
        <w:rFonts w:ascii="Arial" w:hAnsi="Arial" w:hint="default"/>
      </w:rPr>
    </w:lvl>
    <w:lvl w:ilvl="1" w:tplc="76C25956" w:tentative="1">
      <w:start w:val="1"/>
      <w:numFmt w:val="bullet"/>
      <w:lvlText w:val="•"/>
      <w:lvlJc w:val="left"/>
      <w:pPr>
        <w:tabs>
          <w:tab w:val="num" w:pos="1440"/>
        </w:tabs>
        <w:ind w:left="1440" w:hanging="360"/>
      </w:pPr>
      <w:rPr>
        <w:rFonts w:ascii="Arial" w:hAnsi="Arial" w:hint="default"/>
      </w:rPr>
    </w:lvl>
    <w:lvl w:ilvl="2" w:tplc="CA2470BA" w:tentative="1">
      <w:start w:val="1"/>
      <w:numFmt w:val="bullet"/>
      <w:lvlText w:val="•"/>
      <w:lvlJc w:val="left"/>
      <w:pPr>
        <w:tabs>
          <w:tab w:val="num" w:pos="2160"/>
        </w:tabs>
        <w:ind w:left="2160" w:hanging="360"/>
      </w:pPr>
      <w:rPr>
        <w:rFonts w:ascii="Arial" w:hAnsi="Arial" w:hint="default"/>
      </w:rPr>
    </w:lvl>
    <w:lvl w:ilvl="3" w:tplc="0E0EB2F4" w:tentative="1">
      <w:start w:val="1"/>
      <w:numFmt w:val="bullet"/>
      <w:lvlText w:val="•"/>
      <w:lvlJc w:val="left"/>
      <w:pPr>
        <w:tabs>
          <w:tab w:val="num" w:pos="2880"/>
        </w:tabs>
        <w:ind w:left="2880" w:hanging="360"/>
      </w:pPr>
      <w:rPr>
        <w:rFonts w:ascii="Arial" w:hAnsi="Arial" w:hint="default"/>
      </w:rPr>
    </w:lvl>
    <w:lvl w:ilvl="4" w:tplc="EEB07CFA" w:tentative="1">
      <w:start w:val="1"/>
      <w:numFmt w:val="bullet"/>
      <w:lvlText w:val="•"/>
      <w:lvlJc w:val="left"/>
      <w:pPr>
        <w:tabs>
          <w:tab w:val="num" w:pos="3600"/>
        </w:tabs>
        <w:ind w:left="3600" w:hanging="360"/>
      </w:pPr>
      <w:rPr>
        <w:rFonts w:ascii="Arial" w:hAnsi="Arial" w:hint="default"/>
      </w:rPr>
    </w:lvl>
    <w:lvl w:ilvl="5" w:tplc="1332C8D6" w:tentative="1">
      <w:start w:val="1"/>
      <w:numFmt w:val="bullet"/>
      <w:lvlText w:val="•"/>
      <w:lvlJc w:val="left"/>
      <w:pPr>
        <w:tabs>
          <w:tab w:val="num" w:pos="4320"/>
        </w:tabs>
        <w:ind w:left="4320" w:hanging="360"/>
      </w:pPr>
      <w:rPr>
        <w:rFonts w:ascii="Arial" w:hAnsi="Arial" w:hint="default"/>
      </w:rPr>
    </w:lvl>
    <w:lvl w:ilvl="6" w:tplc="4CCEF732" w:tentative="1">
      <w:start w:val="1"/>
      <w:numFmt w:val="bullet"/>
      <w:lvlText w:val="•"/>
      <w:lvlJc w:val="left"/>
      <w:pPr>
        <w:tabs>
          <w:tab w:val="num" w:pos="5040"/>
        </w:tabs>
        <w:ind w:left="5040" w:hanging="360"/>
      </w:pPr>
      <w:rPr>
        <w:rFonts w:ascii="Arial" w:hAnsi="Arial" w:hint="default"/>
      </w:rPr>
    </w:lvl>
    <w:lvl w:ilvl="7" w:tplc="EEEA42A0" w:tentative="1">
      <w:start w:val="1"/>
      <w:numFmt w:val="bullet"/>
      <w:lvlText w:val="•"/>
      <w:lvlJc w:val="left"/>
      <w:pPr>
        <w:tabs>
          <w:tab w:val="num" w:pos="5760"/>
        </w:tabs>
        <w:ind w:left="5760" w:hanging="360"/>
      </w:pPr>
      <w:rPr>
        <w:rFonts w:ascii="Arial" w:hAnsi="Arial" w:hint="default"/>
      </w:rPr>
    </w:lvl>
    <w:lvl w:ilvl="8" w:tplc="561E356C" w:tentative="1">
      <w:start w:val="1"/>
      <w:numFmt w:val="bullet"/>
      <w:lvlText w:val="•"/>
      <w:lvlJc w:val="left"/>
      <w:pPr>
        <w:tabs>
          <w:tab w:val="num" w:pos="6480"/>
        </w:tabs>
        <w:ind w:left="6480" w:hanging="360"/>
      </w:pPr>
      <w:rPr>
        <w:rFonts w:ascii="Arial" w:hAnsi="Arial" w:hint="default"/>
      </w:rPr>
    </w:lvl>
  </w:abstractNum>
  <w:abstractNum w:abstractNumId="6">
    <w:nsid w:val="60C2465F"/>
    <w:multiLevelType w:val="hybridMultilevel"/>
    <w:tmpl w:val="889C5A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C5B3774"/>
    <w:multiLevelType w:val="multilevel"/>
    <w:tmpl w:val="446E9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CA47E26"/>
    <w:multiLevelType w:val="hybridMultilevel"/>
    <w:tmpl w:val="749CF430"/>
    <w:lvl w:ilvl="0" w:tplc="1610C54C">
      <w:start w:val="1"/>
      <w:numFmt w:val="decimal"/>
      <w:lvlText w:val="%1."/>
      <w:lvlJc w:val="left"/>
      <w:pPr>
        <w:ind w:left="720" w:hanging="360"/>
      </w:pPr>
      <w:rPr>
        <w:rFonts w:ascii="Arial" w:hAnsi="Arial" w:cs="Arial" w:hint="default"/>
        <w:color w:val="222222"/>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5"/>
  </w:num>
  <w:num w:numId="5">
    <w:abstractNumId w:val="3"/>
  </w:num>
  <w:num w:numId="6">
    <w:abstractNumId w:val="4"/>
  </w:num>
  <w:num w:numId="7">
    <w:abstractNumId w:val="7"/>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F74"/>
    <w:rsid w:val="00000D10"/>
    <w:rsid w:val="000016FC"/>
    <w:rsid w:val="00003BBF"/>
    <w:rsid w:val="0000438E"/>
    <w:rsid w:val="00006DBB"/>
    <w:rsid w:val="00012D75"/>
    <w:rsid w:val="0001427D"/>
    <w:rsid w:val="00014E1C"/>
    <w:rsid w:val="000163D2"/>
    <w:rsid w:val="00016FFA"/>
    <w:rsid w:val="00020D65"/>
    <w:rsid w:val="00020DEE"/>
    <w:rsid w:val="00022B20"/>
    <w:rsid w:val="00022C57"/>
    <w:rsid w:val="000255BB"/>
    <w:rsid w:val="00032EF9"/>
    <w:rsid w:val="000333AC"/>
    <w:rsid w:val="00034ED8"/>
    <w:rsid w:val="00035414"/>
    <w:rsid w:val="000365F5"/>
    <w:rsid w:val="00037303"/>
    <w:rsid w:val="00040BA2"/>
    <w:rsid w:val="00041FE0"/>
    <w:rsid w:val="00042524"/>
    <w:rsid w:val="000426A0"/>
    <w:rsid w:val="00046E91"/>
    <w:rsid w:val="0004735C"/>
    <w:rsid w:val="000476E0"/>
    <w:rsid w:val="00047AE9"/>
    <w:rsid w:val="00052786"/>
    <w:rsid w:val="000536A3"/>
    <w:rsid w:val="00053D5B"/>
    <w:rsid w:val="00056259"/>
    <w:rsid w:val="00061D0D"/>
    <w:rsid w:val="00061EAB"/>
    <w:rsid w:val="00063499"/>
    <w:rsid w:val="00070ED7"/>
    <w:rsid w:val="00071736"/>
    <w:rsid w:val="00072527"/>
    <w:rsid w:val="00072AAA"/>
    <w:rsid w:val="00075A56"/>
    <w:rsid w:val="0007643F"/>
    <w:rsid w:val="000772B9"/>
    <w:rsid w:val="000801F1"/>
    <w:rsid w:val="0008059D"/>
    <w:rsid w:val="000831A1"/>
    <w:rsid w:val="000854ED"/>
    <w:rsid w:val="00085C82"/>
    <w:rsid w:val="00086B43"/>
    <w:rsid w:val="000906E7"/>
    <w:rsid w:val="00091E5B"/>
    <w:rsid w:val="00093EAC"/>
    <w:rsid w:val="00094A01"/>
    <w:rsid w:val="00097FF4"/>
    <w:rsid w:val="000A4217"/>
    <w:rsid w:val="000A65F1"/>
    <w:rsid w:val="000A7AF9"/>
    <w:rsid w:val="000B452C"/>
    <w:rsid w:val="000B6931"/>
    <w:rsid w:val="000B7C3E"/>
    <w:rsid w:val="000B7D45"/>
    <w:rsid w:val="000C09F8"/>
    <w:rsid w:val="000C1310"/>
    <w:rsid w:val="000C2E0A"/>
    <w:rsid w:val="000C2FBD"/>
    <w:rsid w:val="000C419C"/>
    <w:rsid w:val="000C584F"/>
    <w:rsid w:val="000C6FC3"/>
    <w:rsid w:val="000D05D4"/>
    <w:rsid w:val="000D2CB4"/>
    <w:rsid w:val="000D4505"/>
    <w:rsid w:val="000D47DC"/>
    <w:rsid w:val="000D638A"/>
    <w:rsid w:val="000D68B0"/>
    <w:rsid w:val="000E08A8"/>
    <w:rsid w:val="000E143A"/>
    <w:rsid w:val="000E188E"/>
    <w:rsid w:val="000E3A89"/>
    <w:rsid w:val="000E49A5"/>
    <w:rsid w:val="000E5D1B"/>
    <w:rsid w:val="000E6365"/>
    <w:rsid w:val="000E7143"/>
    <w:rsid w:val="000F214A"/>
    <w:rsid w:val="000F3D35"/>
    <w:rsid w:val="000F4758"/>
    <w:rsid w:val="000F599D"/>
    <w:rsid w:val="00100094"/>
    <w:rsid w:val="00100401"/>
    <w:rsid w:val="0010169A"/>
    <w:rsid w:val="00103903"/>
    <w:rsid w:val="00106578"/>
    <w:rsid w:val="00106812"/>
    <w:rsid w:val="00112346"/>
    <w:rsid w:val="00112E39"/>
    <w:rsid w:val="001138D2"/>
    <w:rsid w:val="00114163"/>
    <w:rsid w:val="001143D7"/>
    <w:rsid w:val="00120377"/>
    <w:rsid w:val="00120F2C"/>
    <w:rsid w:val="00123185"/>
    <w:rsid w:val="00123AC2"/>
    <w:rsid w:val="00124F35"/>
    <w:rsid w:val="00125922"/>
    <w:rsid w:val="00126C42"/>
    <w:rsid w:val="00126F39"/>
    <w:rsid w:val="00127544"/>
    <w:rsid w:val="00130045"/>
    <w:rsid w:val="001310E4"/>
    <w:rsid w:val="00131175"/>
    <w:rsid w:val="00131D46"/>
    <w:rsid w:val="001325E5"/>
    <w:rsid w:val="00136B0B"/>
    <w:rsid w:val="00137565"/>
    <w:rsid w:val="00137814"/>
    <w:rsid w:val="0014149C"/>
    <w:rsid w:val="00141B77"/>
    <w:rsid w:val="001447A6"/>
    <w:rsid w:val="00145FC7"/>
    <w:rsid w:val="00147E73"/>
    <w:rsid w:val="00151040"/>
    <w:rsid w:val="001532D3"/>
    <w:rsid w:val="001535DB"/>
    <w:rsid w:val="001557D6"/>
    <w:rsid w:val="00160843"/>
    <w:rsid w:val="00160CE7"/>
    <w:rsid w:val="00161848"/>
    <w:rsid w:val="00161B81"/>
    <w:rsid w:val="00162CCA"/>
    <w:rsid w:val="001653AA"/>
    <w:rsid w:val="001662BE"/>
    <w:rsid w:val="00166664"/>
    <w:rsid w:val="00167496"/>
    <w:rsid w:val="0017174F"/>
    <w:rsid w:val="00172201"/>
    <w:rsid w:val="001728E9"/>
    <w:rsid w:val="0017438F"/>
    <w:rsid w:val="001769D3"/>
    <w:rsid w:val="00183CE8"/>
    <w:rsid w:val="00183E71"/>
    <w:rsid w:val="00184010"/>
    <w:rsid w:val="001842DB"/>
    <w:rsid w:val="00184CD1"/>
    <w:rsid w:val="00186454"/>
    <w:rsid w:val="001873A1"/>
    <w:rsid w:val="0019057C"/>
    <w:rsid w:val="00190B2B"/>
    <w:rsid w:val="0019246A"/>
    <w:rsid w:val="001945BC"/>
    <w:rsid w:val="001952ED"/>
    <w:rsid w:val="00195371"/>
    <w:rsid w:val="00195482"/>
    <w:rsid w:val="0019613B"/>
    <w:rsid w:val="00196358"/>
    <w:rsid w:val="001970A3"/>
    <w:rsid w:val="001A28C7"/>
    <w:rsid w:val="001A2D54"/>
    <w:rsid w:val="001A6364"/>
    <w:rsid w:val="001A67B8"/>
    <w:rsid w:val="001A6FB4"/>
    <w:rsid w:val="001A7519"/>
    <w:rsid w:val="001B1664"/>
    <w:rsid w:val="001B184C"/>
    <w:rsid w:val="001B19C5"/>
    <w:rsid w:val="001B33ED"/>
    <w:rsid w:val="001B3525"/>
    <w:rsid w:val="001B3569"/>
    <w:rsid w:val="001B425E"/>
    <w:rsid w:val="001B5D13"/>
    <w:rsid w:val="001B6CA5"/>
    <w:rsid w:val="001B6D5A"/>
    <w:rsid w:val="001B6DDB"/>
    <w:rsid w:val="001C038F"/>
    <w:rsid w:val="001C0E5E"/>
    <w:rsid w:val="001C23FF"/>
    <w:rsid w:val="001C458A"/>
    <w:rsid w:val="001D2134"/>
    <w:rsid w:val="001D2B82"/>
    <w:rsid w:val="001D5CE0"/>
    <w:rsid w:val="001D7E9B"/>
    <w:rsid w:val="001E004C"/>
    <w:rsid w:val="001E05CC"/>
    <w:rsid w:val="001E1C3B"/>
    <w:rsid w:val="001E3226"/>
    <w:rsid w:val="001E645A"/>
    <w:rsid w:val="001E7775"/>
    <w:rsid w:val="001F3113"/>
    <w:rsid w:val="001F3975"/>
    <w:rsid w:val="001F47D7"/>
    <w:rsid w:val="001F56C8"/>
    <w:rsid w:val="001F5B1A"/>
    <w:rsid w:val="001F6438"/>
    <w:rsid w:val="001F6525"/>
    <w:rsid w:val="00200047"/>
    <w:rsid w:val="00200FE5"/>
    <w:rsid w:val="002104FE"/>
    <w:rsid w:val="0021188B"/>
    <w:rsid w:val="002118AC"/>
    <w:rsid w:val="00214633"/>
    <w:rsid w:val="002205D0"/>
    <w:rsid w:val="00220AA7"/>
    <w:rsid w:val="002221D9"/>
    <w:rsid w:val="00223565"/>
    <w:rsid w:val="00224CCD"/>
    <w:rsid w:val="002261D5"/>
    <w:rsid w:val="00231097"/>
    <w:rsid w:val="00231111"/>
    <w:rsid w:val="00231270"/>
    <w:rsid w:val="00231B57"/>
    <w:rsid w:val="00235853"/>
    <w:rsid w:val="002363A1"/>
    <w:rsid w:val="0024525D"/>
    <w:rsid w:val="00245824"/>
    <w:rsid w:val="00245F18"/>
    <w:rsid w:val="00250102"/>
    <w:rsid w:val="00250A0E"/>
    <w:rsid w:val="00250A95"/>
    <w:rsid w:val="00250DE3"/>
    <w:rsid w:val="002516B9"/>
    <w:rsid w:val="002538B9"/>
    <w:rsid w:val="00253A4E"/>
    <w:rsid w:val="00254B17"/>
    <w:rsid w:val="00255F07"/>
    <w:rsid w:val="002578DD"/>
    <w:rsid w:val="00261B35"/>
    <w:rsid w:val="00261B6D"/>
    <w:rsid w:val="00264608"/>
    <w:rsid w:val="00266EC0"/>
    <w:rsid w:val="00271526"/>
    <w:rsid w:val="00271C2B"/>
    <w:rsid w:val="002721AD"/>
    <w:rsid w:val="00272DC2"/>
    <w:rsid w:val="0027392E"/>
    <w:rsid w:val="00275D65"/>
    <w:rsid w:val="00277E7F"/>
    <w:rsid w:val="002801BD"/>
    <w:rsid w:val="00280613"/>
    <w:rsid w:val="00285B2C"/>
    <w:rsid w:val="0028725D"/>
    <w:rsid w:val="00287F56"/>
    <w:rsid w:val="00291862"/>
    <w:rsid w:val="00291D97"/>
    <w:rsid w:val="0029582B"/>
    <w:rsid w:val="002A0AD9"/>
    <w:rsid w:val="002A425C"/>
    <w:rsid w:val="002A7355"/>
    <w:rsid w:val="002A7587"/>
    <w:rsid w:val="002B077D"/>
    <w:rsid w:val="002B3687"/>
    <w:rsid w:val="002B6087"/>
    <w:rsid w:val="002C0BE1"/>
    <w:rsid w:val="002C3427"/>
    <w:rsid w:val="002C347F"/>
    <w:rsid w:val="002C548B"/>
    <w:rsid w:val="002C67B7"/>
    <w:rsid w:val="002D1CA8"/>
    <w:rsid w:val="002D2E85"/>
    <w:rsid w:val="002D3926"/>
    <w:rsid w:val="002D398B"/>
    <w:rsid w:val="002D40C7"/>
    <w:rsid w:val="002D430C"/>
    <w:rsid w:val="002D4CBE"/>
    <w:rsid w:val="002D51A7"/>
    <w:rsid w:val="002D72FF"/>
    <w:rsid w:val="002D741A"/>
    <w:rsid w:val="002E0A98"/>
    <w:rsid w:val="002E5AB0"/>
    <w:rsid w:val="002F2F10"/>
    <w:rsid w:val="002F4EC3"/>
    <w:rsid w:val="00302A8F"/>
    <w:rsid w:val="0030440A"/>
    <w:rsid w:val="003045B6"/>
    <w:rsid w:val="00305DB8"/>
    <w:rsid w:val="003062F6"/>
    <w:rsid w:val="00307ABC"/>
    <w:rsid w:val="003101EE"/>
    <w:rsid w:val="003106DA"/>
    <w:rsid w:val="00311514"/>
    <w:rsid w:val="003130EC"/>
    <w:rsid w:val="00313100"/>
    <w:rsid w:val="00314B20"/>
    <w:rsid w:val="00321695"/>
    <w:rsid w:val="0032199B"/>
    <w:rsid w:val="00322131"/>
    <w:rsid w:val="0032276A"/>
    <w:rsid w:val="003232A9"/>
    <w:rsid w:val="003235CC"/>
    <w:rsid w:val="00324C05"/>
    <w:rsid w:val="00330DA7"/>
    <w:rsid w:val="00334AD0"/>
    <w:rsid w:val="003369C7"/>
    <w:rsid w:val="0033792B"/>
    <w:rsid w:val="003407A4"/>
    <w:rsid w:val="003414E5"/>
    <w:rsid w:val="00342395"/>
    <w:rsid w:val="0034299B"/>
    <w:rsid w:val="003435A3"/>
    <w:rsid w:val="003445BB"/>
    <w:rsid w:val="00344DC5"/>
    <w:rsid w:val="00344EA1"/>
    <w:rsid w:val="00346719"/>
    <w:rsid w:val="00346C9E"/>
    <w:rsid w:val="00347BC9"/>
    <w:rsid w:val="00351AFF"/>
    <w:rsid w:val="0035343C"/>
    <w:rsid w:val="0035447B"/>
    <w:rsid w:val="003579B7"/>
    <w:rsid w:val="00360442"/>
    <w:rsid w:val="00362147"/>
    <w:rsid w:val="00362F5A"/>
    <w:rsid w:val="00365EFA"/>
    <w:rsid w:val="003700A7"/>
    <w:rsid w:val="00370A35"/>
    <w:rsid w:val="00371B7C"/>
    <w:rsid w:val="00372C97"/>
    <w:rsid w:val="0038412E"/>
    <w:rsid w:val="0038450F"/>
    <w:rsid w:val="003861E2"/>
    <w:rsid w:val="00387A5C"/>
    <w:rsid w:val="00392FA0"/>
    <w:rsid w:val="003A098A"/>
    <w:rsid w:val="003A5AD0"/>
    <w:rsid w:val="003B00B1"/>
    <w:rsid w:val="003B28B9"/>
    <w:rsid w:val="003B3B5F"/>
    <w:rsid w:val="003B61C7"/>
    <w:rsid w:val="003B76F2"/>
    <w:rsid w:val="003C0C8E"/>
    <w:rsid w:val="003C4CD8"/>
    <w:rsid w:val="003C4E99"/>
    <w:rsid w:val="003C58F3"/>
    <w:rsid w:val="003C73B2"/>
    <w:rsid w:val="003C7FF0"/>
    <w:rsid w:val="003D04E7"/>
    <w:rsid w:val="003D1280"/>
    <w:rsid w:val="003D1A7E"/>
    <w:rsid w:val="003D1EF9"/>
    <w:rsid w:val="003D1F78"/>
    <w:rsid w:val="003E076E"/>
    <w:rsid w:val="003E7D8F"/>
    <w:rsid w:val="003F1036"/>
    <w:rsid w:val="003F12AA"/>
    <w:rsid w:val="003F1E44"/>
    <w:rsid w:val="003F3132"/>
    <w:rsid w:val="003F46F5"/>
    <w:rsid w:val="003F6EBA"/>
    <w:rsid w:val="00401CB7"/>
    <w:rsid w:val="00403242"/>
    <w:rsid w:val="004033AF"/>
    <w:rsid w:val="00404AEA"/>
    <w:rsid w:val="00406188"/>
    <w:rsid w:val="00406C79"/>
    <w:rsid w:val="004109D5"/>
    <w:rsid w:val="0041481C"/>
    <w:rsid w:val="00415E67"/>
    <w:rsid w:val="004175D2"/>
    <w:rsid w:val="004202EF"/>
    <w:rsid w:val="00421953"/>
    <w:rsid w:val="0042263E"/>
    <w:rsid w:val="00422DF9"/>
    <w:rsid w:val="00424C2E"/>
    <w:rsid w:val="00425DA1"/>
    <w:rsid w:val="00425EA4"/>
    <w:rsid w:val="00426160"/>
    <w:rsid w:val="0042631A"/>
    <w:rsid w:val="00426AE9"/>
    <w:rsid w:val="00426EBA"/>
    <w:rsid w:val="004308A4"/>
    <w:rsid w:val="004314D7"/>
    <w:rsid w:val="00435223"/>
    <w:rsid w:val="004356E4"/>
    <w:rsid w:val="004360FF"/>
    <w:rsid w:val="0043610C"/>
    <w:rsid w:val="00442616"/>
    <w:rsid w:val="0044388F"/>
    <w:rsid w:val="00446401"/>
    <w:rsid w:val="00447E10"/>
    <w:rsid w:val="00450AE7"/>
    <w:rsid w:val="00453BDD"/>
    <w:rsid w:val="0045559E"/>
    <w:rsid w:val="00457796"/>
    <w:rsid w:val="0046014B"/>
    <w:rsid w:val="00466C03"/>
    <w:rsid w:val="004673BE"/>
    <w:rsid w:val="00467BC4"/>
    <w:rsid w:val="004701FC"/>
    <w:rsid w:val="004769B7"/>
    <w:rsid w:val="004776E1"/>
    <w:rsid w:val="0048274D"/>
    <w:rsid w:val="00482BE6"/>
    <w:rsid w:val="00485A25"/>
    <w:rsid w:val="004875CA"/>
    <w:rsid w:val="00491928"/>
    <w:rsid w:val="00493EC5"/>
    <w:rsid w:val="004A05DA"/>
    <w:rsid w:val="004A0F3E"/>
    <w:rsid w:val="004A14C0"/>
    <w:rsid w:val="004A2D1D"/>
    <w:rsid w:val="004A4189"/>
    <w:rsid w:val="004A4A06"/>
    <w:rsid w:val="004A4DDE"/>
    <w:rsid w:val="004A51B0"/>
    <w:rsid w:val="004B34C2"/>
    <w:rsid w:val="004B4544"/>
    <w:rsid w:val="004B6230"/>
    <w:rsid w:val="004B66C6"/>
    <w:rsid w:val="004B6846"/>
    <w:rsid w:val="004C2442"/>
    <w:rsid w:val="004C77D0"/>
    <w:rsid w:val="004D332D"/>
    <w:rsid w:val="004D3C49"/>
    <w:rsid w:val="004D7D87"/>
    <w:rsid w:val="004E0735"/>
    <w:rsid w:val="004E0AD3"/>
    <w:rsid w:val="004E18CA"/>
    <w:rsid w:val="004E192B"/>
    <w:rsid w:val="004E3D66"/>
    <w:rsid w:val="004E3E60"/>
    <w:rsid w:val="004E4FD1"/>
    <w:rsid w:val="004F2977"/>
    <w:rsid w:val="004F5535"/>
    <w:rsid w:val="004F5810"/>
    <w:rsid w:val="004F6EA2"/>
    <w:rsid w:val="00501F07"/>
    <w:rsid w:val="0050240F"/>
    <w:rsid w:val="00503489"/>
    <w:rsid w:val="00504755"/>
    <w:rsid w:val="00504927"/>
    <w:rsid w:val="00504D96"/>
    <w:rsid w:val="0050690F"/>
    <w:rsid w:val="00506F43"/>
    <w:rsid w:val="00511AE6"/>
    <w:rsid w:val="0051487B"/>
    <w:rsid w:val="00515198"/>
    <w:rsid w:val="00515AA4"/>
    <w:rsid w:val="00530427"/>
    <w:rsid w:val="005347A1"/>
    <w:rsid w:val="0054051F"/>
    <w:rsid w:val="00544650"/>
    <w:rsid w:val="005455FA"/>
    <w:rsid w:val="0054660C"/>
    <w:rsid w:val="00547111"/>
    <w:rsid w:val="0055103E"/>
    <w:rsid w:val="00551E34"/>
    <w:rsid w:val="0055400B"/>
    <w:rsid w:val="00554E0B"/>
    <w:rsid w:val="005566B1"/>
    <w:rsid w:val="00556E8D"/>
    <w:rsid w:val="00557544"/>
    <w:rsid w:val="00560F59"/>
    <w:rsid w:val="00562998"/>
    <w:rsid w:val="00562FE0"/>
    <w:rsid w:val="005652F1"/>
    <w:rsid w:val="00565880"/>
    <w:rsid w:val="005712E6"/>
    <w:rsid w:val="00572EA4"/>
    <w:rsid w:val="005731DF"/>
    <w:rsid w:val="00573B17"/>
    <w:rsid w:val="00573EFE"/>
    <w:rsid w:val="00575BC2"/>
    <w:rsid w:val="00577B53"/>
    <w:rsid w:val="0058655C"/>
    <w:rsid w:val="005930D0"/>
    <w:rsid w:val="005936BA"/>
    <w:rsid w:val="0059566C"/>
    <w:rsid w:val="00596E29"/>
    <w:rsid w:val="005B1ECB"/>
    <w:rsid w:val="005B304C"/>
    <w:rsid w:val="005B49DC"/>
    <w:rsid w:val="005B7D13"/>
    <w:rsid w:val="005B7F55"/>
    <w:rsid w:val="005C057B"/>
    <w:rsid w:val="005C0B7F"/>
    <w:rsid w:val="005C1D2F"/>
    <w:rsid w:val="005C3C6C"/>
    <w:rsid w:val="005C4B0E"/>
    <w:rsid w:val="005C62F9"/>
    <w:rsid w:val="005D1C33"/>
    <w:rsid w:val="005D2D53"/>
    <w:rsid w:val="005D59D8"/>
    <w:rsid w:val="005E03F7"/>
    <w:rsid w:val="005E0E1B"/>
    <w:rsid w:val="005E150A"/>
    <w:rsid w:val="005E1A7F"/>
    <w:rsid w:val="005E2E19"/>
    <w:rsid w:val="005E3B13"/>
    <w:rsid w:val="005E448F"/>
    <w:rsid w:val="005F002A"/>
    <w:rsid w:val="005F058D"/>
    <w:rsid w:val="005F06B7"/>
    <w:rsid w:val="005F2FC0"/>
    <w:rsid w:val="005F3D64"/>
    <w:rsid w:val="005F4545"/>
    <w:rsid w:val="005F7A5A"/>
    <w:rsid w:val="0060105B"/>
    <w:rsid w:val="006034BB"/>
    <w:rsid w:val="00603C2C"/>
    <w:rsid w:val="00605617"/>
    <w:rsid w:val="00606514"/>
    <w:rsid w:val="0060741B"/>
    <w:rsid w:val="00610D4E"/>
    <w:rsid w:val="00614EC7"/>
    <w:rsid w:val="00615BDC"/>
    <w:rsid w:val="00622747"/>
    <w:rsid w:val="00623267"/>
    <w:rsid w:val="00630594"/>
    <w:rsid w:val="006312F0"/>
    <w:rsid w:val="00632ABF"/>
    <w:rsid w:val="006330E8"/>
    <w:rsid w:val="00633223"/>
    <w:rsid w:val="00634789"/>
    <w:rsid w:val="00634CFD"/>
    <w:rsid w:val="00636912"/>
    <w:rsid w:val="00636FDC"/>
    <w:rsid w:val="0063726F"/>
    <w:rsid w:val="006374AE"/>
    <w:rsid w:val="006418B2"/>
    <w:rsid w:val="0064599E"/>
    <w:rsid w:val="00647164"/>
    <w:rsid w:val="00650F7A"/>
    <w:rsid w:val="0065222F"/>
    <w:rsid w:val="0065659B"/>
    <w:rsid w:val="00663BD9"/>
    <w:rsid w:val="00665A7B"/>
    <w:rsid w:val="006666FB"/>
    <w:rsid w:val="006700B7"/>
    <w:rsid w:val="00670C31"/>
    <w:rsid w:val="006710F1"/>
    <w:rsid w:val="00671AE6"/>
    <w:rsid w:val="00671F1B"/>
    <w:rsid w:val="0067247B"/>
    <w:rsid w:val="00675134"/>
    <w:rsid w:val="00677D2F"/>
    <w:rsid w:val="006814F6"/>
    <w:rsid w:val="00683C25"/>
    <w:rsid w:val="006853D9"/>
    <w:rsid w:val="00687EAD"/>
    <w:rsid w:val="00695517"/>
    <w:rsid w:val="006959A7"/>
    <w:rsid w:val="00696986"/>
    <w:rsid w:val="00697C36"/>
    <w:rsid w:val="006A2052"/>
    <w:rsid w:val="006A213C"/>
    <w:rsid w:val="006A3F3A"/>
    <w:rsid w:val="006A5659"/>
    <w:rsid w:val="006A61EC"/>
    <w:rsid w:val="006A75FE"/>
    <w:rsid w:val="006B036E"/>
    <w:rsid w:val="006B2E95"/>
    <w:rsid w:val="006B3399"/>
    <w:rsid w:val="006B619E"/>
    <w:rsid w:val="006B697A"/>
    <w:rsid w:val="006C0580"/>
    <w:rsid w:val="006C15A6"/>
    <w:rsid w:val="006C1994"/>
    <w:rsid w:val="006C4C71"/>
    <w:rsid w:val="006D4512"/>
    <w:rsid w:val="006D655A"/>
    <w:rsid w:val="006D67AE"/>
    <w:rsid w:val="006D6C02"/>
    <w:rsid w:val="006D7AAF"/>
    <w:rsid w:val="006D7C3D"/>
    <w:rsid w:val="006E0229"/>
    <w:rsid w:val="006E0AC1"/>
    <w:rsid w:val="006E2CEA"/>
    <w:rsid w:val="006E3D08"/>
    <w:rsid w:val="006E4CEE"/>
    <w:rsid w:val="006E6B42"/>
    <w:rsid w:val="006E6D9D"/>
    <w:rsid w:val="006F4F7E"/>
    <w:rsid w:val="006F568E"/>
    <w:rsid w:val="006F6C85"/>
    <w:rsid w:val="006F77D6"/>
    <w:rsid w:val="00700644"/>
    <w:rsid w:val="00705CA0"/>
    <w:rsid w:val="00706B62"/>
    <w:rsid w:val="00707B97"/>
    <w:rsid w:val="007120D5"/>
    <w:rsid w:val="00713DB8"/>
    <w:rsid w:val="00715351"/>
    <w:rsid w:val="00715532"/>
    <w:rsid w:val="0071661D"/>
    <w:rsid w:val="00716EBC"/>
    <w:rsid w:val="0072041A"/>
    <w:rsid w:val="007207A1"/>
    <w:rsid w:val="007216CD"/>
    <w:rsid w:val="00731A1F"/>
    <w:rsid w:val="007323BA"/>
    <w:rsid w:val="00734C1C"/>
    <w:rsid w:val="0073582F"/>
    <w:rsid w:val="007362FD"/>
    <w:rsid w:val="00736E1F"/>
    <w:rsid w:val="00740263"/>
    <w:rsid w:val="007413F2"/>
    <w:rsid w:val="007416B1"/>
    <w:rsid w:val="00743B48"/>
    <w:rsid w:val="00744266"/>
    <w:rsid w:val="00747ACC"/>
    <w:rsid w:val="007502DE"/>
    <w:rsid w:val="00751522"/>
    <w:rsid w:val="00751E51"/>
    <w:rsid w:val="007524C2"/>
    <w:rsid w:val="00753459"/>
    <w:rsid w:val="00754910"/>
    <w:rsid w:val="007601D0"/>
    <w:rsid w:val="00761E9F"/>
    <w:rsid w:val="0076512B"/>
    <w:rsid w:val="007657D8"/>
    <w:rsid w:val="00767E64"/>
    <w:rsid w:val="00767FBC"/>
    <w:rsid w:val="007709D3"/>
    <w:rsid w:val="00777FE8"/>
    <w:rsid w:val="00784953"/>
    <w:rsid w:val="00785469"/>
    <w:rsid w:val="00786745"/>
    <w:rsid w:val="00787046"/>
    <w:rsid w:val="007900CA"/>
    <w:rsid w:val="007940B4"/>
    <w:rsid w:val="0079531B"/>
    <w:rsid w:val="007956E6"/>
    <w:rsid w:val="00797314"/>
    <w:rsid w:val="007A106F"/>
    <w:rsid w:val="007A1740"/>
    <w:rsid w:val="007A2066"/>
    <w:rsid w:val="007A25E8"/>
    <w:rsid w:val="007A379F"/>
    <w:rsid w:val="007A3E4A"/>
    <w:rsid w:val="007A43A2"/>
    <w:rsid w:val="007A59EB"/>
    <w:rsid w:val="007A65AA"/>
    <w:rsid w:val="007B135C"/>
    <w:rsid w:val="007B3F13"/>
    <w:rsid w:val="007B58EE"/>
    <w:rsid w:val="007B7F38"/>
    <w:rsid w:val="007C03C7"/>
    <w:rsid w:val="007C082C"/>
    <w:rsid w:val="007C180E"/>
    <w:rsid w:val="007C2805"/>
    <w:rsid w:val="007C40CB"/>
    <w:rsid w:val="007D03D7"/>
    <w:rsid w:val="007D0455"/>
    <w:rsid w:val="007D119C"/>
    <w:rsid w:val="007D1912"/>
    <w:rsid w:val="007D1B3A"/>
    <w:rsid w:val="007D1BF3"/>
    <w:rsid w:val="007D2297"/>
    <w:rsid w:val="007D2F5D"/>
    <w:rsid w:val="007D3A33"/>
    <w:rsid w:val="007D5D61"/>
    <w:rsid w:val="007D5F21"/>
    <w:rsid w:val="007D607C"/>
    <w:rsid w:val="007D79A8"/>
    <w:rsid w:val="007E53E1"/>
    <w:rsid w:val="007E5A13"/>
    <w:rsid w:val="007E7063"/>
    <w:rsid w:val="007F2D85"/>
    <w:rsid w:val="007F2E73"/>
    <w:rsid w:val="007F41A4"/>
    <w:rsid w:val="00801C73"/>
    <w:rsid w:val="00803E74"/>
    <w:rsid w:val="00804D2C"/>
    <w:rsid w:val="00804F3C"/>
    <w:rsid w:val="008058A2"/>
    <w:rsid w:val="008062FE"/>
    <w:rsid w:val="00810439"/>
    <w:rsid w:val="008116CA"/>
    <w:rsid w:val="008122AE"/>
    <w:rsid w:val="008230B0"/>
    <w:rsid w:val="00824566"/>
    <w:rsid w:val="0082673C"/>
    <w:rsid w:val="00827809"/>
    <w:rsid w:val="00832DAE"/>
    <w:rsid w:val="0083516C"/>
    <w:rsid w:val="00835FFF"/>
    <w:rsid w:val="00840F18"/>
    <w:rsid w:val="00841BA0"/>
    <w:rsid w:val="00846253"/>
    <w:rsid w:val="00846973"/>
    <w:rsid w:val="00846C57"/>
    <w:rsid w:val="00847221"/>
    <w:rsid w:val="008476ED"/>
    <w:rsid w:val="0085120B"/>
    <w:rsid w:val="0085211E"/>
    <w:rsid w:val="00854C55"/>
    <w:rsid w:val="00855319"/>
    <w:rsid w:val="00856582"/>
    <w:rsid w:val="00861682"/>
    <w:rsid w:val="00862FF1"/>
    <w:rsid w:val="00865AFE"/>
    <w:rsid w:val="008675F6"/>
    <w:rsid w:val="008709AF"/>
    <w:rsid w:val="00870A84"/>
    <w:rsid w:val="00874AE2"/>
    <w:rsid w:val="0087768A"/>
    <w:rsid w:val="00880238"/>
    <w:rsid w:val="008809A4"/>
    <w:rsid w:val="0088359C"/>
    <w:rsid w:val="008861D3"/>
    <w:rsid w:val="00886890"/>
    <w:rsid w:val="00890046"/>
    <w:rsid w:val="008924CA"/>
    <w:rsid w:val="00892C46"/>
    <w:rsid w:val="008938A9"/>
    <w:rsid w:val="008954D7"/>
    <w:rsid w:val="00895CED"/>
    <w:rsid w:val="00895EA7"/>
    <w:rsid w:val="00896B35"/>
    <w:rsid w:val="008A1026"/>
    <w:rsid w:val="008A58C2"/>
    <w:rsid w:val="008A67A7"/>
    <w:rsid w:val="008A6983"/>
    <w:rsid w:val="008B1A08"/>
    <w:rsid w:val="008B48DC"/>
    <w:rsid w:val="008B6423"/>
    <w:rsid w:val="008B79BF"/>
    <w:rsid w:val="008B7C75"/>
    <w:rsid w:val="008C003A"/>
    <w:rsid w:val="008C0FCA"/>
    <w:rsid w:val="008C181F"/>
    <w:rsid w:val="008C35CF"/>
    <w:rsid w:val="008C3B55"/>
    <w:rsid w:val="008C42C7"/>
    <w:rsid w:val="008C4CA5"/>
    <w:rsid w:val="008C5852"/>
    <w:rsid w:val="008C5A2B"/>
    <w:rsid w:val="008C678D"/>
    <w:rsid w:val="008C71F2"/>
    <w:rsid w:val="008D01EC"/>
    <w:rsid w:val="008D06D1"/>
    <w:rsid w:val="008D3606"/>
    <w:rsid w:val="008D3D4F"/>
    <w:rsid w:val="008D48C4"/>
    <w:rsid w:val="008D48CB"/>
    <w:rsid w:val="008D6D3A"/>
    <w:rsid w:val="008D75D4"/>
    <w:rsid w:val="008E2309"/>
    <w:rsid w:val="008E2431"/>
    <w:rsid w:val="008E4232"/>
    <w:rsid w:val="008E7275"/>
    <w:rsid w:val="008F273A"/>
    <w:rsid w:val="008F2E40"/>
    <w:rsid w:val="008F30BE"/>
    <w:rsid w:val="008F713C"/>
    <w:rsid w:val="008F7E55"/>
    <w:rsid w:val="00901247"/>
    <w:rsid w:val="009019FB"/>
    <w:rsid w:val="00902064"/>
    <w:rsid w:val="009027CF"/>
    <w:rsid w:val="00903E75"/>
    <w:rsid w:val="00905E1B"/>
    <w:rsid w:val="00906C76"/>
    <w:rsid w:val="00906D7A"/>
    <w:rsid w:val="00907511"/>
    <w:rsid w:val="00910920"/>
    <w:rsid w:val="00912970"/>
    <w:rsid w:val="0091385A"/>
    <w:rsid w:val="0091477F"/>
    <w:rsid w:val="00915989"/>
    <w:rsid w:val="00915DA6"/>
    <w:rsid w:val="00916617"/>
    <w:rsid w:val="00916DD6"/>
    <w:rsid w:val="0092278F"/>
    <w:rsid w:val="00922C6C"/>
    <w:rsid w:val="009249CB"/>
    <w:rsid w:val="00925AB9"/>
    <w:rsid w:val="00925D88"/>
    <w:rsid w:val="0092679D"/>
    <w:rsid w:val="00930DA1"/>
    <w:rsid w:val="0093170A"/>
    <w:rsid w:val="00934330"/>
    <w:rsid w:val="00935A84"/>
    <w:rsid w:val="00936087"/>
    <w:rsid w:val="00940E4C"/>
    <w:rsid w:val="00945F4C"/>
    <w:rsid w:val="00946B3C"/>
    <w:rsid w:val="0095088D"/>
    <w:rsid w:val="00952127"/>
    <w:rsid w:val="00952E4D"/>
    <w:rsid w:val="0095358E"/>
    <w:rsid w:val="00953617"/>
    <w:rsid w:val="00953C3A"/>
    <w:rsid w:val="0095507E"/>
    <w:rsid w:val="009553CF"/>
    <w:rsid w:val="009603B2"/>
    <w:rsid w:val="009607C2"/>
    <w:rsid w:val="0096110F"/>
    <w:rsid w:val="009613D3"/>
    <w:rsid w:val="00962F4D"/>
    <w:rsid w:val="00964D0F"/>
    <w:rsid w:val="00965800"/>
    <w:rsid w:val="00965A05"/>
    <w:rsid w:val="0097106D"/>
    <w:rsid w:val="00972579"/>
    <w:rsid w:val="00972A57"/>
    <w:rsid w:val="00974B07"/>
    <w:rsid w:val="00974EE5"/>
    <w:rsid w:val="00975698"/>
    <w:rsid w:val="00977A01"/>
    <w:rsid w:val="0098083C"/>
    <w:rsid w:val="0098111E"/>
    <w:rsid w:val="00983BB3"/>
    <w:rsid w:val="00984BD1"/>
    <w:rsid w:val="009859CB"/>
    <w:rsid w:val="00985A1A"/>
    <w:rsid w:val="00986049"/>
    <w:rsid w:val="00986468"/>
    <w:rsid w:val="00987880"/>
    <w:rsid w:val="009905D8"/>
    <w:rsid w:val="009914A1"/>
    <w:rsid w:val="009924E7"/>
    <w:rsid w:val="009926FE"/>
    <w:rsid w:val="0099303E"/>
    <w:rsid w:val="00993893"/>
    <w:rsid w:val="0099405E"/>
    <w:rsid w:val="00994117"/>
    <w:rsid w:val="00995CBE"/>
    <w:rsid w:val="00996304"/>
    <w:rsid w:val="00997168"/>
    <w:rsid w:val="009A1181"/>
    <w:rsid w:val="009A24C1"/>
    <w:rsid w:val="009A5E72"/>
    <w:rsid w:val="009A6B8E"/>
    <w:rsid w:val="009A726A"/>
    <w:rsid w:val="009B1DAD"/>
    <w:rsid w:val="009B2CC4"/>
    <w:rsid w:val="009B2F96"/>
    <w:rsid w:val="009B4B46"/>
    <w:rsid w:val="009B4D62"/>
    <w:rsid w:val="009B5805"/>
    <w:rsid w:val="009B6AF0"/>
    <w:rsid w:val="009B6BE2"/>
    <w:rsid w:val="009B72C2"/>
    <w:rsid w:val="009B7D13"/>
    <w:rsid w:val="009C0F0D"/>
    <w:rsid w:val="009C384E"/>
    <w:rsid w:val="009C6598"/>
    <w:rsid w:val="009C73EC"/>
    <w:rsid w:val="009E1388"/>
    <w:rsid w:val="009E1673"/>
    <w:rsid w:val="009E1FF9"/>
    <w:rsid w:val="009E395E"/>
    <w:rsid w:val="009E41F2"/>
    <w:rsid w:val="009E675D"/>
    <w:rsid w:val="009F1F55"/>
    <w:rsid w:val="009F1FDE"/>
    <w:rsid w:val="009F3CD0"/>
    <w:rsid w:val="009F4038"/>
    <w:rsid w:val="00A00843"/>
    <w:rsid w:val="00A03703"/>
    <w:rsid w:val="00A04198"/>
    <w:rsid w:val="00A0450B"/>
    <w:rsid w:val="00A04641"/>
    <w:rsid w:val="00A04835"/>
    <w:rsid w:val="00A049D9"/>
    <w:rsid w:val="00A068CA"/>
    <w:rsid w:val="00A10748"/>
    <w:rsid w:val="00A1404E"/>
    <w:rsid w:val="00A1638A"/>
    <w:rsid w:val="00A16759"/>
    <w:rsid w:val="00A20AB5"/>
    <w:rsid w:val="00A210B6"/>
    <w:rsid w:val="00A21541"/>
    <w:rsid w:val="00A227F0"/>
    <w:rsid w:val="00A22EBD"/>
    <w:rsid w:val="00A235B0"/>
    <w:rsid w:val="00A25279"/>
    <w:rsid w:val="00A27710"/>
    <w:rsid w:val="00A31141"/>
    <w:rsid w:val="00A31762"/>
    <w:rsid w:val="00A32896"/>
    <w:rsid w:val="00A37E8E"/>
    <w:rsid w:val="00A400A2"/>
    <w:rsid w:val="00A4185A"/>
    <w:rsid w:val="00A429AF"/>
    <w:rsid w:val="00A43D6A"/>
    <w:rsid w:val="00A51793"/>
    <w:rsid w:val="00A5288B"/>
    <w:rsid w:val="00A54325"/>
    <w:rsid w:val="00A61C59"/>
    <w:rsid w:val="00A62314"/>
    <w:rsid w:val="00A6231C"/>
    <w:rsid w:val="00A635F0"/>
    <w:rsid w:val="00A6407F"/>
    <w:rsid w:val="00A6461C"/>
    <w:rsid w:val="00A71B79"/>
    <w:rsid w:val="00A72CE1"/>
    <w:rsid w:val="00A73630"/>
    <w:rsid w:val="00A73B78"/>
    <w:rsid w:val="00A759C9"/>
    <w:rsid w:val="00A81E67"/>
    <w:rsid w:val="00A82045"/>
    <w:rsid w:val="00A841AE"/>
    <w:rsid w:val="00A85AFD"/>
    <w:rsid w:val="00A864D5"/>
    <w:rsid w:val="00A90BDA"/>
    <w:rsid w:val="00A90DE1"/>
    <w:rsid w:val="00A90F23"/>
    <w:rsid w:val="00A92CF0"/>
    <w:rsid w:val="00A93380"/>
    <w:rsid w:val="00A9351E"/>
    <w:rsid w:val="00A9465F"/>
    <w:rsid w:val="00A95865"/>
    <w:rsid w:val="00A96105"/>
    <w:rsid w:val="00A96F1E"/>
    <w:rsid w:val="00AA1171"/>
    <w:rsid w:val="00AA470C"/>
    <w:rsid w:val="00AA6F4F"/>
    <w:rsid w:val="00AA7F10"/>
    <w:rsid w:val="00AB05C7"/>
    <w:rsid w:val="00AB0ACC"/>
    <w:rsid w:val="00AB4ABE"/>
    <w:rsid w:val="00AB5329"/>
    <w:rsid w:val="00AB5A73"/>
    <w:rsid w:val="00AB685E"/>
    <w:rsid w:val="00AC064E"/>
    <w:rsid w:val="00AC0C53"/>
    <w:rsid w:val="00AC18E6"/>
    <w:rsid w:val="00AC2F1E"/>
    <w:rsid w:val="00AC53FF"/>
    <w:rsid w:val="00AC60B4"/>
    <w:rsid w:val="00AD0593"/>
    <w:rsid w:val="00AD0F38"/>
    <w:rsid w:val="00AD21C7"/>
    <w:rsid w:val="00AD34D0"/>
    <w:rsid w:val="00AD3572"/>
    <w:rsid w:val="00AD5CA5"/>
    <w:rsid w:val="00AD7087"/>
    <w:rsid w:val="00AD7A52"/>
    <w:rsid w:val="00AE0CEE"/>
    <w:rsid w:val="00AE1AF2"/>
    <w:rsid w:val="00AE368E"/>
    <w:rsid w:val="00AE3783"/>
    <w:rsid w:val="00AE64DA"/>
    <w:rsid w:val="00AE75EF"/>
    <w:rsid w:val="00B00C4A"/>
    <w:rsid w:val="00B03A93"/>
    <w:rsid w:val="00B04E94"/>
    <w:rsid w:val="00B06F9C"/>
    <w:rsid w:val="00B07AAB"/>
    <w:rsid w:val="00B10D87"/>
    <w:rsid w:val="00B132C4"/>
    <w:rsid w:val="00B14EDE"/>
    <w:rsid w:val="00B1562B"/>
    <w:rsid w:val="00B1587B"/>
    <w:rsid w:val="00B16434"/>
    <w:rsid w:val="00B25171"/>
    <w:rsid w:val="00B261FC"/>
    <w:rsid w:val="00B26BE8"/>
    <w:rsid w:val="00B30814"/>
    <w:rsid w:val="00B312E6"/>
    <w:rsid w:val="00B33084"/>
    <w:rsid w:val="00B33391"/>
    <w:rsid w:val="00B362FE"/>
    <w:rsid w:val="00B37ABB"/>
    <w:rsid w:val="00B427FA"/>
    <w:rsid w:val="00B453EF"/>
    <w:rsid w:val="00B47311"/>
    <w:rsid w:val="00B47AC7"/>
    <w:rsid w:val="00B503C2"/>
    <w:rsid w:val="00B523F6"/>
    <w:rsid w:val="00B53894"/>
    <w:rsid w:val="00B53D06"/>
    <w:rsid w:val="00B55B32"/>
    <w:rsid w:val="00B64F0A"/>
    <w:rsid w:val="00B65738"/>
    <w:rsid w:val="00B65C14"/>
    <w:rsid w:val="00B66578"/>
    <w:rsid w:val="00B677C5"/>
    <w:rsid w:val="00B71C02"/>
    <w:rsid w:val="00B73614"/>
    <w:rsid w:val="00B73892"/>
    <w:rsid w:val="00B750FF"/>
    <w:rsid w:val="00B75F05"/>
    <w:rsid w:val="00B81DA3"/>
    <w:rsid w:val="00B84944"/>
    <w:rsid w:val="00B8542B"/>
    <w:rsid w:val="00B8591E"/>
    <w:rsid w:val="00B85D5D"/>
    <w:rsid w:val="00B86452"/>
    <w:rsid w:val="00B916FC"/>
    <w:rsid w:val="00B9683F"/>
    <w:rsid w:val="00BA0614"/>
    <w:rsid w:val="00BA09B9"/>
    <w:rsid w:val="00BA1DE7"/>
    <w:rsid w:val="00BA36A6"/>
    <w:rsid w:val="00BA417A"/>
    <w:rsid w:val="00BA4803"/>
    <w:rsid w:val="00BA4854"/>
    <w:rsid w:val="00BA62A9"/>
    <w:rsid w:val="00BA7219"/>
    <w:rsid w:val="00BA79D6"/>
    <w:rsid w:val="00BB1806"/>
    <w:rsid w:val="00BB241F"/>
    <w:rsid w:val="00BB4A88"/>
    <w:rsid w:val="00BB61C6"/>
    <w:rsid w:val="00BB6A00"/>
    <w:rsid w:val="00BC3E13"/>
    <w:rsid w:val="00BC482E"/>
    <w:rsid w:val="00BC7054"/>
    <w:rsid w:val="00BD07DA"/>
    <w:rsid w:val="00BD2901"/>
    <w:rsid w:val="00BD2D70"/>
    <w:rsid w:val="00BD31FE"/>
    <w:rsid w:val="00BD4B1C"/>
    <w:rsid w:val="00BD548A"/>
    <w:rsid w:val="00BD5C71"/>
    <w:rsid w:val="00BE0328"/>
    <w:rsid w:val="00BE14C4"/>
    <w:rsid w:val="00BE3E61"/>
    <w:rsid w:val="00BE4069"/>
    <w:rsid w:val="00BE5055"/>
    <w:rsid w:val="00BE52EB"/>
    <w:rsid w:val="00BE7D0C"/>
    <w:rsid w:val="00BF5167"/>
    <w:rsid w:val="00BF62E6"/>
    <w:rsid w:val="00BF76EA"/>
    <w:rsid w:val="00C01698"/>
    <w:rsid w:val="00C01BFD"/>
    <w:rsid w:val="00C0494D"/>
    <w:rsid w:val="00C04CFA"/>
    <w:rsid w:val="00C04D0C"/>
    <w:rsid w:val="00C053B2"/>
    <w:rsid w:val="00C05624"/>
    <w:rsid w:val="00C06A46"/>
    <w:rsid w:val="00C13A58"/>
    <w:rsid w:val="00C14002"/>
    <w:rsid w:val="00C17608"/>
    <w:rsid w:val="00C2048F"/>
    <w:rsid w:val="00C22716"/>
    <w:rsid w:val="00C275E9"/>
    <w:rsid w:val="00C30CAE"/>
    <w:rsid w:val="00C3518D"/>
    <w:rsid w:val="00C35AD3"/>
    <w:rsid w:val="00C3650B"/>
    <w:rsid w:val="00C36914"/>
    <w:rsid w:val="00C36D42"/>
    <w:rsid w:val="00C40CB5"/>
    <w:rsid w:val="00C421AC"/>
    <w:rsid w:val="00C4648A"/>
    <w:rsid w:val="00C50FB6"/>
    <w:rsid w:val="00C520F0"/>
    <w:rsid w:val="00C52582"/>
    <w:rsid w:val="00C52621"/>
    <w:rsid w:val="00C55DFE"/>
    <w:rsid w:val="00C64DBF"/>
    <w:rsid w:val="00C72320"/>
    <w:rsid w:val="00C7378E"/>
    <w:rsid w:val="00C75AF2"/>
    <w:rsid w:val="00C80AB1"/>
    <w:rsid w:val="00C810DB"/>
    <w:rsid w:val="00C82B1E"/>
    <w:rsid w:val="00C834DF"/>
    <w:rsid w:val="00C8425F"/>
    <w:rsid w:val="00C90E98"/>
    <w:rsid w:val="00C91D86"/>
    <w:rsid w:val="00C924A5"/>
    <w:rsid w:val="00C9600A"/>
    <w:rsid w:val="00CA031B"/>
    <w:rsid w:val="00CA26D4"/>
    <w:rsid w:val="00CA3A1F"/>
    <w:rsid w:val="00CB0590"/>
    <w:rsid w:val="00CB0B68"/>
    <w:rsid w:val="00CB1279"/>
    <w:rsid w:val="00CB451D"/>
    <w:rsid w:val="00CB4A3B"/>
    <w:rsid w:val="00CB6F0F"/>
    <w:rsid w:val="00CC0371"/>
    <w:rsid w:val="00CC38F8"/>
    <w:rsid w:val="00CC4567"/>
    <w:rsid w:val="00CC45DF"/>
    <w:rsid w:val="00CC5A90"/>
    <w:rsid w:val="00CD046D"/>
    <w:rsid w:val="00CD05F0"/>
    <w:rsid w:val="00CD1C8C"/>
    <w:rsid w:val="00CD25B4"/>
    <w:rsid w:val="00CD2BB6"/>
    <w:rsid w:val="00CE179D"/>
    <w:rsid w:val="00CE22BE"/>
    <w:rsid w:val="00CE3D82"/>
    <w:rsid w:val="00CE5931"/>
    <w:rsid w:val="00CF01B9"/>
    <w:rsid w:val="00CF44F1"/>
    <w:rsid w:val="00CF485B"/>
    <w:rsid w:val="00CF5D8A"/>
    <w:rsid w:val="00CF67CE"/>
    <w:rsid w:val="00CF6C73"/>
    <w:rsid w:val="00D0231F"/>
    <w:rsid w:val="00D02E83"/>
    <w:rsid w:val="00D0313F"/>
    <w:rsid w:val="00D0522A"/>
    <w:rsid w:val="00D05DF0"/>
    <w:rsid w:val="00D06603"/>
    <w:rsid w:val="00D074B7"/>
    <w:rsid w:val="00D10CBD"/>
    <w:rsid w:val="00D119A9"/>
    <w:rsid w:val="00D11CB4"/>
    <w:rsid w:val="00D12142"/>
    <w:rsid w:val="00D1342C"/>
    <w:rsid w:val="00D21F86"/>
    <w:rsid w:val="00D24A66"/>
    <w:rsid w:val="00D25032"/>
    <w:rsid w:val="00D30496"/>
    <w:rsid w:val="00D30886"/>
    <w:rsid w:val="00D30D5D"/>
    <w:rsid w:val="00D32016"/>
    <w:rsid w:val="00D32120"/>
    <w:rsid w:val="00D3335D"/>
    <w:rsid w:val="00D37FD4"/>
    <w:rsid w:val="00D400CB"/>
    <w:rsid w:val="00D41842"/>
    <w:rsid w:val="00D42CB1"/>
    <w:rsid w:val="00D46A77"/>
    <w:rsid w:val="00D47A02"/>
    <w:rsid w:val="00D50777"/>
    <w:rsid w:val="00D56121"/>
    <w:rsid w:val="00D56B3F"/>
    <w:rsid w:val="00D56C99"/>
    <w:rsid w:val="00D57F0D"/>
    <w:rsid w:val="00D60EFA"/>
    <w:rsid w:val="00D628AD"/>
    <w:rsid w:val="00D63086"/>
    <w:rsid w:val="00D632D4"/>
    <w:rsid w:val="00D6452E"/>
    <w:rsid w:val="00D64896"/>
    <w:rsid w:val="00D66CC0"/>
    <w:rsid w:val="00D66DF5"/>
    <w:rsid w:val="00D711C9"/>
    <w:rsid w:val="00D74755"/>
    <w:rsid w:val="00D752E1"/>
    <w:rsid w:val="00D80619"/>
    <w:rsid w:val="00D85484"/>
    <w:rsid w:val="00D9030D"/>
    <w:rsid w:val="00D91661"/>
    <w:rsid w:val="00D916A7"/>
    <w:rsid w:val="00D919CF"/>
    <w:rsid w:val="00D927AA"/>
    <w:rsid w:val="00D97910"/>
    <w:rsid w:val="00DA06F0"/>
    <w:rsid w:val="00DA0CF7"/>
    <w:rsid w:val="00DA5103"/>
    <w:rsid w:val="00DA59A9"/>
    <w:rsid w:val="00DA5EC3"/>
    <w:rsid w:val="00DB231A"/>
    <w:rsid w:val="00DB39A0"/>
    <w:rsid w:val="00DB56CA"/>
    <w:rsid w:val="00DB7B60"/>
    <w:rsid w:val="00DC345C"/>
    <w:rsid w:val="00DC4373"/>
    <w:rsid w:val="00DC4DC7"/>
    <w:rsid w:val="00DC72B8"/>
    <w:rsid w:val="00DC7A44"/>
    <w:rsid w:val="00DD0913"/>
    <w:rsid w:val="00DD0E36"/>
    <w:rsid w:val="00DD1B40"/>
    <w:rsid w:val="00DD2587"/>
    <w:rsid w:val="00DD3FA0"/>
    <w:rsid w:val="00DD7A83"/>
    <w:rsid w:val="00DE0333"/>
    <w:rsid w:val="00DE0468"/>
    <w:rsid w:val="00DE1B53"/>
    <w:rsid w:val="00DE23E9"/>
    <w:rsid w:val="00DE6F1E"/>
    <w:rsid w:val="00DF027D"/>
    <w:rsid w:val="00DF0842"/>
    <w:rsid w:val="00DF0C2A"/>
    <w:rsid w:val="00DF5D05"/>
    <w:rsid w:val="00E0675D"/>
    <w:rsid w:val="00E06E92"/>
    <w:rsid w:val="00E11814"/>
    <w:rsid w:val="00E12C26"/>
    <w:rsid w:val="00E16F6B"/>
    <w:rsid w:val="00E21F26"/>
    <w:rsid w:val="00E22642"/>
    <w:rsid w:val="00E27776"/>
    <w:rsid w:val="00E27932"/>
    <w:rsid w:val="00E30A19"/>
    <w:rsid w:val="00E31286"/>
    <w:rsid w:val="00E33FB0"/>
    <w:rsid w:val="00E343CA"/>
    <w:rsid w:val="00E407D6"/>
    <w:rsid w:val="00E40E29"/>
    <w:rsid w:val="00E453C6"/>
    <w:rsid w:val="00E4556B"/>
    <w:rsid w:val="00E45BE5"/>
    <w:rsid w:val="00E5077C"/>
    <w:rsid w:val="00E554B8"/>
    <w:rsid w:val="00E55E38"/>
    <w:rsid w:val="00E569DF"/>
    <w:rsid w:val="00E56DC7"/>
    <w:rsid w:val="00E57C64"/>
    <w:rsid w:val="00E6109A"/>
    <w:rsid w:val="00E61F12"/>
    <w:rsid w:val="00E62F48"/>
    <w:rsid w:val="00E6393A"/>
    <w:rsid w:val="00E63DD8"/>
    <w:rsid w:val="00E64895"/>
    <w:rsid w:val="00E6546E"/>
    <w:rsid w:val="00E65477"/>
    <w:rsid w:val="00E661C1"/>
    <w:rsid w:val="00E67028"/>
    <w:rsid w:val="00E72E45"/>
    <w:rsid w:val="00E73DDB"/>
    <w:rsid w:val="00E748B0"/>
    <w:rsid w:val="00E75350"/>
    <w:rsid w:val="00E76A96"/>
    <w:rsid w:val="00E80F1F"/>
    <w:rsid w:val="00E81423"/>
    <w:rsid w:val="00E81FCF"/>
    <w:rsid w:val="00E84083"/>
    <w:rsid w:val="00E84A1C"/>
    <w:rsid w:val="00E867CD"/>
    <w:rsid w:val="00E87523"/>
    <w:rsid w:val="00E90904"/>
    <w:rsid w:val="00E90E5E"/>
    <w:rsid w:val="00E91E39"/>
    <w:rsid w:val="00E95AA0"/>
    <w:rsid w:val="00E97B9C"/>
    <w:rsid w:val="00EA0395"/>
    <w:rsid w:val="00EA366A"/>
    <w:rsid w:val="00EA5882"/>
    <w:rsid w:val="00EA7F74"/>
    <w:rsid w:val="00EB4BD3"/>
    <w:rsid w:val="00EB7E28"/>
    <w:rsid w:val="00EC1FED"/>
    <w:rsid w:val="00EC26AF"/>
    <w:rsid w:val="00EC2BC3"/>
    <w:rsid w:val="00EC62E9"/>
    <w:rsid w:val="00EC6C5A"/>
    <w:rsid w:val="00ED2758"/>
    <w:rsid w:val="00ED300F"/>
    <w:rsid w:val="00ED4E96"/>
    <w:rsid w:val="00ED51BC"/>
    <w:rsid w:val="00ED6F4C"/>
    <w:rsid w:val="00EE0FAF"/>
    <w:rsid w:val="00EE2899"/>
    <w:rsid w:val="00EE32B0"/>
    <w:rsid w:val="00EE5F32"/>
    <w:rsid w:val="00EE731D"/>
    <w:rsid w:val="00EF1A43"/>
    <w:rsid w:val="00EF6413"/>
    <w:rsid w:val="00EF6C9C"/>
    <w:rsid w:val="00F020A1"/>
    <w:rsid w:val="00F04581"/>
    <w:rsid w:val="00F04732"/>
    <w:rsid w:val="00F04758"/>
    <w:rsid w:val="00F129F3"/>
    <w:rsid w:val="00F138C9"/>
    <w:rsid w:val="00F13A33"/>
    <w:rsid w:val="00F156F0"/>
    <w:rsid w:val="00F15F5B"/>
    <w:rsid w:val="00F17902"/>
    <w:rsid w:val="00F2365E"/>
    <w:rsid w:val="00F23D65"/>
    <w:rsid w:val="00F32EB0"/>
    <w:rsid w:val="00F334A1"/>
    <w:rsid w:val="00F34A08"/>
    <w:rsid w:val="00F35E3C"/>
    <w:rsid w:val="00F43782"/>
    <w:rsid w:val="00F46C14"/>
    <w:rsid w:val="00F47262"/>
    <w:rsid w:val="00F5145B"/>
    <w:rsid w:val="00F539A2"/>
    <w:rsid w:val="00F559BE"/>
    <w:rsid w:val="00F74B29"/>
    <w:rsid w:val="00F74E01"/>
    <w:rsid w:val="00F803D8"/>
    <w:rsid w:val="00F83996"/>
    <w:rsid w:val="00F839A6"/>
    <w:rsid w:val="00F861B7"/>
    <w:rsid w:val="00F87725"/>
    <w:rsid w:val="00F90044"/>
    <w:rsid w:val="00F91528"/>
    <w:rsid w:val="00F943C9"/>
    <w:rsid w:val="00F94BE9"/>
    <w:rsid w:val="00F954AD"/>
    <w:rsid w:val="00FA04AF"/>
    <w:rsid w:val="00FA2FAC"/>
    <w:rsid w:val="00FB010C"/>
    <w:rsid w:val="00FB2DFE"/>
    <w:rsid w:val="00FB7D6F"/>
    <w:rsid w:val="00FC04CB"/>
    <w:rsid w:val="00FC1E3B"/>
    <w:rsid w:val="00FC6519"/>
    <w:rsid w:val="00FC703C"/>
    <w:rsid w:val="00FD04B2"/>
    <w:rsid w:val="00FD0C9E"/>
    <w:rsid w:val="00FD4948"/>
    <w:rsid w:val="00FD7601"/>
    <w:rsid w:val="00FE3EE0"/>
    <w:rsid w:val="00FE40A5"/>
    <w:rsid w:val="00FE47A2"/>
    <w:rsid w:val="00FE50C7"/>
    <w:rsid w:val="00FE6FBF"/>
    <w:rsid w:val="00FF39C4"/>
    <w:rsid w:val="00FF5A2A"/>
    <w:rsid w:val="00FF7140"/>
    <w:rsid w:val="00FF7EB4"/>
  </w:rsids>
  <m:mathPr>
    <m:mathFont m:val="Cambria Math"/>
    <m:brkBin m:val="before"/>
    <m:brkBinSub m:val="--"/>
    <m:smallFrac m:val="0"/>
    <m:dispDef/>
    <m:lMargin m:val="0"/>
    <m:rMargin m:val="0"/>
    <m:defJc m:val="centerGroup"/>
    <m:wrapIndent m:val="1440"/>
    <m:intLim m:val="subSup"/>
    <m:naryLim m:val="undOvr"/>
  </m:mathPr>
  <w:themeFontLang w:val="en-IN" w:eastAsia="ja-JP"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DF60D"/>
  <w15:docId w15:val="{E67FCEA5-073D-4316-8A1A-F8D479E0E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35AD3"/>
    <w:rPr>
      <w:rFonts w:ascii="Times New Roman" w:hAnsi="Times New Roman" w:cs="Times New Roman"/>
      <w:lang w:val="en-US"/>
    </w:rPr>
  </w:style>
  <w:style w:type="paragraph" w:styleId="Heading1">
    <w:name w:val="heading 1"/>
    <w:basedOn w:val="Normal"/>
    <w:next w:val="Normal"/>
    <w:link w:val="Heading1Char"/>
    <w:uiPriority w:val="9"/>
    <w:qFormat/>
    <w:rsid w:val="003101EE"/>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416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223565"/>
    <w:pPr>
      <w:spacing w:after="200"/>
    </w:pPr>
    <w:rPr>
      <w:i/>
      <w:iCs/>
      <w:color w:val="44546A" w:themeColor="text2"/>
      <w:sz w:val="18"/>
      <w:szCs w:val="18"/>
      <w:lang w:val="en-GB"/>
    </w:rPr>
  </w:style>
  <w:style w:type="character" w:styleId="CommentReference">
    <w:name w:val="annotation reference"/>
    <w:basedOn w:val="DefaultParagraphFont"/>
    <w:uiPriority w:val="99"/>
    <w:semiHidden/>
    <w:unhideWhenUsed/>
    <w:rsid w:val="00223565"/>
    <w:rPr>
      <w:sz w:val="18"/>
      <w:szCs w:val="18"/>
    </w:rPr>
  </w:style>
  <w:style w:type="paragraph" w:styleId="CommentText">
    <w:name w:val="annotation text"/>
    <w:basedOn w:val="Normal"/>
    <w:link w:val="CommentTextChar"/>
    <w:uiPriority w:val="99"/>
    <w:unhideWhenUsed/>
    <w:rsid w:val="00223565"/>
    <w:rPr>
      <w:lang w:val="en-GB"/>
    </w:rPr>
  </w:style>
  <w:style w:type="character" w:customStyle="1" w:styleId="CommentTextChar">
    <w:name w:val="Comment Text Char"/>
    <w:basedOn w:val="DefaultParagraphFont"/>
    <w:link w:val="CommentText"/>
    <w:uiPriority w:val="99"/>
    <w:rsid w:val="00223565"/>
    <w:rPr>
      <w:rFonts w:ascii="Times New Roman" w:hAnsi="Times New Roman" w:cs="Times New Roman"/>
      <w:lang w:val="en-US"/>
    </w:rPr>
  </w:style>
  <w:style w:type="paragraph" w:styleId="CommentSubject">
    <w:name w:val="annotation subject"/>
    <w:basedOn w:val="CommentText"/>
    <w:next w:val="CommentText"/>
    <w:link w:val="CommentSubjectChar"/>
    <w:uiPriority w:val="99"/>
    <w:semiHidden/>
    <w:unhideWhenUsed/>
    <w:rsid w:val="00223565"/>
    <w:rPr>
      <w:b/>
      <w:bCs/>
      <w:sz w:val="20"/>
      <w:szCs w:val="20"/>
    </w:rPr>
  </w:style>
  <w:style w:type="character" w:customStyle="1" w:styleId="CommentSubjectChar">
    <w:name w:val="Comment Subject Char"/>
    <w:basedOn w:val="CommentTextChar"/>
    <w:link w:val="CommentSubject"/>
    <w:uiPriority w:val="99"/>
    <w:semiHidden/>
    <w:rsid w:val="00223565"/>
    <w:rPr>
      <w:rFonts w:ascii="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223565"/>
    <w:rPr>
      <w:sz w:val="18"/>
      <w:szCs w:val="18"/>
      <w:lang w:val="en-GB"/>
    </w:rPr>
  </w:style>
  <w:style w:type="character" w:customStyle="1" w:styleId="BalloonTextChar">
    <w:name w:val="Balloon Text Char"/>
    <w:basedOn w:val="DefaultParagraphFont"/>
    <w:link w:val="BalloonText"/>
    <w:uiPriority w:val="99"/>
    <w:semiHidden/>
    <w:rsid w:val="00223565"/>
    <w:rPr>
      <w:rFonts w:ascii="Times New Roman" w:hAnsi="Times New Roman" w:cs="Times New Roman"/>
      <w:sz w:val="18"/>
      <w:szCs w:val="18"/>
      <w:lang w:val="en-US"/>
    </w:rPr>
  </w:style>
  <w:style w:type="paragraph" w:styleId="ListParagraph">
    <w:name w:val="List Paragraph"/>
    <w:basedOn w:val="Normal"/>
    <w:uiPriority w:val="34"/>
    <w:qFormat/>
    <w:rsid w:val="00BB1806"/>
    <w:pPr>
      <w:ind w:left="720"/>
      <w:contextualSpacing/>
    </w:pPr>
  </w:style>
  <w:style w:type="character" w:customStyle="1" w:styleId="Heading1Char">
    <w:name w:val="Heading 1 Char"/>
    <w:basedOn w:val="DefaultParagraphFont"/>
    <w:link w:val="Heading1"/>
    <w:uiPriority w:val="9"/>
    <w:rsid w:val="003101EE"/>
    <w:rPr>
      <w:rFonts w:asciiTheme="majorHAnsi" w:eastAsiaTheme="majorEastAsia" w:hAnsiTheme="majorHAnsi" w:cstheme="majorBidi"/>
      <w:b/>
      <w:bCs/>
      <w:color w:val="2F5496" w:themeColor="accent1" w:themeShade="BF"/>
      <w:sz w:val="28"/>
      <w:szCs w:val="28"/>
      <w:lang w:val="en-US" w:bidi="en-US"/>
    </w:rPr>
  </w:style>
  <w:style w:type="paragraph" w:styleId="Header">
    <w:name w:val="header"/>
    <w:basedOn w:val="Normal"/>
    <w:link w:val="HeaderChar"/>
    <w:uiPriority w:val="99"/>
    <w:unhideWhenUsed/>
    <w:rsid w:val="00A31762"/>
    <w:pPr>
      <w:tabs>
        <w:tab w:val="center" w:pos="4513"/>
        <w:tab w:val="right" w:pos="9026"/>
      </w:tabs>
    </w:pPr>
  </w:style>
  <w:style w:type="character" w:customStyle="1" w:styleId="HeaderChar">
    <w:name w:val="Header Char"/>
    <w:basedOn w:val="DefaultParagraphFont"/>
    <w:link w:val="Header"/>
    <w:uiPriority w:val="99"/>
    <w:rsid w:val="00A31762"/>
    <w:rPr>
      <w:rFonts w:ascii="Times New Roman" w:hAnsi="Times New Roman" w:cs="Times New Roman"/>
      <w:lang w:val="en-US"/>
    </w:rPr>
  </w:style>
  <w:style w:type="paragraph" w:styleId="Footer">
    <w:name w:val="footer"/>
    <w:basedOn w:val="Normal"/>
    <w:link w:val="FooterChar"/>
    <w:uiPriority w:val="99"/>
    <w:unhideWhenUsed/>
    <w:rsid w:val="00A31762"/>
    <w:pPr>
      <w:tabs>
        <w:tab w:val="center" w:pos="4513"/>
        <w:tab w:val="right" w:pos="9026"/>
      </w:tabs>
    </w:pPr>
  </w:style>
  <w:style w:type="character" w:customStyle="1" w:styleId="FooterChar">
    <w:name w:val="Footer Char"/>
    <w:basedOn w:val="DefaultParagraphFont"/>
    <w:link w:val="Footer"/>
    <w:uiPriority w:val="99"/>
    <w:rsid w:val="00A31762"/>
    <w:rPr>
      <w:rFonts w:ascii="Times New Roman" w:hAnsi="Times New Roman" w:cs="Times New Roman"/>
      <w:lang w:val="en-US"/>
    </w:rPr>
  </w:style>
  <w:style w:type="character" w:styleId="PageNumber">
    <w:name w:val="page number"/>
    <w:basedOn w:val="DefaultParagraphFont"/>
    <w:uiPriority w:val="99"/>
    <w:semiHidden/>
    <w:unhideWhenUsed/>
    <w:rsid w:val="00A31762"/>
  </w:style>
  <w:style w:type="paragraph" w:styleId="Revision">
    <w:name w:val="Revision"/>
    <w:hidden/>
    <w:uiPriority w:val="99"/>
    <w:semiHidden/>
    <w:rsid w:val="00172201"/>
    <w:rPr>
      <w:rFonts w:ascii="Times New Roman" w:hAnsi="Times New Roman" w:cs="Times New Roman"/>
      <w:lang w:val="en-US"/>
    </w:rPr>
  </w:style>
  <w:style w:type="paragraph" w:styleId="EndnoteText">
    <w:name w:val="endnote text"/>
    <w:basedOn w:val="Normal"/>
    <w:link w:val="EndnoteTextChar"/>
    <w:uiPriority w:val="99"/>
    <w:unhideWhenUsed/>
    <w:rsid w:val="0055400B"/>
  </w:style>
  <w:style w:type="character" w:customStyle="1" w:styleId="EndnoteTextChar">
    <w:name w:val="Endnote Text Char"/>
    <w:basedOn w:val="DefaultParagraphFont"/>
    <w:link w:val="EndnoteText"/>
    <w:uiPriority w:val="99"/>
    <w:rsid w:val="0055400B"/>
    <w:rPr>
      <w:rFonts w:ascii="Times New Roman" w:hAnsi="Times New Roman" w:cs="Times New Roman"/>
      <w:lang w:val="en-US"/>
    </w:rPr>
  </w:style>
  <w:style w:type="character" w:styleId="EndnoteReference">
    <w:name w:val="endnote reference"/>
    <w:basedOn w:val="DefaultParagraphFont"/>
    <w:uiPriority w:val="99"/>
    <w:unhideWhenUsed/>
    <w:rsid w:val="0055400B"/>
    <w:rPr>
      <w:vertAlign w:val="superscript"/>
    </w:rPr>
  </w:style>
  <w:style w:type="paragraph" w:styleId="NoSpacing">
    <w:name w:val="No Spacing"/>
    <w:link w:val="NoSpacingChar"/>
    <w:uiPriority w:val="1"/>
    <w:qFormat/>
    <w:rsid w:val="000E6365"/>
    <w:rPr>
      <w:rFonts w:eastAsiaTheme="minorEastAsia"/>
      <w:sz w:val="22"/>
      <w:szCs w:val="22"/>
      <w:lang w:val="en-US" w:eastAsia="zh-CN"/>
    </w:rPr>
  </w:style>
  <w:style w:type="character" w:customStyle="1" w:styleId="NoSpacingChar">
    <w:name w:val="No Spacing Char"/>
    <w:basedOn w:val="DefaultParagraphFont"/>
    <w:link w:val="NoSpacing"/>
    <w:uiPriority w:val="1"/>
    <w:rsid w:val="000E6365"/>
    <w:rPr>
      <w:rFonts w:eastAsiaTheme="minorEastAsia"/>
      <w:sz w:val="22"/>
      <w:szCs w:val="22"/>
      <w:lang w:val="en-US" w:eastAsia="zh-CN"/>
    </w:rPr>
  </w:style>
  <w:style w:type="character" w:styleId="Strong">
    <w:name w:val="Strong"/>
    <w:basedOn w:val="DefaultParagraphFont"/>
    <w:uiPriority w:val="22"/>
    <w:qFormat/>
    <w:rsid w:val="00FB2DFE"/>
    <w:rPr>
      <w:b/>
      <w:bCs/>
    </w:rPr>
  </w:style>
  <w:style w:type="character" w:styleId="LineNumber">
    <w:name w:val="line number"/>
    <w:basedOn w:val="DefaultParagraphFont"/>
    <w:uiPriority w:val="99"/>
    <w:semiHidden/>
    <w:unhideWhenUsed/>
    <w:rsid w:val="003544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411">
      <w:bodyDiv w:val="1"/>
      <w:marLeft w:val="0"/>
      <w:marRight w:val="0"/>
      <w:marTop w:val="0"/>
      <w:marBottom w:val="0"/>
      <w:divBdr>
        <w:top w:val="none" w:sz="0" w:space="0" w:color="auto"/>
        <w:left w:val="none" w:sz="0" w:space="0" w:color="auto"/>
        <w:bottom w:val="none" w:sz="0" w:space="0" w:color="auto"/>
        <w:right w:val="none" w:sz="0" w:space="0" w:color="auto"/>
      </w:divBdr>
    </w:div>
    <w:div w:id="16121898">
      <w:bodyDiv w:val="1"/>
      <w:marLeft w:val="0"/>
      <w:marRight w:val="0"/>
      <w:marTop w:val="0"/>
      <w:marBottom w:val="0"/>
      <w:divBdr>
        <w:top w:val="none" w:sz="0" w:space="0" w:color="auto"/>
        <w:left w:val="none" w:sz="0" w:space="0" w:color="auto"/>
        <w:bottom w:val="none" w:sz="0" w:space="0" w:color="auto"/>
        <w:right w:val="none" w:sz="0" w:space="0" w:color="auto"/>
      </w:divBdr>
    </w:div>
    <w:div w:id="55786324">
      <w:bodyDiv w:val="1"/>
      <w:marLeft w:val="0"/>
      <w:marRight w:val="0"/>
      <w:marTop w:val="0"/>
      <w:marBottom w:val="0"/>
      <w:divBdr>
        <w:top w:val="none" w:sz="0" w:space="0" w:color="auto"/>
        <w:left w:val="none" w:sz="0" w:space="0" w:color="auto"/>
        <w:bottom w:val="none" w:sz="0" w:space="0" w:color="auto"/>
        <w:right w:val="none" w:sz="0" w:space="0" w:color="auto"/>
      </w:divBdr>
    </w:div>
    <w:div w:id="67962674">
      <w:bodyDiv w:val="1"/>
      <w:marLeft w:val="0"/>
      <w:marRight w:val="0"/>
      <w:marTop w:val="0"/>
      <w:marBottom w:val="0"/>
      <w:divBdr>
        <w:top w:val="none" w:sz="0" w:space="0" w:color="auto"/>
        <w:left w:val="none" w:sz="0" w:space="0" w:color="auto"/>
        <w:bottom w:val="none" w:sz="0" w:space="0" w:color="auto"/>
        <w:right w:val="none" w:sz="0" w:space="0" w:color="auto"/>
      </w:divBdr>
    </w:div>
    <w:div w:id="99227978">
      <w:bodyDiv w:val="1"/>
      <w:marLeft w:val="0"/>
      <w:marRight w:val="0"/>
      <w:marTop w:val="0"/>
      <w:marBottom w:val="0"/>
      <w:divBdr>
        <w:top w:val="none" w:sz="0" w:space="0" w:color="auto"/>
        <w:left w:val="none" w:sz="0" w:space="0" w:color="auto"/>
        <w:bottom w:val="none" w:sz="0" w:space="0" w:color="auto"/>
        <w:right w:val="none" w:sz="0" w:space="0" w:color="auto"/>
      </w:divBdr>
    </w:div>
    <w:div w:id="100881235">
      <w:bodyDiv w:val="1"/>
      <w:marLeft w:val="0"/>
      <w:marRight w:val="0"/>
      <w:marTop w:val="0"/>
      <w:marBottom w:val="0"/>
      <w:divBdr>
        <w:top w:val="none" w:sz="0" w:space="0" w:color="auto"/>
        <w:left w:val="none" w:sz="0" w:space="0" w:color="auto"/>
        <w:bottom w:val="none" w:sz="0" w:space="0" w:color="auto"/>
        <w:right w:val="none" w:sz="0" w:space="0" w:color="auto"/>
      </w:divBdr>
    </w:div>
    <w:div w:id="115833281">
      <w:bodyDiv w:val="1"/>
      <w:marLeft w:val="0"/>
      <w:marRight w:val="0"/>
      <w:marTop w:val="0"/>
      <w:marBottom w:val="0"/>
      <w:divBdr>
        <w:top w:val="none" w:sz="0" w:space="0" w:color="auto"/>
        <w:left w:val="none" w:sz="0" w:space="0" w:color="auto"/>
        <w:bottom w:val="none" w:sz="0" w:space="0" w:color="auto"/>
        <w:right w:val="none" w:sz="0" w:space="0" w:color="auto"/>
      </w:divBdr>
    </w:div>
    <w:div w:id="135412139">
      <w:bodyDiv w:val="1"/>
      <w:marLeft w:val="0"/>
      <w:marRight w:val="0"/>
      <w:marTop w:val="0"/>
      <w:marBottom w:val="0"/>
      <w:divBdr>
        <w:top w:val="none" w:sz="0" w:space="0" w:color="auto"/>
        <w:left w:val="none" w:sz="0" w:space="0" w:color="auto"/>
        <w:bottom w:val="none" w:sz="0" w:space="0" w:color="auto"/>
        <w:right w:val="none" w:sz="0" w:space="0" w:color="auto"/>
      </w:divBdr>
    </w:div>
    <w:div w:id="152332139">
      <w:bodyDiv w:val="1"/>
      <w:marLeft w:val="0"/>
      <w:marRight w:val="0"/>
      <w:marTop w:val="0"/>
      <w:marBottom w:val="0"/>
      <w:divBdr>
        <w:top w:val="none" w:sz="0" w:space="0" w:color="auto"/>
        <w:left w:val="none" w:sz="0" w:space="0" w:color="auto"/>
        <w:bottom w:val="none" w:sz="0" w:space="0" w:color="auto"/>
        <w:right w:val="none" w:sz="0" w:space="0" w:color="auto"/>
      </w:divBdr>
    </w:div>
    <w:div w:id="153184221">
      <w:bodyDiv w:val="1"/>
      <w:marLeft w:val="0"/>
      <w:marRight w:val="0"/>
      <w:marTop w:val="0"/>
      <w:marBottom w:val="0"/>
      <w:divBdr>
        <w:top w:val="none" w:sz="0" w:space="0" w:color="auto"/>
        <w:left w:val="none" w:sz="0" w:space="0" w:color="auto"/>
        <w:bottom w:val="none" w:sz="0" w:space="0" w:color="auto"/>
        <w:right w:val="none" w:sz="0" w:space="0" w:color="auto"/>
      </w:divBdr>
    </w:div>
    <w:div w:id="172036791">
      <w:bodyDiv w:val="1"/>
      <w:marLeft w:val="0"/>
      <w:marRight w:val="0"/>
      <w:marTop w:val="0"/>
      <w:marBottom w:val="0"/>
      <w:divBdr>
        <w:top w:val="none" w:sz="0" w:space="0" w:color="auto"/>
        <w:left w:val="none" w:sz="0" w:space="0" w:color="auto"/>
        <w:bottom w:val="none" w:sz="0" w:space="0" w:color="auto"/>
        <w:right w:val="none" w:sz="0" w:space="0" w:color="auto"/>
      </w:divBdr>
    </w:div>
    <w:div w:id="174223947">
      <w:bodyDiv w:val="1"/>
      <w:marLeft w:val="0"/>
      <w:marRight w:val="0"/>
      <w:marTop w:val="0"/>
      <w:marBottom w:val="0"/>
      <w:divBdr>
        <w:top w:val="none" w:sz="0" w:space="0" w:color="auto"/>
        <w:left w:val="none" w:sz="0" w:space="0" w:color="auto"/>
        <w:bottom w:val="none" w:sz="0" w:space="0" w:color="auto"/>
        <w:right w:val="none" w:sz="0" w:space="0" w:color="auto"/>
      </w:divBdr>
    </w:div>
    <w:div w:id="188181001">
      <w:bodyDiv w:val="1"/>
      <w:marLeft w:val="0"/>
      <w:marRight w:val="0"/>
      <w:marTop w:val="0"/>
      <w:marBottom w:val="0"/>
      <w:divBdr>
        <w:top w:val="none" w:sz="0" w:space="0" w:color="auto"/>
        <w:left w:val="none" w:sz="0" w:space="0" w:color="auto"/>
        <w:bottom w:val="none" w:sz="0" w:space="0" w:color="auto"/>
        <w:right w:val="none" w:sz="0" w:space="0" w:color="auto"/>
      </w:divBdr>
    </w:div>
    <w:div w:id="195780900">
      <w:bodyDiv w:val="1"/>
      <w:marLeft w:val="0"/>
      <w:marRight w:val="0"/>
      <w:marTop w:val="0"/>
      <w:marBottom w:val="0"/>
      <w:divBdr>
        <w:top w:val="none" w:sz="0" w:space="0" w:color="auto"/>
        <w:left w:val="none" w:sz="0" w:space="0" w:color="auto"/>
        <w:bottom w:val="none" w:sz="0" w:space="0" w:color="auto"/>
        <w:right w:val="none" w:sz="0" w:space="0" w:color="auto"/>
      </w:divBdr>
    </w:div>
    <w:div w:id="215896277">
      <w:bodyDiv w:val="1"/>
      <w:marLeft w:val="0"/>
      <w:marRight w:val="0"/>
      <w:marTop w:val="0"/>
      <w:marBottom w:val="0"/>
      <w:divBdr>
        <w:top w:val="none" w:sz="0" w:space="0" w:color="auto"/>
        <w:left w:val="none" w:sz="0" w:space="0" w:color="auto"/>
        <w:bottom w:val="none" w:sz="0" w:space="0" w:color="auto"/>
        <w:right w:val="none" w:sz="0" w:space="0" w:color="auto"/>
      </w:divBdr>
    </w:div>
    <w:div w:id="222447996">
      <w:bodyDiv w:val="1"/>
      <w:marLeft w:val="0"/>
      <w:marRight w:val="0"/>
      <w:marTop w:val="0"/>
      <w:marBottom w:val="0"/>
      <w:divBdr>
        <w:top w:val="none" w:sz="0" w:space="0" w:color="auto"/>
        <w:left w:val="none" w:sz="0" w:space="0" w:color="auto"/>
        <w:bottom w:val="none" w:sz="0" w:space="0" w:color="auto"/>
        <w:right w:val="none" w:sz="0" w:space="0" w:color="auto"/>
      </w:divBdr>
      <w:divsChild>
        <w:div w:id="1468353238">
          <w:marLeft w:val="446"/>
          <w:marRight w:val="0"/>
          <w:marTop w:val="134"/>
          <w:marBottom w:val="120"/>
          <w:divBdr>
            <w:top w:val="none" w:sz="0" w:space="0" w:color="auto"/>
            <w:left w:val="none" w:sz="0" w:space="0" w:color="auto"/>
            <w:bottom w:val="none" w:sz="0" w:space="0" w:color="auto"/>
            <w:right w:val="none" w:sz="0" w:space="0" w:color="auto"/>
          </w:divBdr>
        </w:div>
      </w:divsChild>
    </w:div>
    <w:div w:id="228619448">
      <w:bodyDiv w:val="1"/>
      <w:marLeft w:val="0"/>
      <w:marRight w:val="0"/>
      <w:marTop w:val="0"/>
      <w:marBottom w:val="0"/>
      <w:divBdr>
        <w:top w:val="none" w:sz="0" w:space="0" w:color="auto"/>
        <w:left w:val="none" w:sz="0" w:space="0" w:color="auto"/>
        <w:bottom w:val="none" w:sz="0" w:space="0" w:color="auto"/>
        <w:right w:val="none" w:sz="0" w:space="0" w:color="auto"/>
      </w:divBdr>
    </w:div>
    <w:div w:id="230387251">
      <w:bodyDiv w:val="1"/>
      <w:marLeft w:val="0"/>
      <w:marRight w:val="0"/>
      <w:marTop w:val="0"/>
      <w:marBottom w:val="0"/>
      <w:divBdr>
        <w:top w:val="none" w:sz="0" w:space="0" w:color="auto"/>
        <w:left w:val="none" w:sz="0" w:space="0" w:color="auto"/>
        <w:bottom w:val="none" w:sz="0" w:space="0" w:color="auto"/>
        <w:right w:val="none" w:sz="0" w:space="0" w:color="auto"/>
      </w:divBdr>
    </w:div>
    <w:div w:id="305284907">
      <w:bodyDiv w:val="1"/>
      <w:marLeft w:val="0"/>
      <w:marRight w:val="0"/>
      <w:marTop w:val="0"/>
      <w:marBottom w:val="0"/>
      <w:divBdr>
        <w:top w:val="none" w:sz="0" w:space="0" w:color="auto"/>
        <w:left w:val="none" w:sz="0" w:space="0" w:color="auto"/>
        <w:bottom w:val="none" w:sz="0" w:space="0" w:color="auto"/>
        <w:right w:val="none" w:sz="0" w:space="0" w:color="auto"/>
      </w:divBdr>
    </w:div>
    <w:div w:id="307632781">
      <w:bodyDiv w:val="1"/>
      <w:marLeft w:val="0"/>
      <w:marRight w:val="0"/>
      <w:marTop w:val="0"/>
      <w:marBottom w:val="0"/>
      <w:divBdr>
        <w:top w:val="none" w:sz="0" w:space="0" w:color="auto"/>
        <w:left w:val="none" w:sz="0" w:space="0" w:color="auto"/>
        <w:bottom w:val="none" w:sz="0" w:space="0" w:color="auto"/>
        <w:right w:val="none" w:sz="0" w:space="0" w:color="auto"/>
      </w:divBdr>
    </w:div>
    <w:div w:id="329718978">
      <w:bodyDiv w:val="1"/>
      <w:marLeft w:val="0"/>
      <w:marRight w:val="0"/>
      <w:marTop w:val="0"/>
      <w:marBottom w:val="0"/>
      <w:divBdr>
        <w:top w:val="none" w:sz="0" w:space="0" w:color="auto"/>
        <w:left w:val="none" w:sz="0" w:space="0" w:color="auto"/>
        <w:bottom w:val="none" w:sz="0" w:space="0" w:color="auto"/>
        <w:right w:val="none" w:sz="0" w:space="0" w:color="auto"/>
      </w:divBdr>
    </w:div>
    <w:div w:id="333383221">
      <w:bodyDiv w:val="1"/>
      <w:marLeft w:val="0"/>
      <w:marRight w:val="0"/>
      <w:marTop w:val="0"/>
      <w:marBottom w:val="0"/>
      <w:divBdr>
        <w:top w:val="none" w:sz="0" w:space="0" w:color="auto"/>
        <w:left w:val="none" w:sz="0" w:space="0" w:color="auto"/>
        <w:bottom w:val="none" w:sz="0" w:space="0" w:color="auto"/>
        <w:right w:val="none" w:sz="0" w:space="0" w:color="auto"/>
      </w:divBdr>
    </w:div>
    <w:div w:id="362247016">
      <w:bodyDiv w:val="1"/>
      <w:marLeft w:val="0"/>
      <w:marRight w:val="0"/>
      <w:marTop w:val="0"/>
      <w:marBottom w:val="0"/>
      <w:divBdr>
        <w:top w:val="none" w:sz="0" w:space="0" w:color="auto"/>
        <w:left w:val="none" w:sz="0" w:space="0" w:color="auto"/>
        <w:bottom w:val="none" w:sz="0" w:space="0" w:color="auto"/>
        <w:right w:val="none" w:sz="0" w:space="0" w:color="auto"/>
      </w:divBdr>
    </w:div>
    <w:div w:id="375980434">
      <w:bodyDiv w:val="1"/>
      <w:marLeft w:val="0"/>
      <w:marRight w:val="0"/>
      <w:marTop w:val="0"/>
      <w:marBottom w:val="0"/>
      <w:divBdr>
        <w:top w:val="none" w:sz="0" w:space="0" w:color="auto"/>
        <w:left w:val="none" w:sz="0" w:space="0" w:color="auto"/>
        <w:bottom w:val="none" w:sz="0" w:space="0" w:color="auto"/>
        <w:right w:val="none" w:sz="0" w:space="0" w:color="auto"/>
      </w:divBdr>
    </w:div>
    <w:div w:id="388918722">
      <w:bodyDiv w:val="1"/>
      <w:marLeft w:val="0"/>
      <w:marRight w:val="0"/>
      <w:marTop w:val="0"/>
      <w:marBottom w:val="0"/>
      <w:divBdr>
        <w:top w:val="none" w:sz="0" w:space="0" w:color="auto"/>
        <w:left w:val="none" w:sz="0" w:space="0" w:color="auto"/>
        <w:bottom w:val="none" w:sz="0" w:space="0" w:color="auto"/>
        <w:right w:val="none" w:sz="0" w:space="0" w:color="auto"/>
      </w:divBdr>
    </w:div>
    <w:div w:id="390616350">
      <w:bodyDiv w:val="1"/>
      <w:marLeft w:val="0"/>
      <w:marRight w:val="0"/>
      <w:marTop w:val="0"/>
      <w:marBottom w:val="0"/>
      <w:divBdr>
        <w:top w:val="none" w:sz="0" w:space="0" w:color="auto"/>
        <w:left w:val="none" w:sz="0" w:space="0" w:color="auto"/>
        <w:bottom w:val="none" w:sz="0" w:space="0" w:color="auto"/>
        <w:right w:val="none" w:sz="0" w:space="0" w:color="auto"/>
      </w:divBdr>
    </w:div>
    <w:div w:id="424113360">
      <w:bodyDiv w:val="1"/>
      <w:marLeft w:val="0"/>
      <w:marRight w:val="0"/>
      <w:marTop w:val="0"/>
      <w:marBottom w:val="0"/>
      <w:divBdr>
        <w:top w:val="none" w:sz="0" w:space="0" w:color="auto"/>
        <w:left w:val="none" w:sz="0" w:space="0" w:color="auto"/>
        <w:bottom w:val="none" w:sz="0" w:space="0" w:color="auto"/>
        <w:right w:val="none" w:sz="0" w:space="0" w:color="auto"/>
      </w:divBdr>
    </w:div>
    <w:div w:id="433481961">
      <w:bodyDiv w:val="1"/>
      <w:marLeft w:val="0"/>
      <w:marRight w:val="0"/>
      <w:marTop w:val="0"/>
      <w:marBottom w:val="0"/>
      <w:divBdr>
        <w:top w:val="none" w:sz="0" w:space="0" w:color="auto"/>
        <w:left w:val="none" w:sz="0" w:space="0" w:color="auto"/>
        <w:bottom w:val="none" w:sz="0" w:space="0" w:color="auto"/>
        <w:right w:val="none" w:sz="0" w:space="0" w:color="auto"/>
      </w:divBdr>
    </w:div>
    <w:div w:id="474613891">
      <w:bodyDiv w:val="1"/>
      <w:marLeft w:val="0"/>
      <w:marRight w:val="0"/>
      <w:marTop w:val="0"/>
      <w:marBottom w:val="0"/>
      <w:divBdr>
        <w:top w:val="none" w:sz="0" w:space="0" w:color="auto"/>
        <w:left w:val="none" w:sz="0" w:space="0" w:color="auto"/>
        <w:bottom w:val="none" w:sz="0" w:space="0" w:color="auto"/>
        <w:right w:val="none" w:sz="0" w:space="0" w:color="auto"/>
      </w:divBdr>
    </w:div>
    <w:div w:id="477379887">
      <w:bodyDiv w:val="1"/>
      <w:marLeft w:val="0"/>
      <w:marRight w:val="0"/>
      <w:marTop w:val="0"/>
      <w:marBottom w:val="0"/>
      <w:divBdr>
        <w:top w:val="none" w:sz="0" w:space="0" w:color="auto"/>
        <w:left w:val="none" w:sz="0" w:space="0" w:color="auto"/>
        <w:bottom w:val="none" w:sz="0" w:space="0" w:color="auto"/>
        <w:right w:val="none" w:sz="0" w:space="0" w:color="auto"/>
      </w:divBdr>
    </w:div>
    <w:div w:id="490104207">
      <w:bodyDiv w:val="1"/>
      <w:marLeft w:val="0"/>
      <w:marRight w:val="0"/>
      <w:marTop w:val="0"/>
      <w:marBottom w:val="0"/>
      <w:divBdr>
        <w:top w:val="none" w:sz="0" w:space="0" w:color="auto"/>
        <w:left w:val="none" w:sz="0" w:space="0" w:color="auto"/>
        <w:bottom w:val="none" w:sz="0" w:space="0" w:color="auto"/>
        <w:right w:val="none" w:sz="0" w:space="0" w:color="auto"/>
      </w:divBdr>
    </w:div>
    <w:div w:id="490683902">
      <w:bodyDiv w:val="1"/>
      <w:marLeft w:val="0"/>
      <w:marRight w:val="0"/>
      <w:marTop w:val="0"/>
      <w:marBottom w:val="0"/>
      <w:divBdr>
        <w:top w:val="none" w:sz="0" w:space="0" w:color="auto"/>
        <w:left w:val="none" w:sz="0" w:space="0" w:color="auto"/>
        <w:bottom w:val="none" w:sz="0" w:space="0" w:color="auto"/>
        <w:right w:val="none" w:sz="0" w:space="0" w:color="auto"/>
      </w:divBdr>
    </w:div>
    <w:div w:id="491332038">
      <w:bodyDiv w:val="1"/>
      <w:marLeft w:val="0"/>
      <w:marRight w:val="0"/>
      <w:marTop w:val="0"/>
      <w:marBottom w:val="0"/>
      <w:divBdr>
        <w:top w:val="none" w:sz="0" w:space="0" w:color="auto"/>
        <w:left w:val="none" w:sz="0" w:space="0" w:color="auto"/>
        <w:bottom w:val="none" w:sz="0" w:space="0" w:color="auto"/>
        <w:right w:val="none" w:sz="0" w:space="0" w:color="auto"/>
      </w:divBdr>
    </w:div>
    <w:div w:id="498471040">
      <w:bodyDiv w:val="1"/>
      <w:marLeft w:val="0"/>
      <w:marRight w:val="0"/>
      <w:marTop w:val="0"/>
      <w:marBottom w:val="0"/>
      <w:divBdr>
        <w:top w:val="none" w:sz="0" w:space="0" w:color="auto"/>
        <w:left w:val="none" w:sz="0" w:space="0" w:color="auto"/>
        <w:bottom w:val="none" w:sz="0" w:space="0" w:color="auto"/>
        <w:right w:val="none" w:sz="0" w:space="0" w:color="auto"/>
      </w:divBdr>
    </w:div>
    <w:div w:id="524634955">
      <w:bodyDiv w:val="1"/>
      <w:marLeft w:val="0"/>
      <w:marRight w:val="0"/>
      <w:marTop w:val="0"/>
      <w:marBottom w:val="0"/>
      <w:divBdr>
        <w:top w:val="none" w:sz="0" w:space="0" w:color="auto"/>
        <w:left w:val="none" w:sz="0" w:space="0" w:color="auto"/>
        <w:bottom w:val="none" w:sz="0" w:space="0" w:color="auto"/>
        <w:right w:val="none" w:sz="0" w:space="0" w:color="auto"/>
      </w:divBdr>
    </w:div>
    <w:div w:id="526024521">
      <w:bodyDiv w:val="1"/>
      <w:marLeft w:val="0"/>
      <w:marRight w:val="0"/>
      <w:marTop w:val="0"/>
      <w:marBottom w:val="0"/>
      <w:divBdr>
        <w:top w:val="none" w:sz="0" w:space="0" w:color="auto"/>
        <w:left w:val="none" w:sz="0" w:space="0" w:color="auto"/>
        <w:bottom w:val="none" w:sz="0" w:space="0" w:color="auto"/>
        <w:right w:val="none" w:sz="0" w:space="0" w:color="auto"/>
      </w:divBdr>
    </w:div>
    <w:div w:id="533154633">
      <w:bodyDiv w:val="1"/>
      <w:marLeft w:val="0"/>
      <w:marRight w:val="0"/>
      <w:marTop w:val="0"/>
      <w:marBottom w:val="0"/>
      <w:divBdr>
        <w:top w:val="none" w:sz="0" w:space="0" w:color="auto"/>
        <w:left w:val="none" w:sz="0" w:space="0" w:color="auto"/>
        <w:bottom w:val="none" w:sz="0" w:space="0" w:color="auto"/>
        <w:right w:val="none" w:sz="0" w:space="0" w:color="auto"/>
      </w:divBdr>
    </w:div>
    <w:div w:id="576986330">
      <w:bodyDiv w:val="1"/>
      <w:marLeft w:val="0"/>
      <w:marRight w:val="0"/>
      <w:marTop w:val="0"/>
      <w:marBottom w:val="0"/>
      <w:divBdr>
        <w:top w:val="none" w:sz="0" w:space="0" w:color="auto"/>
        <w:left w:val="none" w:sz="0" w:space="0" w:color="auto"/>
        <w:bottom w:val="none" w:sz="0" w:space="0" w:color="auto"/>
        <w:right w:val="none" w:sz="0" w:space="0" w:color="auto"/>
      </w:divBdr>
    </w:div>
    <w:div w:id="588124034">
      <w:bodyDiv w:val="1"/>
      <w:marLeft w:val="0"/>
      <w:marRight w:val="0"/>
      <w:marTop w:val="0"/>
      <w:marBottom w:val="0"/>
      <w:divBdr>
        <w:top w:val="none" w:sz="0" w:space="0" w:color="auto"/>
        <w:left w:val="none" w:sz="0" w:space="0" w:color="auto"/>
        <w:bottom w:val="none" w:sz="0" w:space="0" w:color="auto"/>
        <w:right w:val="none" w:sz="0" w:space="0" w:color="auto"/>
      </w:divBdr>
    </w:div>
    <w:div w:id="592977582">
      <w:bodyDiv w:val="1"/>
      <w:marLeft w:val="0"/>
      <w:marRight w:val="0"/>
      <w:marTop w:val="0"/>
      <w:marBottom w:val="0"/>
      <w:divBdr>
        <w:top w:val="none" w:sz="0" w:space="0" w:color="auto"/>
        <w:left w:val="none" w:sz="0" w:space="0" w:color="auto"/>
        <w:bottom w:val="none" w:sz="0" w:space="0" w:color="auto"/>
        <w:right w:val="none" w:sz="0" w:space="0" w:color="auto"/>
      </w:divBdr>
    </w:div>
    <w:div w:id="615720889">
      <w:bodyDiv w:val="1"/>
      <w:marLeft w:val="0"/>
      <w:marRight w:val="0"/>
      <w:marTop w:val="0"/>
      <w:marBottom w:val="0"/>
      <w:divBdr>
        <w:top w:val="none" w:sz="0" w:space="0" w:color="auto"/>
        <w:left w:val="none" w:sz="0" w:space="0" w:color="auto"/>
        <w:bottom w:val="none" w:sz="0" w:space="0" w:color="auto"/>
        <w:right w:val="none" w:sz="0" w:space="0" w:color="auto"/>
      </w:divBdr>
    </w:div>
    <w:div w:id="621695366">
      <w:bodyDiv w:val="1"/>
      <w:marLeft w:val="0"/>
      <w:marRight w:val="0"/>
      <w:marTop w:val="0"/>
      <w:marBottom w:val="0"/>
      <w:divBdr>
        <w:top w:val="none" w:sz="0" w:space="0" w:color="auto"/>
        <w:left w:val="none" w:sz="0" w:space="0" w:color="auto"/>
        <w:bottom w:val="none" w:sz="0" w:space="0" w:color="auto"/>
        <w:right w:val="none" w:sz="0" w:space="0" w:color="auto"/>
      </w:divBdr>
    </w:div>
    <w:div w:id="642002532">
      <w:bodyDiv w:val="1"/>
      <w:marLeft w:val="0"/>
      <w:marRight w:val="0"/>
      <w:marTop w:val="0"/>
      <w:marBottom w:val="0"/>
      <w:divBdr>
        <w:top w:val="none" w:sz="0" w:space="0" w:color="auto"/>
        <w:left w:val="none" w:sz="0" w:space="0" w:color="auto"/>
        <w:bottom w:val="none" w:sz="0" w:space="0" w:color="auto"/>
        <w:right w:val="none" w:sz="0" w:space="0" w:color="auto"/>
      </w:divBdr>
    </w:div>
    <w:div w:id="665940952">
      <w:bodyDiv w:val="1"/>
      <w:marLeft w:val="0"/>
      <w:marRight w:val="0"/>
      <w:marTop w:val="0"/>
      <w:marBottom w:val="0"/>
      <w:divBdr>
        <w:top w:val="none" w:sz="0" w:space="0" w:color="auto"/>
        <w:left w:val="none" w:sz="0" w:space="0" w:color="auto"/>
        <w:bottom w:val="none" w:sz="0" w:space="0" w:color="auto"/>
        <w:right w:val="none" w:sz="0" w:space="0" w:color="auto"/>
      </w:divBdr>
    </w:div>
    <w:div w:id="676923085">
      <w:bodyDiv w:val="1"/>
      <w:marLeft w:val="0"/>
      <w:marRight w:val="0"/>
      <w:marTop w:val="0"/>
      <w:marBottom w:val="0"/>
      <w:divBdr>
        <w:top w:val="none" w:sz="0" w:space="0" w:color="auto"/>
        <w:left w:val="none" w:sz="0" w:space="0" w:color="auto"/>
        <w:bottom w:val="none" w:sz="0" w:space="0" w:color="auto"/>
        <w:right w:val="none" w:sz="0" w:space="0" w:color="auto"/>
      </w:divBdr>
    </w:div>
    <w:div w:id="693969154">
      <w:bodyDiv w:val="1"/>
      <w:marLeft w:val="0"/>
      <w:marRight w:val="0"/>
      <w:marTop w:val="0"/>
      <w:marBottom w:val="0"/>
      <w:divBdr>
        <w:top w:val="none" w:sz="0" w:space="0" w:color="auto"/>
        <w:left w:val="none" w:sz="0" w:space="0" w:color="auto"/>
        <w:bottom w:val="none" w:sz="0" w:space="0" w:color="auto"/>
        <w:right w:val="none" w:sz="0" w:space="0" w:color="auto"/>
      </w:divBdr>
    </w:div>
    <w:div w:id="744228390">
      <w:bodyDiv w:val="1"/>
      <w:marLeft w:val="0"/>
      <w:marRight w:val="0"/>
      <w:marTop w:val="0"/>
      <w:marBottom w:val="0"/>
      <w:divBdr>
        <w:top w:val="none" w:sz="0" w:space="0" w:color="auto"/>
        <w:left w:val="none" w:sz="0" w:space="0" w:color="auto"/>
        <w:bottom w:val="none" w:sz="0" w:space="0" w:color="auto"/>
        <w:right w:val="none" w:sz="0" w:space="0" w:color="auto"/>
      </w:divBdr>
    </w:div>
    <w:div w:id="788550306">
      <w:bodyDiv w:val="1"/>
      <w:marLeft w:val="0"/>
      <w:marRight w:val="0"/>
      <w:marTop w:val="0"/>
      <w:marBottom w:val="0"/>
      <w:divBdr>
        <w:top w:val="none" w:sz="0" w:space="0" w:color="auto"/>
        <w:left w:val="none" w:sz="0" w:space="0" w:color="auto"/>
        <w:bottom w:val="none" w:sz="0" w:space="0" w:color="auto"/>
        <w:right w:val="none" w:sz="0" w:space="0" w:color="auto"/>
      </w:divBdr>
    </w:div>
    <w:div w:id="836917292">
      <w:bodyDiv w:val="1"/>
      <w:marLeft w:val="0"/>
      <w:marRight w:val="0"/>
      <w:marTop w:val="0"/>
      <w:marBottom w:val="0"/>
      <w:divBdr>
        <w:top w:val="none" w:sz="0" w:space="0" w:color="auto"/>
        <w:left w:val="none" w:sz="0" w:space="0" w:color="auto"/>
        <w:bottom w:val="none" w:sz="0" w:space="0" w:color="auto"/>
        <w:right w:val="none" w:sz="0" w:space="0" w:color="auto"/>
      </w:divBdr>
    </w:div>
    <w:div w:id="845053235">
      <w:bodyDiv w:val="1"/>
      <w:marLeft w:val="0"/>
      <w:marRight w:val="0"/>
      <w:marTop w:val="0"/>
      <w:marBottom w:val="0"/>
      <w:divBdr>
        <w:top w:val="none" w:sz="0" w:space="0" w:color="auto"/>
        <w:left w:val="none" w:sz="0" w:space="0" w:color="auto"/>
        <w:bottom w:val="none" w:sz="0" w:space="0" w:color="auto"/>
        <w:right w:val="none" w:sz="0" w:space="0" w:color="auto"/>
      </w:divBdr>
    </w:div>
    <w:div w:id="847527704">
      <w:bodyDiv w:val="1"/>
      <w:marLeft w:val="0"/>
      <w:marRight w:val="0"/>
      <w:marTop w:val="0"/>
      <w:marBottom w:val="0"/>
      <w:divBdr>
        <w:top w:val="none" w:sz="0" w:space="0" w:color="auto"/>
        <w:left w:val="none" w:sz="0" w:space="0" w:color="auto"/>
        <w:bottom w:val="none" w:sz="0" w:space="0" w:color="auto"/>
        <w:right w:val="none" w:sz="0" w:space="0" w:color="auto"/>
      </w:divBdr>
    </w:div>
    <w:div w:id="866411876">
      <w:bodyDiv w:val="1"/>
      <w:marLeft w:val="0"/>
      <w:marRight w:val="0"/>
      <w:marTop w:val="0"/>
      <w:marBottom w:val="0"/>
      <w:divBdr>
        <w:top w:val="none" w:sz="0" w:space="0" w:color="auto"/>
        <w:left w:val="none" w:sz="0" w:space="0" w:color="auto"/>
        <w:bottom w:val="none" w:sz="0" w:space="0" w:color="auto"/>
        <w:right w:val="none" w:sz="0" w:space="0" w:color="auto"/>
      </w:divBdr>
    </w:div>
    <w:div w:id="874736363">
      <w:bodyDiv w:val="1"/>
      <w:marLeft w:val="0"/>
      <w:marRight w:val="0"/>
      <w:marTop w:val="0"/>
      <w:marBottom w:val="0"/>
      <w:divBdr>
        <w:top w:val="none" w:sz="0" w:space="0" w:color="auto"/>
        <w:left w:val="none" w:sz="0" w:space="0" w:color="auto"/>
        <w:bottom w:val="none" w:sz="0" w:space="0" w:color="auto"/>
        <w:right w:val="none" w:sz="0" w:space="0" w:color="auto"/>
      </w:divBdr>
    </w:div>
    <w:div w:id="877281380">
      <w:bodyDiv w:val="1"/>
      <w:marLeft w:val="0"/>
      <w:marRight w:val="0"/>
      <w:marTop w:val="0"/>
      <w:marBottom w:val="0"/>
      <w:divBdr>
        <w:top w:val="none" w:sz="0" w:space="0" w:color="auto"/>
        <w:left w:val="none" w:sz="0" w:space="0" w:color="auto"/>
        <w:bottom w:val="none" w:sz="0" w:space="0" w:color="auto"/>
        <w:right w:val="none" w:sz="0" w:space="0" w:color="auto"/>
      </w:divBdr>
    </w:div>
    <w:div w:id="882793557">
      <w:bodyDiv w:val="1"/>
      <w:marLeft w:val="0"/>
      <w:marRight w:val="0"/>
      <w:marTop w:val="0"/>
      <w:marBottom w:val="0"/>
      <w:divBdr>
        <w:top w:val="none" w:sz="0" w:space="0" w:color="auto"/>
        <w:left w:val="none" w:sz="0" w:space="0" w:color="auto"/>
        <w:bottom w:val="none" w:sz="0" w:space="0" w:color="auto"/>
        <w:right w:val="none" w:sz="0" w:space="0" w:color="auto"/>
      </w:divBdr>
    </w:div>
    <w:div w:id="883718776">
      <w:bodyDiv w:val="1"/>
      <w:marLeft w:val="0"/>
      <w:marRight w:val="0"/>
      <w:marTop w:val="0"/>
      <w:marBottom w:val="0"/>
      <w:divBdr>
        <w:top w:val="none" w:sz="0" w:space="0" w:color="auto"/>
        <w:left w:val="none" w:sz="0" w:space="0" w:color="auto"/>
        <w:bottom w:val="none" w:sz="0" w:space="0" w:color="auto"/>
        <w:right w:val="none" w:sz="0" w:space="0" w:color="auto"/>
      </w:divBdr>
    </w:div>
    <w:div w:id="891816332">
      <w:bodyDiv w:val="1"/>
      <w:marLeft w:val="0"/>
      <w:marRight w:val="0"/>
      <w:marTop w:val="0"/>
      <w:marBottom w:val="0"/>
      <w:divBdr>
        <w:top w:val="none" w:sz="0" w:space="0" w:color="auto"/>
        <w:left w:val="none" w:sz="0" w:space="0" w:color="auto"/>
        <w:bottom w:val="none" w:sz="0" w:space="0" w:color="auto"/>
        <w:right w:val="none" w:sz="0" w:space="0" w:color="auto"/>
      </w:divBdr>
    </w:div>
    <w:div w:id="925726742">
      <w:bodyDiv w:val="1"/>
      <w:marLeft w:val="0"/>
      <w:marRight w:val="0"/>
      <w:marTop w:val="0"/>
      <w:marBottom w:val="0"/>
      <w:divBdr>
        <w:top w:val="none" w:sz="0" w:space="0" w:color="auto"/>
        <w:left w:val="none" w:sz="0" w:space="0" w:color="auto"/>
        <w:bottom w:val="none" w:sz="0" w:space="0" w:color="auto"/>
        <w:right w:val="none" w:sz="0" w:space="0" w:color="auto"/>
      </w:divBdr>
    </w:div>
    <w:div w:id="948856934">
      <w:bodyDiv w:val="1"/>
      <w:marLeft w:val="0"/>
      <w:marRight w:val="0"/>
      <w:marTop w:val="0"/>
      <w:marBottom w:val="0"/>
      <w:divBdr>
        <w:top w:val="none" w:sz="0" w:space="0" w:color="auto"/>
        <w:left w:val="none" w:sz="0" w:space="0" w:color="auto"/>
        <w:bottom w:val="none" w:sz="0" w:space="0" w:color="auto"/>
        <w:right w:val="none" w:sz="0" w:space="0" w:color="auto"/>
      </w:divBdr>
    </w:div>
    <w:div w:id="961500375">
      <w:bodyDiv w:val="1"/>
      <w:marLeft w:val="0"/>
      <w:marRight w:val="0"/>
      <w:marTop w:val="0"/>
      <w:marBottom w:val="0"/>
      <w:divBdr>
        <w:top w:val="none" w:sz="0" w:space="0" w:color="auto"/>
        <w:left w:val="none" w:sz="0" w:space="0" w:color="auto"/>
        <w:bottom w:val="none" w:sz="0" w:space="0" w:color="auto"/>
        <w:right w:val="none" w:sz="0" w:space="0" w:color="auto"/>
      </w:divBdr>
    </w:div>
    <w:div w:id="1000933243">
      <w:bodyDiv w:val="1"/>
      <w:marLeft w:val="0"/>
      <w:marRight w:val="0"/>
      <w:marTop w:val="0"/>
      <w:marBottom w:val="0"/>
      <w:divBdr>
        <w:top w:val="none" w:sz="0" w:space="0" w:color="auto"/>
        <w:left w:val="none" w:sz="0" w:space="0" w:color="auto"/>
        <w:bottom w:val="none" w:sz="0" w:space="0" w:color="auto"/>
        <w:right w:val="none" w:sz="0" w:space="0" w:color="auto"/>
      </w:divBdr>
    </w:div>
    <w:div w:id="1027095917">
      <w:bodyDiv w:val="1"/>
      <w:marLeft w:val="0"/>
      <w:marRight w:val="0"/>
      <w:marTop w:val="0"/>
      <w:marBottom w:val="0"/>
      <w:divBdr>
        <w:top w:val="none" w:sz="0" w:space="0" w:color="auto"/>
        <w:left w:val="none" w:sz="0" w:space="0" w:color="auto"/>
        <w:bottom w:val="none" w:sz="0" w:space="0" w:color="auto"/>
        <w:right w:val="none" w:sz="0" w:space="0" w:color="auto"/>
      </w:divBdr>
      <w:divsChild>
        <w:div w:id="637420707">
          <w:marLeft w:val="446"/>
          <w:marRight w:val="0"/>
          <w:marTop w:val="115"/>
          <w:marBottom w:val="120"/>
          <w:divBdr>
            <w:top w:val="none" w:sz="0" w:space="0" w:color="auto"/>
            <w:left w:val="none" w:sz="0" w:space="0" w:color="auto"/>
            <w:bottom w:val="none" w:sz="0" w:space="0" w:color="auto"/>
            <w:right w:val="none" w:sz="0" w:space="0" w:color="auto"/>
          </w:divBdr>
        </w:div>
      </w:divsChild>
    </w:div>
    <w:div w:id="1030229425">
      <w:bodyDiv w:val="1"/>
      <w:marLeft w:val="0"/>
      <w:marRight w:val="0"/>
      <w:marTop w:val="0"/>
      <w:marBottom w:val="0"/>
      <w:divBdr>
        <w:top w:val="none" w:sz="0" w:space="0" w:color="auto"/>
        <w:left w:val="none" w:sz="0" w:space="0" w:color="auto"/>
        <w:bottom w:val="none" w:sz="0" w:space="0" w:color="auto"/>
        <w:right w:val="none" w:sz="0" w:space="0" w:color="auto"/>
      </w:divBdr>
    </w:div>
    <w:div w:id="1041591753">
      <w:bodyDiv w:val="1"/>
      <w:marLeft w:val="0"/>
      <w:marRight w:val="0"/>
      <w:marTop w:val="0"/>
      <w:marBottom w:val="0"/>
      <w:divBdr>
        <w:top w:val="none" w:sz="0" w:space="0" w:color="auto"/>
        <w:left w:val="none" w:sz="0" w:space="0" w:color="auto"/>
        <w:bottom w:val="none" w:sz="0" w:space="0" w:color="auto"/>
        <w:right w:val="none" w:sz="0" w:space="0" w:color="auto"/>
      </w:divBdr>
    </w:div>
    <w:div w:id="1057775450">
      <w:bodyDiv w:val="1"/>
      <w:marLeft w:val="0"/>
      <w:marRight w:val="0"/>
      <w:marTop w:val="0"/>
      <w:marBottom w:val="0"/>
      <w:divBdr>
        <w:top w:val="none" w:sz="0" w:space="0" w:color="auto"/>
        <w:left w:val="none" w:sz="0" w:space="0" w:color="auto"/>
        <w:bottom w:val="none" w:sz="0" w:space="0" w:color="auto"/>
        <w:right w:val="none" w:sz="0" w:space="0" w:color="auto"/>
      </w:divBdr>
    </w:div>
    <w:div w:id="1066075917">
      <w:bodyDiv w:val="1"/>
      <w:marLeft w:val="0"/>
      <w:marRight w:val="0"/>
      <w:marTop w:val="0"/>
      <w:marBottom w:val="0"/>
      <w:divBdr>
        <w:top w:val="none" w:sz="0" w:space="0" w:color="auto"/>
        <w:left w:val="none" w:sz="0" w:space="0" w:color="auto"/>
        <w:bottom w:val="none" w:sz="0" w:space="0" w:color="auto"/>
        <w:right w:val="none" w:sz="0" w:space="0" w:color="auto"/>
      </w:divBdr>
    </w:div>
    <w:div w:id="1074816198">
      <w:bodyDiv w:val="1"/>
      <w:marLeft w:val="0"/>
      <w:marRight w:val="0"/>
      <w:marTop w:val="0"/>
      <w:marBottom w:val="0"/>
      <w:divBdr>
        <w:top w:val="none" w:sz="0" w:space="0" w:color="auto"/>
        <w:left w:val="none" w:sz="0" w:space="0" w:color="auto"/>
        <w:bottom w:val="none" w:sz="0" w:space="0" w:color="auto"/>
        <w:right w:val="none" w:sz="0" w:space="0" w:color="auto"/>
      </w:divBdr>
    </w:div>
    <w:div w:id="1080951399">
      <w:bodyDiv w:val="1"/>
      <w:marLeft w:val="0"/>
      <w:marRight w:val="0"/>
      <w:marTop w:val="0"/>
      <w:marBottom w:val="0"/>
      <w:divBdr>
        <w:top w:val="none" w:sz="0" w:space="0" w:color="auto"/>
        <w:left w:val="none" w:sz="0" w:space="0" w:color="auto"/>
        <w:bottom w:val="none" w:sz="0" w:space="0" w:color="auto"/>
        <w:right w:val="none" w:sz="0" w:space="0" w:color="auto"/>
      </w:divBdr>
    </w:div>
    <w:div w:id="1127621585">
      <w:bodyDiv w:val="1"/>
      <w:marLeft w:val="0"/>
      <w:marRight w:val="0"/>
      <w:marTop w:val="0"/>
      <w:marBottom w:val="0"/>
      <w:divBdr>
        <w:top w:val="none" w:sz="0" w:space="0" w:color="auto"/>
        <w:left w:val="none" w:sz="0" w:space="0" w:color="auto"/>
        <w:bottom w:val="none" w:sz="0" w:space="0" w:color="auto"/>
        <w:right w:val="none" w:sz="0" w:space="0" w:color="auto"/>
      </w:divBdr>
    </w:div>
    <w:div w:id="1132793549">
      <w:bodyDiv w:val="1"/>
      <w:marLeft w:val="0"/>
      <w:marRight w:val="0"/>
      <w:marTop w:val="0"/>
      <w:marBottom w:val="0"/>
      <w:divBdr>
        <w:top w:val="none" w:sz="0" w:space="0" w:color="auto"/>
        <w:left w:val="none" w:sz="0" w:space="0" w:color="auto"/>
        <w:bottom w:val="none" w:sz="0" w:space="0" w:color="auto"/>
        <w:right w:val="none" w:sz="0" w:space="0" w:color="auto"/>
      </w:divBdr>
    </w:div>
    <w:div w:id="1148742786">
      <w:bodyDiv w:val="1"/>
      <w:marLeft w:val="0"/>
      <w:marRight w:val="0"/>
      <w:marTop w:val="0"/>
      <w:marBottom w:val="0"/>
      <w:divBdr>
        <w:top w:val="none" w:sz="0" w:space="0" w:color="auto"/>
        <w:left w:val="none" w:sz="0" w:space="0" w:color="auto"/>
        <w:bottom w:val="none" w:sz="0" w:space="0" w:color="auto"/>
        <w:right w:val="none" w:sz="0" w:space="0" w:color="auto"/>
      </w:divBdr>
    </w:div>
    <w:div w:id="1181120303">
      <w:bodyDiv w:val="1"/>
      <w:marLeft w:val="0"/>
      <w:marRight w:val="0"/>
      <w:marTop w:val="0"/>
      <w:marBottom w:val="0"/>
      <w:divBdr>
        <w:top w:val="none" w:sz="0" w:space="0" w:color="auto"/>
        <w:left w:val="none" w:sz="0" w:space="0" w:color="auto"/>
        <w:bottom w:val="none" w:sz="0" w:space="0" w:color="auto"/>
        <w:right w:val="none" w:sz="0" w:space="0" w:color="auto"/>
      </w:divBdr>
    </w:div>
    <w:div w:id="1187718702">
      <w:bodyDiv w:val="1"/>
      <w:marLeft w:val="0"/>
      <w:marRight w:val="0"/>
      <w:marTop w:val="0"/>
      <w:marBottom w:val="0"/>
      <w:divBdr>
        <w:top w:val="none" w:sz="0" w:space="0" w:color="auto"/>
        <w:left w:val="none" w:sz="0" w:space="0" w:color="auto"/>
        <w:bottom w:val="none" w:sz="0" w:space="0" w:color="auto"/>
        <w:right w:val="none" w:sz="0" w:space="0" w:color="auto"/>
      </w:divBdr>
    </w:div>
    <w:div w:id="1193881461">
      <w:bodyDiv w:val="1"/>
      <w:marLeft w:val="0"/>
      <w:marRight w:val="0"/>
      <w:marTop w:val="0"/>
      <w:marBottom w:val="0"/>
      <w:divBdr>
        <w:top w:val="none" w:sz="0" w:space="0" w:color="auto"/>
        <w:left w:val="none" w:sz="0" w:space="0" w:color="auto"/>
        <w:bottom w:val="none" w:sz="0" w:space="0" w:color="auto"/>
        <w:right w:val="none" w:sz="0" w:space="0" w:color="auto"/>
      </w:divBdr>
    </w:div>
    <w:div w:id="1201552560">
      <w:bodyDiv w:val="1"/>
      <w:marLeft w:val="0"/>
      <w:marRight w:val="0"/>
      <w:marTop w:val="0"/>
      <w:marBottom w:val="0"/>
      <w:divBdr>
        <w:top w:val="none" w:sz="0" w:space="0" w:color="auto"/>
        <w:left w:val="none" w:sz="0" w:space="0" w:color="auto"/>
        <w:bottom w:val="none" w:sz="0" w:space="0" w:color="auto"/>
        <w:right w:val="none" w:sz="0" w:space="0" w:color="auto"/>
      </w:divBdr>
    </w:div>
    <w:div w:id="1210072185">
      <w:bodyDiv w:val="1"/>
      <w:marLeft w:val="0"/>
      <w:marRight w:val="0"/>
      <w:marTop w:val="0"/>
      <w:marBottom w:val="0"/>
      <w:divBdr>
        <w:top w:val="none" w:sz="0" w:space="0" w:color="auto"/>
        <w:left w:val="none" w:sz="0" w:space="0" w:color="auto"/>
        <w:bottom w:val="none" w:sz="0" w:space="0" w:color="auto"/>
        <w:right w:val="none" w:sz="0" w:space="0" w:color="auto"/>
      </w:divBdr>
    </w:div>
    <w:div w:id="1225413291">
      <w:bodyDiv w:val="1"/>
      <w:marLeft w:val="0"/>
      <w:marRight w:val="0"/>
      <w:marTop w:val="0"/>
      <w:marBottom w:val="0"/>
      <w:divBdr>
        <w:top w:val="none" w:sz="0" w:space="0" w:color="auto"/>
        <w:left w:val="none" w:sz="0" w:space="0" w:color="auto"/>
        <w:bottom w:val="none" w:sz="0" w:space="0" w:color="auto"/>
        <w:right w:val="none" w:sz="0" w:space="0" w:color="auto"/>
      </w:divBdr>
    </w:div>
    <w:div w:id="1238252229">
      <w:bodyDiv w:val="1"/>
      <w:marLeft w:val="0"/>
      <w:marRight w:val="0"/>
      <w:marTop w:val="0"/>
      <w:marBottom w:val="0"/>
      <w:divBdr>
        <w:top w:val="none" w:sz="0" w:space="0" w:color="auto"/>
        <w:left w:val="none" w:sz="0" w:space="0" w:color="auto"/>
        <w:bottom w:val="none" w:sz="0" w:space="0" w:color="auto"/>
        <w:right w:val="none" w:sz="0" w:space="0" w:color="auto"/>
      </w:divBdr>
    </w:div>
    <w:div w:id="1250961429">
      <w:bodyDiv w:val="1"/>
      <w:marLeft w:val="0"/>
      <w:marRight w:val="0"/>
      <w:marTop w:val="0"/>
      <w:marBottom w:val="0"/>
      <w:divBdr>
        <w:top w:val="none" w:sz="0" w:space="0" w:color="auto"/>
        <w:left w:val="none" w:sz="0" w:space="0" w:color="auto"/>
        <w:bottom w:val="none" w:sz="0" w:space="0" w:color="auto"/>
        <w:right w:val="none" w:sz="0" w:space="0" w:color="auto"/>
      </w:divBdr>
    </w:div>
    <w:div w:id="1256010258">
      <w:bodyDiv w:val="1"/>
      <w:marLeft w:val="0"/>
      <w:marRight w:val="0"/>
      <w:marTop w:val="0"/>
      <w:marBottom w:val="0"/>
      <w:divBdr>
        <w:top w:val="none" w:sz="0" w:space="0" w:color="auto"/>
        <w:left w:val="none" w:sz="0" w:space="0" w:color="auto"/>
        <w:bottom w:val="none" w:sz="0" w:space="0" w:color="auto"/>
        <w:right w:val="none" w:sz="0" w:space="0" w:color="auto"/>
      </w:divBdr>
    </w:div>
    <w:div w:id="1275481928">
      <w:bodyDiv w:val="1"/>
      <w:marLeft w:val="0"/>
      <w:marRight w:val="0"/>
      <w:marTop w:val="0"/>
      <w:marBottom w:val="0"/>
      <w:divBdr>
        <w:top w:val="none" w:sz="0" w:space="0" w:color="auto"/>
        <w:left w:val="none" w:sz="0" w:space="0" w:color="auto"/>
        <w:bottom w:val="none" w:sz="0" w:space="0" w:color="auto"/>
        <w:right w:val="none" w:sz="0" w:space="0" w:color="auto"/>
      </w:divBdr>
    </w:div>
    <w:div w:id="1285505789">
      <w:bodyDiv w:val="1"/>
      <w:marLeft w:val="0"/>
      <w:marRight w:val="0"/>
      <w:marTop w:val="0"/>
      <w:marBottom w:val="0"/>
      <w:divBdr>
        <w:top w:val="none" w:sz="0" w:space="0" w:color="auto"/>
        <w:left w:val="none" w:sz="0" w:space="0" w:color="auto"/>
        <w:bottom w:val="none" w:sz="0" w:space="0" w:color="auto"/>
        <w:right w:val="none" w:sz="0" w:space="0" w:color="auto"/>
      </w:divBdr>
    </w:div>
    <w:div w:id="1314606107">
      <w:bodyDiv w:val="1"/>
      <w:marLeft w:val="0"/>
      <w:marRight w:val="0"/>
      <w:marTop w:val="0"/>
      <w:marBottom w:val="0"/>
      <w:divBdr>
        <w:top w:val="none" w:sz="0" w:space="0" w:color="auto"/>
        <w:left w:val="none" w:sz="0" w:space="0" w:color="auto"/>
        <w:bottom w:val="none" w:sz="0" w:space="0" w:color="auto"/>
        <w:right w:val="none" w:sz="0" w:space="0" w:color="auto"/>
      </w:divBdr>
    </w:div>
    <w:div w:id="1316957414">
      <w:bodyDiv w:val="1"/>
      <w:marLeft w:val="0"/>
      <w:marRight w:val="0"/>
      <w:marTop w:val="0"/>
      <w:marBottom w:val="0"/>
      <w:divBdr>
        <w:top w:val="none" w:sz="0" w:space="0" w:color="auto"/>
        <w:left w:val="none" w:sz="0" w:space="0" w:color="auto"/>
        <w:bottom w:val="none" w:sz="0" w:space="0" w:color="auto"/>
        <w:right w:val="none" w:sz="0" w:space="0" w:color="auto"/>
      </w:divBdr>
    </w:div>
    <w:div w:id="1354305263">
      <w:bodyDiv w:val="1"/>
      <w:marLeft w:val="0"/>
      <w:marRight w:val="0"/>
      <w:marTop w:val="0"/>
      <w:marBottom w:val="0"/>
      <w:divBdr>
        <w:top w:val="none" w:sz="0" w:space="0" w:color="auto"/>
        <w:left w:val="none" w:sz="0" w:space="0" w:color="auto"/>
        <w:bottom w:val="none" w:sz="0" w:space="0" w:color="auto"/>
        <w:right w:val="none" w:sz="0" w:space="0" w:color="auto"/>
      </w:divBdr>
    </w:div>
    <w:div w:id="1379863570">
      <w:bodyDiv w:val="1"/>
      <w:marLeft w:val="0"/>
      <w:marRight w:val="0"/>
      <w:marTop w:val="0"/>
      <w:marBottom w:val="0"/>
      <w:divBdr>
        <w:top w:val="none" w:sz="0" w:space="0" w:color="auto"/>
        <w:left w:val="none" w:sz="0" w:space="0" w:color="auto"/>
        <w:bottom w:val="none" w:sz="0" w:space="0" w:color="auto"/>
        <w:right w:val="none" w:sz="0" w:space="0" w:color="auto"/>
      </w:divBdr>
    </w:div>
    <w:div w:id="1414931684">
      <w:bodyDiv w:val="1"/>
      <w:marLeft w:val="0"/>
      <w:marRight w:val="0"/>
      <w:marTop w:val="0"/>
      <w:marBottom w:val="0"/>
      <w:divBdr>
        <w:top w:val="none" w:sz="0" w:space="0" w:color="auto"/>
        <w:left w:val="none" w:sz="0" w:space="0" w:color="auto"/>
        <w:bottom w:val="none" w:sz="0" w:space="0" w:color="auto"/>
        <w:right w:val="none" w:sz="0" w:space="0" w:color="auto"/>
      </w:divBdr>
    </w:div>
    <w:div w:id="1429503135">
      <w:bodyDiv w:val="1"/>
      <w:marLeft w:val="0"/>
      <w:marRight w:val="0"/>
      <w:marTop w:val="0"/>
      <w:marBottom w:val="0"/>
      <w:divBdr>
        <w:top w:val="none" w:sz="0" w:space="0" w:color="auto"/>
        <w:left w:val="none" w:sz="0" w:space="0" w:color="auto"/>
        <w:bottom w:val="none" w:sz="0" w:space="0" w:color="auto"/>
        <w:right w:val="none" w:sz="0" w:space="0" w:color="auto"/>
      </w:divBdr>
    </w:div>
    <w:div w:id="1454668969">
      <w:bodyDiv w:val="1"/>
      <w:marLeft w:val="0"/>
      <w:marRight w:val="0"/>
      <w:marTop w:val="0"/>
      <w:marBottom w:val="0"/>
      <w:divBdr>
        <w:top w:val="none" w:sz="0" w:space="0" w:color="auto"/>
        <w:left w:val="none" w:sz="0" w:space="0" w:color="auto"/>
        <w:bottom w:val="none" w:sz="0" w:space="0" w:color="auto"/>
        <w:right w:val="none" w:sz="0" w:space="0" w:color="auto"/>
      </w:divBdr>
    </w:div>
    <w:div w:id="1457066979">
      <w:bodyDiv w:val="1"/>
      <w:marLeft w:val="0"/>
      <w:marRight w:val="0"/>
      <w:marTop w:val="0"/>
      <w:marBottom w:val="0"/>
      <w:divBdr>
        <w:top w:val="none" w:sz="0" w:space="0" w:color="auto"/>
        <w:left w:val="none" w:sz="0" w:space="0" w:color="auto"/>
        <w:bottom w:val="none" w:sz="0" w:space="0" w:color="auto"/>
        <w:right w:val="none" w:sz="0" w:space="0" w:color="auto"/>
      </w:divBdr>
    </w:div>
    <w:div w:id="1468548828">
      <w:bodyDiv w:val="1"/>
      <w:marLeft w:val="0"/>
      <w:marRight w:val="0"/>
      <w:marTop w:val="0"/>
      <w:marBottom w:val="0"/>
      <w:divBdr>
        <w:top w:val="none" w:sz="0" w:space="0" w:color="auto"/>
        <w:left w:val="none" w:sz="0" w:space="0" w:color="auto"/>
        <w:bottom w:val="none" w:sz="0" w:space="0" w:color="auto"/>
        <w:right w:val="none" w:sz="0" w:space="0" w:color="auto"/>
      </w:divBdr>
    </w:div>
    <w:div w:id="1472556860">
      <w:bodyDiv w:val="1"/>
      <w:marLeft w:val="0"/>
      <w:marRight w:val="0"/>
      <w:marTop w:val="0"/>
      <w:marBottom w:val="0"/>
      <w:divBdr>
        <w:top w:val="none" w:sz="0" w:space="0" w:color="auto"/>
        <w:left w:val="none" w:sz="0" w:space="0" w:color="auto"/>
        <w:bottom w:val="none" w:sz="0" w:space="0" w:color="auto"/>
        <w:right w:val="none" w:sz="0" w:space="0" w:color="auto"/>
      </w:divBdr>
    </w:div>
    <w:div w:id="1476139839">
      <w:bodyDiv w:val="1"/>
      <w:marLeft w:val="0"/>
      <w:marRight w:val="0"/>
      <w:marTop w:val="0"/>
      <w:marBottom w:val="0"/>
      <w:divBdr>
        <w:top w:val="none" w:sz="0" w:space="0" w:color="auto"/>
        <w:left w:val="none" w:sz="0" w:space="0" w:color="auto"/>
        <w:bottom w:val="none" w:sz="0" w:space="0" w:color="auto"/>
        <w:right w:val="none" w:sz="0" w:space="0" w:color="auto"/>
      </w:divBdr>
    </w:div>
    <w:div w:id="1518733402">
      <w:bodyDiv w:val="1"/>
      <w:marLeft w:val="0"/>
      <w:marRight w:val="0"/>
      <w:marTop w:val="0"/>
      <w:marBottom w:val="0"/>
      <w:divBdr>
        <w:top w:val="none" w:sz="0" w:space="0" w:color="auto"/>
        <w:left w:val="none" w:sz="0" w:space="0" w:color="auto"/>
        <w:bottom w:val="none" w:sz="0" w:space="0" w:color="auto"/>
        <w:right w:val="none" w:sz="0" w:space="0" w:color="auto"/>
      </w:divBdr>
    </w:div>
    <w:div w:id="1573655863">
      <w:bodyDiv w:val="1"/>
      <w:marLeft w:val="0"/>
      <w:marRight w:val="0"/>
      <w:marTop w:val="0"/>
      <w:marBottom w:val="0"/>
      <w:divBdr>
        <w:top w:val="none" w:sz="0" w:space="0" w:color="auto"/>
        <w:left w:val="none" w:sz="0" w:space="0" w:color="auto"/>
        <w:bottom w:val="none" w:sz="0" w:space="0" w:color="auto"/>
        <w:right w:val="none" w:sz="0" w:space="0" w:color="auto"/>
      </w:divBdr>
    </w:div>
    <w:div w:id="1600023036">
      <w:bodyDiv w:val="1"/>
      <w:marLeft w:val="0"/>
      <w:marRight w:val="0"/>
      <w:marTop w:val="0"/>
      <w:marBottom w:val="0"/>
      <w:divBdr>
        <w:top w:val="none" w:sz="0" w:space="0" w:color="auto"/>
        <w:left w:val="none" w:sz="0" w:space="0" w:color="auto"/>
        <w:bottom w:val="none" w:sz="0" w:space="0" w:color="auto"/>
        <w:right w:val="none" w:sz="0" w:space="0" w:color="auto"/>
      </w:divBdr>
    </w:div>
    <w:div w:id="1610047371">
      <w:bodyDiv w:val="1"/>
      <w:marLeft w:val="0"/>
      <w:marRight w:val="0"/>
      <w:marTop w:val="0"/>
      <w:marBottom w:val="0"/>
      <w:divBdr>
        <w:top w:val="none" w:sz="0" w:space="0" w:color="auto"/>
        <w:left w:val="none" w:sz="0" w:space="0" w:color="auto"/>
        <w:bottom w:val="none" w:sz="0" w:space="0" w:color="auto"/>
        <w:right w:val="none" w:sz="0" w:space="0" w:color="auto"/>
      </w:divBdr>
    </w:div>
    <w:div w:id="1618944428">
      <w:bodyDiv w:val="1"/>
      <w:marLeft w:val="0"/>
      <w:marRight w:val="0"/>
      <w:marTop w:val="0"/>
      <w:marBottom w:val="0"/>
      <w:divBdr>
        <w:top w:val="none" w:sz="0" w:space="0" w:color="auto"/>
        <w:left w:val="none" w:sz="0" w:space="0" w:color="auto"/>
        <w:bottom w:val="none" w:sz="0" w:space="0" w:color="auto"/>
        <w:right w:val="none" w:sz="0" w:space="0" w:color="auto"/>
      </w:divBdr>
    </w:div>
    <w:div w:id="1625649560">
      <w:bodyDiv w:val="1"/>
      <w:marLeft w:val="0"/>
      <w:marRight w:val="0"/>
      <w:marTop w:val="0"/>
      <w:marBottom w:val="0"/>
      <w:divBdr>
        <w:top w:val="none" w:sz="0" w:space="0" w:color="auto"/>
        <w:left w:val="none" w:sz="0" w:space="0" w:color="auto"/>
        <w:bottom w:val="none" w:sz="0" w:space="0" w:color="auto"/>
        <w:right w:val="none" w:sz="0" w:space="0" w:color="auto"/>
      </w:divBdr>
    </w:div>
    <w:div w:id="1627925208">
      <w:bodyDiv w:val="1"/>
      <w:marLeft w:val="0"/>
      <w:marRight w:val="0"/>
      <w:marTop w:val="0"/>
      <w:marBottom w:val="0"/>
      <w:divBdr>
        <w:top w:val="none" w:sz="0" w:space="0" w:color="auto"/>
        <w:left w:val="none" w:sz="0" w:space="0" w:color="auto"/>
        <w:bottom w:val="none" w:sz="0" w:space="0" w:color="auto"/>
        <w:right w:val="none" w:sz="0" w:space="0" w:color="auto"/>
      </w:divBdr>
    </w:div>
    <w:div w:id="1644500642">
      <w:bodyDiv w:val="1"/>
      <w:marLeft w:val="0"/>
      <w:marRight w:val="0"/>
      <w:marTop w:val="0"/>
      <w:marBottom w:val="0"/>
      <w:divBdr>
        <w:top w:val="none" w:sz="0" w:space="0" w:color="auto"/>
        <w:left w:val="none" w:sz="0" w:space="0" w:color="auto"/>
        <w:bottom w:val="none" w:sz="0" w:space="0" w:color="auto"/>
        <w:right w:val="none" w:sz="0" w:space="0" w:color="auto"/>
      </w:divBdr>
    </w:div>
    <w:div w:id="1662272659">
      <w:bodyDiv w:val="1"/>
      <w:marLeft w:val="0"/>
      <w:marRight w:val="0"/>
      <w:marTop w:val="0"/>
      <w:marBottom w:val="0"/>
      <w:divBdr>
        <w:top w:val="none" w:sz="0" w:space="0" w:color="auto"/>
        <w:left w:val="none" w:sz="0" w:space="0" w:color="auto"/>
        <w:bottom w:val="none" w:sz="0" w:space="0" w:color="auto"/>
        <w:right w:val="none" w:sz="0" w:space="0" w:color="auto"/>
      </w:divBdr>
    </w:div>
    <w:div w:id="1708722906">
      <w:bodyDiv w:val="1"/>
      <w:marLeft w:val="0"/>
      <w:marRight w:val="0"/>
      <w:marTop w:val="0"/>
      <w:marBottom w:val="0"/>
      <w:divBdr>
        <w:top w:val="none" w:sz="0" w:space="0" w:color="auto"/>
        <w:left w:val="none" w:sz="0" w:space="0" w:color="auto"/>
        <w:bottom w:val="none" w:sz="0" w:space="0" w:color="auto"/>
        <w:right w:val="none" w:sz="0" w:space="0" w:color="auto"/>
      </w:divBdr>
    </w:div>
    <w:div w:id="1710182434">
      <w:bodyDiv w:val="1"/>
      <w:marLeft w:val="0"/>
      <w:marRight w:val="0"/>
      <w:marTop w:val="0"/>
      <w:marBottom w:val="0"/>
      <w:divBdr>
        <w:top w:val="none" w:sz="0" w:space="0" w:color="auto"/>
        <w:left w:val="none" w:sz="0" w:space="0" w:color="auto"/>
        <w:bottom w:val="none" w:sz="0" w:space="0" w:color="auto"/>
        <w:right w:val="none" w:sz="0" w:space="0" w:color="auto"/>
      </w:divBdr>
    </w:div>
    <w:div w:id="1710376282">
      <w:bodyDiv w:val="1"/>
      <w:marLeft w:val="0"/>
      <w:marRight w:val="0"/>
      <w:marTop w:val="0"/>
      <w:marBottom w:val="0"/>
      <w:divBdr>
        <w:top w:val="none" w:sz="0" w:space="0" w:color="auto"/>
        <w:left w:val="none" w:sz="0" w:space="0" w:color="auto"/>
        <w:bottom w:val="none" w:sz="0" w:space="0" w:color="auto"/>
        <w:right w:val="none" w:sz="0" w:space="0" w:color="auto"/>
      </w:divBdr>
    </w:div>
    <w:div w:id="1715234008">
      <w:bodyDiv w:val="1"/>
      <w:marLeft w:val="0"/>
      <w:marRight w:val="0"/>
      <w:marTop w:val="0"/>
      <w:marBottom w:val="0"/>
      <w:divBdr>
        <w:top w:val="none" w:sz="0" w:space="0" w:color="auto"/>
        <w:left w:val="none" w:sz="0" w:space="0" w:color="auto"/>
        <w:bottom w:val="none" w:sz="0" w:space="0" w:color="auto"/>
        <w:right w:val="none" w:sz="0" w:space="0" w:color="auto"/>
      </w:divBdr>
    </w:div>
    <w:div w:id="1767538301">
      <w:bodyDiv w:val="1"/>
      <w:marLeft w:val="0"/>
      <w:marRight w:val="0"/>
      <w:marTop w:val="0"/>
      <w:marBottom w:val="0"/>
      <w:divBdr>
        <w:top w:val="none" w:sz="0" w:space="0" w:color="auto"/>
        <w:left w:val="none" w:sz="0" w:space="0" w:color="auto"/>
        <w:bottom w:val="none" w:sz="0" w:space="0" w:color="auto"/>
        <w:right w:val="none" w:sz="0" w:space="0" w:color="auto"/>
      </w:divBdr>
    </w:div>
    <w:div w:id="1791048125">
      <w:bodyDiv w:val="1"/>
      <w:marLeft w:val="0"/>
      <w:marRight w:val="0"/>
      <w:marTop w:val="0"/>
      <w:marBottom w:val="0"/>
      <w:divBdr>
        <w:top w:val="none" w:sz="0" w:space="0" w:color="auto"/>
        <w:left w:val="none" w:sz="0" w:space="0" w:color="auto"/>
        <w:bottom w:val="none" w:sz="0" w:space="0" w:color="auto"/>
        <w:right w:val="none" w:sz="0" w:space="0" w:color="auto"/>
      </w:divBdr>
    </w:div>
    <w:div w:id="1799253494">
      <w:bodyDiv w:val="1"/>
      <w:marLeft w:val="0"/>
      <w:marRight w:val="0"/>
      <w:marTop w:val="0"/>
      <w:marBottom w:val="0"/>
      <w:divBdr>
        <w:top w:val="none" w:sz="0" w:space="0" w:color="auto"/>
        <w:left w:val="none" w:sz="0" w:space="0" w:color="auto"/>
        <w:bottom w:val="none" w:sz="0" w:space="0" w:color="auto"/>
        <w:right w:val="none" w:sz="0" w:space="0" w:color="auto"/>
      </w:divBdr>
    </w:div>
    <w:div w:id="1808081374">
      <w:bodyDiv w:val="1"/>
      <w:marLeft w:val="0"/>
      <w:marRight w:val="0"/>
      <w:marTop w:val="0"/>
      <w:marBottom w:val="0"/>
      <w:divBdr>
        <w:top w:val="none" w:sz="0" w:space="0" w:color="auto"/>
        <w:left w:val="none" w:sz="0" w:space="0" w:color="auto"/>
        <w:bottom w:val="none" w:sz="0" w:space="0" w:color="auto"/>
        <w:right w:val="none" w:sz="0" w:space="0" w:color="auto"/>
      </w:divBdr>
    </w:div>
    <w:div w:id="1819804627">
      <w:bodyDiv w:val="1"/>
      <w:marLeft w:val="0"/>
      <w:marRight w:val="0"/>
      <w:marTop w:val="0"/>
      <w:marBottom w:val="0"/>
      <w:divBdr>
        <w:top w:val="none" w:sz="0" w:space="0" w:color="auto"/>
        <w:left w:val="none" w:sz="0" w:space="0" w:color="auto"/>
        <w:bottom w:val="none" w:sz="0" w:space="0" w:color="auto"/>
        <w:right w:val="none" w:sz="0" w:space="0" w:color="auto"/>
      </w:divBdr>
    </w:div>
    <w:div w:id="1840846358">
      <w:bodyDiv w:val="1"/>
      <w:marLeft w:val="0"/>
      <w:marRight w:val="0"/>
      <w:marTop w:val="0"/>
      <w:marBottom w:val="0"/>
      <w:divBdr>
        <w:top w:val="none" w:sz="0" w:space="0" w:color="auto"/>
        <w:left w:val="none" w:sz="0" w:space="0" w:color="auto"/>
        <w:bottom w:val="none" w:sz="0" w:space="0" w:color="auto"/>
        <w:right w:val="none" w:sz="0" w:space="0" w:color="auto"/>
      </w:divBdr>
    </w:div>
    <w:div w:id="1847017717">
      <w:bodyDiv w:val="1"/>
      <w:marLeft w:val="0"/>
      <w:marRight w:val="0"/>
      <w:marTop w:val="0"/>
      <w:marBottom w:val="0"/>
      <w:divBdr>
        <w:top w:val="none" w:sz="0" w:space="0" w:color="auto"/>
        <w:left w:val="none" w:sz="0" w:space="0" w:color="auto"/>
        <w:bottom w:val="none" w:sz="0" w:space="0" w:color="auto"/>
        <w:right w:val="none" w:sz="0" w:space="0" w:color="auto"/>
      </w:divBdr>
    </w:div>
    <w:div w:id="1850675931">
      <w:bodyDiv w:val="1"/>
      <w:marLeft w:val="0"/>
      <w:marRight w:val="0"/>
      <w:marTop w:val="0"/>
      <w:marBottom w:val="0"/>
      <w:divBdr>
        <w:top w:val="none" w:sz="0" w:space="0" w:color="auto"/>
        <w:left w:val="none" w:sz="0" w:space="0" w:color="auto"/>
        <w:bottom w:val="none" w:sz="0" w:space="0" w:color="auto"/>
        <w:right w:val="none" w:sz="0" w:space="0" w:color="auto"/>
      </w:divBdr>
    </w:div>
    <w:div w:id="1860586905">
      <w:bodyDiv w:val="1"/>
      <w:marLeft w:val="0"/>
      <w:marRight w:val="0"/>
      <w:marTop w:val="0"/>
      <w:marBottom w:val="0"/>
      <w:divBdr>
        <w:top w:val="none" w:sz="0" w:space="0" w:color="auto"/>
        <w:left w:val="none" w:sz="0" w:space="0" w:color="auto"/>
        <w:bottom w:val="none" w:sz="0" w:space="0" w:color="auto"/>
        <w:right w:val="none" w:sz="0" w:space="0" w:color="auto"/>
      </w:divBdr>
    </w:div>
    <w:div w:id="1891769854">
      <w:bodyDiv w:val="1"/>
      <w:marLeft w:val="0"/>
      <w:marRight w:val="0"/>
      <w:marTop w:val="0"/>
      <w:marBottom w:val="0"/>
      <w:divBdr>
        <w:top w:val="none" w:sz="0" w:space="0" w:color="auto"/>
        <w:left w:val="none" w:sz="0" w:space="0" w:color="auto"/>
        <w:bottom w:val="none" w:sz="0" w:space="0" w:color="auto"/>
        <w:right w:val="none" w:sz="0" w:space="0" w:color="auto"/>
      </w:divBdr>
    </w:div>
    <w:div w:id="1920678846">
      <w:bodyDiv w:val="1"/>
      <w:marLeft w:val="0"/>
      <w:marRight w:val="0"/>
      <w:marTop w:val="0"/>
      <w:marBottom w:val="0"/>
      <w:divBdr>
        <w:top w:val="none" w:sz="0" w:space="0" w:color="auto"/>
        <w:left w:val="none" w:sz="0" w:space="0" w:color="auto"/>
        <w:bottom w:val="none" w:sz="0" w:space="0" w:color="auto"/>
        <w:right w:val="none" w:sz="0" w:space="0" w:color="auto"/>
      </w:divBdr>
    </w:div>
    <w:div w:id="1935281220">
      <w:bodyDiv w:val="1"/>
      <w:marLeft w:val="0"/>
      <w:marRight w:val="0"/>
      <w:marTop w:val="0"/>
      <w:marBottom w:val="0"/>
      <w:divBdr>
        <w:top w:val="none" w:sz="0" w:space="0" w:color="auto"/>
        <w:left w:val="none" w:sz="0" w:space="0" w:color="auto"/>
        <w:bottom w:val="none" w:sz="0" w:space="0" w:color="auto"/>
        <w:right w:val="none" w:sz="0" w:space="0" w:color="auto"/>
      </w:divBdr>
    </w:div>
    <w:div w:id="1937784921">
      <w:bodyDiv w:val="1"/>
      <w:marLeft w:val="0"/>
      <w:marRight w:val="0"/>
      <w:marTop w:val="0"/>
      <w:marBottom w:val="0"/>
      <w:divBdr>
        <w:top w:val="none" w:sz="0" w:space="0" w:color="auto"/>
        <w:left w:val="none" w:sz="0" w:space="0" w:color="auto"/>
        <w:bottom w:val="none" w:sz="0" w:space="0" w:color="auto"/>
        <w:right w:val="none" w:sz="0" w:space="0" w:color="auto"/>
      </w:divBdr>
    </w:div>
    <w:div w:id="1939671998">
      <w:bodyDiv w:val="1"/>
      <w:marLeft w:val="0"/>
      <w:marRight w:val="0"/>
      <w:marTop w:val="0"/>
      <w:marBottom w:val="0"/>
      <w:divBdr>
        <w:top w:val="none" w:sz="0" w:space="0" w:color="auto"/>
        <w:left w:val="none" w:sz="0" w:space="0" w:color="auto"/>
        <w:bottom w:val="none" w:sz="0" w:space="0" w:color="auto"/>
        <w:right w:val="none" w:sz="0" w:space="0" w:color="auto"/>
      </w:divBdr>
    </w:div>
    <w:div w:id="1942368902">
      <w:bodyDiv w:val="1"/>
      <w:marLeft w:val="0"/>
      <w:marRight w:val="0"/>
      <w:marTop w:val="0"/>
      <w:marBottom w:val="0"/>
      <w:divBdr>
        <w:top w:val="none" w:sz="0" w:space="0" w:color="auto"/>
        <w:left w:val="none" w:sz="0" w:space="0" w:color="auto"/>
        <w:bottom w:val="none" w:sz="0" w:space="0" w:color="auto"/>
        <w:right w:val="none" w:sz="0" w:space="0" w:color="auto"/>
      </w:divBdr>
      <w:divsChild>
        <w:div w:id="2103185400">
          <w:marLeft w:val="0"/>
          <w:marRight w:val="0"/>
          <w:marTop w:val="0"/>
          <w:marBottom w:val="0"/>
          <w:divBdr>
            <w:top w:val="none" w:sz="0" w:space="0" w:color="auto"/>
            <w:left w:val="none" w:sz="0" w:space="0" w:color="auto"/>
            <w:bottom w:val="none" w:sz="0" w:space="0" w:color="auto"/>
            <w:right w:val="none" w:sz="0" w:space="0" w:color="auto"/>
          </w:divBdr>
        </w:div>
        <w:div w:id="966007987">
          <w:marLeft w:val="0"/>
          <w:marRight w:val="0"/>
          <w:marTop w:val="0"/>
          <w:marBottom w:val="0"/>
          <w:divBdr>
            <w:top w:val="none" w:sz="0" w:space="0" w:color="auto"/>
            <w:left w:val="none" w:sz="0" w:space="0" w:color="auto"/>
            <w:bottom w:val="none" w:sz="0" w:space="0" w:color="auto"/>
            <w:right w:val="none" w:sz="0" w:space="0" w:color="auto"/>
          </w:divBdr>
        </w:div>
        <w:div w:id="297958602">
          <w:marLeft w:val="0"/>
          <w:marRight w:val="0"/>
          <w:marTop w:val="0"/>
          <w:marBottom w:val="0"/>
          <w:divBdr>
            <w:top w:val="none" w:sz="0" w:space="0" w:color="auto"/>
            <w:left w:val="none" w:sz="0" w:space="0" w:color="auto"/>
            <w:bottom w:val="none" w:sz="0" w:space="0" w:color="auto"/>
            <w:right w:val="none" w:sz="0" w:space="0" w:color="auto"/>
          </w:divBdr>
        </w:div>
      </w:divsChild>
    </w:div>
    <w:div w:id="1950745925">
      <w:bodyDiv w:val="1"/>
      <w:marLeft w:val="0"/>
      <w:marRight w:val="0"/>
      <w:marTop w:val="0"/>
      <w:marBottom w:val="0"/>
      <w:divBdr>
        <w:top w:val="none" w:sz="0" w:space="0" w:color="auto"/>
        <w:left w:val="none" w:sz="0" w:space="0" w:color="auto"/>
        <w:bottom w:val="none" w:sz="0" w:space="0" w:color="auto"/>
        <w:right w:val="none" w:sz="0" w:space="0" w:color="auto"/>
      </w:divBdr>
    </w:div>
    <w:div w:id="1975132424">
      <w:bodyDiv w:val="1"/>
      <w:marLeft w:val="0"/>
      <w:marRight w:val="0"/>
      <w:marTop w:val="0"/>
      <w:marBottom w:val="0"/>
      <w:divBdr>
        <w:top w:val="none" w:sz="0" w:space="0" w:color="auto"/>
        <w:left w:val="none" w:sz="0" w:space="0" w:color="auto"/>
        <w:bottom w:val="none" w:sz="0" w:space="0" w:color="auto"/>
        <w:right w:val="none" w:sz="0" w:space="0" w:color="auto"/>
      </w:divBdr>
    </w:div>
    <w:div w:id="2003964407">
      <w:bodyDiv w:val="1"/>
      <w:marLeft w:val="0"/>
      <w:marRight w:val="0"/>
      <w:marTop w:val="0"/>
      <w:marBottom w:val="0"/>
      <w:divBdr>
        <w:top w:val="none" w:sz="0" w:space="0" w:color="auto"/>
        <w:left w:val="none" w:sz="0" w:space="0" w:color="auto"/>
        <w:bottom w:val="none" w:sz="0" w:space="0" w:color="auto"/>
        <w:right w:val="none" w:sz="0" w:space="0" w:color="auto"/>
      </w:divBdr>
    </w:div>
    <w:div w:id="2040546419">
      <w:bodyDiv w:val="1"/>
      <w:marLeft w:val="0"/>
      <w:marRight w:val="0"/>
      <w:marTop w:val="0"/>
      <w:marBottom w:val="0"/>
      <w:divBdr>
        <w:top w:val="none" w:sz="0" w:space="0" w:color="auto"/>
        <w:left w:val="none" w:sz="0" w:space="0" w:color="auto"/>
        <w:bottom w:val="none" w:sz="0" w:space="0" w:color="auto"/>
        <w:right w:val="none" w:sz="0" w:space="0" w:color="auto"/>
      </w:divBdr>
    </w:div>
    <w:div w:id="2041512705">
      <w:bodyDiv w:val="1"/>
      <w:marLeft w:val="0"/>
      <w:marRight w:val="0"/>
      <w:marTop w:val="0"/>
      <w:marBottom w:val="0"/>
      <w:divBdr>
        <w:top w:val="none" w:sz="0" w:space="0" w:color="auto"/>
        <w:left w:val="none" w:sz="0" w:space="0" w:color="auto"/>
        <w:bottom w:val="none" w:sz="0" w:space="0" w:color="auto"/>
        <w:right w:val="none" w:sz="0" w:space="0" w:color="auto"/>
      </w:divBdr>
    </w:div>
    <w:div w:id="2101020664">
      <w:bodyDiv w:val="1"/>
      <w:marLeft w:val="0"/>
      <w:marRight w:val="0"/>
      <w:marTop w:val="0"/>
      <w:marBottom w:val="0"/>
      <w:divBdr>
        <w:top w:val="none" w:sz="0" w:space="0" w:color="auto"/>
        <w:left w:val="none" w:sz="0" w:space="0" w:color="auto"/>
        <w:bottom w:val="none" w:sz="0" w:space="0" w:color="auto"/>
        <w:right w:val="none" w:sz="0" w:space="0" w:color="auto"/>
      </w:divBdr>
    </w:div>
    <w:div w:id="2139105000">
      <w:bodyDiv w:val="1"/>
      <w:marLeft w:val="0"/>
      <w:marRight w:val="0"/>
      <w:marTop w:val="0"/>
      <w:marBottom w:val="0"/>
      <w:divBdr>
        <w:top w:val="none" w:sz="0" w:space="0" w:color="auto"/>
        <w:left w:val="none" w:sz="0" w:space="0" w:color="auto"/>
        <w:bottom w:val="none" w:sz="0" w:space="0" w:color="auto"/>
        <w:right w:val="none" w:sz="0" w:space="0" w:color="auto"/>
      </w:divBdr>
    </w:div>
    <w:div w:id="2141023646">
      <w:bodyDiv w:val="1"/>
      <w:marLeft w:val="0"/>
      <w:marRight w:val="0"/>
      <w:marTop w:val="0"/>
      <w:marBottom w:val="0"/>
      <w:divBdr>
        <w:top w:val="none" w:sz="0" w:space="0" w:color="auto"/>
        <w:left w:val="none" w:sz="0" w:space="0" w:color="auto"/>
        <w:bottom w:val="none" w:sz="0" w:space="0" w:color="auto"/>
        <w:right w:val="none" w:sz="0" w:space="0" w:color="auto"/>
      </w:divBdr>
      <w:divsChild>
        <w:div w:id="171184025">
          <w:marLeft w:val="0"/>
          <w:marRight w:val="0"/>
          <w:marTop w:val="0"/>
          <w:marBottom w:val="0"/>
          <w:divBdr>
            <w:top w:val="none" w:sz="0" w:space="0" w:color="auto"/>
            <w:left w:val="none" w:sz="0" w:space="0" w:color="auto"/>
            <w:bottom w:val="none" w:sz="0" w:space="0" w:color="auto"/>
            <w:right w:val="none" w:sz="0" w:space="0" w:color="auto"/>
          </w:divBdr>
          <w:divsChild>
            <w:div w:id="1022973945">
              <w:marLeft w:val="0"/>
              <w:marRight w:val="0"/>
              <w:marTop w:val="0"/>
              <w:marBottom w:val="0"/>
              <w:divBdr>
                <w:top w:val="none" w:sz="0" w:space="0" w:color="auto"/>
                <w:left w:val="none" w:sz="0" w:space="0" w:color="auto"/>
                <w:bottom w:val="none" w:sz="0" w:space="0" w:color="auto"/>
                <w:right w:val="none" w:sz="0" w:space="0" w:color="auto"/>
              </w:divBdr>
            </w:div>
          </w:divsChild>
        </w:div>
        <w:div w:id="514155999">
          <w:marLeft w:val="0"/>
          <w:marRight w:val="0"/>
          <w:marTop w:val="0"/>
          <w:marBottom w:val="0"/>
          <w:divBdr>
            <w:top w:val="none" w:sz="0" w:space="0" w:color="auto"/>
            <w:left w:val="none" w:sz="0" w:space="0" w:color="auto"/>
            <w:bottom w:val="none" w:sz="0" w:space="0" w:color="auto"/>
            <w:right w:val="none" w:sz="0" w:space="0" w:color="auto"/>
          </w:divBdr>
          <w:divsChild>
            <w:div w:id="996107455">
              <w:marLeft w:val="0"/>
              <w:marRight w:val="0"/>
              <w:marTop w:val="0"/>
              <w:marBottom w:val="0"/>
              <w:divBdr>
                <w:top w:val="none" w:sz="0" w:space="0" w:color="auto"/>
                <w:left w:val="none" w:sz="0" w:space="0" w:color="auto"/>
                <w:bottom w:val="none" w:sz="0" w:space="0" w:color="auto"/>
                <w:right w:val="none" w:sz="0" w:space="0" w:color="auto"/>
              </w:divBdr>
            </w:div>
          </w:divsChild>
        </w:div>
        <w:div w:id="619535945">
          <w:marLeft w:val="0"/>
          <w:marRight w:val="0"/>
          <w:marTop w:val="0"/>
          <w:marBottom w:val="0"/>
          <w:divBdr>
            <w:top w:val="none" w:sz="0" w:space="0" w:color="auto"/>
            <w:left w:val="none" w:sz="0" w:space="0" w:color="auto"/>
            <w:bottom w:val="none" w:sz="0" w:space="0" w:color="auto"/>
            <w:right w:val="none" w:sz="0" w:space="0" w:color="auto"/>
          </w:divBdr>
        </w:div>
        <w:div w:id="885986779">
          <w:marLeft w:val="0"/>
          <w:marRight w:val="0"/>
          <w:marTop w:val="0"/>
          <w:marBottom w:val="0"/>
          <w:divBdr>
            <w:top w:val="none" w:sz="0" w:space="0" w:color="auto"/>
            <w:left w:val="none" w:sz="0" w:space="0" w:color="auto"/>
            <w:bottom w:val="none" w:sz="0" w:space="0" w:color="auto"/>
            <w:right w:val="none" w:sz="0" w:space="0" w:color="auto"/>
          </w:divBdr>
        </w:div>
        <w:div w:id="889456311">
          <w:marLeft w:val="0"/>
          <w:marRight w:val="0"/>
          <w:marTop w:val="0"/>
          <w:marBottom w:val="0"/>
          <w:divBdr>
            <w:top w:val="none" w:sz="0" w:space="0" w:color="auto"/>
            <w:left w:val="none" w:sz="0" w:space="0" w:color="auto"/>
            <w:bottom w:val="none" w:sz="0" w:space="0" w:color="auto"/>
            <w:right w:val="none" w:sz="0" w:space="0" w:color="auto"/>
          </w:divBdr>
        </w:div>
        <w:div w:id="1099720649">
          <w:marLeft w:val="0"/>
          <w:marRight w:val="0"/>
          <w:marTop w:val="0"/>
          <w:marBottom w:val="0"/>
          <w:divBdr>
            <w:top w:val="none" w:sz="0" w:space="0" w:color="auto"/>
            <w:left w:val="none" w:sz="0" w:space="0" w:color="auto"/>
            <w:bottom w:val="none" w:sz="0" w:space="0" w:color="auto"/>
            <w:right w:val="none" w:sz="0" w:space="0" w:color="auto"/>
          </w:divBdr>
          <w:divsChild>
            <w:div w:id="93185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0429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MASTERS IN SPORTS AND HEALTH SCIENCES</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90AD9A3-298B-DA44-B657-0BE6458AE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23</Pages>
  <Words>5205</Words>
  <Characters>29671</Characters>
  <Application>Microsoft Macintosh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MASTERS DISSERTATION</vt:lpstr>
    </vt:vector>
  </TitlesOfParts>
  <Company>UNIVERSITY OF EXETER</Company>
  <LinksUpToDate>false</LinksUpToDate>
  <CharactersWithSpaces>34807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MASTERS DISSERTATION</dc:title>
  <dc:creator>Vahia, Durva</dc:creator>
  <cp:lastModifiedBy>Vahia, Durva</cp:lastModifiedBy>
  <cp:revision>7</cp:revision>
  <cp:lastPrinted>2018-01-29T12:35:00Z</cp:lastPrinted>
  <dcterms:created xsi:type="dcterms:W3CDTF">2018-07-02T16:09:00Z</dcterms:created>
  <dcterms:modified xsi:type="dcterms:W3CDTF">2018-07-02T17:44:00Z</dcterms:modified>
  <cp:category>Masters in Sports and Health Science</cp:category>
</cp:coreProperties>
</file>