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9EB" w:rsidRDefault="00BC09EB" w:rsidP="00BC0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Emphasis"/>
          <w:rFonts w:ascii="Source Sans Pro" w:hAnsi="Source Sans Pro"/>
          <w:color w:val="2A2A2A"/>
          <w:lang w:val="en"/>
        </w:rPr>
      </w:pPr>
      <w:r>
        <w:rPr>
          <w:rStyle w:val="Emphasis"/>
          <w:rFonts w:ascii="Source Sans Pro" w:hAnsi="Source Sans Pro"/>
          <w:color w:val="2A2A2A"/>
          <w:lang w:val="en"/>
        </w:rPr>
        <w:t xml:space="preserve">This is a pre-copyedited, author-produced version of an article accepted for publication in Occupational Medicine following peer review. The version of record for Walker, E.G., Jackson, C. A., Egan, H.H., &amp; Tonkin, M. (2015). </w:t>
      </w:r>
      <w:r w:rsidRPr="00BC09EB">
        <w:rPr>
          <w:rStyle w:val="Emphasis"/>
          <w:rFonts w:ascii="Source Sans Pro" w:hAnsi="Source Sans Pro"/>
          <w:color w:val="2A2A2A"/>
          <w:lang w:val="en"/>
        </w:rPr>
        <w:t>Workability and mental well-being among prison officers working in a Therapeutic Community</w:t>
      </w:r>
      <w:r>
        <w:rPr>
          <w:rStyle w:val="Emphasis"/>
          <w:rFonts w:ascii="Source Sans Pro" w:hAnsi="Source Sans Pro"/>
          <w:color w:val="2A2A2A"/>
          <w:lang w:val="en"/>
        </w:rPr>
        <w:t xml:space="preserve">. Occupational Medicine, 65, 549–551, is available online at: </w:t>
      </w:r>
      <w:hyperlink r:id="rId6" w:history="1">
        <w:r w:rsidRPr="00AA356A">
          <w:rPr>
            <w:rStyle w:val="Hyperlink"/>
            <w:rFonts w:ascii="Source Sans Pro" w:hAnsi="Source Sans Pro"/>
            <w:lang w:val="en"/>
          </w:rPr>
          <w:t>https://academic.oup.com/occmed/article/65/7/549/1733694</w:t>
        </w:r>
      </w:hyperlink>
      <w:r w:rsidRPr="00BC09EB">
        <w:rPr>
          <w:rStyle w:val="Emphasis"/>
          <w:rFonts w:ascii="Source Sans Pro" w:hAnsi="Source Sans Pro"/>
          <w:color w:val="2A2A2A"/>
          <w:lang w:val="en"/>
        </w:rPr>
        <w:t xml:space="preserve"> </w:t>
      </w:r>
    </w:p>
    <w:p w:rsidR="00BC09EB" w:rsidRDefault="006A3518" w:rsidP="00BC0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Emphasis"/>
          <w:rFonts w:ascii="Source Sans Pro" w:hAnsi="Source Sans Pro"/>
          <w:color w:val="2A2A2A"/>
          <w:lang w:val="en"/>
        </w:rPr>
      </w:pPr>
      <w:hyperlink r:id="rId7" w:history="1">
        <w:r w:rsidR="00BC09EB" w:rsidRPr="00AA356A">
          <w:rPr>
            <w:rStyle w:val="Hyperlink"/>
            <w:rFonts w:ascii="Source Sans Pro" w:hAnsi="Source Sans Pro"/>
            <w:lang w:val="en"/>
          </w:rPr>
          <w:t>https://doi.org/10.1093/occmed/kqv084</w:t>
        </w:r>
      </w:hyperlink>
      <w:r w:rsidR="00BC09EB">
        <w:rPr>
          <w:rStyle w:val="Emphasis"/>
          <w:rFonts w:ascii="Source Sans Pro" w:hAnsi="Source Sans Pro"/>
          <w:color w:val="2A2A2A"/>
          <w:lang w:val="en"/>
        </w:rPr>
        <w:t xml:space="preserve"> </w:t>
      </w:r>
    </w:p>
    <w:p w:rsidR="00BC09EB" w:rsidRDefault="00BC09EB" w:rsidP="00BC0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Emphasis"/>
          <w:rFonts w:ascii="Source Sans Pro" w:hAnsi="Source Sans Pro"/>
          <w:color w:val="2A2A2A"/>
          <w:lang w:val="en"/>
        </w:rPr>
      </w:pPr>
    </w:p>
    <w:p w:rsidR="00BC09EB" w:rsidRPr="006A3518" w:rsidRDefault="00BC09EB" w:rsidP="00197507">
      <w:pPr>
        <w:rPr>
          <w:rFonts w:ascii="Times New Roman" w:hAnsi="Times New Roman"/>
          <w:b/>
          <w:sz w:val="28"/>
          <w:szCs w:val="28"/>
          <w:lang w:val="en"/>
        </w:rPr>
      </w:pPr>
    </w:p>
    <w:p w:rsidR="00197507" w:rsidRPr="007165DD" w:rsidRDefault="00903DEB" w:rsidP="0019750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Work</w:t>
      </w:r>
      <w:r w:rsidR="00197507" w:rsidRPr="007165DD">
        <w:rPr>
          <w:rFonts w:ascii="Times New Roman" w:hAnsi="Times New Roman"/>
          <w:b/>
          <w:sz w:val="28"/>
          <w:szCs w:val="28"/>
        </w:rPr>
        <w:t>ability and mental well-being among prison officers working in a Therapeutic Community.</w:t>
      </w:r>
    </w:p>
    <w:p w:rsidR="00197507" w:rsidRDefault="00197507" w:rsidP="0019750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E.J. Walker, C.A. Jackson, H.H. Egan, M. Tonkin</w:t>
      </w:r>
    </w:p>
    <w:p w:rsidR="00197507" w:rsidRPr="0031485B" w:rsidRDefault="00197507" w:rsidP="00197507">
      <w:pPr>
        <w:rPr>
          <w:rFonts w:ascii="Times New Roman" w:hAnsi="Times New Roman"/>
          <w:b/>
          <w:sz w:val="20"/>
          <w:szCs w:val="20"/>
        </w:rPr>
      </w:pPr>
      <w:r w:rsidRPr="0031485B">
        <w:rPr>
          <w:rFonts w:ascii="Times New Roman" w:hAnsi="Times New Roman"/>
          <w:b/>
          <w:sz w:val="20"/>
          <w:szCs w:val="20"/>
        </w:rPr>
        <w:t>Correspondence to: E.J. Walker, Division of Psychology, School of Social Sciences, Birmingham City University, Birmingham B42 2SU, UK</w:t>
      </w:r>
    </w:p>
    <w:p w:rsidR="00197507" w:rsidRDefault="00197507" w:rsidP="00197507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34"/>
        <w:gridCol w:w="7092"/>
      </w:tblGrid>
      <w:tr w:rsidR="00197507" w:rsidRPr="009D09A3" w:rsidTr="008527C3">
        <w:tc>
          <w:tcPr>
            <w:tcW w:w="1951" w:type="dxa"/>
            <w:shd w:val="clear" w:color="auto" w:fill="auto"/>
          </w:tcPr>
          <w:p w:rsidR="00197507" w:rsidRPr="009D09A3" w:rsidRDefault="00197507" w:rsidP="008527C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D09A3">
              <w:rPr>
                <w:rFonts w:ascii="Times New Roman" w:hAnsi="Times New Roman"/>
                <w:b/>
                <w:sz w:val="24"/>
                <w:szCs w:val="24"/>
              </w:rPr>
              <w:t>Background</w:t>
            </w:r>
          </w:p>
        </w:tc>
        <w:tc>
          <w:tcPr>
            <w:tcW w:w="7291" w:type="dxa"/>
            <w:shd w:val="clear" w:color="auto" w:fill="auto"/>
          </w:tcPr>
          <w:p w:rsidR="00197507" w:rsidRPr="006B1C8F" w:rsidRDefault="00903DEB" w:rsidP="00903D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Poor work</w:t>
            </w:r>
            <w:r w:rsidR="00197507">
              <w:rPr>
                <w:rFonts w:ascii="Times New Roman" w:hAnsi="Times New Roman"/>
                <w:sz w:val="24"/>
                <w:szCs w:val="24"/>
              </w:rPr>
              <w:t xml:space="preserve">ability (WA) </w:t>
            </w:r>
            <w:r>
              <w:rPr>
                <w:rFonts w:ascii="Times New Roman" w:hAnsi="Times New Roman"/>
                <w:sz w:val="24"/>
                <w:szCs w:val="24"/>
              </w:rPr>
              <w:t>is</w:t>
            </w:r>
            <w:r w:rsidR="00197507">
              <w:rPr>
                <w:rFonts w:ascii="Times New Roman" w:hAnsi="Times New Roman"/>
                <w:sz w:val="24"/>
                <w:szCs w:val="24"/>
              </w:rPr>
              <w:t xml:space="preserve"> associated with increased psychosocial hazards; </w:t>
            </w:r>
            <w:r>
              <w:rPr>
                <w:rFonts w:ascii="Times New Roman" w:hAnsi="Times New Roman"/>
                <w:sz w:val="24"/>
                <w:szCs w:val="24"/>
              </w:rPr>
              <w:t>yet</w:t>
            </w:r>
            <w:r w:rsidR="00197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it and mental well-being have</w:t>
            </w:r>
            <w:r w:rsidR="00197507">
              <w:rPr>
                <w:rFonts w:ascii="Times New Roman" w:hAnsi="Times New Roman"/>
                <w:sz w:val="24"/>
                <w:szCs w:val="24"/>
              </w:rPr>
              <w:t xml:space="preserve"> not been researched in UK prison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19750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197507" w:rsidRPr="009D09A3" w:rsidTr="008527C3">
        <w:tc>
          <w:tcPr>
            <w:tcW w:w="1951" w:type="dxa"/>
            <w:shd w:val="clear" w:color="auto" w:fill="auto"/>
          </w:tcPr>
          <w:p w:rsidR="00197507" w:rsidRPr="009D09A3" w:rsidRDefault="00197507" w:rsidP="008527C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D09A3">
              <w:rPr>
                <w:rFonts w:ascii="Times New Roman" w:hAnsi="Times New Roman"/>
                <w:b/>
                <w:sz w:val="24"/>
                <w:szCs w:val="24"/>
              </w:rPr>
              <w:t>Aims</w:t>
            </w:r>
          </w:p>
        </w:tc>
        <w:tc>
          <w:tcPr>
            <w:tcW w:w="7291" w:type="dxa"/>
            <w:shd w:val="clear" w:color="auto" w:fill="auto"/>
          </w:tcPr>
          <w:p w:rsidR="00197507" w:rsidRPr="009D09A3" w:rsidRDefault="00197507" w:rsidP="008527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09A3">
              <w:rPr>
                <w:rFonts w:ascii="Times New Roman" w:hAnsi="Times New Roman"/>
                <w:sz w:val="24"/>
                <w:szCs w:val="24"/>
              </w:rPr>
              <w:t>To explor</w:t>
            </w:r>
            <w:r w:rsidR="00903DEB">
              <w:rPr>
                <w:rFonts w:ascii="Times New Roman" w:hAnsi="Times New Roman"/>
                <w:sz w:val="24"/>
                <w:szCs w:val="24"/>
              </w:rPr>
              <w:t>e the relationship between work</w:t>
            </w:r>
            <w:r w:rsidRPr="009D09A3">
              <w:rPr>
                <w:rFonts w:ascii="Times New Roman" w:hAnsi="Times New Roman"/>
                <w:sz w:val="24"/>
                <w:szCs w:val="24"/>
              </w:rPr>
              <w:t>ability and mental well-being among prison officers.</w:t>
            </w:r>
          </w:p>
        </w:tc>
      </w:tr>
      <w:tr w:rsidR="00197507" w:rsidRPr="009D09A3" w:rsidTr="008527C3">
        <w:tc>
          <w:tcPr>
            <w:tcW w:w="1951" w:type="dxa"/>
            <w:shd w:val="clear" w:color="auto" w:fill="auto"/>
          </w:tcPr>
          <w:p w:rsidR="00197507" w:rsidRPr="009D09A3" w:rsidRDefault="00197507" w:rsidP="008527C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D09A3">
              <w:rPr>
                <w:rFonts w:ascii="Times New Roman" w:hAnsi="Times New Roman"/>
                <w:b/>
                <w:sz w:val="24"/>
                <w:szCs w:val="24"/>
              </w:rPr>
              <w:t>Methods</w:t>
            </w:r>
          </w:p>
        </w:tc>
        <w:tc>
          <w:tcPr>
            <w:tcW w:w="7291" w:type="dxa"/>
            <w:shd w:val="clear" w:color="auto" w:fill="auto"/>
          </w:tcPr>
          <w:p w:rsidR="00197507" w:rsidRPr="009D09A3" w:rsidRDefault="00197507" w:rsidP="00903D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09A3">
              <w:rPr>
                <w:rFonts w:ascii="Times New Roman" w:hAnsi="Times New Roman"/>
                <w:sz w:val="24"/>
                <w:szCs w:val="24"/>
              </w:rPr>
              <w:t>A</w:t>
            </w:r>
            <w:r w:rsidR="00903DEB">
              <w:rPr>
                <w:rFonts w:ascii="Times New Roman" w:hAnsi="Times New Roman"/>
                <w:sz w:val="24"/>
                <w:szCs w:val="24"/>
              </w:rPr>
              <w:t>n</w:t>
            </w:r>
            <w:r w:rsidRPr="009D09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3DEB">
              <w:rPr>
                <w:rFonts w:ascii="Times New Roman" w:hAnsi="Times New Roman"/>
                <w:sz w:val="24"/>
                <w:szCs w:val="24"/>
              </w:rPr>
              <w:t>anonymous</w:t>
            </w:r>
            <w:r w:rsidR="00903DEB" w:rsidRPr="009D09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09A3">
              <w:rPr>
                <w:rFonts w:ascii="Times New Roman" w:hAnsi="Times New Roman"/>
                <w:sz w:val="24"/>
                <w:szCs w:val="24"/>
              </w:rPr>
              <w:t xml:space="preserve">cross-sectional study </w:t>
            </w:r>
            <w:r w:rsidR="00903DEB">
              <w:rPr>
                <w:rFonts w:ascii="Times New Roman" w:hAnsi="Times New Roman"/>
                <w:sz w:val="24"/>
                <w:szCs w:val="24"/>
              </w:rPr>
              <w:t>of prison officers conducted in a UK prison with Work Ability Index</w:t>
            </w:r>
            <w:r w:rsidR="00903DEB" w:rsidRPr="009D09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3DEB">
              <w:rPr>
                <w:rFonts w:ascii="Times New Roman" w:hAnsi="Times New Roman"/>
                <w:sz w:val="24"/>
                <w:szCs w:val="24"/>
              </w:rPr>
              <w:t xml:space="preserve">and General Health </w:t>
            </w:r>
            <w:r w:rsidRPr="009D09A3">
              <w:rPr>
                <w:rFonts w:ascii="Times New Roman" w:hAnsi="Times New Roman"/>
                <w:sz w:val="24"/>
                <w:szCs w:val="24"/>
              </w:rPr>
              <w:t>questionnaire</w:t>
            </w:r>
            <w:r w:rsidR="00903DEB">
              <w:rPr>
                <w:rFonts w:ascii="Times New Roman" w:hAnsi="Times New Roman"/>
                <w:sz w:val="24"/>
                <w:szCs w:val="24"/>
              </w:rPr>
              <w:t>s.</w:t>
            </w:r>
          </w:p>
        </w:tc>
      </w:tr>
      <w:tr w:rsidR="00197507" w:rsidRPr="009D09A3" w:rsidTr="008527C3">
        <w:tc>
          <w:tcPr>
            <w:tcW w:w="1951" w:type="dxa"/>
            <w:shd w:val="clear" w:color="auto" w:fill="auto"/>
          </w:tcPr>
          <w:p w:rsidR="00197507" w:rsidRPr="009D09A3" w:rsidRDefault="00197507" w:rsidP="008527C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D09A3">
              <w:rPr>
                <w:rFonts w:ascii="Times New Roman" w:hAnsi="Times New Roman"/>
                <w:b/>
                <w:sz w:val="24"/>
                <w:szCs w:val="24"/>
              </w:rPr>
              <w:t>Results</w:t>
            </w:r>
          </w:p>
        </w:tc>
        <w:tc>
          <w:tcPr>
            <w:tcW w:w="7291" w:type="dxa"/>
            <w:shd w:val="clear" w:color="auto" w:fill="auto"/>
          </w:tcPr>
          <w:p w:rsidR="00197507" w:rsidRPr="00902672" w:rsidRDefault="00197507" w:rsidP="00AA35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Fifty-seven officers (59%) participated</w:t>
            </w:r>
            <w:r w:rsidR="00814295">
              <w:rPr>
                <w:rFonts w:ascii="Times New Roman" w:hAnsi="Times New Roman"/>
                <w:sz w:val="24"/>
                <w:szCs w:val="24"/>
              </w:rPr>
              <w:t xml:space="preserve"> and of those </w:t>
            </w:r>
            <w:r w:rsidR="000F3BC7">
              <w:rPr>
                <w:rFonts w:ascii="Times New Roman" w:hAnsi="Times New Roman"/>
                <w:sz w:val="24"/>
                <w:szCs w:val="24"/>
              </w:rPr>
              <w:t xml:space="preserve">95% </w:t>
            </w:r>
            <w:r w:rsidR="00814295">
              <w:rPr>
                <w:rFonts w:ascii="Times New Roman" w:hAnsi="Times New Roman"/>
                <w:sz w:val="24"/>
                <w:szCs w:val="24"/>
              </w:rPr>
              <w:t xml:space="preserve">achieved </w:t>
            </w:r>
            <w:r w:rsidR="000F3BC7">
              <w:rPr>
                <w:rFonts w:ascii="Times New Roman" w:hAnsi="Times New Roman"/>
                <w:sz w:val="24"/>
                <w:szCs w:val="24"/>
              </w:rPr>
              <w:t>GHQ caseness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903DEB">
              <w:rPr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>fficers with poorer WA reported significantly hig</w:t>
            </w:r>
            <w:r w:rsidR="00903DEB">
              <w:rPr>
                <w:rFonts w:ascii="Times New Roman" w:hAnsi="Times New Roman"/>
                <w:sz w:val="24"/>
                <w:szCs w:val="24"/>
              </w:rPr>
              <w:t>her GHQ scores</w:t>
            </w:r>
            <w:r w:rsidR="00AA35A0">
              <w:rPr>
                <w:rFonts w:ascii="Times New Roman" w:hAnsi="Times New Roman"/>
                <w:sz w:val="24"/>
                <w:szCs w:val="24"/>
              </w:rPr>
              <w:t xml:space="preserve"> and more sickness absence</w:t>
            </w:r>
            <w:r w:rsidR="00903DEB">
              <w:rPr>
                <w:rFonts w:ascii="Times New Roman" w:hAnsi="Times New Roman"/>
                <w:sz w:val="24"/>
                <w:szCs w:val="24"/>
              </w:rPr>
              <w:t>. Mental demands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correlated </w:t>
            </w:r>
            <w:r w:rsidR="00903DEB">
              <w:rPr>
                <w:rFonts w:ascii="Times New Roman" w:hAnsi="Times New Roman"/>
                <w:sz w:val="24"/>
                <w:szCs w:val="24"/>
              </w:rPr>
              <w:t xml:space="preserve">strongly with mental well-being;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Pearson’s </w:t>
            </w:r>
            <w:r w:rsidRPr="00902672">
              <w:rPr>
                <w:rFonts w:ascii="Times New Roman" w:hAnsi="Times New Roman"/>
                <w:i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= -.69) had significant association</w:t>
            </w:r>
            <w:r w:rsidR="00903DEB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with anxiety scor</w:t>
            </w:r>
            <w:r w:rsidR="00402D7D">
              <w:rPr>
                <w:rFonts w:ascii="Times New Roman" w:hAnsi="Times New Roman"/>
                <w:sz w:val="24"/>
                <w:szCs w:val="24"/>
              </w:rPr>
              <w:t>es (β = -.55</w:t>
            </w:r>
            <w:r w:rsidR="00903DEB">
              <w:rPr>
                <w:rFonts w:ascii="Times New Roman" w:hAnsi="Times New Roman"/>
                <w:sz w:val="24"/>
                <w:szCs w:val="24"/>
              </w:rPr>
              <w:t>). Mental resources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3DEB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significantly cor</w:t>
            </w:r>
            <w:r w:rsidR="00903DEB">
              <w:rPr>
                <w:rFonts w:ascii="Times New Roman" w:hAnsi="Times New Roman"/>
                <w:sz w:val="24"/>
                <w:szCs w:val="24"/>
              </w:rPr>
              <w:t xml:space="preserve">related with mental well-being;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Pearson’s </w:t>
            </w:r>
            <w:r w:rsidRPr="00902672">
              <w:rPr>
                <w:rFonts w:ascii="Times New Roman" w:hAnsi="Times New Roman"/>
                <w:i/>
                <w:sz w:val="24"/>
                <w:szCs w:val="24"/>
              </w:rPr>
              <w:t>r</w:t>
            </w:r>
            <w:r w:rsidR="00402D7D">
              <w:rPr>
                <w:rFonts w:ascii="Times New Roman" w:hAnsi="Times New Roman"/>
                <w:sz w:val="24"/>
                <w:szCs w:val="24"/>
              </w:rPr>
              <w:t xml:space="preserve"> = -.64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2A76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had significant association</w:t>
            </w:r>
            <w:r w:rsidR="00903DEB">
              <w:rPr>
                <w:rFonts w:ascii="Times New Roman" w:hAnsi="Times New Roman"/>
                <w:sz w:val="24"/>
                <w:szCs w:val="24"/>
              </w:rPr>
              <w:t>s</w:t>
            </w:r>
            <w:r w:rsidR="00CC71C5">
              <w:rPr>
                <w:rFonts w:ascii="Times New Roman" w:hAnsi="Times New Roman"/>
                <w:sz w:val="24"/>
                <w:szCs w:val="24"/>
              </w:rPr>
              <w:t xml:space="preserve"> with somatic symptoms (β = -.48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903D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97507" w:rsidRPr="009D09A3" w:rsidTr="008527C3">
        <w:tc>
          <w:tcPr>
            <w:tcW w:w="1951" w:type="dxa"/>
            <w:shd w:val="clear" w:color="auto" w:fill="auto"/>
          </w:tcPr>
          <w:p w:rsidR="00197507" w:rsidRPr="009D09A3" w:rsidRDefault="00197507" w:rsidP="008527C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D09A3">
              <w:rPr>
                <w:rFonts w:ascii="Times New Roman" w:hAnsi="Times New Roman"/>
                <w:b/>
                <w:sz w:val="24"/>
                <w:szCs w:val="24"/>
              </w:rPr>
              <w:t>Conclusions</w:t>
            </w:r>
          </w:p>
        </w:tc>
        <w:tc>
          <w:tcPr>
            <w:tcW w:w="7291" w:type="dxa"/>
            <w:shd w:val="clear" w:color="auto" w:fill="auto"/>
          </w:tcPr>
          <w:p w:rsidR="00197507" w:rsidRPr="00F7764D" w:rsidRDefault="00903DEB" w:rsidP="00903D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="00197507" w:rsidRPr="00F7764D">
              <w:rPr>
                <w:rFonts w:ascii="Times New Roman" w:hAnsi="Times New Roman"/>
                <w:sz w:val="24"/>
                <w:szCs w:val="24"/>
              </w:rPr>
              <w:t xml:space="preserve">indings </w:t>
            </w:r>
            <w:r w:rsidR="00197507">
              <w:rPr>
                <w:rFonts w:ascii="Times New Roman" w:hAnsi="Times New Roman"/>
                <w:sz w:val="24"/>
                <w:szCs w:val="24"/>
              </w:rPr>
              <w:t>present clear association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197507">
              <w:rPr>
                <w:rFonts w:ascii="Times New Roman" w:hAnsi="Times New Roman"/>
                <w:sz w:val="24"/>
                <w:szCs w:val="24"/>
              </w:rPr>
              <w:t xml:space="preserve"> between the mental demands and the potential impact upon mental well-being. Results help highlight the potential risks of working in </w:t>
            </w:r>
            <w:r>
              <w:rPr>
                <w:rFonts w:ascii="Times New Roman" w:hAnsi="Times New Roman"/>
                <w:sz w:val="24"/>
                <w:szCs w:val="24"/>
              </w:rPr>
              <w:t>demanding prison environments.</w:t>
            </w:r>
          </w:p>
        </w:tc>
      </w:tr>
      <w:tr w:rsidR="00197507" w:rsidRPr="009D09A3" w:rsidTr="008527C3">
        <w:tc>
          <w:tcPr>
            <w:tcW w:w="1951" w:type="dxa"/>
            <w:shd w:val="clear" w:color="auto" w:fill="auto"/>
          </w:tcPr>
          <w:p w:rsidR="00197507" w:rsidRPr="009D09A3" w:rsidRDefault="00197507" w:rsidP="008527C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D09A3">
              <w:rPr>
                <w:rFonts w:ascii="Times New Roman" w:hAnsi="Times New Roman"/>
                <w:b/>
                <w:sz w:val="24"/>
                <w:szCs w:val="24"/>
              </w:rPr>
              <w:t>Key words</w:t>
            </w:r>
          </w:p>
        </w:tc>
        <w:tc>
          <w:tcPr>
            <w:tcW w:w="7291" w:type="dxa"/>
            <w:shd w:val="clear" w:color="auto" w:fill="auto"/>
          </w:tcPr>
          <w:p w:rsidR="00197507" w:rsidRPr="009D09A3" w:rsidRDefault="00E51E51" w:rsidP="00000D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Prisons; work</w:t>
            </w:r>
            <w:r w:rsidR="00197507" w:rsidRPr="009D09A3">
              <w:rPr>
                <w:rFonts w:ascii="Times New Roman" w:hAnsi="Times New Roman"/>
                <w:sz w:val="24"/>
                <w:szCs w:val="24"/>
              </w:rPr>
              <w:t>ability; well-being</w:t>
            </w:r>
            <w:r w:rsidR="00000D3A">
              <w:rPr>
                <w:rFonts w:ascii="Times New Roman" w:hAnsi="Times New Roman"/>
                <w:sz w:val="24"/>
                <w:szCs w:val="24"/>
              </w:rPr>
              <w:t>; psychological health</w:t>
            </w:r>
          </w:p>
        </w:tc>
      </w:tr>
    </w:tbl>
    <w:p w:rsidR="00197507" w:rsidRDefault="00197507" w:rsidP="00197507">
      <w:pPr>
        <w:rPr>
          <w:rFonts w:ascii="Times New Roman" w:hAnsi="Times New Roman"/>
          <w:b/>
          <w:sz w:val="24"/>
          <w:szCs w:val="24"/>
        </w:rPr>
      </w:pPr>
    </w:p>
    <w:p w:rsidR="00197507" w:rsidRDefault="00197507" w:rsidP="00197507">
      <w:pPr>
        <w:rPr>
          <w:rFonts w:ascii="Times New Roman" w:hAnsi="Times New Roman"/>
          <w:b/>
          <w:sz w:val="24"/>
          <w:szCs w:val="24"/>
        </w:rPr>
      </w:pPr>
    </w:p>
    <w:p w:rsidR="006A3518" w:rsidRDefault="006A3518" w:rsidP="00197507">
      <w:pPr>
        <w:rPr>
          <w:rFonts w:ascii="Times New Roman" w:hAnsi="Times New Roman"/>
          <w:b/>
          <w:sz w:val="24"/>
          <w:szCs w:val="24"/>
        </w:rPr>
      </w:pPr>
    </w:p>
    <w:p w:rsidR="006A3518" w:rsidRDefault="006A3518" w:rsidP="00197507">
      <w:pPr>
        <w:rPr>
          <w:rFonts w:ascii="Times New Roman" w:hAnsi="Times New Roman"/>
          <w:b/>
          <w:sz w:val="24"/>
          <w:szCs w:val="24"/>
        </w:rPr>
      </w:pPr>
    </w:p>
    <w:p w:rsidR="00270BAF" w:rsidRDefault="00270BAF" w:rsidP="008D1243">
      <w:pPr>
        <w:ind w:left="142"/>
        <w:rPr>
          <w:rFonts w:ascii="Times New Roman" w:hAnsi="Times New Roman"/>
          <w:b/>
          <w:sz w:val="24"/>
          <w:szCs w:val="24"/>
        </w:rPr>
      </w:pPr>
    </w:p>
    <w:p w:rsidR="00E51E51" w:rsidRDefault="00E51E51" w:rsidP="008D1243">
      <w:pPr>
        <w:ind w:left="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Key Points</w:t>
      </w:r>
    </w:p>
    <w:p w:rsidR="00E51E51" w:rsidRPr="00271F6F" w:rsidRDefault="00AA35A0" w:rsidP="00271F6F">
      <w:pPr>
        <w:pStyle w:val="ListParagraph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Ninety-five percent </w:t>
      </w:r>
      <w:r w:rsidR="008D1243" w:rsidRPr="00271F6F">
        <w:rPr>
          <w:rFonts w:ascii="Times New Roman" w:hAnsi="Times New Roman"/>
          <w:color w:val="000000" w:themeColor="text1"/>
          <w:sz w:val="24"/>
          <w:szCs w:val="24"/>
        </w:rPr>
        <w:t xml:space="preserve">of officers </w:t>
      </w:r>
      <w:r w:rsidR="00F03E99" w:rsidRPr="00271F6F">
        <w:rPr>
          <w:rFonts w:ascii="Times New Roman" w:hAnsi="Times New Roman"/>
          <w:color w:val="000000" w:themeColor="text1"/>
          <w:sz w:val="24"/>
          <w:szCs w:val="24"/>
        </w:rPr>
        <w:t>sampled in a single category B prison reported high</w:t>
      </w:r>
      <w:r w:rsidR="008D1243" w:rsidRPr="00271F6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03E99" w:rsidRPr="00271F6F">
        <w:rPr>
          <w:rFonts w:ascii="Times New Roman" w:hAnsi="Times New Roman"/>
          <w:color w:val="000000" w:themeColor="text1"/>
          <w:sz w:val="24"/>
          <w:szCs w:val="24"/>
        </w:rPr>
        <w:t>levels of mental health symptoms (GHQ</w:t>
      </w:r>
      <w:r w:rsidR="008D1243" w:rsidRPr="00271F6F">
        <w:rPr>
          <w:rFonts w:ascii="Times New Roman" w:hAnsi="Times New Roman"/>
          <w:color w:val="000000" w:themeColor="text1"/>
          <w:sz w:val="24"/>
          <w:szCs w:val="24"/>
        </w:rPr>
        <w:t xml:space="preserve"> caseness</w:t>
      </w:r>
      <w:r w:rsidR="00F03E99" w:rsidRPr="00271F6F">
        <w:rPr>
          <w:rFonts w:ascii="Times New Roman" w:hAnsi="Times New Roman"/>
          <w:color w:val="000000" w:themeColor="text1"/>
          <w:sz w:val="24"/>
          <w:szCs w:val="24"/>
        </w:rPr>
        <w:t>). Anxiety</w:t>
      </w:r>
      <w:r w:rsidR="00CC71C5">
        <w:rPr>
          <w:rFonts w:ascii="Times New Roman" w:hAnsi="Times New Roman"/>
          <w:color w:val="000000" w:themeColor="text1"/>
          <w:sz w:val="24"/>
          <w:szCs w:val="24"/>
        </w:rPr>
        <w:t>, feeling run down</w:t>
      </w:r>
      <w:r w:rsidR="00F03E99" w:rsidRPr="00271F6F">
        <w:rPr>
          <w:rFonts w:ascii="Times New Roman" w:hAnsi="Times New Roman"/>
          <w:color w:val="000000" w:themeColor="text1"/>
          <w:sz w:val="24"/>
          <w:szCs w:val="24"/>
        </w:rPr>
        <w:t xml:space="preserve"> and sleep problems were most common.</w:t>
      </w:r>
    </w:p>
    <w:p w:rsidR="008D1243" w:rsidRPr="00271F6F" w:rsidRDefault="00270BAF" w:rsidP="00271F6F">
      <w:pPr>
        <w:pStyle w:val="ListParagraph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71F6F">
        <w:rPr>
          <w:rFonts w:ascii="Times New Roman" w:hAnsi="Times New Roman"/>
          <w:color w:val="000000" w:themeColor="text1"/>
          <w:sz w:val="24"/>
          <w:szCs w:val="24"/>
        </w:rPr>
        <w:t xml:space="preserve">There was a strong </w:t>
      </w:r>
      <w:r w:rsidR="00F03E99" w:rsidRPr="00271F6F">
        <w:rPr>
          <w:rFonts w:ascii="Times New Roman" w:hAnsi="Times New Roman"/>
          <w:color w:val="000000" w:themeColor="text1"/>
          <w:sz w:val="24"/>
          <w:szCs w:val="24"/>
        </w:rPr>
        <w:t xml:space="preserve">and significant association </w:t>
      </w:r>
      <w:r w:rsidRPr="00271F6F">
        <w:rPr>
          <w:rFonts w:ascii="Times New Roman" w:hAnsi="Times New Roman"/>
          <w:color w:val="000000" w:themeColor="text1"/>
          <w:sz w:val="24"/>
          <w:szCs w:val="24"/>
        </w:rPr>
        <w:t>between mental well-being and workability</w:t>
      </w:r>
      <w:r w:rsidR="00F03E99" w:rsidRPr="00271F6F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271F6F">
        <w:rPr>
          <w:rFonts w:ascii="Times New Roman" w:hAnsi="Times New Roman"/>
          <w:color w:val="000000" w:themeColor="text1"/>
          <w:sz w:val="24"/>
          <w:szCs w:val="24"/>
        </w:rPr>
        <w:t xml:space="preserve"> as </w:t>
      </w:r>
      <w:r w:rsidR="00F03E99" w:rsidRPr="00271F6F">
        <w:rPr>
          <w:rFonts w:ascii="Times New Roman" w:hAnsi="Times New Roman"/>
          <w:color w:val="000000" w:themeColor="text1"/>
          <w:sz w:val="24"/>
          <w:szCs w:val="24"/>
        </w:rPr>
        <w:t xml:space="preserve">poor </w:t>
      </w:r>
      <w:r w:rsidR="008D1243" w:rsidRPr="00271F6F">
        <w:rPr>
          <w:rFonts w:ascii="Times New Roman" w:hAnsi="Times New Roman"/>
          <w:color w:val="000000" w:themeColor="text1"/>
          <w:sz w:val="24"/>
          <w:szCs w:val="24"/>
        </w:rPr>
        <w:t>GHQ scores w</w:t>
      </w:r>
      <w:r w:rsidR="00F03E99" w:rsidRPr="00271F6F">
        <w:rPr>
          <w:rFonts w:ascii="Times New Roman" w:hAnsi="Times New Roman"/>
          <w:color w:val="000000" w:themeColor="text1"/>
          <w:sz w:val="24"/>
          <w:szCs w:val="24"/>
        </w:rPr>
        <w:t>ere</w:t>
      </w:r>
      <w:r w:rsidR="008D1243" w:rsidRPr="00271F6F">
        <w:rPr>
          <w:rFonts w:ascii="Times New Roman" w:hAnsi="Times New Roman"/>
          <w:color w:val="000000" w:themeColor="text1"/>
          <w:sz w:val="24"/>
          <w:szCs w:val="24"/>
        </w:rPr>
        <w:t xml:space="preserve"> associated with poor workability</w:t>
      </w:r>
      <w:r w:rsidRPr="00271F6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271F6F" w:rsidRPr="00271F6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A35A0">
        <w:rPr>
          <w:rFonts w:ascii="Times New Roman" w:hAnsi="Times New Roman"/>
          <w:color w:val="000000" w:themeColor="text1"/>
          <w:sz w:val="24"/>
          <w:szCs w:val="24"/>
        </w:rPr>
        <w:t xml:space="preserve">Fifty-four percent </w:t>
      </w:r>
      <w:r w:rsidR="00271F6F" w:rsidRPr="00271F6F">
        <w:rPr>
          <w:rFonts w:ascii="Times New Roman" w:hAnsi="Times New Roman"/>
          <w:color w:val="000000" w:themeColor="text1"/>
          <w:sz w:val="24"/>
          <w:szCs w:val="24"/>
        </w:rPr>
        <w:t>perceived illness was a hindrance to their workability</w:t>
      </w:r>
    </w:p>
    <w:p w:rsidR="00270BAF" w:rsidRPr="00271F6F" w:rsidRDefault="00270BAF" w:rsidP="00271F6F">
      <w:pPr>
        <w:pStyle w:val="ListParagraph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71F6F">
        <w:rPr>
          <w:rFonts w:ascii="Times New Roman" w:hAnsi="Times New Roman"/>
          <w:color w:val="000000" w:themeColor="text1"/>
          <w:sz w:val="24"/>
          <w:szCs w:val="24"/>
        </w:rPr>
        <w:t>The assessment of workability</w:t>
      </w:r>
      <w:r w:rsidR="00F03E99" w:rsidRPr="00271F6F">
        <w:rPr>
          <w:rFonts w:ascii="Times New Roman" w:hAnsi="Times New Roman"/>
          <w:color w:val="000000" w:themeColor="text1"/>
          <w:sz w:val="24"/>
          <w:szCs w:val="24"/>
        </w:rPr>
        <w:t xml:space="preserve"> should be applied to more high-demand workplaces in the UK, especially prisons and other secure facilities</w:t>
      </w:r>
      <w:r w:rsidR="00271F6F" w:rsidRPr="00271F6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6A3518" w:rsidRDefault="006A3518" w:rsidP="003A536E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197507" w:rsidRPr="00C56810" w:rsidRDefault="00197507" w:rsidP="003A536E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C56810">
        <w:rPr>
          <w:rFonts w:ascii="Times New Roman" w:hAnsi="Times New Roman"/>
          <w:b/>
          <w:sz w:val="24"/>
          <w:szCs w:val="24"/>
        </w:rPr>
        <w:t>Introduction</w:t>
      </w:r>
    </w:p>
    <w:p w:rsidR="00197507" w:rsidRDefault="00903DEB" w:rsidP="00197507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Work</w:t>
      </w:r>
      <w:r w:rsidR="00197507">
        <w:rPr>
          <w:rFonts w:ascii="Times New Roman" w:hAnsi="Times New Roman"/>
          <w:sz w:val="24"/>
          <w:szCs w:val="24"/>
        </w:rPr>
        <w:t>ability (WA) can be defined as a worker’s capacity to manage job demands in relation to their health and mental resources [1]. It account</w:t>
      </w:r>
      <w:r>
        <w:rPr>
          <w:rFonts w:ascii="Times New Roman" w:hAnsi="Times New Roman"/>
          <w:sz w:val="24"/>
          <w:szCs w:val="24"/>
        </w:rPr>
        <w:t>s</w:t>
      </w:r>
      <w:r w:rsidR="001975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for </w:t>
      </w:r>
      <w:r w:rsidR="00197507">
        <w:rPr>
          <w:rFonts w:ascii="Times New Roman" w:hAnsi="Times New Roman"/>
          <w:sz w:val="24"/>
          <w:szCs w:val="24"/>
        </w:rPr>
        <w:t>all of the factors that may influence that capacity and make job</w:t>
      </w:r>
      <w:r>
        <w:rPr>
          <w:rFonts w:ascii="Times New Roman" w:hAnsi="Times New Roman"/>
          <w:sz w:val="24"/>
          <w:szCs w:val="24"/>
        </w:rPr>
        <w:t>s</w:t>
      </w:r>
      <w:r w:rsidR="00197507">
        <w:rPr>
          <w:rFonts w:ascii="Times New Roman" w:hAnsi="Times New Roman"/>
          <w:sz w:val="24"/>
          <w:szCs w:val="24"/>
        </w:rPr>
        <w:t xml:space="preserve"> more or less manageable [2]. A Spanish study</w:t>
      </w:r>
      <w:r>
        <w:rPr>
          <w:rFonts w:ascii="Times New Roman" w:hAnsi="Times New Roman"/>
          <w:sz w:val="24"/>
          <w:szCs w:val="24"/>
        </w:rPr>
        <w:t xml:space="preserve"> </w:t>
      </w:r>
      <w:r w:rsidR="00197507" w:rsidRPr="004E5ADC">
        <w:rPr>
          <w:rFonts w:ascii="Times New Roman" w:hAnsi="Times New Roman"/>
          <w:sz w:val="24"/>
          <w:szCs w:val="24"/>
        </w:rPr>
        <w:t>considered workability and mental well-being in prison</w:t>
      </w:r>
      <w:r>
        <w:rPr>
          <w:rFonts w:ascii="Times New Roman" w:hAnsi="Times New Roman"/>
          <w:sz w:val="24"/>
          <w:szCs w:val="24"/>
        </w:rPr>
        <w:t>s,</w:t>
      </w:r>
      <w:r w:rsidR="00BC5B9C">
        <w:rPr>
          <w:rFonts w:ascii="Times New Roman" w:hAnsi="Times New Roman"/>
          <w:sz w:val="24"/>
          <w:szCs w:val="24"/>
        </w:rPr>
        <w:t xml:space="preserve"> and found that </w:t>
      </w:r>
      <w:r w:rsidR="0052302E">
        <w:rPr>
          <w:rFonts w:ascii="Times New Roman" w:hAnsi="Times New Roman"/>
          <w:sz w:val="24"/>
          <w:szCs w:val="24"/>
        </w:rPr>
        <w:t>emotional demands had a negative significant association</w:t>
      </w:r>
      <w:r w:rsidR="00BC5B9C">
        <w:rPr>
          <w:rFonts w:ascii="Times New Roman" w:hAnsi="Times New Roman"/>
          <w:sz w:val="24"/>
          <w:szCs w:val="24"/>
        </w:rPr>
        <w:t xml:space="preserve"> with </w:t>
      </w:r>
      <w:r w:rsidR="00130688">
        <w:rPr>
          <w:rFonts w:ascii="Times New Roman" w:hAnsi="Times New Roman"/>
          <w:sz w:val="24"/>
          <w:szCs w:val="24"/>
        </w:rPr>
        <w:t>workability</w:t>
      </w:r>
      <w:r w:rsidR="00197507" w:rsidRPr="004E5ADC">
        <w:rPr>
          <w:rFonts w:ascii="Times New Roman" w:hAnsi="Times New Roman"/>
          <w:sz w:val="24"/>
          <w:szCs w:val="24"/>
        </w:rPr>
        <w:t xml:space="preserve"> [3]. </w:t>
      </w:r>
      <w:r w:rsidR="00197507">
        <w:rPr>
          <w:rFonts w:ascii="Times New Roman" w:hAnsi="Times New Roman"/>
          <w:sz w:val="24"/>
          <w:szCs w:val="24"/>
        </w:rPr>
        <w:t xml:space="preserve">No studies have </w:t>
      </w:r>
      <w:r>
        <w:rPr>
          <w:rFonts w:ascii="Times New Roman" w:hAnsi="Times New Roman"/>
          <w:sz w:val="24"/>
          <w:szCs w:val="24"/>
        </w:rPr>
        <w:t xml:space="preserve">yet used the </w:t>
      </w:r>
      <w:r w:rsidR="00197507">
        <w:rPr>
          <w:rFonts w:ascii="Times New Roman" w:hAnsi="Times New Roman"/>
          <w:sz w:val="24"/>
          <w:szCs w:val="24"/>
        </w:rPr>
        <w:t>Work</w:t>
      </w:r>
      <w:r>
        <w:rPr>
          <w:rFonts w:ascii="Times New Roman" w:hAnsi="Times New Roman"/>
          <w:sz w:val="24"/>
          <w:szCs w:val="24"/>
        </w:rPr>
        <w:t xml:space="preserve"> </w:t>
      </w:r>
      <w:r w:rsidR="00197507">
        <w:rPr>
          <w:rFonts w:ascii="Times New Roman" w:hAnsi="Times New Roman"/>
          <w:sz w:val="24"/>
          <w:szCs w:val="24"/>
        </w:rPr>
        <w:t>Ability Index (WAI), in UK prison officers. Prisons are not only concerned with security and custody, but als</w:t>
      </w:r>
      <w:r>
        <w:rPr>
          <w:rFonts w:ascii="Times New Roman" w:hAnsi="Times New Roman"/>
          <w:sz w:val="24"/>
          <w:szCs w:val="24"/>
        </w:rPr>
        <w:t xml:space="preserve">o more increasingly with therapeutic </w:t>
      </w:r>
      <w:r w:rsidR="00197507">
        <w:rPr>
          <w:rFonts w:ascii="Times New Roman" w:hAnsi="Times New Roman"/>
          <w:sz w:val="24"/>
          <w:szCs w:val="24"/>
        </w:rPr>
        <w:t xml:space="preserve">rehabilitation. This is especially true of Therapeutic Community Prisons (TCPs), where prison officers undertake therapeutic work </w:t>
      </w:r>
      <w:r>
        <w:rPr>
          <w:rFonts w:ascii="Times New Roman" w:hAnsi="Times New Roman"/>
          <w:sz w:val="24"/>
          <w:szCs w:val="24"/>
        </w:rPr>
        <w:t xml:space="preserve">alongside </w:t>
      </w:r>
      <w:r w:rsidR="00197507">
        <w:rPr>
          <w:rFonts w:ascii="Times New Roman" w:hAnsi="Times New Roman"/>
          <w:sz w:val="24"/>
          <w:szCs w:val="24"/>
        </w:rPr>
        <w:t xml:space="preserve">offenders. Few studies have investigated </w:t>
      </w:r>
      <w:r>
        <w:rPr>
          <w:rFonts w:ascii="Times New Roman" w:hAnsi="Times New Roman"/>
          <w:sz w:val="24"/>
          <w:szCs w:val="24"/>
        </w:rPr>
        <w:t xml:space="preserve">the </w:t>
      </w:r>
      <w:r w:rsidR="00197507">
        <w:rPr>
          <w:rFonts w:ascii="Times New Roman" w:hAnsi="Times New Roman"/>
          <w:sz w:val="24"/>
          <w:szCs w:val="24"/>
        </w:rPr>
        <w:t xml:space="preserve">working lives of prison officers in the UK [4, 5]. Results have shown that psychological engagement with offenders and mental demands of the job can lead to vicarious trauma and high levels of workplace stress. </w:t>
      </w:r>
      <w:r w:rsidR="00130688">
        <w:rPr>
          <w:rFonts w:ascii="Times New Roman" w:hAnsi="Times New Roman"/>
          <w:sz w:val="24"/>
          <w:szCs w:val="24"/>
        </w:rPr>
        <w:t xml:space="preserve">Therefore </w:t>
      </w:r>
      <w:r w:rsidR="00197507">
        <w:rPr>
          <w:rFonts w:ascii="Times New Roman" w:hAnsi="Times New Roman"/>
          <w:sz w:val="24"/>
          <w:szCs w:val="24"/>
        </w:rPr>
        <w:t xml:space="preserve">monitoring the </w:t>
      </w:r>
      <w:r w:rsidR="00130688">
        <w:rPr>
          <w:rFonts w:ascii="Times New Roman" w:hAnsi="Times New Roman"/>
          <w:sz w:val="24"/>
          <w:szCs w:val="24"/>
        </w:rPr>
        <w:t>workability</w:t>
      </w:r>
      <w:r w:rsidR="00197507">
        <w:rPr>
          <w:rFonts w:ascii="Times New Roman" w:hAnsi="Times New Roman"/>
          <w:sz w:val="24"/>
          <w:szCs w:val="24"/>
        </w:rPr>
        <w:t xml:space="preserve"> of prison officers in a TCP is essential for maintaining the</w:t>
      </w:r>
      <w:r w:rsidR="00130688">
        <w:rPr>
          <w:rFonts w:ascii="Times New Roman" w:hAnsi="Times New Roman"/>
          <w:sz w:val="24"/>
          <w:szCs w:val="24"/>
        </w:rPr>
        <w:t>ir</w:t>
      </w:r>
      <w:r w:rsidR="00197507">
        <w:rPr>
          <w:rFonts w:ascii="Times New Roman" w:hAnsi="Times New Roman"/>
          <w:sz w:val="24"/>
          <w:szCs w:val="24"/>
        </w:rPr>
        <w:t xml:space="preserve"> ability to perform their roles and to preserve the goals of the establishment. The aim of the study was to explore the </w:t>
      </w:r>
      <w:r w:rsidR="00BC5B9C">
        <w:rPr>
          <w:rFonts w:ascii="Times New Roman" w:hAnsi="Times New Roman"/>
          <w:sz w:val="24"/>
          <w:szCs w:val="24"/>
        </w:rPr>
        <w:t>self-reported</w:t>
      </w:r>
      <w:r w:rsidR="00130688">
        <w:rPr>
          <w:rFonts w:ascii="Times New Roman" w:hAnsi="Times New Roman"/>
          <w:sz w:val="24"/>
          <w:szCs w:val="24"/>
        </w:rPr>
        <w:t xml:space="preserve"> workability</w:t>
      </w:r>
      <w:r w:rsidR="00197507">
        <w:rPr>
          <w:rFonts w:ascii="Times New Roman" w:hAnsi="Times New Roman"/>
          <w:sz w:val="24"/>
          <w:szCs w:val="24"/>
        </w:rPr>
        <w:t xml:space="preserve"> and mental well-being of officers in a UK TCP. </w:t>
      </w:r>
    </w:p>
    <w:p w:rsidR="006A3518" w:rsidRDefault="006A3518" w:rsidP="00197507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6A3518" w:rsidRDefault="006A3518" w:rsidP="00197507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197507" w:rsidRDefault="00197507" w:rsidP="00F03E99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7B1B63">
        <w:rPr>
          <w:rFonts w:ascii="Times New Roman" w:hAnsi="Times New Roman"/>
          <w:b/>
          <w:sz w:val="24"/>
          <w:szCs w:val="24"/>
        </w:rPr>
        <w:lastRenderedPageBreak/>
        <w:t>Methods</w:t>
      </w:r>
    </w:p>
    <w:p w:rsidR="00197507" w:rsidRDefault="00197507" w:rsidP="00F03E99">
      <w:pPr>
        <w:spacing w:after="0" w:line="480" w:lineRule="auto"/>
        <w:jc w:val="both"/>
        <w:rPr>
          <w:rFonts w:ascii="Times New Roman" w:eastAsia="ヒラギノ角ゴ Pro W3" w:hAnsi="Times New Roman"/>
          <w:spacing w:val="-3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Ethical approval was obtained from the academic ethics committee at Birmingham City University</w:t>
      </w:r>
      <w:r w:rsidR="003A536E">
        <w:rPr>
          <w:rFonts w:ascii="Times New Roman" w:hAnsi="Times New Roman"/>
          <w:sz w:val="24"/>
          <w:szCs w:val="24"/>
        </w:rPr>
        <w:t xml:space="preserve"> (May </w:t>
      </w:r>
      <w:r w:rsidR="00AA4BD6">
        <w:rPr>
          <w:rFonts w:ascii="Times New Roman" w:hAnsi="Times New Roman"/>
          <w:sz w:val="24"/>
          <w:szCs w:val="24"/>
        </w:rPr>
        <w:t>2012</w:t>
      </w:r>
      <w:r>
        <w:rPr>
          <w:rFonts w:ascii="Times New Roman" w:hAnsi="Times New Roman"/>
          <w:sz w:val="24"/>
          <w:szCs w:val="24"/>
        </w:rPr>
        <w:t xml:space="preserve">). The WAI </w:t>
      </w:r>
      <w:r w:rsidRPr="005A5249">
        <w:rPr>
          <w:rFonts w:ascii="Times New Roman" w:hAnsi="Times New Roman"/>
          <w:sz w:val="24"/>
          <w:szCs w:val="24"/>
        </w:rPr>
        <w:t>[6],</w:t>
      </w:r>
      <w:r>
        <w:rPr>
          <w:rFonts w:ascii="Times New Roman" w:hAnsi="Times New Roman"/>
          <w:sz w:val="24"/>
          <w:szCs w:val="24"/>
        </w:rPr>
        <w:t xml:space="preserve"> </w:t>
      </w:r>
      <w:r w:rsidR="00814295">
        <w:rPr>
          <w:rFonts w:ascii="Times New Roman" w:hAnsi="Times New Roman"/>
          <w:sz w:val="24"/>
          <w:szCs w:val="24"/>
        </w:rPr>
        <w:t>assessed</w:t>
      </w:r>
      <w:r>
        <w:rPr>
          <w:rFonts w:ascii="Times New Roman" w:hAnsi="Times New Roman"/>
          <w:sz w:val="24"/>
          <w:szCs w:val="24"/>
        </w:rPr>
        <w:t xml:space="preserve"> physical and mental demands of work; the presence of diagnosed diseases; </w:t>
      </w:r>
      <w:r w:rsidR="00814295">
        <w:rPr>
          <w:rFonts w:ascii="Times New Roman" w:hAnsi="Times New Roman"/>
          <w:sz w:val="24"/>
          <w:szCs w:val="24"/>
        </w:rPr>
        <w:t>work-</w:t>
      </w:r>
      <w:r>
        <w:rPr>
          <w:rFonts w:ascii="Times New Roman" w:hAnsi="Times New Roman"/>
          <w:sz w:val="24"/>
          <w:szCs w:val="24"/>
        </w:rPr>
        <w:t xml:space="preserve">limitations due to illness; sick days; WA prognosis; and mental resources. Mental well-being was measured using the General Health Questionnaire 28-item version (GHQ-28) </w:t>
      </w:r>
      <w:r w:rsidRPr="005A5249">
        <w:rPr>
          <w:rFonts w:ascii="Times New Roman" w:hAnsi="Times New Roman"/>
          <w:sz w:val="24"/>
          <w:szCs w:val="24"/>
        </w:rPr>
        <w:t>[7].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ヒラギノ角ゴ Pro W3" w:hAnsi="Times New Roman"/>
          <w:spacing w:val="-3"/>
          <w:sz w:val="24"/>
          <w:szCs w:val="24"/>
        </w:rPr>
        <w:t>S</w:t>
      </w:r>
      <w:r w:rsidRPr="0066575F">
        <w:rPr>
          <w:rFonts w:ascii="Times New Roman" w:eastAsia="ヒラギノ角ゴ Pro W3" w:hAnsi="Times New Roman"/>
          <w:spacing w:val="-3"/>
          <w:sz w:val="24"/>
          <w:szCs w:val="24"/>
        </w:rPr>
        <w:t>coring was based on the binary method in order to provide identification of caseness</w:t>
      </w:r>
      <w:r>
        <w:rPr>
          <w:rFonts w:ascii="Times New Roman" w:eastAsia="ヒラギノ角ゴ Pro W3" w:hAnsi="Times New Roman"/>
          <w:spacing w:val="-3"/>
          <w:sz w:val="24"/>
          <w:szCs w:val="24"/>
        </w:rPr>
        <w:t xml:space="preserve"> if individuals scored above a threshold of </w:t>
      </w:r>
      <w:r w:rsidR="00814295">
        <w:rPr>
          <w:rFonts w:ascii="Times New Roman" w:eastAsia="ヒラギノ角ゴ Pro W3" w:hAnsi="Times New Roman"/>
          <w:spacing w:val="-3"/>
          <w:sz w:val="24"/>
          <w:szCs w:val="24"/>
        </w:rPr>
        <w:t>3</w:t>
      </w:r>
      <w:r>
        <w:rPr>
          <w:rFonts w:ascii="Times New Roman" w:eastAsia="ヒラギノ角ゴ Pro W3" w:hAnsi="Times New Roman"/>
          <w:spacing w:val="-3"/>
          <w:sz w:val="24"/>
          <w:szCs w:val="24"/>
        </w:rPr>
        <w:t>. [8]. Correlation and regression analysis was used in order to exp</w:t>
      </w:r>
      <w:r w:rsidR="00814295">
        <w:rPr>
          <w:rFonts w:ascii="Times New Roman" w:eastAsia="ヒラギノ角ゴ Pro W3" w:hAnsi="Times New Roman"/>
          <w:spacing w:val="-3"/>
          <w:sz w:val="24"/>
          <w:szCs w:val="24"/>
        </w:rPr>
        <w:t>lain the relationship between workability</w:t>
      </w:r>
      <w:r>
        <w:rPr>
          <w:rFonts w:ascii="Times New Roman" w:eastAsia="ヒラギノ角ゴ Pro W3" w:hAnsi="Times New Roman"/>
          <w:spacing w:val="-3"/>
          <w:sz w:val="24"/>
          <w:szCs w:val="24"/>
        </w:rPr>
        <w:t xml:space="preserve"> and mental well-being.</w:t>
      </w:r>
    </w:p>
    <w:p w:rsidR="00197507" w:rsidRDefault="00197507" w:rsidP="00F03E99">
      <w:pPr>
        <w:spacing w:after="0" w:line="480" w:lineRule="auto"/>
        <w:jc w:val="both"/>
        <w:rPr>
          <w:rFonts w:ascii="Times New Roman" w:eastAsia="ヒラギノ角ゴ Pro W3" w:hAnsi="Times New Roman"/>
          <w:b/>
          <w:spacing w:val="-3"/>
          <w:sz w:val="24"/>
          <w:szCs w:val="24"/>
        </w:rPr>
      </w:pPr>
      <w:r w:rsidRPr="00297B74">
        <w:rPr>
          <w:rFonts w:ascii="Times New Roman" w:eastAsia="ヒラギノ角ゴ Pro W3" w:hAnsi="Times New Roman"/>
          <w:b/>
          <w:spacing w:val="-3"/>
          <w:sz w:val="24"/>
          <w:szCs w:val="24"/>
        </w:rPr>
        <w:t>Results</w:t>
      </w:r>
    </w:p>
    <w:p w:rsidR="003A536E" w:rsidRDefault="00197507" w:rsidP="003A536E">
      <w:pPr>
        <w:spacing w:after="0" w:line="480" w:lineRule="auto"/>
        <w:jc w:val="both"/>
        <w:rPr>
          <w:rFonts w:ascii="Times New Roman" w:eastAsia="ヒラギノ角ゴ Pro W3" w:hAnsi="Times New Roman"/>
          <w:spacing w:val="-3"/>
          <w:sz w:val="24"/>
          <w:szCs w:val="24"/>
        </w:rPr>
      </w:pPr>
      <w:r>
        <w:rPr>
          <w:rFonts w:ascii="Times New Roman" w:eastAsia="ヒラギノ角ゴ Pro W3" w:hAnsi="Times New Roman"/>
          <w:spacing w:val="-3"/>
          <w:sz w:val="24"/>
          <w:szCs w:val="24"/>
        </w:rPr>
        <w:t>Q</w:t>
      </w:r>
      <w:r w:rsidRPr="00297B74">
        <w:rPr>
          <w:rFonts w:ascii="Times New Roman" w:eastAsia="ヒラギノ角ゴ Pro W3" w:hAnsi="Times New Roman"/>
          <w:spacing w:val="-3"/>
          <w:sz w:val="24"/>
          <w:szCs w:val="24"/>
        </w:rPr>
        <w:t>uestionnaire</w:t>
      </w:r>
      <w:r>
        <w:rPr>
          <w:rFonts w:ascii="Times New Roman" w:eastAsia="ヒラギノ角ゴ Pro W3" w:hAnsi="Times New Roman"/>
          <w:spacing w:val="-3"/>
          <w:sz w:val="24"/>
          <w:szCs w:val="24"/>
        </w:rPr>
        <w:t>s were</w:t>
      </w:r>
      <w:r w:rsidRPr="00297B74">
        <w:rPr>
          <w:rFonts w:ascii="Times New Roman" w:eastAsia="ヒラギノ角ゴ Pro W3" w:hAnsi="Times New Roman"/>
          <w:spacing w:val="-3"/>
          <w:sz w:val="24"/>
          <w:szCs w:val="24"/>
        </w:rPr>
        <w:t xml:space="preserve"> completed by</w:t>
      </w:r>
      <w:r w:rsidR="00814295">
        <w:rPr>
          <w:rFonts w:ascii="Times New Roman" w:eastAsia="ヒラギノ角ゴ Pro W3" w:hAnsi="Times New Roman"/>
          <w:spacing w:val="-3"/>
          <w:sz w:val="24"/>
          <w:szCs w:val="24"/>
        </w:rPr>
        <w:t xml:space="preserve"> 57 prison officers, ranging in age from 21 – </w:t>
      </w:r>
      <w:r>
        <w:rPr>
          <w:rFonts w:ascii="Times New Roman" w:eastAsia="ヒラギノ角ゴ Pro W3" w:hAnsi="Times New Roman"/>
          <w:spacing w:val="-3"/>
          <w:sz w:val="24"/>
          <w:szCs w:val="24"/>
        </w:rPr>
        <w:t>69</w:t>
      </w:r>
      <w:r w:rsidR="00814295">
        <w:rPr>
          <w:rFonts w:ascii="Times New Roman" w:eastAsia="ヒラギノ角ゴ Pro W3" w:hAnsi="Times New Roman"/>
          <w:spacing w:val="-3"/>
          <w:sz w:val="24"/>
          <w:szCs w:val="24"/>
        </w:rPr>
        <w:t xml:space="preserve"> years</w:t>
      </w:r>
      <w:r>
        <w:rPr>
          <w:rFonts w:ascii="Times New Roman" w:eastAsia="ヒラギノ角ゴ Pro W3" w:hAnsi="Times New Roman"/>
          <w:spacing w:val="-3"/>
          <w:sz w:val="24"/>
          <w:szCs w:val="24"/>
        </w:rPr>
        <w:t xml:space="preserve"> (</w:t>
      </w:r>
      <w:r w:rsidRPr="002077F6">
        <w:rPr>
          <w:rFonts w:ascii="Times New Roman" w:eastAsia="ヒラギノ角ゴ Pro W3" w:hAnsi="Times New Roman"/>
          <w:i/>
          <w:spacing w:val="-3"/>
          <w:sz w:val="24"/>
          <w:szCs w:val="24"/>
        </w:rPr>
        <w:t>M</w:t>
      </w:r>
      <w:r>
        <w:rPr>
          <w:rFonts w:ascii="Times New Roman" w:eastAsia="ヒラギノ角ゴ Pro W3" w:hAnsi="Times New Roman"/>
          <w:spacing w:val="-3"/>
          <w:sz w:val="24"/>
          <w:szCs w:val="24"/>
        </w:rPr>
        <w:t xml:space="preserve"> = 44.8, </w:t>
      </w:r>
      <w:r w:rsidRPr="002077F6">
        <w:rPr>
          <w:rFonts w:ascii="Times New Roman" w:eastAsia="ヒラギノ角ゴ Pro W3" w:hAnsi="Times New Roman"/>
          <w:i/>
          <w:spacing w:val="-3"/>
          <w:sz w:val="24"/>
          <w:szCs w:val="24"/>
        </w:rPr>
        <w:t>SD</w:t>
      </w:r>
      <w:r>
        <w:rPr>
          <w:rFonts w:ascii="Times New Roman" w:eastAsia="ヒラギノ角ゴ Pro W3" w:hAnsi="Times New Roman"/>
          <w:spacing w:val="-3"/>
          <w:sz w:val="24"/>
          <w:szCs w:val="24"/>
        </w:rPr>
        <w:t xml:space="preserve"> = 10.9); 38 (67%) were male. </w:t>
      </w:r>
      <w:r w:rsidR="00814295">
        <w:rPr>
          <w:rFonts w:ascii="Times New Roman" w:eastAsia="ヒラギノ角ゴ Pro W3" w:hAnsi="Times New Roman"/>
          <w:spacing w:val="-3"/>
          <w:sz w:val="24"/>
          <w:szCs w:val="24"/>
        </w:rPr>
        <w:t>W</w:t>
      </w:r>
      <w:r>
        <w:rPr>
          <w:rFonts w:ascii="Times New Roman" w:eastAsia="ヒラギノ角ゴ Pro W3" w:hAnsi="Times New Roman"/>
          <w:spacing w:val="-3"/>
          <w:sz w:val="24"/>
          <w:szCs w:val="24"/>
        </w:rPr>
        <w:t xml:space="preserve">AI </w:t>
      </w:r>
      <w:r w:rsidR="00814295">
        <w:rPr>
          <w:rFonts w:ascii="Times New Roman" w:eastAsia="ヒラギノ角ゴ Pro W3" w:hAnsi="Times New Roman"/>
          <w:spacing w:val="-3"/>
          <w:sz w:val="24"/>
          <w:szCs w:val="24"/>
        </w:rPr>
        <w:t xml:space="preserve">scores </w:t>
      </w:r>
      <w:r w:rsidR="00EA769D">
        <w:rPr>
          <w:rFonts w:ascii="Times New Roman" w:eastAsia="ヒラギノ角ゴ Pro W3" w:hAnsi="Times New Roman"/>
          <w:spacing w:val="-3"/>
          <w:sz w:val="24"/>
          <w:szCs w:val="24"/>
        </w:rPr>
        <w:t>ranged from 26</w:t>
      </w:r>
      <w:r>
        <w:rPr>
          <w:rFonts w:ascii="Times New Roman" w:eastAsia="ヒラギノ角ゴ Pro W3" w:hAnsi="Times New Roman"/>
          <w:spacing w:val="-3"/>
          <w:sz w:val="24"/>
          <w:szCs w:val="24"/>
        </w:rPr>
        <w:t xml:space="preserve"> </w:t>
      </w:r>
      <w:r w:rsidR="00814295">
        <w:rPr>
          <w:rFonts w:ascii="Times New Roman" w:eastAsia="ヒラギノ角ゴ Pro W3" w:hAnsi="Times New Roman"/>
          <w:spacing w:val="-3"/>
          <w:sz w:val="24"/>
          <w:szCs w:val="24"/>
        </w:rPr>
        <w:t>–</w:t>
      </w:r>
      <w:r w:rsidR="00EA769D">
        <w:rPr>
          <w:rFonts w:ascii="Times New Roman" w:eastAsia="ヒラギノ角ゴ Pro W3" w:hAnsi="Times New Roman"/>
          <w:spacing w:val="-3"/>
          <w:sz w:val="24"/>
          <w:szCs w:val="24"/>
        </w:rPr>
        <w:t xml:space="preserve"> 48</w:t>
      </w:r>
      <w:r w:rsidR="00814295">
        <w:rPr>
          <w:rFonts w:ascii="Times New Roman" w:eastAsia="ヒラギノ角ゴ Pro W3" w:hAnsi="Times New Roman"/>
          <w:spacing w:val="-3"/>
          <w:sz w:val="24"/>
          <w:szCs w:val="24"/>
        </w:rPr>
        <w:t xml:space="preserve"> </w:t>
      </w:r>
      <w:r>
        <w:rPr>
          <w:rFonts w:ascii="Times New Roman" w:eastAsia="ヒラギノ角ゴ Pro W3" w:hAnsi="Times New Roman"/>
          <w:spacing w:val="-3"/>
          <w:sz w:val="24"/>
          <w:szCs w:val="24"/>
        </w:rPr>
        <w:t>(</w:t>
      </w:r>
      <w:r w:rsidRPr="002077F6">
        <w:rPr>
          <w:rFonts w:ascii="Times New Roman" w:eastAsia="ヒラギノ角ゴ Pro W3" w:hAnsi="Times New Roman"/>
          <w:i/>
          <w:spacing w:val="-3"/>
          <w:sz w:val="24"/>
          <w:szCs w:val="24"/>
        </w:rPr>
        <w:t>M</w:t>
      </w:r>
      <w:r w:rsidR="00EA769D">
        <w:rPr>
          <w:rFonts w:ascii="Times New Roman" w:eastAsia="ヒラギノ角ゴ Pro W3" w:hAnsi="Times New Roman"/>
          <w:spacing w:val="-3"/>
          <w:sz w:val="24"/>
          <w:szCs w:val="24"/>
        </w:rPr>
        <w:t xml:space="preserve"> = 40.1</w:t>
      </w:r>
      <w:r>
        <w:rPr>
          <w:rFonts w:ascii="Times New Roman" w:eastAsia="ヒラギノ角ゴ Pro W3" w:hAnsi="Times New Roman"/>
          <w:spacing w:val="-3"/>
          <w:sz w:val="24"/>
          <w:szCs w:val="24"/>
        </w:rPr>
        <w:t xml:space="preserve">, </w:t>
      </w:r>
      <w:r w:rsidRPr="002077F6">
        <w:rPr>
          <w:rFonts w:ascii="Times New Roman" w:eastAsia="ヒラギノ角ゴ Pro W3" w:hAnsi="Times New Roman"/>
          <w:i/>
          <w:spacing w:val="-3"/>
          <w:sz w:val="24"/>
          <w:szCs w:val="24"/>
        </w:rPr>
        <w:t>SD</w:t>
      </w:r>
      <w:r w:rsidR="00EA769D">
        <w:rPr>
          <w:rFonts w:ascii="Times New Roman" w:eastAsia="ヒラギノ角ゴ Pro W3" w:hAnsi="Times New Roman"/>
          <w:spacing w:val="-3"/>
          <w:sz w:val="24"/>
          <w:szCs w:val="24"/>
        </w:rPr>
        <w:t xml:space="preserve"> = 5.8</w:t>
      </w:r>
      <w:r w:rsidR="00814295">
        <w:rPr>
          <w:rFonts w:ascii="Times New Roman" w:eastAsia="ヒラギノ角ゴ Pro W3" w:hAnsi="Times New Roman"/>
          <w:spacing w:val="-3"/>
          <w:sz w:val="24"/>
          <w:szCs w:val="24"/>
        </w:rPr>
        <w:t xml:space="preserve">), and </w:t>
      </w:r>
      <w:r>
        <w:rPr>
          <w:rFonts w:ascii="Times New Roman" w:eastAsia="ヒラギノ角ゴ Pro W3" w:hAnsi="Times New Roman"/>
          <w:spacing w:val="-3"/>
          <w:sz w:val="24"/>
          <w:szCs w:val="24"/>
        </w:rPr>
        <w:t>total GHQ</w:t>
      </w:r>
      <w:r w:rsidR="00814295">
        <w:rPr>
          <w:rFonts w:ascii="Times New Roman" w:eastAsia="ヒラギノ角ゴ Pro W3" w:hAnsi="Times New Roman"/>
          <w:spacing w:val="-3"/>
          <w:sz w:val="24"/>
          <w:szCs w:val="24"/>
        </w:rPr>
        <w:t xml:space="preserve"> scores</w:t>
      </w:r>
      <w:r>
        <w:rPr>
          <w:rFonts w:ascii="Times New Roman" w:eastAsia="ヒラギノ角ゴ Pro W3" w:hAnsi="Times New Roman"/>
          <w:spacing w:val="-3"/>
          <w:sz w:val="24"/>
          <w:szCs w:val="24"/>
        </w:rPr>
        <w:t xml:space="preserve"> ranged from 4 - 60 (</w:t>
      </w:r>
      <w:r w:rsidRPr="00CE4507">
        <w:rPr>
          <w:rFonts w:ascii="Times New Roman" w:eastAsia="ヒラギノ角ゴ Pro W3" w:hAnsi="Times New Roman"/>
          <w:i/>
          <w:spacing w:val="-3"/>
          <w:sz w:val="24"/>
          <w:szCs w:val="24"/>
        </w:rPr>
        <w:t>M</w:t>
      </w:r>
      <w:r>
        <w:rPr>
          <w:rFonts w:ascii="Times New Roman" w:eastAsia="ヒラギノ角ゴ Pro W3" w:hAnsi="Times New Roman"/>
          <w:spacing w:val="-3"/>
          <w:sz w:val="24"/>
          <w:szCs w:val="24"/>
        </w:rPr>
        <w:t xml:space="preserve"> = 28.1, </w:t>
      </w:r>
      <w:r w:rsidRPr="00CE4507">
        <w:rPr>
          <w:rFonts w:ascii="Times New Roman" w:eastAsia="ヒラギノ角ゴ Pro W3" w:hAnsi="Times New Roman"/>
          <w:i/>
          <w:spacing w:val="-3"/>
          <w:sz w:val="24"/>
          <w:szCs w:val="24"/>
        </w:rPr>
        <w:t>SD</w:t>
      </w:r>
      <w:r>
        <w:rPr>
          <w:rFonts w:ascii="Times New Roman" w:eastAsia="ヒラギノ角ゴ Pro W3" w:hAnsi="Times New Roman"/>
          <w:spacing w:val="-3"/>
          <w:sz w:val="24"/>
          <w:szCs w:val="24"/>
        </w:rPr>
        <w:t xml:space="preserve"> = 12.1). Based on the binary scores of the GHQ-28, 95% of the sample posse</w:t>
      </w:r>
      <w:r w:rsidR="00D36ADB">
        <w:rPr>
          <w:rFonts w:ascii="Times New Roman" w:eastAsia="ヒラギノ角ゴ Pro W3" w:hAnsi="Times New Roman"/>
          <w:spacing w:val="-3"/>
          <w:sz w:val="24"/>
          <w:szCs w:val="24"/>
        </w:rPr>
        <w:t>s</w:t>
      </w:r>
      <w:r>
        <w:rPr>
          <w:rFonts w:ascii="Times New Roman" w:eastAsia="ヒラギノ角ゴ Pro W3" w:hAnsi="Times New Roman"/>
          <w:spacing w:val="-3"/>
          <w:sz w:val="24"/>
          <w:szCs w:val="24"/>
        </w:rPr>
        <w:t>s</w:t>
      </w:r>
      <w:r w:rsidR="00814295">
        <w:rPr>
          <w:rFonts w:ascii="Times New Roman" w:eastAsia="ヒラギノ角ゴ Pro W3" w:hAnsi="Times New Roman"/>
          <w:spacing w:val="-3"/>
          <w:sz w:val="24"/>
          <w:szCs w:val="24"/>
        </w:rPr>
        <w:t>ed</w:t>
      </w:r>
      <w:r>
        <w:rPr>
          <w:rFonts w:ascii="Times New Roman" w:eastAsia="ヒラギノ角ゴ Pro W3" w:hAnsi="Times New Roman"/>
          <w:spacing w:val="-3"/>
          <w:sz w:val="24"/>
          <w:szCs w:val="24"/>
        </w:rPr>
        <w:t xml:space="preserve"> </w:t>
      </w:r>
      <w:r w:rsidR="00814295">
        <w:rPr>
          <w:rFonts w:ascii="Times New Roman" w:eastAsia="ヒラギノ角ゴ Pro W3" w:hAnsi="Times New Roman"/>
          <w:spacing w:val="-3"/>
          <w:sz w:val="24"/>
          <w:szCs w:val="24"/>
        </w:rPr>
        <w:t>caseness.</w:t>
      </w:r>
      <w:r>
        <w:rPr>
          <w:rFonts w:ascii="Times New Roman" w:eastAsia="ヒラギノ角ゴ Pro W3" w:hAnsi="Times New Roman"/>
          <w:spacing w:val="-3"/>
          <w:sz w:val="24"/>
          <w:szCs w:val="24"/>
        </w:rPr>
        <w:t xml:space="preserve"> </w:t>
      </w:r>
    </w:p>
    <w:p w:rsidR="00197507" w:rsidRDefault="00197507" w:rsidP="003A536E">
      <w:pPr>
        <w:spacing w:after="0" w:line="480" w:lineRule="auto"/>
        <w:jc w:val="both"/>
        <w:rPr>
          <w:rFonts w:ascii="Times New Roman" w:eastAsia="ヒラギノ角ゴ Pro W3" w:hAnsi="Times New Roman"/>
          <w:spacing w:val="-3"/>
          <w:sz w:val="24"/>
          <w:szCs w:val="24"/>
        </w:rPr>
      </w:pPr>
      <w:r>
        <w:rPr>
          <w:rFonts w:ascii="Times New Roman" w:eastAsia="ヒラギノ角ゴ Pro W3" w:hAnsi="Times New Roman"/>
          <w:spacing w:val="-3"/>
          <w:sz w:val="24"/>
          <w:szCs w:val="24"/>
        </w:rPr>
        <w:t>Pearson’</w:t>
      </w:r>
      <w:r w:rsidR="00814295">
        <w:rPr>
          <w:rFonts w:ascii="Times New Roman" w:eastAsia="ヒラギノ角ゴ Pro W3" w:hAnsi="Times New Roman"/>
          <w:spacing w:val="-3"/>
          <w:sz w:val="24"/>
          <w:szCs w:val="24"/>
        </w:rPr>
        <w:t>s correlations showed moderate</w:t>
      </w:r>
      <w:r>
        <w:rPr>
          <w:rFonts w:ascii="Times New Roman" w:eastAsia="ヒラギノ角ゴ Pro W3" w:hAnsi="Times New Roman"/>
          <w:spacing w:val="-3"/>
          <w:sz w:val="24"/>
          <w:szCs w:val="24"/>
        </w:rPr>
        <w:t xml:space="preserve"> and significant negative associations between overall</w:t>
      </w:r>
      <w:r w:rsidR="00814295">
        <w:rPr>
          <w:rFonts w:ascii="Times New Roman" w:eastAsia="ヒラギノ角ゴ Pro W3" w:hAnsi="Times New Roman"/>
          <w:spacing w:val="-3"/>
          <w:sz w:val="24"/>
          <w:szCs w:val="24"/>
        </w:rPr>
        <w:t xml:space="preserve"> mental well-being and two work</w:t>
      </w:r>
      <w:r>
        <w:rPr>
          <w:rFonts w:ascii="Times New Roman" w:eastAsia="ヒラギノ角ゴ Pro W3" w:hAnsi="Times New Roman"/>
          <w:spacing w:val="-3"/>
          <w:sz w:val="24"/>
          <w:szCs w:val="24"/>
        </w:rPr>
        <w:t>ability items: mental demands (</w:t>
      </w:r>
      <w:r w:rsidRPr="00AC6D74">
        <w:rPr>
          <w:rFonts w:ascii="Times New Roman" w:eastAsia="ヒラギノ角ゴ Pro W3" w:hAnsi="Times New Roman"/>
          <w:i/>
          <w:spacing w:val="-3"/>
          <w:sz w:val="24"/>
          <w:szCs w:val="24"/>
        </w:rPr>
        <w:t>r</w:t>
      </w:r>
      <w:r>
        <w:rPr>
          <w:rFonts w:ascii="Times New Roman" w:eastAsia="ヒラギノ角ゴ Pro W3" w:hAnsi="Times New Roman"/>
          <w:spacing w:val="-3"/>
          <w:sz w:val="24"/>
          <w:szCs w:val="24"/>
        </w:rPr>
        <w:t xml:space="preserve"> = -.69; </w:t>
      </w:r>
      <w:r w:rsidRPr="00AC6D74">
        <w:rPr>
          <w:rFonts w:ascii="Times New Roman" w:eastAsia="ヒラギノ角ゴ Pro W3" w:hAnsi="Times New Roman"/>
          <w:i/>
          <w:spacing w:val="-3"/>
          <w:sz w:val="24"/>
          <w:szCs w:val="24"/>
        </w:rPr>
        <w:t>P</w:t>
      </w:r>
      <w:r>
        <w:rPr>
          <w:rFonts w:ascii="Times New Roman" w:eastAsia="ヒラギノ角ゴ Pro W3" w:hAnsi="Times New Roman"/>
          <w:spacing w:val="-3"/>
          <w:sz w:val="24"/>
          <w:szCs w:val="24"/>
        </w:rPr>
        <w:t xml:space="preserve"> &lt; 0.001) and mental resources (</w:t>
      </w:r>
      <w:r w:rsidRPr="00AC6D74">
        <w:rPr>
          <w:rFonts w:ascii="Times New Roman" w:eastAsia="ヒラギノ角ゴ Pro W3" w:hAnsi="Times New Roman"/>
          <w:i/>
          <w:spacing w:val="-3"/>
          <w:sz w:val="24"/>
          <w:szCs w:val="24"/>
        </w:rPr>
        <w:t>r</w:t>
      </w:r>
      <w:r w:rsidR="00EA769D">
        <w:rPr>
          <w:rFonts w:ascii="Times New Roman" w:eastAsia="ヒラギノ角ゴ Pro W3" w:hAnsi="Times New Roman"/>
          <w:spacing w:val="-3"/>
          <w:sz w:val="24"/>
          <w:szCs w:val="24"/>
        </w:rPr>
        <w:t xml:space="preserve"> = -.64</w:t>
      </w:r>
      <w:r>
        <w:rPr>
          <w:rFonts w:ascii="Times New Roman" w:eastAsia="ヒラギノ角ゴ Pro W3" w:hAnsi="Times New Roman"/>
          <w:spacing w:val="-3"/>
          <w:sz w:val="24"/>
          <w:szCs w:val="24"/>
        </w:rPr>
        <w:t xml:space="preserve">; </w:t>
      </w:r>
      <w:r w:rsidRPr="00AC6D74">
        <w:rPr>
          <w:rFonts w:ascii="Times New Roman" w:eastAsia="ヒラギノ角ゴ Pro W3" w:hAnsi="Times New Roman"/>
          <w:i/>
          <w:spacing w:val="-3"/>
          <w:sz w:val="24"/>
          <w:szCs w:val="24"/>
        </w:rPr>
        <w:t>P</w:t>
      </w:r>
      <w:r>
        <w:rPr>
          <w:rFonts w:ascii="Times New Roman" w:eastAsia="ヒラギノ角ゴ Pro W3" w:hAnsi="Times New Roman"/>
          <w:spacing w:val="-3"/>
          <w:sz w:val="24"/>
          <w:szCs w:val="24"/>
        </w:rPr>
        <w:t xml:space="preserve"> &lt;0.001). Mental well-being </w:t>
      </w:r>
      <w:r w:rsidR="00814295">
        <w:rPr>
          <w:rFonts w:ascii="Times New Roman" w:eastAsia="ヒラギノ角ゴ Pro W3" w:hAnsi="Times New Roman"/>
          <w:spacing w:val="-3"/>
          <w:sz w:val="24"/>
          <w:szCs w:val="24"/>
        </w:rPr>
        <w:t>(</w:t>
      </w:r>
      <w:r>
        <w:rPr>
          <w:rFonts w:ascii="Times New Roman" w:eastAsia="ヒラギノ角ゴ Pro W3" w:hAnsi="Times New Roman"/>
          <w:spacing w:val="-3"/>
          <w:sz w:val="24"/>
          <w:szCs w:val="24"/>
        </w:rPr>
        <w:t xml:space="preserve">as </w:t>
      </w:r>
      <w:r w:rsidR="00814295">
        <w:rPr>
          <w:rFonts w:ascii="Times New Roman" w:eastAsia="ヒラギノ角ゴ Pro W3" w:hAnsi="Times New Roman"/>
          <w:spacing w:val="-3"/>
          <w:sz w:val="24"/>
          <w:szCs w:val="24"/>
        </w:rPr>
        <w:t>an</w:t>
      </w:r>
      <w:r>
        <w:rPr>
          <w:rFonts w:ascii="Times New Roman" w:eastAsia="ヒラギノ角ゴ Pro W3" w:hAnsi="Times New Roman"/>
          <w:spacing w:val="-3"/>
          <w:sz w:val="24"/>
          <w:szCs w:val="24"/>
        </w:rPr>
        <w:t xml:space="preserve"> outcome variable</w:t>
      </w:r>
      <w:r w:rsidR="00814295">
        <w:rPr>
          <w:rFonts w:ascii="Times New Roman" w:eastAsia="ヒラギノ角ゴ Pro W3" w:hAnsi="Times New Roman"/>
          <w:spacing w:val="-3"/>
          <w:sz w:val="24"/>
          <w:szCs w:val="24"/>
        </w:rPr>
        <w:t>)</w:t>
      </w:r>
      <w:r>
        <w:rPr>
          <w:rFonts w:ascii="Times New Roman" w:eastAsia="ヒラギノ角ゴ Pro W3" w:hAnsi="Times New Roman"/>
          <w:spacing w:val="-3"/>
          <w:sz w:val="24"/>
          <w:szCs w:val="24"/>
        </w:rPr>
        <w:t xml:space="preserve"> was regressed with mental demands and mental resources as predictor variables</w:t>
      </w:r>
      <w:r w:rsidR="00814295">
        <w:rPr>
          <w:rFonts w:ascii="Times New Roman" w:eastAsia="ヒラギノ角ゴ Pro W3" w:hAnsi="Times New Roman"/>
          <w:spacing w:val="-3"/>
          <w:sz w:val="24"/>
          <w:szCs w:val="24"/>
        </w:rPr>
        <w:t>; a</w:t>
      </w:r>
      <w:r>
        <w:rPr>
          <w:rFonts w:ascii="Times New Roman" w:eastAsia="ヒラギノ角ゴ Pro W3" w:hAnsi="Times New Roman"/>
          <w:spacing w:val="-3"/>
          <w:sz w:val="24"/>
          <w:szCs w:val="24"/>
        </w:rPr>
        <w:t xml:space="preserve"> highly significant model emerged (</w:t>
      </w:r>
      <w:r w:rsidRPr="00616DFA">
        <w:rPr>
          <w:rFonts w:ascii="Times New Roman" w:eastAsia="ヒラギノ角ゴ Pro W3" w:hAnsi="Times New Roman"/>
          <w:i/>
          <w:spacing w:val="-3"/>
          <w:sz w:val="24"/>
          <w:szCs w:val="24"/>
        </w:rPr>
        <w:t>F</w:t>
      </w:r>
      <w:r w:rsidR="00EA769D">
        <w:rPr>
          <w:rFonts w:ascii="Times New Roman" w:eastAsia="ヒラギノ角ゴ Pro W3" w:hAnsi="Times New Roman"/>
          <w:spacing w:val="-3"/>
          <w:sz w:val="24"/>
          <w:szCs w:val="24"/>
        </w:rPr>
        <w:t xml:space="preserve"> = 34.13</w:t>
      </w:r>
      <w:r>
        <w:rPr>
          <w:rFonts w:ascii="Times New Roman" w:eastAsia="ヒラギノ角ゴ Pro W3" w:hAnsi="Times New Roman"/>
          <w:spacing w:val="-3"/>
          <w:sz w:val="24"/>
          <w:szCs w:val="24"/>
        </w:rPr>
        <w:t xml:space="preserve">, </w:t>
      </w:r>
      <w:r w:rsidRPr="00616DFA">
        <w:rPr>
          <w:rFonts w:ascii="Times New Roman" w:eastAsia="ヒラギノ角ゴ Pro W3" w:hAnsi="Times New Roman"/>
          <w:i/>
          <w:spacing w:val="-3"/>
          <w:sz w:val="24"/>
          <w:szCs w:val="24"/>
        </w:rPr>
        <w:t>P</w:t>
      </w:r>
      <w:r>
        <w:rPr>
          <w:rFonts w:ascii="Times New Roman" w:eastAsia="ヒラギノ角ゴ Pro W3" w:hAnsi="Times New Roman"/>
          <w:spacing w:val="-3"/>
          <w:sz w:val="24"/>
          <w:szCs w:val="24"/>
        </w:rPr>
        <w:t xml:space="preserve"> &lt; 0.001). Th</w:t>
      </w:r>
      <w:r w:rsidR="009D48D5">
        <w:rPr>
          <w:rFonts w:ascii="Times New Roman" w:eastAsia="ヒラギノ角ゴ Pro W3" w:hAnsi="Times New Roman"/>
          <w:spacing w:val="-3"/>
          <w:sz w:val="24"/>
          <w:szCs w:val="24"/>
        </w:rPr>
        <w:t>is</w:t>
      </w:r>
      <w:r w:rsidR="00EA769D">
        <w:rPr>
          <w:rFonts w:ascii="Times New Roman" w:eastAsia="ヒラギノ角ゴ Pro W3" w:hAnsi="Times New Roman"/>
          <w:spacing w:val="-3"/>
          <w:sz w:val="24"/>
          <w:szCs w:val="24"/>
        </w:rPr>
        <w:t xml:space="preserve"> explained 56</w:t>
      </w:r>
      <w:r>
        <w:rPr>
          <w:rFonts w:ascii="Times New Roman" w:eastAsia="ヒラギノ角ゴ Pro W3" w:hAnsi="Times New Roman"/>
          <w:spacing w:val="-3"/>
          <w:sz w:val="24"/>
          <w:szCs w:val="24"/>
        </w:rPr>
        <w:t>% of the variance in overall men</w:t>
      </w:r>
      <w:r w:rsidR="00EA769D">
        <w:rPr>
          <w:rFonts w:ascii="Times New Roman" w:eastAsia="ヒラギノ角ゴ Pro W3" w:hAnsi="Times New Roman"/>
          <w:spacing w:val="-3"/>
          <w:sz w:val="24"/>
          <w:szCs w:val="24"/>
        </w:rPr>
        <w:t>tal well-being. Mental demands</w:t>
      </w:r>
      <w:r>
        <w:rPr>
          <w:rFonts w:ascii="Times New Roman" w:eastAsia="ヒラギノ角ゴ Pro W3" w:hAnsi="Times New Roman"/>
          <w:spacing w:val="-3"/>
          <w:sz w:val="24"/>
          <w:szCs w:val="24"/>
        </w:rPr>
        <w:t xml:space="preserve"> (</w:t>
      </w:r>
      <w:r w:rsidRPr="00BE7423">
        <w:rPr>
          <w:rFonts w:ascii="Times New Roman" w:eastAsia="ヒラギノ角ゴ Pro W3" w:hAnsi="Times New Roman"/>
          <w:i/>
          <w:spacing w:val="-3"/>
          <w:sz w:val="24"/>
          <w:szCs w:val="24"/>
        </w:rPr>
        <w:t>β</w:t>
      </w:r>
      <w:r w:rsidR="00EA769D">
        <w:rPr>
          <w:rFonts w:ascii="Times New Roman" w:eastAsia="ヒラギノ角ゴ Pro W3" w:hAnsi="Times New Roman"/>
          <w:spacing w:val="-3"/>
          <w:sz w:val="24"/>
          <w:szCs w:val="24"/>
        </w:rPr>
        <w:t xml:space="preserve"> = -.49</w:t>
      </w:r>
      <w:r>
        <w:rPr>
          <w:rFonts w:ascii="Times New Roman" w:eastAsia="ヒラギノ角ゴ Pro W3" w:hAnsi="Times New Roman"/>
          <w:spacing w:val="-3"/>
          <w:sz w:val="24"/>
          <w:szCs w:val="24"/>
        </w:rPr>
        <w:t xml:space="preserve">, </w:t>
      </w:r>
      <w:r w:rsidRPr="00C46924">
        <w:rPr>
          <w:rFonts w:ascii="Times New Roman" w:eastAsia="ヒラギノ角ゴ Pro W3" w:hAnsi="Times New Roman"/>
          <w:i/>
          <w:spacing w:val="-3"/>
          <w:sz w:val="24"/>
          <w:szCs w:val="24"/>
        </w:rPr>
        <w:t>t</w:t>
      </w:r>
      <w:r w:rsidR="00EA769D">
        <w:rPr>
          <w:rFonts w:ascii="Times New Roman" w:eastAsia="ヒラギノ角ゴ Pro W3" w:hAnsi="Times New Roman"/>
          <w:spacing w:val="-3"/>
          <w:sz w:val="24"/>
          <w:szCs w:val="24"/>
        </w:rPr>
        <w:t xml:space="preserve"> = -4</w:t>
      </w:r>
      <w:r>
        <w:rPr>
          <w:rFonts w:ascii="Times New Roman" w:eastAsia="ヒラギノ角ゴ Pro W3" w:hAnsi="Times New Roman"/>
          <w:spacing w:val="-3"/>
          <w:sz w:val="24"/>
          <w:szCs w:val="24"/>
        </w:rPr>
        <w:t>.4</w:t>
      </w:r>
      <w:r w:rsidR="00EA769D">
        <w:rPr>
          <w:rFonts w:ascii="Times New Roman" w:eastAsia="ヒラギノ角ゴ Pro W3" w:hAnsi="Times New Roman"/>
          <w:spacing w:val="-3"/>
          <w:sz w:val="24"/>
          <w:szCs w:val="24"/>
        </w:rPr>
        <w:t>2</w:t>
      </w:r>
      <w:r>
        <w:rPr>
          <w:rFonts w:ascii="Times New Roman" w:eastAsia="ヒラギノ角ゴ Pro W3" w:hAnsi="Times New Roman"/>
          <w:spacing w:val="-3"/>
          <w:sz w:val="24"/>
          <w:szCs w:val="24"/>
        </w:rPr>
        <w:t xml:space="preserve">, </w:t>
      </w:r>
      <w:r w:rsidRPr="000716E8">
        <w:rPr>
          <w:rFonts w:ascii="Times New Roman" w:eastAsia="ヒラギノ角ゴ Pro W3" w:hAnsi="Times New Roman"/>
          <w:i/>
          <w:spacing w:val="-3"/>
          <w:sz w:val="24"/>
          <w:szCs w:val="24"/>
        </w:rPr>
        <w:t>P</w:t>
      </w:r>
      <w:r>
        <w:rPr>
          <w:rFonts w:ascii="Times New Roman" w:eastAsia="ヒラギノ角ゴ Pro W3" w:hAnsi="Times New Roman"/>
          <w:spacing w:val="-3"/>
          <w:sz w:val="24"/>
          <w:szCs w:val="24"/>
        </w:rPr>
        <w:t xml:space="preserve"> &lt; 0.0</w:t>
      </w:r>
      <w:r w:rsidR="00EA769D">
        <w:rPr>
          <w:rFonts w:ascii="Times New Roman" w:eastAsia="ヒラギノ角ゴ Pro W3" w:hAnsi="Times New Roman"/>
          <w:spacing w:val="-3"/>
          <w:sz w:val="24"/>
          <w:szCs w:val="24"/>
        </w:rPr>
        <w:t>0</w:t>
      </w:r>
      <w:r>
        <w:rPr>
          <w:rFonts w:ascii="Times New Roman" w:eastAsia="ヒラギノ角ゴ Pro W3" w:hAnsi="Times New Roman"/>
          <w:spacing w:val="-3"/>
          <w:sz w:val="24"/>
          <w:szCs w:val="24"/>
        </w:rPr>
        <w:t>1) was the most influential predi</w:t>
      </w:r>
      <w:r w:rsidR="00EA769D">
        <w:rPr>
          <w:rFonts w:ascii="Times New Roman" w:eastAsia="ヒラギノ角ゴ Pro W3" w:hAnsi="Times New Roman"/>
          <w:spacing w:val="-3"/>
          <w:sz w:val="24"/>
          <w:szCs w:val="24"/>
        </w:rPr>
        <w:t>ctor, followed by mental resources</w:t>
      </w:r>
      <w:r>
        <w:rPr>
          <w:rFonts w:ascii="Times New Roman" w:eastAsia="ヒラギノ角ゴ Pro W3" w:hAnsi="Times New Roman"/>
          <w:spacing w:val="-3"/>
          <w:sz w:val="24"/>
          <w:szCs w:val="24"/>
        </w:rPr>
        <w:t xml:space="preserve"> (</w:t>
      </w:r>
      <w:r w:rsidRPr="00BE7423">
        <w:rPr>
          <w:rFonts w:ascii="Times New Roman" w:eastAsia="ヒラギノ角ゴ Pro W3" w:hAnsi="Times New Roman"/>
          <w:i/>
          <w:spacing w:val="-3"/>
          <w:sz w:val="24"/>
          <w:szCs w:val="24"/>
        </w:rPr>
        <w:t>β</w:t>
      </w:r>
      <w:r w:rsidR="00EA769D">
        <w:rPr>
          <w:rFonts w:ascii="Times New Roman" w:eastAsia="ヒラギノ角ゴ Pro W3" w:hAnsi="Times New Roman"/>
          <w:spacing w:val="-3"/>
          <w:sz w:val="24"/>
          <w:szCs w:val="24"/>
        </w:rPr>
        <w:t xml:space="preserve"> = -.36</w:t>
      </w:r>
      <w:r>
        <w:rPr>
          <w:rFonts w:ascii="Times New Roman" w:eastAsia="ヒラギノ角ゴ Pro W3" w:hAnsi="Times New Roman"/>
          <w:spacing w:val="-3"/>
          <w:sz w:val="24"/>
          <w:szCs w:val="24"/>
        </w:rPr>
        <w:t xml:space="preserve">, </w:t>
      </w:r>
      <w:r w:rsidRPr="00C46924">
        <w:rPr>
          <w:rFonts w:ascii="Times New Roman" w:eastAsia="ヒラギノ角ゴ Pro W3" w:hAnsi="Times New Roman"/>
          <w:i/>
          <w:spacing w:val="-3"/>
          <w:sz w:val="24"/>
          <w:szCs w:val="24"/>
        </w:rPr>
        <w:t>t</w:t>
      </w:r>
      <w:r>
        <w:rPr>
          <w:rFonts w:ascii="Times New Roman" w:eastAsia="ヒラギノ角ゴ Pro W3" w:hAnsi="Times New Roman"/>
          <w:spacing w:val="-3"/>
          <w:sz w:val="24"/>
          <w:szCs w:val="24"/>
        </w:rPr>
        <w:t xml:space="preserve"> = -3.2</w:t>
      </w:r>
      <w:r w:rsidR="00EA769D">
        <w:rPr>
          <w:rFonts w:ascii="Times New Roman" w:eastAsia="ヒラギノ角ゴ Pro W3" w:hAnsi="Times New Roman"/>
          <w:spacing w:val="-3"/>
          <w:sz w:val="24"/>
          <w:szCs w:val="24"/>
        </w:rPr>
        <w:t>9</w:t>
      </w:r>
      <w:r>
        <w:rPr>
          <w:rFonts w:ascii="Times New Roman" w:eastAsia="ヒラギノ角ゴ Pro W3" w:hAnsi="Times New Roman"/>
          <w:spacing w:val="-3"/>
          <w:sz w:val="24"/>
          <w:szCs w:val="24"/>
        </w:rPr>
        <w:t xml:space="preserve">, </w:t>
      </w:r>
      <w:r w:rsidRPr="00C46924">
        <w:rPr>
          <w:rFonts w:ascii="Times New Roman" w:eastAsia="ヒラギノ角ゴ Pro W3" w:hAnsi="Times New Roman"/>
          <w:i/>
          <w:spacing w:val="-3"/>
          <w:sz w:val="24"/>
          <w:szCs w:val="24"/>
        </w:rPr>
        <w:t>P</w:t>
      </w:r>
      <w:r w:rsidR="00EA769D">
        <w:rPr>
          <w:rFonts w:ascii="Times New Roman" w:eastAsia="ヒラギノ角ゴ Pro W3" w:hAnsi="Times New Roman"/>
          <w:spacing w:val="-3"/>
          <w:sz w:val="24"/>
          <w:szCs w:val="24"/>
        </w:rPr>
        <w:t xml:space="preserve"> &lt; 0.05</w:t>
      </w:r>
      <w:r>
        <w:rPr>
          <w:rFonts w:ascii="Times New Roman" w:eastAsia="ヒラギノ角ゴ Pro W3" w:hAnsi="Times New Roman"/>
          <w:spacing w:val="-3"/>
          <w:sz w:val="24"/>
          <w:szCs w:val="24"/>
        </w:rPr>
        <w:t>).</w:t>
      </w:r>
    </w:p>
    <w:p w:rsidR="00222F4A" w:rsidRDefault="00197507" w:rsidP="003A536E">
      <w:pPr>
        <w:spacing w:line="480" w:lineRule="auto"/>
        <w:jc w:val="both"/>
        <w:rPr>
          <w:rFonts w:ascii="Times New Roman" w:eastAsia="ヒラギノ角ゴ Pro W3" w:hAnsi="Times New Roman"/>
          <w:spacing w:val="-3"/>
          <w:sz w:val="24"/>
          <w:szCs w:val="24"/>
        </w:rPr>
      </w:pPr>
      <w:r>
        <w:rPr>
          <w:rFonts w:ascii="Times New Roman" w:eastAsia="ヒラギノ角ゴ Pro W3" w:hAnsi="Times New Roman"/>
          <w:spacing w:val="-3"/>
          <w:sz w:val="24"/>
          <w:szCs w:val="24"/>
        </w:rPr>
        <w:t xml:space="preserve">Correlations between </w:t>
      </w:r>
      <w:r w:rsidR="00F126C1">
        <w:rPr>
          <w:rFonts w:ascii="Times New Roman" w:eastAsia="ヒラギノ角ゴ Pro W3" w:hAnsi="Times New Roman"/>
          <w:spacing w:val="-3"/>
          <w:sz w:val="24"/>
          <w:szCs w:val="24"/>
        </w:rPr>
        <w:t>mental demands</w:t>
      </w:r>
      <w:r w:rsidR="009D48D5">
        <w:rPr>
          <w:rFonts w:ascii="Times New Roman" w:eastAsia="ヒラギノ角ゴ Pro W3" w:hAnsi="Times New Roman"/>
          <w:spacing w:val="-3"/>
          <w:sz w:val="24"/>
          <w:szCs w:val="24"/>
        </w:rPr>
        <w:t>,</w:t>
      </w:r>
      <w:r w:rsidR="00F126C1">
        <w:rPr>
          <w:rFonts w:ascii="Times New Roman" w:eastAsia="ヒラギノ角ゴ Pro W3" w:hAnsi="Times New Roman"/>
          <w:spacing w:val="-3"/>
          <w:sz w:val="24"/>
          <w:szCs w:val="24"/>
        </w:rPr>
        <w:t xml:space="preserve"> mental resources and GHQ sub-scales </w:t>
      </w:r>
      <w:r w:rsidR="009D48D5">
        <w:rPr>
          <w:rFonts w:ascii="Times New Roman" w:eastAsia="ヒラギノ角ゴ Pro W3" w:hAnsi="Times New Roman"/>
          <w:spacing w:val="-3"/>
          <w:sz w:val="24"/>
          <w:szCs w:val="24"/>
        </w:rPr>
        <w:t>showed</w:t>
      </w:r>
      <w:r w:rsidR="00F126C1">
        <w:rPr>
          <w:rFonts w:ascii="Times New Roman" w:eastAsia="ヒラギノ角ゴ Pro W3" w:hAnsi="Times New Roman"/>
          <w:spacing w:val="-3"/>
          <w:sz w:val="24"/>
          <w:szCs w:val="24"/>
        </w:rPr>
        <w:t xml:space="preserve"> somatic and anxiety symptoms correlated at the </w:t>
      </w:r>
      <w:r w:rsidR="00F126C1" w:rsidRPr="008A70A4">
        <w:rPr>
          <w:rFonts w:ascii="Times New Roman" w:eastAsia="ヒラギノ角ゴ Pro W3" w:hAnsi="Times New Roman"/>
          <w:i/>
          <w:spacing w:val="-3"/>
          <w:sz w:val="24"/>
          <w:szCs w:val="24"/>
        </w:rPr>
        <w:t>P</w:t>
      </w:r>
      <w:r w:rsidR="00F126C1">
        <w:rPr>
          <w:rFonts w:ascii="Times New Roman" w:eastAsia="ヒラギノ角ゴ Pro W3" w:hAnsi="Times New Roman"/>
          <w:spacing w:val="-3"/>
          <w:sz w:val="24"/>
          <w:szCs w:val="24"/>
        </w:rPr>
        <w:t xml:space="preserve"> &lt;0.001 level. </w:t>
      </w:r>
      <w:r>
        <w:rPr>
          <w:rFonts w:ascii="Times New Roman" w:eastAsia="ヒラギノ角ゴ Pro W3" w:hAnsi="Times New Roman"/>
          <w:spacing w:val="-3"/>
          <w:sz w:val="24"/>
          <w:szCs w:val="24"/>
        </w:rPr>
        <w:t>Table 1 shows the linear regression analysis between mental demands and mental resources as predictor variables and somatic symptoms and anxiety as separate outcome variables. Mental demands a</w:t>
      </w:r>
      <w:r w:rsidR="00947B64">
        <w:rPr>
          <w:rFonts w:ascii="Times New Roman" w:eastAsia="ヒラギノ角ゴ Pro W3" w:hAnsi="Times New Roman"/>
          <w:spacing w:val="-3"/>
          <w:sz w:val="24"/>
          <w:szCs w:val="24"/>
        </w:rPr>
        <w:t xml:space="preserve">nd mental resources </w:t>
      </w:r>
      <w:r w:rsidR="00947B64">
        <w:rPr>
          <w:rFonts w:ascii="Times New Roman" w:eastAsia="ヒラギノ角ゴ Pro W3" w:hAnsi="Times New Roman"/>
          <w:spacing w:val="-3"/>
          <w:sz w:val="24"/>
          <w:szCs w:val="24"/>
        </w:rPr>
        <w:lastRenderedPageBreak/>
        <w:t>explained 43</w:t>
      </w:r>
      <w:r>
        <w:rPr>
          <w:rFonts w:ascii="Times New Roman" w:eastAsia="ヒラギノ角ゴ Pro W3" w:hAnsi="Times New Roman"/>
          <w:spacing w:val="-3"/>
          <w:sz w:val="24"/>
          <w:szCs w:val="24"/>
        </w:rPr>
        <w:t>% of the variance in GHQ</w:t>
      </w:r>
      <w:r w:rsidR="009D48D5">
        <w:rPr>
          <w:rFonts w:ascii="Times New Roman" w:eastAsia="ヒラギノ角ゴ Pro W3" w:hAnsi="Times New Roman"/>
          <w:spacing w:val="-3"/>
          <w:sz w:val="24"/>
          <w:szCs w:val="24"/>
        </w:rPr>
        <w:t xml:space="preserve"> </w:t>
      </w:r>
      <w:r>
        <w:rPr>
          <w:rFonts w:ascii="Times New Roman" w:eastAsia="ヒラギノ角ゴ Pro W3" w:hAnsi="Times New Roman"/>
          <w:spacing w:val="-3"/>
          <w:sz w:val="24"/>
          <w:szCs w:val="24"/>
        </w:rPr>
        <w:t>somatic symptom</w:t>
      </w:r>
      <w:r w:rsidR="009D48D5">
        <w:rPr>
          <w:rFonts w:ascii="Times New Roman" w:eastAsia="ヒラギノ角ゴ Pro W3" w:hAnsi="Times New Roman"/>
          <w:spacing w:val="-3"/>
          <w:sz w:val="24"/>
          <w:szCs w:val="24"/>
        </w:rPr>
        <w:t>s</w:t>
      </w:r>
      <w:r>
        <w:rPr>
          <w:rFonts w:ascii="Times New Roman" w:eastAsia="ヒラギノ角ゴ Pro W3" w:hAnsi="Times New Roman"/>
          <w:spacing w:val="-3"/>
          <w:sz w:val="24"/>
          <w:szCs w:val="24"/>
        </w:rPr>
        <w:t xml:space="preserve"> (</w:t>
      </w:r>
      <w:r w:rsidRPr="004631AE">
        <w:rPr>
          <w:rFonts w:ascii="Times New Roman" w:eastAsia="ヒラギノ角ゴ Pro W3" w:hAnsi="Times New Roman"/>
          <w:i/>
          <w:spacing w:val="-3"/>
          <w:sz w:val="24"/>
          <w:szCs w:val="24"/>
        </w:rPr>
        <w:t>F</w:t>
      </w:r>
      <w:r w:rsidR="00947B64">
        <w:rPr>
          <w:rFonts w:ascii="Times New Roman" w:eastAsia="ヒラギノ角ゴ Pro W3" w:hAnsi="Times New Roman"/>
          <w:spacing w:val="-3"/>
          <w:sz w:val="24"/>
          <w:szCs w:val="24"/>
        </w:rPr>
        <w:t xml:space="preserve"> = 20.57</w:t>
      </w:r>
      <w:r>
        <w:rPr>
          <w:rFonts w:ascii="Times New Roman" w:eastAsia="ヒラギノ角ゴ Pro W3" w:hAnsi="Times New Roman"/>
          <w:spacing w:val="-3"/>
          <w:sz w:val="24"/>
          <w:szCs w:val="24"/>
        </w:rPr>
        <w:t xml:space="preserve">, </w:t>
      </w:r>
      <w:r w:rsidRPr="004631AE">
        <w:rPr>
          <w:rFonts w:ascii="Times New Roman" w:eastAsia="ヒラギノ角ゴ Pro W3" w:hAnsi="Times New Roman"/>
          <w:i/>
          <w:spacing w:val="-3"/>
          <w:sz w:val="24"/>
          <w:szCs w:val="24"/>
        </w:rPr>
        <w:t>P</w:t>
      </w:r>
      <w:r w:rsidR="00222F4A">
        <w:rPr>
          <w:rFonts w:ascii="Times New Roman" w:eastAsia="ヒラギノ角ゴ Pro W3" w:hAnsi="Times New Roman"/>
          <w:spacing w:val="-3"/>
          <w:sz w:val="24"/>
          <w:szCs w:val="24"/>
        </w:rPr>
        <w:t xml:space="preserve"> &lt; 0.001)</w:t>
      </w:r>
      <w:r w:rsidR="00947B64">
        <w:rPr>
          <w:rFonts w:ascii="Times New Roman" w:eastAsia="ヒラギノ角ゴ Pro W3" w:hAnsi="Times New Roman"/>
          <w:spacing w:val="-3"/>
          <w:sz w:val="24"/>
          <w:szCs w:val="24"/>
        </w:rPr>
        <w:t xml:space="preserve"> and 48</w:t>
      </w:r>
      <w:r w:rsidR="008A70A4">
        <w:rPr>
          <w:rFonts w:ascii="Times New Roman" w:eastAsia="ヒラギノ角ゴ Pro W3" w:hAnsi="Times New Roman"/>
          <w:spacing w:val="-3"/>
          <w:sz w:val="24"/>
          <w:szCs w:val="24"/>
        </w:rPr>
        <w:t>% of the variance in GHQ</w:t>
      </w:r>
      <w:r w:rsidR="009D48D5">
        <w:rPr>
          <w:rFonts w:ascii="Times New Roman" w:eastAsia="ヒラギノ角ゴ Pro W3" w:hAnsi="Times New Roman"/>
          <w:spacing w:val="-3"/>
          <w:sz w:val="24"/>
          <w:szCs w:val="24"/>
        </w:rPr>
        <w:t xml:space="preserve"> </w:t>
      </w:r>
      <w:r w:rsidR="008A70A4">
        <w:rPr>
          <w:rFonts w:ascii="Times New Roman" w:eastAsia="ヒラギノ角ゴ Pro W3" w:hAnsi="Times New Roman"/>
          <w:spacing w:val="-3"/>
          <w:sz w:val="24"/>
          <w:szCs w:val="24"/>
        </w:rPr>
        <w:t>anxiety (</w:t>
      </w:r>
      <w:r w:rsidR="008A70A4" w:rsidRPr="0054206E">
        <w:rPr>
          <w:rFonts w:ascii="Times New Roman" w:eastAsia="ヒラギノ角ゴ Pro W3" w:hAnsi="Times New Roman"/>
          <w:i/>
          <w:spacing w:val="-3"/>
          <w:sz w:val="24"/>
          <w:szCs w:val="24"/>
        </w:rPr>
        <w:t>F</w:t>
      </w:r>
      <w:r w:rsidR="00947B64">
        <w:rPr>
          <w:rFonts w:ascii="Times New Roman" w:eastAsia="ヒラギノ角ゴ Pro W3" w:hAnsi="Times New Roman"/>
          <w:spacing w:val="-3"/>
          <w:sz w:val="24"/>
          <w:szCs w:val="24"/>
        </w:rPr>
        <w:t xml:space="preserve"> = 25.73</w:t>
      </w:r>
      <w:r w:rsidR="008A70A4">
        <w:rPr>
          <w:rFonts w:ascii="Times New Roman" w:eastAsia="ヒラギノ角ゴ Pro W3" w:hAnsi="Times New Roman"/>
          <w:spacing w:val="-3"/>
          <w:sz w:val="24"/>
          <w:szCs w:val="24"/>
        </w:rPr>
        <w:t xml:space="preserve">, </w:t>
      </w:r>
      <w:r w:rsidR="008A70A4" w:rsidRPr="0054206E">
        <w:rPr>
          <w:rFonts w:ascii="Times New Roman" w:eastAsia="ヒラギノ角ゴ Pro W3" w:hAnsi="Times New Roman"/>
          <w:i/>
          <w:spacing w:val="-3"/>
          <w:sz w:val="24"/>
          <w:szCs w:val="24"/>
        </w:rPr>
        <w:t>P</w:t>
      </w:r>
      <w:r w:rsidR="008A70A4">
        <w:rPr>
          <w:rFonts w:ascii="Times New Roman" w:eastAsia="ヒラギノ角ゴ Pro W3" w:hAnsi="Times New Roman"/>
          <w:spacing w:val="-3"/>
          <w:sz w:val="24"/>
          <w:szCs w:val="24"/>
        </w:rPr>
        <w:t xml:space="preserve"> &lt; 0.001). </w:t>
      </w:r>
      <w:r w:rsidR="009D48D5">
        <w:rPr>
          <w:rFonts w:ascii="Times New Roman" w:eastAsia="ヒラギノ角ゴ Pro W3" w:hAnsi="Times New Roman"/>
          <w:spacing w:val="-3"/>
          <w:sz w:val="24"/>
          <w:szCs w:val="24"/>
        </w:rPr>
        <w:t>Mental resources had</w:t>
      </w:r>
      <w:r w:rsidR="002A7698">
        <w:rPr>
          <w:rFonts w:ascii="Times New Roman" w:eastAsia="ヒラギノ角ゴ Pro W3" w:hAnsi="Times New Roman"/>
          <w:spacing w:val="-3"/>
          <w:sz w:val="24"/>
          <w:szCs w:val="24"/>
        </w:rPr>
        <w:t xml:space="preserve"> significant association</w:t>
      </w:r>
      <w:r w:rsidR="009D48D5">
        <w:rPr>
          <w:rFonts w:ascii="Times New Roman" w:eastAsia="ヒラギノ角ゴ Pro W3" w:hAnsi="Times New Roman"/>
          <w:spacing w:val="-3"/>
          <w:sz w:val="24"/>
          <w:szCs w:val="24"/>
        </w:rPr>
        <w:t xml:space="preserve">s </w:t>
      </w:r>
      <w:r w:rsidR="002A7698">
        <w:rPr>
          <w:rFonts w:ascii="Times New Roman" w:eastAsia="ヒラギノ角ゴ Pro W3" w:hAnsi="Times New Roman"/>
          <w:spacing w:val="-3"/>
          <w:sz w:val="24"/>
          <w:szCs w:val="24"/>
        </w:rPr>
        <w:t xml:space="preserve">with somatic symptoms, </w:t>
      </w:r>
      <w:r w:rsidR="009D48D5">
        <w:rPr>
          <w:rFonts w:ascii="Times New Roman" w:eastAsia="ヒラギノ角ゴ Pro W3" w:hAnsi="Times New Roman"/>
          <w:spacing w:val="-3"/>
          <w:sz w:val="24"/>
          <w:szCs w:val="24"/>
        </w:rPr>
        <w:t>especially</w:t>
      </w:r>
      <w:r w:rsidR="002A7698">
        <w:rPr>
          <w:rFonts w:ascii="Times New Roman" w:eastAsia="ヒラギノ角ゴ Pro W3" w:hAnsi="Times New Roman"/>
          <w:spacing w:val="-3"/>
          <w:sz w:val="24"/>
          <w:szCs w:val="24"/>
        </w:rPr>
        <w:t xml:space="preserve"> </w:t>
      </w:r>
      <w:r w:rsidR="009D48D5">
        <w:rPr>
          <w:rFonts w:ascii="Times New Roman" w:eastAsia="ヒラギノ角ゴ Pro W3" w:hAnsi="Times New Roman"/>
          <w:spacing w:val="-3"/>
          <w:sz w:val="24"/>
          <w:szCs w:val="24"/>
        </w:rPr>
        <w:t>“</w:t>
      </w:r>
      <w:r w:rsidR="00947B64">
        <w:rPr>
          <w:rFonts w:ascii="Times New Roman" w:eastAsia="ヒラギノ角ゴ Pro W3" w:hAnsi="Times New Roman"/>
          <w:spacing w:val="-3"/>
          <w:sz w:val="24"/>
          <w:szCs w:val="24"/>
        </w:rPr>
        <w:t>feeling run down and out of sorts</w:t>
      </w:r>
      <w:r w:rsidR="009D48D5">
        <w:rPr>
          <w:rFonts w:ascii="Times New Roman" w:eastAsia="ヒラギノ角ゴ Pro W3" w:hAnsi="Times New Roman"/>
          <w:spacing w:val="-3"/>
          <w:sz w:val="24"/>
          <w:szCs w:val="24"/>
        </w:rPr>
        <w:t>”</w:t>
      </w:r>
      <w:r w:rsidR="002A7698">
        <w:rPr>
          <w:rFonts w:ascii="Times New Roman" w:eastAsia="ヒラギノ角ゴ Pro W3" w:hAnsi="Times New Roman"/>
          <w:spacing w:val="-3"/>
          <w:sz w:val="24"/>
          <w:szCs w:val="24"/>
        </w:rPr>
        <w:t xml:space="preserve"> </w:t>
      </w:r>
      <w:r w:rsidR="008A70A4">
        <w:rPr>
          <w:rFonts w:ascii="Times New Roman" w:eastAsia="ヒラギノ角ゴ Pro W3" w:hAnsi="Times New Roman"/>
          <w:spacing w:val="-3"/>
          <w:sz w:val="24"/>
          <w:szCs w:val="24"/>
        </w:rPr>
        <w:t>(</w:t>
      </w:r>
      <w:r w:rsidR="008A70A4" w:rsidRPr="008A70A4">
        <w:rPr>
          <w:rFonts w:ascii="Times New Roman" w:eastAsia="ヒラギノ角ゴ Pro W3" w:hAnsi="Times New Roman"/>
          <w:i/>
          <w:spacing w:val="-3"/>
          <w:sz w:val="24"/>
          <w:szCs w:val="24"/>
        </w:rPr>
        <w:t>r</w:t>
      </w:r>
      <w:r w:rsidR="00947B64">
        <w:rPr>
          <w:rFonts w:ascii="Times New Roman" w:eastAsia="ヒラギノ角ゴ Pro W3" w:hAnsi="Times New Roman"/>
          <w:spacing w:val="-3"/>
          <w:sz w:val="24"/>
          <w:szCs w:val="24"/>
        </w:rPr>
        <w:t xml:space="preserve"> = -.56</w:t>
      </w:r>
      <w:r w:rsidR="008A70A4">
        <w:rPr>
          <w:rFonts w:ascii="Times New Roman" w:eastAsia="ヒラギノ角ゴ Pro W3" w:hAnsi="Times New Roman"/>
          <w:spacing w:val="-3"/>
          <w:sz w:val="24"/>
          <w:szCs w:val="24"/>
        </w:rPr>
        <w:t xml:space="preserve">, </w:t>
      </w:r>
      <w:r w:rsidR="008A70A4" w:rsidRPr="008A70A4">
        <w:rPr>
          <w:rFonts w:ascii="Times New Roman" w:eastAsia="ヒラギノ角ゴ Pro W3" w:hAnsi="Times New Roman"/>
          <w:i/>
          <w:spacing w:val="-3"/>
          <w:sz w:val="24"/>
          <w:szCs w:val="24"/>
        </w:rPr>
        <w:t>P</w:t>
      </w:r>
      <w:r w:rsidR="00E51E51">
        <w:rPr>
          <w:rFonts w:ascii="Times New Roman" w:eastAsia="ヒラギノ角ゴ Pro W3" w:hAnsi="Times New Roman"/>
          <w:i/>
          <w:spacing w:val="-3"/>
          <w:sz w:val="24"/>
          <w:szCs w:val="24"/>
        </w:rPr>
        <w:t xml:space="preserve"> </w:t>
      </w:r>
      <w:r w:rsidR="008A70A4">
        <w:rPr>
          <w:rFonts w:ascii="Times New Roman" w:eastAsia="ヒラギノ角ゴ Pro W3" w:hAnsi="Times New Roman"/>
          <w:spacing w:val="-3"/>
          <w:sz w:val="24"/>
          <w:szCs w:val="24"/>
        </w:rPr>
        <w:t>&lt;</w:t>
      </w:r>
      <w:r w:rsidR="00E51E51">
        <w:rPr>
          <w:rFonts w:ascii="Times New Roman" w:eastAsia="ヒラギノ角ゴ Pro W3" w:hAnsi="Times New Roman"/>
          <w:spacing w:val="-3"/>
          <w:sz w:val="24"/>
          <w:szCs w:val="24"/>
        </w:rPr>
        <w:t xml:space="preserve"> </w:t>
      </w:r>
      <w:r w:rsidR="008A70A4">
        <w:rPr>
          <w:rFonts w:ascii="Times New Roman" w:eastAsia="ヒラギノ角ゴ Pro W3" w:hAnsi="Times New Roman"/>
          <w:spacing w:val="-3"/>
          <w:sz w:val="24"/>
          <w:szCs w:val="24"/>
        </w:rPr>
        <w:t>0.001).</w:t>
      </w:r>
      <w:r w:rsidR="002A7698">
        <w:rPr>
          <w:rFonts w:ascii="Times New Roman" w:eastAsia="ヒラギノ角ゴ Pro W3" w:hAnsi="Times New Roman"/>
          <w:spacing w:val="-3"/>
          <w:sz w:val="24"/>
          <w:szCs w:val="24"/>
        </w:rPr>
        <w:t xml:space="preserve"> Mental dema</w:t>
      </w:r>
      <w:r w:rsidR="009D48D5">
        <w:rPr>
          <w:rFonts w:ascii="Times New Roman" w:eastAsia="ヒラギノ角ゴ Pro W3" w:hAnsi="Times New Roman"/>
          <w:spacing w:val="-3"/>
          <w:sz w:val="24"/>
          <w:szCs w:val="24"/>
        </w:rPr>
        <w:t>nds had</w:t>
      </w:r>
      <w:r w:rsidR="002A7698">
        <w:rPr>
          <w:rFonts w:ascii="Times New Roman" w:eastAsia="ヒラギノ角ゴ Pro W3" w:hAnsi="Times New Roman"/>
          <w:spacing w:val="-3"/>
          <w:sz w:val="24"/>
          <w:szCs w:val="24"/>
        </w:rPr>
        <w:t xml:space="preserve"> significant association</w:t>
      </w:r>
      <w:r w:rsidR="009D48D5">
        <w:rPr>
          <w:rFonts w:ascii="Times New Roman" w:eastAsia="ヒラギノ角ゴ Pro W3" w:hAnsi="Times New Roman"/>
          <w:spacing w:val="-3"/>
          <w:sz w:val="24"/>
          <w:szCs w:val="24"/>
        </w:rPr>
        <w:t>s</w:t>
      </w:r>
      <w:r w:rsidR="002A7698">
        <w:rPr>
          <w:rFonts w:ascii="Times New Roman" w:eastAsia="ヒラギノ角ゴ Pro W3" w:hAnsi="Times New Roman"/>
          <w:spacing w:val="-3"/>
          <w:sz w:val="24"/>
          <w:szCs w:val="24"/>
        </w:rPr>
        <w:t xml:space="preserve"> with anxiety, particularly </w:t>
      </w:r>
      <w:r w:rsidR="009D48D5">
        <w:rPr>
          <w:rFonts w:ascii="Times New Roman" w:eastAsia="ヒラギノ角ゴ Pro W3" w:hAnsi="Times New Roman"/>
          <w:spacing w:val="-3"/>
          <w:sz w:val="24"/>
          <w:szCs w:val="24"/>
        </w:rPr>
        <w:t>“</w:t>
      </w:r>
      <w:r w:rsidR="008A70A4">
        <w:rPr>
          <w:rFonts w:ascii="Times New Roman" w:eastAsia="ヒラギノ角ゴ Pro W3" w:hAnsi="Times New Roman"/>
          <w:spacing w:val="-3"/>
          <w:sz w:val="24"/>
          <w:szCs w:val="24"/>
        </w:rPr>
        <w:t>sleep</w:t>
      </w:r>
      <w:r w:rsidR="009D48D5">
        <w:rPr>
          <w:rFonts w:ascii="Times New Roman" w:eastAsia="ヒラギノ角ゴ Pro W3" w:hAnsi="Times New Roman"/>
          <w:spacing w:val="-3"/>
          <w:sz w:val="24"/>
          <w:szCs w:val="24"/>
        </w:rPr>
        <w:t xml:space="preserve"> loss”</w:t>
      </w:r>
      <w:r w:rsidR="008A70A4">
        <w:rPr>
          <w:rFonts w:ascii="Times New Roman" w:eastAsia="ヒラギノ角ゴ Pro W3" w:hAnsi="Times New Roman"/>
          <w:spacing w:val="-3"/>
          <w:sz w:val="24"/>
          <w:szCs w:val="24"/>
        </w:rPr>
        <w:t xml:space="preserve"> (</w:t>
      </w:r>
      <w:r w:rsidR="008A70A4" w:rsidRPr="00CB23F1">
        <w:rPr>
          <w:rFonts w:ascii="Times New Roman" w:eastAsia="ヒラギノ角ゴ Pro W3" w:hAnsi="Times New Roman"/>
          <w:i/>
          <w:spacing w:val="-3"/>
          <w:sz w:val="24"/>
          <w:szCs w:val="24"/>
        </w:rPr>
        <w:t>r</w:t>
      </w:r>
      <w:r w:rsidR="008A70A4">
        <w:rPr>
          <w:rFonts w:ascii="Times New Roman" w:eastAsia="ヒラギノ角ゴ Pro W3" w:hAnsi="Times New Roman"/>
          <w:spacing w:val="-3"/>
          <w:sz w:val="24"/>
          <w:szCs w:val="24"/>
        </w:rPr>
        <w:t xml:space="preserve"> = -.66, </w:t>
      </w:r>
      <w:r w:rsidR="008A70A4" w:rsidRPr="00CB23F1">
        <w:rPr>
          <w:rFonts w:ascii="Times New Roman" w:eastAsia="ヒラギノ角ゴ Pro W3" w:hAnsi="Times New Roman"/>
          <w:i/>
          <w:spacing w:val="-3"/>
          <w:sz w:val="24"/>
          <w:szCs w:val="24"/>
        </w:rPr>
        <w:t>P</w:t>
      </w:r>
      <w:r w:rsidR="00E51E51">
        <w:rPr>
          <w:rFonts w:ascii="Times New Roman" w:eastAsia="ヒラギノ角ゴ Pro W3" w:hAnsi="Times New Roman"/>
          <w:i/>
          <w:spacing w:val="-3"/>
          <w:sz w:val="24"/>
          <w:szCs w:val="24"/>
        </w:rPr>
        <w:t xml:space="preserve"> </w:t>
      </w:r>
      <w:r w:rsidR="008A70A4">
        <w:rPr>
          <w:rFonts w:ascii="Times New Roman" w:eastAsia="ヒラギノ角ゴ Pro W3" w:hAnsi="Times New Roman"/>
          <w:spacing w:val="-3"/>
          <w:sz w:val="24"/>
          <w:szCs w:val="24"/>
        </w:rPr>
        <w:t>&lt;</w:t>
      </w:r>
      <w:r w:rsidR="00E51E51">
        <w:rPr>
          <w:rFonts w:ascii="Times New Roman" w:eastAsia="ヒラギノ角ゴ Pro W3" w:hAnsi="Times New Roman"/>
          <w:spacing w:val="-3"/>
          <w:sz w:val="24"/>
          <w:szCs w:val="24"/>
        </w:rPr>
        <w:t xml:space="preserve"> </w:t>
      </w:r>
      <w:r w:rsidR="008A70A4">
        <w:rPr>
          <w:rFonts w:ascii="Times New Roman" w:eastAsia="ヒラギノ角ゴ Pro W3" w:hAnsi="Times New Roman"/>
          <w:spacing w:val="-3"/>
          <w:sz w:val="24"/>
          <w:szCs w:val="24"/>
        </w:rPr>
        <w:t>0.001)</w:t>
      </w:r>
      <w:r w:rsidR="002A7698">
        <w:rPr>
          <w:rFonts w:ascii="Times New Roman" w:eastAsia="ヒラギノ角ゴ Pro W3" w:hAnsi="Times New Roman"/>
          <w:spacing w:val="-3"/>
          <w:sz w:val="24"/>
          <w:szCs w:val="24"/>
        </w:rPr>
        <w:t>.</w:t>
      </w:r>
      <w:r w:rsidR="008A70A4">
        <w:rPr>
          <w:rFonts w:ascii="Times New Roman" w:eastAsia="ヒラギノ角ゴ Pro W3" w:hAnsi="Times New Roman"/>
          <w:spacing w:val="-3"/>
          <w:sz w:val="24"/>
          <w:szCs w:val="24"/>
        </w:rPr>
        <w:t xml:space="preserve"> </w:t>
      </w:r>
    </w:p>
    <w:p w:rsidR="00197507" w:rsidRPr="002A7698" w:rsidRDefault="00197507" w:rsidP="002A7698">
      <w:pPr>
        <w:spacing w:line="480" w:lineRule="auto"/>
        <w:jc w:val="both"/>
        <w:rPr>
          <w:rFonts w:ascii="Times New Roman" w:eastAsia="ヒラギノ角ゴ Pro W3" w:hAnsi="Times New Roman"/>
          <w:spacing w:val="-3"/>
          <w:sz w:val="24"/>
          <w:szCs w:val="24"/>
        </w:rPr>
      </w:pPr>
      <w:r>
        <w:rPr>
          <w:rFonts w:ascii="Times New Roman" w:eastAsia="ヒラギノ角ゴ Pro W3" w:hAnsi="Times New Roman"/>
          <w:spacing w:val="-3"/>
          <w:sz w:val="24"/>
          <w:szCs w:val="24"/>
        </w:rPr>
        <w:t xml:space="preserve">ANOVA (Table 2) revealed there was a significant difference in </w:t>
      </w:r>
      <w:r w:rsidR="009D48D5">
        <w:rPr>
          <w:rFonts w:ascii="Times New Roman" w:eastAsia="ヒラギノ角ゴ Pro W3" w:hAnsi="Times New Roman"/>
          <w:spacing w:val="-3"/>
          <w:sz w:val="24"/>
          <w:szCs w:val="24"/>
        </w:rPr>
        <w:t xml:space="preserve">mean </w:t>
      </w:r>
      <w:r>
        <w:rPr>
          <w:rFonts w:ascii="Times New Roman" w:eastAsia="ヒラギノ角ゴ Pro W3" w:hAnsi="Times New Roman"/>
          <w:spacing w:val="-3"/>
          <w:sz w:val="24"/>
          <w:szCs w:val="24"/>
        </w:rPr>
        <w:t>GHQ</w:t>
      </w:r>
      <w:r w:rsidR="009D48D5">
        <w:rPr>
          <w:rFonts w:ascii="Times New Roman" w:eastAsia="ヒラギノ角ゴ Pro W3" w:hAnsi="Times New Roman"/>
          <w:spacing w:val="-3"/>
          <w:sz w:val="24"/>
          <w:szCs w:val="24"/>
        </w:rPr>
        <w:t xml:space="preserve"> scores </w:t>
      </w:r>
      <w:r w:rsidR="00947B64">
        <w:rPr>
          <w:rFonts w:ascii="Times New Roman" w:eastAsia="ヒラギノ角ゴ Pro W3" w:hAnsi="Times New Roman"/>
          <w:spacing w:val="-3"/>
          <w:sz w:val="24"/>
          <w:szCs w:val="24"/>
        </w:rPr>
        <w:t>(</w:t>
      </w:r>
      <w:r w:rsidR="00947B64" w:rsidRPr="0095471F">
        <w:rPr>
          <w:rFonts w:ascii="Times New Roman" w:eastAsia="ヒラギノ角ゴ Pro W3" w:hAnsi="Times New Roman"/>
          <w:i/>
          <w:spacing w:val="-3"/>
          <w:sz w:val="24"/>
          <w:szCs w:val="24"/>
        </w:rPr>
        <w:t>F</w:t>
      </w:r>
      <w:r w:rsidR="00947B64">
        <w:rPr>
          <w:rFonts w:ascii="Times New Roman" w:eastAsia="ヒラギノ角ゴ Pro W3" w:hAnsi="Times New Roman"/>
          <w:spacing w:val="-3"/>
          <w:sz w:val="24"/>
          <w:szCs w:val="24"/>
        </w:rPr>
        <w:t xml:space="preserve"> = 22.54, </w:t>
      </w:r>
      <w:r w:rsidR="00947B64" w:rsidRPr="0095471F">
        <w:rPr>
          <w:rFonts w:ascii="Times New Roman" w:eastAsia="ヒラギノ角ゴ Pro W3" w:hAnsi="Times New Roman"/>
          <w:i/>
          <w:spacing w:val="-3"/>
          <w:sz w:val="24"/>
          <w:szCs w:val="24"/>
        </w:rPr>
        <w:t>P</w:t>
      </w:r>
      <w:r w:rsidR="00947B64">
        <w:rPr>
          <w:rFonts w:ascii="Times New Roman" w:eastAsia="ヒラギノ角ゴ Pro W3" w:hAnsi="Times New Roman"/>
          <w:spacing w:val="-3"/>
          <w:sz w:val="24"/>
          <w:szCs w:val="24"/>
        </w:rPr>
        <w:t xml:space="preserve"> &lt; 0.001) and own prognosis of WA two years from now (</w:t>
      </w:r>
      <w:r w:rsidR="00947B64" w:rsidRPr="00947B64">
        <w:rPr>
          <w:rFonts w:ascii="Times New Roman" w:eastAsia="ヒラギノ角ゴ Pro W3" w:hAnsi="Times New Roman"/>
          <w:i/>
          <w:spacing w:val="-3"/>
          <w:sz w:val="24"/>
          <w:szCs w:val="24"/>
        </w:rPr>
        <w:t>F</w:t>
      </w:r>
      <w:r w:rsidR="00402D7D">
        <w:rPr>
          <w:rFonts w:ascii="Times New Roman" w:eastAsia="ヒラギノ角ゴ Pro W3" w:hAnsi="Times New Roman"/>
          <w:spacing w:val="-3"/>
          <w:sz w:val="24"/>
          <w:szCs w:val="24"/>
        </w:rPr>
        <w:t xml:space="preserve"> = 17.16</w:t>
      </w:r>
      <w:r w:rsidR="00947B64">
        <w:rPr>
          <w:rFonts w:ascii="Times New Roman" w:eastAsia="ヒラギノ角ゴ Pro W3" w:hAnsi="Times New Roman"/>
          <w:spacing w:val="-3"/>
          <w:sz w:val="24"/>
          <w:szCs w:val="24"/>
        </w:rPr>
        <w:t xml:space="preserve">, </w:t>
      </w:r>
      <w:r w:rsidR="00947B64" w:rsidRPr="00947B64">
        <w:rPr>
          <w:rFonts w:ascii="Times New Roman" w:eastAsia="ヒラギノ角ゴ Pro W3" w:hAnsi="Times New Roman"/>
          <w:i/>
          <w:spacing w:val="-3"/>
          <w:sz w:val="24"/>
          <w:szCs w:val="24"/>
        </w:rPr>
        <w:t>P</w:t>
      </w:r>
      <w:r w:rsidR="00402D7D">
        <w:rPr>
          <w:rFonts w:ascii="Times New Roman" w:eastAsia="ヒラギノ角ゴ Pro W3" w:hAnsi="Times New Roman"/>
          <w:spacing w:val="-3"/>
          <w:sz w:val="24"/>
          <w:szCs w:val="24"/>
        </w:rPr>
        <w:t xml:space="preserve"> &lt; 0.001</w:t>
      </w:r>
      <w:r w:rsidR="00947B64">
        <w:rPr>
          <w:rFonts w:ascii="Times New Roman" w:eastAsia="ヒラギノ角ゴ Pro W3" w:hAnsi="Times New Roman"/>
          <w:spacing w:val="-3"/>
          <w:sz w:val="24"/>
          <w:szCs w:val="24"/>
        </w:rPr>
        <w:t>)</w:t>
      </w:r>
      <w:r w:rsidR="00402D7D">
        <w:rPr>
          <w:rFonts w:ascii="Times New Roman" w:eastAsia="ヒラギノ角ゴ Pro W3" w:hAnsi="Times New Roman"/>
          <w:spacing w:val="-3"/>
          <w:sz w:val="24"/>
          <w:szCs w:val="24"/>
        </w:rPr>
        <w:t xml:space="preserve"> </w:t>
      </w:r>
      <w:r w:rsidR="009D48D5">
        <w:rPr>
          <w:rFonts w:ascii="Times New Roman" w:eastAsia="ヒラギノ角ゴ Pro W3" w:hAnsi="Times New Roman"/>
          <w:spacing w:val="-3"/>
          <w:sz w:val="24"/>
          <w:szCs w:val="24"/>
        </w:rPr>
        <w:t>among Workability</w:t>
      </w:r>
      <w:r>
        <w:rPr>
          <w:rFonts w:ascii="Times New Roman" w:eastAsia="ヒラギノ角ゴ Pro W3" w:hAnsi="Times New Roman"/>
          <w:spacing w:val="-3"/>
          <w:sz w:val="24"/>
          <w:szCs w:val="24"/>
        </w:rPr>
        <w:t xml:space="preserve"> groups</w:t>
      </w:r>
      <w:r w:rsidR="00402D7D">
        <w:rPr>
          <w:rFonts w:ascii="Times New Roman" w:eastAsia="ヒラギノ角ゴ Pro W3" w:hAnsi="Times New Roman"/>
          <w:spacing w:val="-3"/>
          <w:sz w:val="24"/>
          <w:szCs w:val="24"/>
        </w:rPr>
        <w:t>.</w:t>
      </w:r>
      <w:r>
        <w:rPr>
          <w:rFonts w:ascii="Times New Roman" w:eastAsia="ヒラギノ角ゴ Pro W3" w:hAnsi="Times New Roman"/>
          <w:spacing w:val="-3"/>
          <w:sz w:val="24"/>
          <w:szCs w:val="24"/>
        </w:rPr>
        <w:t xml:space="preserve"> Poor W</w:t>
      </w:r>
      <w:r w:rsidR="009D48D5">
        <w:rPr>
          <w:rFonts w:ascii="Times New Roman" w:eastAsia="ヒラギノ角ゴ Pro W3" w:hAnsi="Times New Roman"/>
          <w:spacing w:val="-3"/>
          <w:sz w:val="24"/>
          <w:szCs w:val="24"/>
        </w:rPr>
        <w:t>orkability</w:t>
      </w:r>
      <w:r>
        <w:rPr>
          <w:rFonts w:ascii="Times New Roman" w:eastAsia="ヒラギノ角ゴ Pro W3" w:hAnsi="Times New Roman"/>
          <w:spacing w:val="-3"/>
          <w:sz w:val="24"/>
          <w:szCs w:val="24"/>
        </w:rPr>
        <w:t xml:space="preserve"> was associated with</w:t>
      </w:r>
      <w:r w:rsidR="00833EAD">
        <w:rPr>
          <w:rFonts w:ascii="Times New Roman" w:eastAsia="ヒラギノ角ゴ Pro W3" w:hAnsi="Times New Roman"/>
          <w:spacing w:val="-3"/>
          <w:sz w:val="24"/>
          <w:szCs w:val="24"/>
        </w:rPr>
        <w:t xml:space="preserve"> the </w:t>
      </w:r>
      <w:r w:rsidR="00AF67D9">
        <w:rPr>
          <w:rFonts w:ascii="Times New Roman" w:eastAsia="ヒラギノ角ゴ Pro W3" w:hAnsi="Times New Roman"/>
          <w:spacing w:val="-3"/>
          <w:sz w:val="24"/>
          <w:szCs w:val="24"/>
        </w:rPr>
        <w:t xml:space="preserve">highest </w:t>
      </w:r>
      <w:r>
        <w:rPr>
          <w:rFonts w:ascii="Times New Roman" w:eastAsia="ヒラギノ角ゴ Pro W3" w:hAnsi="Times New Roman"/>
          <w:spacing w:val="-3"/>
          <w:sz w:val="24"/>
          <w:szCs w:val="24"/>
        </w:rPr>
        <w:t>GHQ scores</w:t>
      </w:r>
      <w:r w:rsidR="00CC71C5">
        <w:rPr>
          <w:rFonts w:ascii="Times New Roman" w:eastAsia="ヒラギノ角ゴ Pro W3" w:hAnsi="Times New Roman"/>
          <w:spacing w:val="-3"/>
          <w:sz w:val="24"/>
          <w:szCs w:val="24"/>
        </w:rPr>
        <w:t xml:space="preserve"> and</w:t>
      </w:r>
      <w:r w:rsidR="00402D7D">
        <w:rPr>
          <w:rFonts w:ascii="Times New Roman" w:eastAsia="ヒラギノ角ゴ Pro W3" w:hAnsi="Times New Roman"/>
          <w:spacing w:val="-3"/>
          <w:sz w:val="24"/>
          <w:szCs w:val="24"/>
        </w:rPr>
        <w:t xml:space="preserve"> lower prognosis of future workability</w:t>
      </w:r>
      <w:r>
        <w:rPr>
          <w:rFonts w:ascii="Times New Roman" w:eastAsia="ヒラギノ角ゴ Pro W3" w:hAnsi="Times New Roman"/>
          <w:spacing w:val="-3"/>
          <w:sz w:val="24"/>
          <w:szCs w:val="24"/>
        </w:rPr>
        <w:t>.</w:t>
      </w:r>
      <w:r w:rsidR="00E51E51">
        <w:rPr>
          <w:rFonts w:ascii="Times New Roman" w:eastAsia="ヒラギノ角ゴ Pro W3" w:hAnsi="Times New Roman"/>
          <w:spacing w:val="-3"/>
          <w:sz w:val="24"/>
          <w:szCs w:val="24"/>
        </w:rPr>
        <w:t xml:space="preserve"> </w:t>
      </w:r>
      <w:r w:rsidR="00587B32">
        <w:rPr>
          <w:rFonts w:ascii="Times New Roman" w:eastAsia="ヒラギノ角ゴ Pro W3" w:hAnsi="Times New Roman"/>
          <w:spacing w:val="-3"/>
          <w:sz w:val="24"/>
          <w:szCs w:val="24"/>
        </w:rPr>
        <w:t>The mean number of sick days</w:t>
      </w:r>
      <w:r w:rsidR="00745ABC">
        <w:rPr>
          <w:rFonts w:ascii="Times New Roman" w:eastAsia="ヒラギノ角ゴ Pro W3" w:hAnsi="Times New Roman"/>
          <w:spacing w:val="-3"/>
          <w:sz w:val="24"/>
          <w:szCs w:val="24"/>
        </w:rPr>
        <w:t xml:space="preserve"> taken in previous 12 months was 2 (</w:t>
      </w:r>
      <w:r w:rsidR="00745ABC" w:rsidRPr="00745ABC">
        <w:rPr>
          <w:rFonts w:ascii="Times New Roman" w:eastAsia="ヒラギノ角ゴ Pro W3" w:hAnsi="Times New Roman"/>
          <w:i/>
          <w:spacing w:val="-3"/>
          <w:sz w:val="24"/>
          <w:szCs w:val="24"/>
        </w:rPr>
        <w:t>SD</w:t>
      </w:r>
      <w:r w:rsidR="00745ABC">
        <w:rPr>
          <w:rFonts w:ascii="Times New Roman" w:eastAsia="ヒラギノ角ゴ Pro W3" w:hAnsi="Times New Roman"/>
          <w:spacing w:val="-3"/>
          <w:sz w:val="24"/>
          <w:szCs w:val="24"/>
        </w:rPr>
        <w:t xml:space="preserve"> = 3.9) with</w:t>
      </w:r>
      <w:r w:rsidR="00587B32">
        <w:rPr>
          <w:rFonts w:ascii="Times New Roman" w:eastAsia="ヒラギノ角ゴ Pro W3" w:hAnsi="Times New Roman"/>
          <w:spacing w:val="-3"/>
          <w:sz w:val="24"/>
          <w:szCs w:val="24"/>
        </w:rPr>
        <w:t xml:space="preserve"> </w:t>
      </w:r>
      <w:r w:rsidR="00745ABC">
        <w:rPr>
          <w:rFonts w:ascii="Times New Roman" w:eastAsia="ヒラギノ角ゴ Pro W3" w:hAnsi="Times New Roman"/>
          <w:spacing w:val="-3"/>
          <w:sz w:val="24"/>
          <w:szCs w:val="24"/>
        </w:rPr>
        <w:t>t</w:t>
      </w:r>
      <w:r w:rsidR="00587B32">
        <w:rPr>
          <w:rFonts w:ascii="Times New Roman" w:eastAsia="ヒラギノ角ゴ Pro W3" w:hAnsi="Times New Roman"/>
          <w:spacing w:val="-3"/>
          <w:sz w:val="24"/>
          <w:szCs w:val="24"/>
        </w:rPr>
        <w:t>wenty-five officers</w:t>
      </w:r>
      <w:r w:rsidR="00745ABC">
        <w:rPr>
          <w:rFonts w:ascii="Times New Roman" w:eastAsia="ヒラギノ角ゴ Pro W3" w:hAnsi="Times New Roman"/>
          <w:spacing w:val="-3"/>
          <w:sz w:val="24"/>
          <w:szCs w:val="24"/>
        </w:rPr>
        <w:t xml:space="preserve"> </w:t>
      </w:r>
      <w:r w:rsidR="00833EAD" w:rsidRPr="00833EAD">
        <w:rPr>
          <w:rFonts w:ascii="Times New Roman" w:eastAsia="ヒラギノ角ゴ Pro W3" w:hAnsi="Times New Roman"/>
          <w:spacing w:val="-3"/>
          <w:sz w:val="24"/>
          <w:szCs w:val="24"/>
        </w:rPr>
        <w:t>(44</w:t>
      </w:r>
      <w:r w:rsidR="00F03E99" w:rsidRPr="00833EAD">
        <w:rPr>
          <w:rFonts w:ascii="Times New Roman" w:eastAsia="ヒラギノ角ゴ Pro W3" w:hAnsi="Times New Roman"/>
          <w:spacing w:val="-3"/>
          <w:sz w:val="24"/>
          <w:szCs w:val="24"/>
        </w:rPr>
        <w:t xml:space="preserve"> %)</w:t>
      </w:r>
      <w:r w:rsidR="00587B32" w:rsidRPr="00833EAD">
        <w:rPr>
          <w:rFonts w:ascii="Times New Roman" w:eastAsia="ヒラギノ角ゴ Pro W3" w:hAnsi="Times New Roman"/>
          <w:b/>
          <w:spacing w:val="-3"/>
          <w:sz w:val="24"/>
          <w:szCs w:val="24"/>
        </w:rPr>
        <w:t xml:space="preserve"> </w:t>
      </w:r>
      <w:r w:rsidR="00745ABC" w:rsidRPr="00833EAD">
        <w:rPr>
          <w:rFonts w:ascii="Times New Roman" w:eastAsia="ヒラギノ角ゴ Pro W3" w:hAnsi="Times New Roman"/>
          <w:spacing w:val="-3"/>
          <w:sz w:val="24"/>
          <w:szCs w:val="24"/>
        </w:rPr>
        <w:t>reporting</w:t>
      </w:r>
      <w:r w:rsidR="00587B32" w:rsidRPr="00833EAD">
        <w:rPr>
          <w:rFonts w:ascii="Times New Roman" w:eastAsia="ヒラギノ角ゴ Pro W3" w:hAnsi="Times New Roman"/>
          <w:spacing w:val="-3"/>
          <w:sz w:val="24"/>
          <w:szCs w:val="24"/>
        </w:rPr>
        <w:t xml:space="preserve"> having taken </w:t>
      </w:r>
      <w:r w:rsidR="00F03E99" w:rsidRPr="00833EAD">
        <w:rPr>
          <w:rFonts w:ascii="Times New Roman" w:eastAsia="ヒラギノ角ゴ Pro W3" w:hAnsi="Times New Roman"/>
          <w:spacing w:val="-3"/>
          <w:sz w:val="24"/>
          <w:szCs w:val="24"/>
        </w:rPr>
        <w:t xml:space="preserve">at least </w:t>
      </w:r>
      <w:r w:rsidR="00587B32" w:rsidRPr="00833EAD">
        <w:rPr>
          <w:rFonts w:ascii="Times New Roman" w:eastAsia="ヒラギノ角ゴ Pro W3" w:hAnsi="Times New Roman"/>
          <w:spacing w:val="-3"/>
          <w:sz w:val="24"/>
          <w:szCs w:val="24"/>
        </w:rPr>
        <w:t>one or</w:t>
      </w:r>
      <w:r w:rsidR="00947B64">
        <w:rPr>
          <w:rFonts w:ascii="Times New Roman" w:eastAsia="ヒラギノ角ゴ Pro W3" w:hAnsi="Times New Roman"/>
          <w:spacing w:val="-3"/>
          <w:sz w:val="24"/>
          <w:szCs w:val="24"/>
        </w:rPr>
        <w:t xml:space="preserve"> more</w:t>
      </w:r>
      <w:r w:rsidR="00587B32" w:rsidRPr="00833EAD">
        <w:rPr>
          <w:rFonts w:ascii="Times New Roman" w:eastAsia="ヒラギノ角ゴ Pro W3" w:hAnsi="Times New Roman"/>
          <w:spacing w:val="-3"/>
          <w:sz w:val="24"/>
          <w:szCs w:val="24"/>
        </w:rPr>
        <w:t xml:space="preserve"> </w:t>
      </w:r>
      <w:r w:rsidR="00745ABC" w:rsidRPr="00833EAD">
        <w:rPr>
          <w:rFonts w:ascii="Times New Roman" w:eastAsia="ヒラギノ角ゴ Pro W3" w:hAnsi="Times New Roman"/>
          <w:spacing w:val="-3"/>
          <w:sz w:val="24"/>
          <w:szCs w:val="24"/>
        </w:rPr>
        <w:t>sick</w:t>
      </w:r>
      <w:r w:rsidR="00833EAD" w:rsidRPr="00833EAD">
        <w:rPr>
          <w:rFonts w:ascii="Times New Roman" w:eastAsia="ヒラギノ角ゴ Pro W3" w:hAnsi="Times New Roman"/>
          <w:spacing w:val="-3"/>
          <w:sz w:val="24"/>
          <w:szCs w:val="24"/>
        </w:rPr>
        <w:t xml:space="preserve"> day</w:t>
      </w:r>
      <w:r w:rsidR="00947B64">
        <w:rPr>
          <w:rFonts w:ascii="Times New Roman" w:eastAsia="ヒラギノ角ゴ Pro W3" w:hAnsi="Times New Roman"/>
          <w:spacing w:val="-3"/>
          <w:sz w:val="24"/>
          <w:szCs w:val="24"/>
        </w:rPr>
        <w:t>s</w:t>
      </w:r>
      <w:r w:rsidR="00833EAD" w:rsidRPr="00833EAD">
        <w:rPr>
          <w:rFonts w:ascii="Times New Roman" w:eastAsia="ヒラギノ角ゴ Pro W3" w:hAnsi="Times New Roman"/>
          <w:spacing w:val="-3"/>
          <w:sz w:val="24"/>
          <w:szCs w:val="24"/>
        </w:rPr>
        <w:t>, and ranged from 0 – 20</w:t>
      </w:r>
      <w:r w:rsidR="00F03E99" w:rsidRPr="00833EAD">
        <w:rPr>
          <w:rFonts w:ascii="Times New Roman" w:eastAsia="ヒラギノ角ゴ Pro W3" w:hAnsi="Times New Roman"/>
          <w:spacing w:val="-3"/>
          <w:sz w:val="24"/>
          <w:szCs w:val="24"/>
        </w:rPr>
        <w:t xml:space="preserve"> days</w:t>
      </w:r>
      <w:r w:rsidR="00745ABC" w:rsidRPr="00833EAD">
        <w:rPr>
          <w:rFonts w:ascii="Times New Roman" w:eastAsia="ヒラギノ角ゴ Pro W3" w:hAnsi="Times New Roman"/>
          <w:spacing w:val="-3"/>
          <w:sz w:val="24"/>
          <w:szCs w:val="24"/>
        </w:rPr>
        <w:t>.</w:t>
      </w:r>
      <w:r w:rsidR="008A70A4" w:rsidRPr="00833EAD">
        <w:rPr>
          <w:rFonts w:ascii="Times New Roman" w:eastAsia="ヒラギノ角ゴ Pro W3" w:hAnsi="Times New Roman"/>
          <w:spacing w:val="-3"/>
          <w:sz w:val="24"/>
          <w:szCs w:val="24"/>
        </w:rPr>
        <w:t xml:space="preserve"> </w:t>
      </w:r>
      <w:r w:rsidR="00DB308D">
        <w:rPr>
          <w:rFonts w:ascii="Times New Roman" w:eastAsia="ヒラギノ角ゴ Pro W3" w:hAnsi="Times New Roman"/>
          <w:spacing w:val="-3"/>
          <w:sz w:val="24"/>
          <w:szCs w:val="24"/>
        </w:rPr>
        <w:t>Pearson’s correlation showed</w:t>
      </w:r>
      <w:r w:rsidR="002A7698">
        <w:rPr>
          <w:rFonts w:ascii="Times New Roman" w:eastAsia="ヒラギノ角ゴ Pro W3" w:hAnsi="Times New Roman"/>
          <w:spacing w:val="-3"/>
          <w:sz w:val="24"/>
          <w:szCs w:val="24"/>
        </w:rPr>
        <w:t xml:space="preserve"> a</w:t>
      </w:r>
      <w:r w:rsidR="00DB308D">
        <w:rPr>
          <w:rFonts w:ascii="Times New Roman" w:eastAsia="ヒラギノ角ゴ Pro W3" w:hAnsi="Times New Roman"/>
          <w:spacing w:val="-3"/>
          <w:sz w:val="24"/>
          <w:szCs w:val="24"/>
        </w:rPr>
        <w:t xml:space="preserve"> significant positive association between illness </w:t>
      </w:r>
      <w:r w:rsidR="009D48D5">
        <w:rPr>
          <w:rFonts w:ascii="Times New Roman" w:eastAsia="ヒラギノ角ゴ Pro W3" w:hAnsi="Times New Roman"/>
          <w:spacing w:val="-3"/>
          <w:sz w:val="24"/>
          <w:szCs w:val="24"/>
        </w:rPr>
        <w:t>(being a hindrance to current Workability)</w:t>
      </w:r>
      <w:r w:rsidR="00DB308D">
        <w:rPr>
          <w:rFonts w:ascii="Times New Roman" w:eastAsia="ヒラギノ角ゴ Pro W3" w:hAnsi="Times New Roman"/>
          <w:spacing w:val="-3"/>
          <w:sz w:val="24"/>
          <w:szCs w:val="24"/>
        </w:rPr>
        <w:t xml:space="preserve"> and overall GHQ scores (</w:t>
      </w:r>
      <w:r w:rsidR="00DB308D" w:rsidRPr="00DB308D">
        <w:rPr>
          <w:rFonts w:ascii="Times New Roman" w:eastAsia="ヒラギノ角ゴ Pro W3" w:hAnsi="Times New Roman"/>
          <w:i/>
          <w:spacing w:val="-3"/>
          <w:sz w:val="24"/>
          <w:szCs w:val="24"/>
        </w:rPr>
        <w:t>r</w:t>
      </w:r>
      <w:r w:rsidR="00DB308D">
        <w:rPr>
          <w:rFonts w:ascii="Times New Roman" w:eastAsia="ヒラギノ角ゴ Pro W3" w:hAnsi="Times New Roman"/>
          <w:spacing w:val="-3"/>
          <w:sz w:val="24"/>
          <w:szCs w:val="24"/>
        </w:rPr>
        <w:t xml:space="preserve"> = .55, </w:t>
      </w:r>
      <w:r w:rsidR="00DB308D" w:rsidRPr="00DB308D">
        <w:rPr>
          <w:rFonts w:ascii="Times New Roman" w:eastAsia="ヒラギノ角ゴ Pro W3" w:hAnsi="Times New Roman"/>
          <w:i/>
          <w:spacing w:val="-3"/>
          <w:sz w:val="24"/>
          <w:szCs w:val="24"/>
        </w:rPr>
        <w:t>P</w:t>
      </w:r>
      <w:r w:rsidR="00E51E51">
        <w:rPr>
          <w:rFonts w:ascii="Times New Roman" w:eastAsia="ヒラギノ角ゴ Pro W3" w:hAnsi="Times New Roman"/>
          <w:i/>
          <w:spacing w:val="-3"/>
          <w:sz w:val="24"/>
          <w:szCs w:val="24"/>
        </w:rPr>
        <w:t xml:space="preserve"> </w:t>
      </w:r>
      <w:r w:rsidR="00DB308D">
        <w:rPr>
          <w:rFonts w:ascii="Times New Roman" w:eastAsia="ヒラギノ角ゴ Pro W3" w:hAnsi="Times New Roman"/>
          <w:spacing w:val="-3"/>
          <w:sz w:val="24"/>
          <w:szCs w:val="24"/>
        </w:rPr>
        <w:t>&lt;</w:t>
      </w:r>
      <w:r w:rsidR="00E51E51">
        <w:rPr>
          <w:rFonts w:ascii="Times New Roman" w:eastAsia="ヒラギノ角ゴ Pro W3" w:hAnsi="Times New Roman"/>
          <w:spacing w:val="-3"/>
          <w:sz w:val="24"/>
          <w:szCs w:val="24"/>
        </w:rPr>
        <w:t xml:space="preserve"> </w:t>
      </w:r>
      <w:r w:rsidR="00DB308D">
        <w:rPr>
          <w:rFonts w:ascii="Times New Roman" w:eastAsia="ヒラギノ角ゴ Pro W3" w:hAnsi="Times New Roman"/>
          <w:spacing w:val="-3"/>
          <w:sz w:val="24"/>
          <w:szCs w:val="24"/>
        </w:rPr>
        <w:t>0.001)</w:t>
      </w:r>
      <w:r w:rsidR="009D48D5">
        <w:rPr>
          <w:rFonts w:ascii="Times New Roman" w:eastAsia="ヒラギノ角ゴ Pro W3" w:hAnsi="Times New Roman"/>
          <w:spacing w:val="-3"/>
          <w:sz w:val="24"/>
          <w:szCs w:val="24"/>
        </w:rPr>
        <w:t>.</w:t>
      </w:r>
      <w:r w:rsidR="00587B32">
        <w:rPr>
          <w:rFonts w:ascii="Times New Roman" w:eastAsia="ヒラギノ角ゴ Pro W3" w:hAnsi="Times New Roman"/>
          <w:spacing w:val="-3"/>
          <w:sz w:val="24"/>
          <w:szCs w:val="24"/>
        </w:rPr>
        <w:t xml:space="preserve"> </w:t>
      </w:r>
    </w:p>
    <w:p w:rsidR="00745ABC" w:rsidRDefault="00745ABC" w:rsidP="0019750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97507" w:rsidRDefault="00197507" w:rsidP="00F03E99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D34F52">
        <w:rPr>
          <w:rFonts w:ascii="Times New Roman" w:hAnsi="Times New Roman"/>
          <w:b/>
          <w:sz w:val="24"/>
          <w:szCs w:val="24"/>
        </w:rPr>
        <w:t>Discussion</w:t>
      </w:r>
    </w:p>
    <w:p w:rsidR="00B75BC2" w:rsidRDefault="009D48D5" w:rsidP="00F03E99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197507">
        <w:rPr>
          <w:rFonts w:ascii="Times New Roman" w:hAnsi="Times New Roman"/>
          <w:sz w:val="24"/>
          <w:szCs w:val="24"/>
        </w:rPr>
        <w:t>n a sample of prison officers working in a T</w:t>
      </w:r>
      <w:r>
        <w:rPr>
          <w:rFonts w:ascii="Times New Roman" w:hAnsi="Times New Roman"/>
          <w:sz w:val="24"/>
          <w:szCs w:val="24"/>
        </w:rPr>
        <w:t>herapeutic Community Prison</w:t>
      </w:r>
      <w:r w:rsidR="00197507">
        <w:rPr>
          <w:rFonts w:ascii="Times New Roman" w:hAnsi="Times New Roman"/>
          <w:sz w:val="24"/>
          <w:szCs w:val="24"/>
        </w:rPr>
        <w:t>,</w:t>
      </w:r>
      <w:r w:rsidR="00504A4E">
        <w:rPr>
          <w:rFonts w:ascii="Times New Roman" w:hAnsi="Times New Roman"/>
          <w:sz w:val="24"/>
          <w:szCs w:val="24"/>
        </w:rPr>
        <w:t xml:space="preserve"> </w:t>
      </w:r>
      <w:r w:rsidR="001E2781">
        <w:rPr>
          <w:rFonts w:ascii="Times New Roman" w:hAnsi="Times New Roman"/>
          <w:sz w:val="24"/>
          <w:szCs w:val="24"/>
        </w:rPr>
        <w:t xml:space="preserve">extremely </w:t>
      </w:r>
      <w:r w:rsidR="00504A4E">
        <w:rPr>
          <w:rFonts w:ascii="Times New Roman" w:hAnsi="Times New Roman"/>
          <w:sz w:val="24"/>
          <w:szCs w:val="24"/>
        </w:rPr>
        <w:t xml:space="preserve">high levels of </w:t>
      </w:r>
      <w:r w:rsidR="00F04B4B">
        <w:rPr>
          <w:rFonts w:ascii="Times New Roman" w:hAnsi="Times New Roman"/>
          <w:sz w:val="24"/>
          <w:szCs w:val="24"/>
        </w:rPr>
        <w:t xml:space="preserve">(self-reported) </w:t>
      </w:r>
      <w:r>
        <w:rPr>
          <w:rFonts w:ascii="Times New Roman" w:hAnsi="Times New Roman"/>
          <w:sz w:val="24"/>
          <w:szCs w:val="24"/>
        </w:rPr>
        <w:t xml:space="preserve">psychological </w:t>
      </w:r>
      <w:r w:rsidR="00F04B4B">
        <w:rPr>
          <w:rFonts w:ascii="Times New Roman" w:hAnsi="Times New Roman"/>
          <w:sz w:val="24"/>
          <w:szCs w:val="24"/>
        </w:rPr>
        <w:t>symptoms</w:t>
      </w:r>
      <w:r w:rsidR="00504A4E">
        <w:rPr>
          <w:rFonts w:ascii="Times New Roman" w:hAnsi="Times New Roman"/>
          <w:sz w:val="24"/>
          <w:szCs w:val="24"/>
        </w:rPr>
        <w:t xml:space="preserve"> were found. P</w:t>
      </w:r>
      <w:r>
        <w:rPr>
          <w:rFonts w:ascii="Times New Roman" w:hAnsi="Times New Roman"/>
          <w:sz w:val="24"/>
          <w:szCs w:val="24"/>
        </w:rPr>
        <w:t>oorly perceived work</w:t>
      </w:r>
      <w:r w:rsidR="00197507">
        <w:rPr>
          <w:rFonts w:ascii="Times New Roman" w:hAnsi="Times New Roman"/>
          <w:sz w:val="24"/>
          <w:szCs w:val="24"/>
        </w:rPr>
        <w:t xml:space="preserve">ability </w:t>
      </w:r>
      <w:r>
        <w:rPr>
          <w:rFonts w:ascii="Times New Roman" w:hAnsi="Times New Roman"/>
          <w:sz w:val="24"/>
          <w:szCs w:val="24"/>
        </w:rPr>
        <w:t>due to excessive</w:t>
      </w:r>
      <w:r w:rsidR="00197507">
        <w:rPr>
          <w:rFonts w:ascii="Times New Roman" w:hAnsi="Times New Roman"/>
          <w:sz w:val="24"/>
          <w:szCs w:val="24"/>
        </w:rPr>
        <w:t xml:space="preserve"> mental demands was associated with </w:t>
      </w:r>
      <w:r>
        <w:rPr>
          <w:rFonts w:ascii="Times New Roman" w:hAnsi="Times New Roman"/>
          <w:sz w:val="24"/>
          <w:szCs w:val="24"/>
        </w:rPr>
        <w:t>poorer</w:t>
      </w:r>
      <w:r w:rsidR="00197507">
        <w:rPr>
          <w:rFonts w:ascii="Times New Roman" w:hAnsi="Times New Roman"/>
          <w:sz w:val="24"/>
          <w:szCs w:val="24"/>
        </w:rPr>
        <w:t xml:space="preserve"> mental well-being (pa</w:t>
      </w:r>
      <w:r>
        <w:rPr>
          <w:rFonts w:ascii="Times New Roman" w:hAnsi="Times New Roman"/>
          <w:sz w:val="24"/>
          <w:szCs w:val="24"/>
        </w:rPr>
        <w:t xml:space="preserve">rticularly somatic symptoms and </w:t>
      </w:r>
      <w:r w:rsidR="00197507">
        <w:rPr>
          <w:rFonts w:ascii="Times New Roman" w:hAnsi="Times New Roman"/>
          <w:sz w:val="24"/>
          <w:szCs w:val="24"/>
        </w:rPr>
        <w:t>anxiety).</w:t>
      </w:r>
      <w:r w:rsidR="00197507" w:rsidRPr="00E948DE">
        <w:rPr>
          <w:rFonts w:ascii="Times New Roman" w:hAnsi="Times New Roman"/>
          <w:sz w:val="24"/>
          <w:szCs w:val="24"/>
        </w:rPr>
        <w:t xml:space="preserve"> </w:t>
      </w:r>
      <w:r w:rsidR="00197507">
        <w:rPr>
          <w:rFonts w:ascii="Times New Roman" w:hAnsi="Times New Roman"/>
          <w:sz w:val="24"/>
          <w:szCs w:val="24"/>
        </w:rPr>
        <w:t>There w</w:t>
      </w:r>
      <w:r>
        <w:rPr>
          <w:rFonts w:ascii="Times New Roman" w:hAnsi="Times New Roman"/>
          <w:sz w:val="24"/>
          <w:szCs w:val="24"/>
        </w:rPr>
        <w:t>ere</w:t>
      </w:r>
      <w:r w:rsidR="00197507">
        <w:rPr>
          <w:rFonts w:ascii="Times New Roman" w:hAnsi="Times New Roman"/>
          <w:sz w:val="24"/>
          <w:szCs w:val="24"/>
        </w:rPr>
        <w:t xml:space="preserve"> significant difference</w:t>
      </w:r>
      <w:r>
        <w:rPr>
          <w:rFonts w:ascii="Times New Roman" w:hAnsi="Times New Roman"/>
          <w:sz w:val="24"/>
          <w:szCs w:val="24"/>
        </w:rPr>
        <w:t>s</w:t>
      </w:r>
      <w:r w:rsidR="001975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 GHQ scores between the excellent and poor workability</w:t>
      </w:r>
      <w:r w:rsidR="00197507">
        <w:rPr>
          <w:rFonts w:ascii="Times New Roman" w:hAnsi="Times New Roman"/>
          <w:sz w:val="24"/>
          <w:szCs w:val="24"/>
        </w:rPr>
        <w:t xml:space="preserve"> group</w:t>
      </w:r>
      <w:r>
        <w:rPr>
          <w:rFonts w:ascii="Times New Roman" w:hAnsi="Times New Roman"/>
          <w:sz w:val="24"/>
          <w:szCs w:val="24"/>
        </w:rPr>
        <w:t xml:space="preserve">s. </w:t>
      </w:r>
      <w:r w:rsidR="00197507">
        <w:rPr>
          <w:rFonts w:ascii="Times New Roman" w:hAnsi="Times New Roman"/>
          <w:sz w:val="24"/>
          <w:szCs w:val="24"/>
        </w:rPr>
        <w:t xml:space="preserve">Mental demands and </w:t>
      </w:r>
      <w:r>
        <w:rPr>
          <w:rFonts w:ascii="Times New Roman" w:hAnsi="Times New Roman"/>
          <w:sz w:val="24"/>
          <w:szCs w:val="24"/>
        </w:rPr>
        <w:t>resources were found</w:t>
      </w:r>
      <w:r w:rsidR="00197507">
        <w:rPr>
          <w:rFonts w:ascii="Times New Roman" w:hAnsi="Times New Roman"/>
          <w:sz w:val="24"/>
          <w:szCs w:val="24"/>
        </w:rPr>
        <w:t xml:space="preserve"> to </w:t>
      </w:r>
      <w:r>
        <w:rPr>
          <w:rFonts w:ascii="Times New Roman" w:hAnsi="Times New Roman"/>
          <w:sz w:val="24"/>
          <w:szCs w:val="24"/>
        </w:rPr>
        <w:t xml:space="preserve">collectively </w:t>
      </w:r>
      <w:r w:rsidR="00197507">
        <w:rPr>
          <w:rFonts w:ascii="Times New Roman" w:hAnsi="Times New Roman"/>
          <w:sz w:val="24"/>
          <w:szCs w:val="24"/>
        </w:rPr>
        <w:t>account for over half of the variance in overall mental well-being. Findings were similar to pr</w:t>
      </w:r>
      <w:r w:rsidR="00B75BC2">
        <w:rPr>
          <w:rFonts w:ascii="Times New Roman" w:hAnsi="Times New Roman"/>
          <w:sz w:val="24"/>
          <w:szCs w:val="24"/>
        </w:rPr>
        <w:t>evious research [9, 3] showing</w:t>
      </w:r>
      <w:r w:rsidR="00197507">
        <w:rPr>
          <w:rFonts w:ascii="Times New Roman" w:hAnsi="Times New Roman"/>
          <w:sz w:val="24"/>
          <w:szCs w:val="24"/>
        </w:rPr>
        <w:t xml:space="preserve"> clear </w:t>
      </w:r>
      <w:r w:rsidR="00B75BC2">
        <w:rPr>
          <w:rFonts w:ascii="Times New Roman" w:hAnsi="Times New Roman"/>
          <w:sz w:val="24"/>
          <w:szCs w:val="24"/>
        </w:rPr>
        <w:t>links</w:t>
      </w:r>
      <w:r w:rsidR="00197507">
        <w:rPr>
          <w:rFonts w:ascii="Times New Roman" w:hAnsi="Times New Roman"/>
          <w:sz w:val="24"/>
          <w:szCs w:val="24"/>
        </w:rPr>
        <w:t xml:space="preserve"> between health and </w:t>
      </w:r>
      <w:r w:rsidR="00B75BC2">
        <w:rPr>
          <w:rFonts w:ascii="Times New Roman" w:hAnsi="Times New Roman"/>
          <w:sz w:val="24"/>
          <w:szCs w:val="24"/>
        </w:rPr>
        <w:t xml:space="preserve">demanding </w:t>
      </w:r>
      <w:r w:rsidR="00197507">
        <w:rPr>
          <w:rFonts w:ascii="Times New Roman" w:hAnsi="Times New Roman"/>
          <w:sz w:val="24"/>
          <w:szCs w:val="24"/>
        </w:rPr>
        <w:t>psychosocial risk factors</w:t>
      </w:r>
      <w:r w:rsidR="00B75BC2">
        <w:rPr>
          <w:rFonts w:ascii="Times New Roman" w:hAnsi="Times New Roman"/>
          <w:sz w:val="24"/>
          <w:szCs w:val="24"/>
        </w:rPr>
        <w:t xml:space="preserve">. </w:t>
      </w:r>
    </w:p>
    <w:p w:rsidR="008D1243" w:rsidRDefault="008D1243" w:rsidP="00197507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197507" w:rsidRDefault="00197507" w:rsidP="00197507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</w:t>
      </w:r>
      <w:r w:rsidR="00504A4E">
        <w:rPr>
          <w:rFonts w:ascii="Times New Roman" w:hAnsi="Times New Roman"/>
          <w:sz w:val="24"/>
          <w:szCs w:val="24"/>
        </w:rPr>
        <w:t xml:space="preserve"> unique</w:t>
      </w:r>
      <w:r>
        <w:rPr>
          <w:rFonts w:ascii="Times New Roman" w:hAnsi="Times New Roman"/>
          <w:sz w:val="24"/>
          <w:szCs w:val="24"/>
        </w:rPr>
        <w:t xml:space="preserve"> study is the first to explore </w:t>
      </w:r>
      <w:r w:rsidR="00B75BC2">
        <w:rPr>
          <w:rFonts w:ascii="Times New Roman" w:hAnsi="Times New Roman"/>
          <w:sz w:val="24"/>
          <w:szCs w:val="24"/>
        </w:rPr>
        <w:t>workability</w:t>
      </w:r>
      <w:r>
        <w:rPr>
          <w:rFonts w:ascii="Times New Roman" w:hAnsi="Times New Roman"/>
          <w:sz w:val="24"/>
          <w:szCs w:val="24"/>
        </w:rPr>
        <w:t xml:space="preserve"> in a UK </w:t>
      </w:r>
      <w:r w:rsidR="00B75BC2">
        <w:rPr>
          <w:rFonts w:ascii="Times New Roman" w:hAnsi="Times New Roman"/>
          <w:sz w:val="24"/>
          <w:szCs w:val="24"/>
        </w:rPr>
        <w:t>Therapeutic Community Prison and in comparison with</w:t>
      </w:r>
      <w:r>
        <w:rPr>
          <w:rFonts w:ascii="Times New Roman" w:hAnsi="Times New Roman"/>
          <w:sz w:val="24"/>
          <w:szCs w:val="24"/>
        </w:rPr>
        <w:t xml:space="preserve"> other </w:t>
      </w:r>
      <w:r w:rsidR="00B75BC2">
        <w:rPr>
          <w:rFonts w:ascii="Times New Roman" w:hAnsi="Times New Roman"/>
          <w:sz w:val="24"/>
          <w:szCs w:val="24"/>
        </w:rPr>
        <w:t>prison working population studies</w:t>
      </w:r>
      <w:r>
        <w:rPr>
          <w:rFonts w:ascii="Times New Roman" w:hAnsi="Times New Roman"/>
          <w:sz w:val="24"/>
          <w:szCs w:val="24"/>
        </w:rPr>
        <w:t xml:space="preserve"> [10, 3], t</w:t>
      </w:r>
      <w:r w:rsidR="00504A4E"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z w:val="24"/>
          <w:szCs w:val="24"/>
        </w:rPr>
        <w:t xml:space="preserve"> response rate </w:t>
      </w:r>
      <w:r>
        <w:rPr>
          <w:rFonts w:ascii="Times New Roman" w:hAnsi="Times New Roman"/>
          <w:sz w:val="24"/>
          <w:szCs w:val="24"/>
        </w:rPr>
        <w:lastRenderedPageBreak/>
        <w:t xml:space="preserve">(59%) was above that usually encountered. </w:t>
      </w:r>
      <w:r w:rsidR="00B75BC2">
        <w:rPr>
          <w:rFonts w:ascii="Times New Roman" w:hAnsi="Times New Roman"/>
          <w:sz w:val="24"/>
          <w:szCs w:val="24"/>
        </w:rPr>
        <w:t>A limitation</w:t>
      </w:r>
      <w:r>
        <w:rPr>
          <w:rFonts w:ascii="Times New Roman" w:hAnsi="Times New Roman"/>
          <w:sz w:val="24"/>
          <w:szCs w:val="24"/>
        </w:rPr>
        <w:t xml:space="preserve"> of the study was its cross-sectional design, </w:t>
      </w:r>
      <w:r w:rsidR="00B75BC2">
        <w:rPr>
          <w:rFonts w:ascii="Times New Roman" w:hAnsi="Times New Roman"/>
          <w:sz w:val="24"/>
          <w:szCs w:val="24"/>
        </w:rPr>
        <w:t>precluding</w:t>
      </w:r>
      <w:r>
        <w:rPr>
          <w:rFonts w:ascii="Times New Roman" w:hAnsi="Times New Roman"/>
          <w:sz w:val="24"/>
          <w:szCs w:val="24"/>
        </w:rPr>
        <w:t xml:space="preserve"> any definitive conclusions on the na</w:t>
      </w:r>
      <w:r w:rsidR="00B75BC2">
        <w:rPr>
          <w:rFonts w:ascii="Times New Roman" w:hAnsi="Times New Roman"/>
          <w:sz w:val="24"/>
          <w:szCs w:val="24"/>
        </w:rPr>
        <w:t>ture of the aetiology between workability</w:t>
      </w:r>
      <w:r>
        <w:rPr>
          <w:rFonts w:ascii="Times New Roman" w:hAnsi="Times New Roman"/>
          <w:sz w:val="24"/>
          <w:szCs w:val="24"/>
        </w:rPr>
        <w:t xml:space="preserve"> and mental well-being. </w:t>
      </w:r>
      <w:r w:rsidR="00B75BC2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he results highlight the </w:t>
      </w:r>
      <w:r w:rsidR="00B75BC2">
        <w:rPr>
          <w:rFonts w:ascii="Times New Roman" w:hAnsi="Times New Roman"/>
          <w:sz w:val="24"/>
          <w:szCs w:val="24"/>
        </w:rPr>
        <w:t>importance</w:t>
      </w:r>
      <w:r>
        <w:rPr>
          <w:rFonts w:ascii="Times New Roman" w:hAnsi="Times New Roman"/>
          <w:sz w:val="24"/>
          <w:szCs w:val="24"/>
        </w:rPr>
        <w:t xml:space="preserve"> of mental demands and mental well-being among officers</w:t>
      </w:r>
      <w:r w:rsidR="00B75BC2">
        <w:rPr>
          <w:rFonts w:ascii="Times New Roman" w:hAnsi="Times New Roman"/>
          <w:sz w:val="24"/>
          <w:szCs w:val="24"/>
        </w:rPr>
        <w:t xml:space="preserve"> in all</w:t>
      </w:r>
      <w:r w:rsidR="00504A4E">
        <w:rPr>
          <w:rFonts w:ascii="Times New Roman" w:hAnsi="Times New Roman"/>
          <w:sz w:val="24"/>
          <w:szCs w:val="24"/>
        </w:rPr>
        <w:t xml:space="preserve"> prison environment</w:t>
      </w:r>
      <w:r w:rsidR="00B75BC2">
        <w:rPr>
          <w:rFonts w:ascii="Times New Roman" w:hAnsi="Times New Roman"/>
          <w:sz w:val="24"/>
          <w:szCs w:val="24"/>
        </w:rPr>
        <w:t xml:space="preserve">s. These results can inform </w:t>
      </w:r>
      <w:r>
        <w:rPr>
          <w:rFonts w:ascii="Times New Roman" w:hAnsi="Times New Roman"/>
          <w:sz w:val="24"/>
          <w:szCs w:val="24"/>
        </w:rPr>
        <w:t>the desig</w:t>
      </w:r>
      <w:r w:rsidR="00B75BC2">
        <w:rPr>
          <w:rFonts w:ascii="Times New Roman" w:hAnsi="Times New Roman"/>
          <w:sz w:val="24"/>
          <w:szCs w:val="24"/>
        </w:rPr>
        <w:t>n of improved training and health surveillance</w:t>
      </w:r>
      <w:r>
        <w:rPr>
          <w:rFonts w:ascii="Times New Roman" w:hAnsi="Times New Roman"/>
          <w:sz w:val="24"/>
          <w:szCs w:val="24"/>
        </w:rPr>
        <w:t xml:space="preserve"> for officers </w:t>
      </w:r>
      <w:r w:rsidR="00B75BC2">
        <w:rPr>
          <w:rFonts w:ascii="Times New Roman" w:hAnsi="Times New Roman"/>
          <w:sz w:val="24"/>
          <w:szCs w:val="24"/>
        </w:rPr>
        <w:t xml:space="preserve">who </w:t>
      </w:r>
      <w:r>
        <w:rPr>
          <w:rFonts w:ascii="Times New Roman" w:hAnsi="Times New Roman"/>
          <w:sz w:val="24"/>
          <w:szCs w:val="24"/>
        </w:rPr>
        <w:t xml:space="preserve">work </w:t>
      </w:r>
      <w:r w:rsidR="00B75BC2">
        <w:rPr>
          <w:rFonts w:ascii="Times New Roman" w:hAnsi="Times New Roman"/>
          <w:sz w:val="24"/>
          <w:szCs w:val="24"/>
        </w:rPr>
        <w:t xml:space="preserve">closely </w:t>
      </w:r>
      <w:r>
        <w:rPr>
          <w:rFonts w:ascii="Times New Roman" w:hAnsi="Times New Roman"/>
          <w:sz w:val="24"/>
          <w:szCs w:val="24"/>
        </w:rPr>
        <w:t xml:space="preserve">with offenders. </w:t>
      </w:r>
      <w:r w:rsidR="00B75BC2">
        <w:rPr>
          <w:rFonts w:ascii="Times New Roman" w:hAnsi="Times New Roman"/>
          <w:sz w:val="24"/>
          <w:szCs w:val="24"/>
        </w:rPr>
        <w:t>Longitudinal</w:t>
      </w:r>
      <w:r>
        <w:rPr>
          <w:rFonts w:ascii="Times New Roman" w:hAnsi="Times New Roman"/>
          <w:sz w:val="24"/>
          <w:szCs w:val="24"/>
        </w:rPr>
        <w:t xml:space="preserve"> studies are needed to understand the </w:t>
      </w:r>
      <w:r w:rsidR="00B75BC2">
        <w:rPr>
          <w:rFonts w:ascii="Times New Roman" w:hAnsi="Times New Roman"/>
          <w:sz w:val="24"/>
          <w:szCs w:val="24"/>
        </w:rPr>
        <w:t xml:space="preserve">aetiology of psychological difficulties in this unusual occupational group. </w:t>
      </w:r>
    </w:p>
    <w:p w:rsidR="00FF69BB" w:rsidRDefault="00FF69BB" w:rsidP="00197507">
      <w:pPr>
        <w:spacing w:line="240" w:lineRule="auto"/>
        <w:rPr>
          <w:rFonts w:ascii="Times New Roman" w:eastAsia="ヒラギノ角ゴ Pro W3" w:hAnsi="Times New Roman"/>
          <w:b/>
          <w:spacing w:val="-3"/>
          <w:sz w:val="24"/>
          <w:szCs w:val="24"/>
        </w:rPr>
      </w:pPr>
    </w:p>
    <w:p w:rsidR="00FF69BB" w:rsidRDefault="00FF69BB" w:rsidP="00197507">
      <w:pPr>
        <w:spacing w:line="240" w:lineRule="auto"/>
        <w:rPr>
          <w:rFonts w:ascii="Times New Roman" w:eastAsia="ヒラギノ角ゴ Pro W3" w:hAnsi="Times New Roman"/>
          <w:b/>
          <w:spacing w:val="-3"/>
          <w:sz w:val="24"/>
          <w:szCs w:val="24"/>
        </w:rPr>
      </w:pPr>
    </w:p>
    <w:p w:rsidR="00271F6F" w:rsidRDefault="00271F6F" w:rsidP="00197507">
      <w:pPr>
        <w:spacing w:line="240" w:lineRule="auto"/>
        <w:rPr>
          <w:rFonts w:ascii="Times New Roman" w:eastAsia="ヒラギノ角ゴ Pro W3" w:hAnsi="Times New Roman"/>
          <w:b/>
          <w:spacing w:val="-3"/>
          <w:sz w:val="24"/>
          <w:szCs w:val="24"/>
        </w:rPr>
      </w:pPr>
    </w:p>
    <w:p w:rsidR="00402D7D" w:rsidRDefault="00402D7D" w:rsidP="00197507">
      <w:pPr>
        <w:spacing w:line="240" w:lineRule="auto"/>
        <w:rPr>
          <w:rFonts w:ascii="Times New Roman" w:eastAsia="ヒラギノ角ゴ Pro W3" w:hAnsi="Times New Roman"/>
          <w:b/>
          <w:spacing w:val="-3"/>
        </w:rPr>
      </w:pPr>
    </w:p>
    <w:p w:rsidR="00402D7D" w:rsidRDefault="00402D7D" w:rsidP="00197507">
      <w:pPr>
        <w:spacing w:line="240" w:lineRule="auto"/>
        <w:rPr>
          <w:rFonts w:ascii="Times New Roman" w:eastAsia="ヒラギノ角ゴ Pro W3" w:hAnsi="Times New Roman"/>
          <w:b/>
          <w:spacing w:val="-3"/>
        </w:rPr>
      </w:pPr>
    </w:p>
    <w:p w:rsidR="00402D7D" w:rsidRDefault="00402D7D" w:rsidP="00197507">
      <w:pPr>
        <w:spacing w:line="240" w:lineRule="auto"/>
        <w:rPr>
          <w:rFonts w:ascii="Times New Roman" w:eastAsia="ヒラギノ角ゴ Pro W3" w:hAnsi="Times New Roman"/>
          <w:b/>
          <w:spacing w:val="-3"/>
        </w:rPr>
      </w:pPr>
    </w:p>
    <w:p w:rsidR="00402D7D" w:rsidRDefault="00402D7D" w:rsidP="00197507">
      <w:pPr>
        <w:spacing w:line="240" w:lineRule="auto"/>
        <w:rPr>
          <w:rFonts w:ascii="Times New Roman" w:eastAsia="ヒラギノ角ゴ Pro W3" w:hAnsi="Times New Roman"/>
          <w:b/>
          <w:spacing w:val="-3"/>
        </w:rPr>
      </w:pPr>
    </w:p>
    <w:p w:rsidR="00402D7D" w:rsidRDefault="00402D7D" w:rsidP="00197507">
      <w:pPr>
        <w:spacing w:line="240" w:lineRule="auto"/>
        <w:rPr>
          <w:rFonts w:ascii="Times New Roman" w:eastAsia="ヒラギノ角ゴ Pro W3" w:hAnsi="Times New Roman"/>
          <w:b/>
          <w:spacing w:val="-3"/>
        </w:rPr>
      </w:pPr>
    </w:p>
    <w:p w:rsidR="00402D7D" w:rsidRDefault="00402D7D" w:rsidP="00197507">
      <w:pPr>
        <w:spacing w:line="240" w:lineRule="auto"/>
        <w:rPr>
          <w:rFonts w:ascii="Times New Roman" w:eastAsia="ヒラギノ角ゴ Pro W3" w:hAnsi="Times New Roman"/>
          <w:b/>
          <w:spacing w:val="-3"/>
        </w:rPr>
      </w:pPr>
    </w:p>
    <w:p w:rsidR="00402D7D" w:rsidRDefault="00402D7D" w:rsidP="00197507">
      <w:pPr>
        <w:spacing w:line="240" w:lineRule="auto"/>
        <w:rPr>
          <w:rFonts w:ascii="Times New Roman" w:eastAsia="ヒラギノ角ゴ Pro W3" w:hAnsi="Times New Roman"/>
          <w:b/>
          <w:spacing w:val="-3"/>
        </w:rPr>
      </w:pPr>
    </w:p>
    <w:p w:rsidR="00402D7D" w:rsidRDefault="00402D7D" w:rsidP="00197507">
      <w:pPr>
        <w:spacing w:line="240" w:lineRule="auto"/>
        <w:rPr>
          <w:rFonts w:ascii="Times New Roman" w:eastAsia="ヒラギノ角ゴ Pro W3" w:hAnsi="Times New Roman"/>
          <w:b/>
          <w:spacing w:val="-3"/>
        </w:rPr>
      </w:pPr>
    </w:p>
    <w:p w:rsidR="00402D7D" w:rsidRDefault="00402D7D" w:rsidP="00197507">
      <w:pPr>
        <w:spacing w:line="240" w:lineRule="auto"/>
        <w:rPr>
          <w:rFonts w:ascii="Times New Roman" w:eastAsia="ヒラギノ角ゴ Pro W3" w:hAnsi="Times New Roman"/>
          <w:b/>
          <w:spacing w:val="-3"/>
        </w:rPr>
      </w:pPr>
    </w:p>
    <w:p w:rsidR="00402D7D" w:rsidRDefault="00402D7D" w:rsidP="00197507">
      <w:pPr>
        <w:spacing w:line="240" w:lineRule="auto"/>
        <w:rPr>
          <w:rFonts w:ascii="Times New Roman" w:eastAsia="ヒラギノ角ゴ Pro W3" w:hAnsi="Times New Roman"/>
          <w:b/>
          <w:spacing w:val="-3"/>
        </w:rPr>
      </w:pPr>
    </w:p>
    <w:p w:rsidR="00402D7D" w:rsidRDefault="00402D7D" w:rsidP="00197507">
      <w:pPr>
        <w:spacing w:line="240" w:lineRule="auto"/>
        <w:rPr>
          <w:rFonts w:ascii="Times New Roman" w:eastAsia="ヒラギノ角ゴ Pro W3" w:hAnsi="Times New Roman"/>
          <w:b/>
          <w:spacing w:val="-3"/>
        </w:rPr>
      </w:pPr>
    </w:p>
    <w:p w:rsidR="00402D7D" w:rsidRDefault="00402D7D" w:rsidP="00197507">
      <w:pPr>
        <w:spacing w:line="240" w:lineRule="auto"/>
        <w:rPr>
          <w:rFonts w:ascii="Times New Roman" w:eastAsia="ヒラギノ角ゴ Pro W3" w:hAnsi="Times New Roman"/>
          <w:b/>
          <w:spacing w:val="-3"/>
        </w:rPr>
      </w:pPr>
    </w:p>
    <w:p w:rsidR="00402D7D" w:rsidRDefault="00402D7D" w:rsidP="00197507">
      <w:pPr>
        <w:spacing w:line="240" w:lineRule="auto"/>
        <w:rPr>
          <w:rFonts w:ascii="Times New Roman" w:eastAsia="ヒラギノ角ゴ Pro W3" w:hAnsi="Times New Roman"/>
          <w:b/>
          <w:spacing w:val="-3"/>
        </w:rPr>
      </w:pPr>
    </w:p>
    <w:p w:rsidR="00402D7D" w:rsidRDefault="00402D7D" w:rsidP="00197507">
      <w:pPr>
        <w:spacing w:line="240" w:lineRule="auto"/>
        <w:rPr>
          <w:rFonts w:ascii="Times New Roman" w:eastAsia="ヒラギノ角ゴ Pro W3" w:hAnsi="Times New Roman"/>
          <w:b/>
          <w:spacing w:val="-3"/>
        </w:rPr>
      </w:pPr>
    </w:p>
    <w:p w:rsidR="00402D7D" w:rsidRDefault="00402D7D" w:rsidP="00197507">
      <w:pPr>
        <w:spacing w:line="240" w:lineRule="auto"/>
        <w:rPr>
          <w:rFonts w:ascii="Times New Roman" w:eastAsia="ヒラギノ角ゴ Pro W3" w:hAnsi="Times New Roman"/>
          <w:b/>
          <w:spacing w:val="-3"/>
        </w:rPr>
      </w:pPr>
    </w:p>
    <w:p w:rsidR="00402D7D" w:rsidRDefault="00402D7D" w:rsidP="00197507">
      <w:pPr>
        <w:spacing w:line="240" w:lineRule="auto"/>
        <w:rPr>
          <w:rFonts w:ascii="Times New Roman" w:eastAsia="ヒラギノ角ゴ Pro W3" w:hAnsi="Times New Roman"/>
          <w:b/>
          <w:spacing w:val="-3"/>
        </w:rPr>
      </w:pPr>
    </w:p>
    <w:p w:rsidR="00402D7D" w:rsidRDefault="00402D7D" w:rsidP="00197507">
      <w:pPr>
        <w:spacing w:line="240" w:lineRule="auto"/>
        <w:rPr>
          <w:rFonts w:ascii="Times New Roman" w:eastAsia="ヒラギノ角ゴ Pro W3" w:hAnsi="Times New Roman"/>
          <w:b/>
          <w:spacing w:val="-3"/>
        </w:rPr>
      </w:pPr>
    </w:p>
    <w:p w:rsidR="00402D7D" w:rsidRDefault="00402D7D" w:rsidP="00197507">
      <w:pPr>
        <w:spacing w:line="240" w:lineRule="auto"/>
        <w:rPr>
          <w:rFonts w:ascii="Times New Roman" w:eastAsia="ヒラギノ角ゴ Pro W3" w:hAnsi="Times New Roman"/>
          <w:b/>
          <w:spacing w:val="-3"/>
        </w:rPr>
      </w:pPr>
    </w:p>
    <w:p w:rsidR="00402D7D" w:rsidRDefault="00402D7D" w:rsidP="00197507">
      <w:pPr>
        <w:spacing w:line="240" w:lineRule="auto"/>
        <w:rPr>
          <w:rFonts w:ascii="Times New Roman" w:eastAsia="ヒラギノ角ゴ Pro W3" w:hAnsi="Times New Roman"/>
          <w:b/>
          <w:spacing w:val="-3"/>
        </w:rPr>
      </w:pPr>
    </w:p>
    <w:p w:rsidR="00402D7D" w:rsidRDefault="00402D7D" w:rsidP="00197507">
      <w:pPr>
        <w:spacing w:line="240" w:lineRule="auto"/>
        <w:rPr>
          <w:rFonts w:ascii="Times New Roman" w:eastAsia="ヒラギノ角ゴ Pro W3" w:hAnsi="Times New Roman"/>
          <w:b/>
          <w:spacing w:val="-3"/>
        </w:rPr>
      </w:pPr>
    </w:p>
    <w:p w:rsidR="00402D7D" w:rsidRDefault="00402D7D" w:rsidP="00197507">
      <w:pPr>
        <w:spacing w:line="240" w:lineRule="auto"/>
        <w:rPr>
          <w:rFonts w:ascii="Times New Roman" w:eastAsia="ヒラギノ角ゴ Pro W3" w:hAnsi="Times New Roman"/>
          <w:b/>
          <w:spacing w:val="-3"/>
        </w:rPr>
      </w:pPr>
    </w:p>
    <w:p w:rsidR="00197507" w:rsidRPr="003A536E" w:rsidRDefault="00197507" w:rsidP="00197507">
      <w:pPr>
        <w:spacing w:line="240" w:lineRule="auto"/>
        <w:rPr>
          <w:rFonts w:ascii="Times New Roman" w:hAnsi="Times New Roman"/>
        </w:rPr>
      </w:pPr>
      <w:bookmarkStart w:id="0" w:name="_GoBack"/>
      <w:bookmarkEnd w:id="0"/>
      <w:r w:rsidRPr="003A536E">
        <w:rPr>
          <w:rFonts w:ascii="Times New Roman" w:eastAsia="ヒラギノ角ゴ Pro W3" w:hAnsi="Times New Roman"/>
          <w:b/>
          <w:spacing w:val="-3"/>
        </w:rPr>
        <w:lastRenderedPageBreak/>
        <w:t>Table 1.</w:t>
      </w:r>
      <w:r w:rsidRPr="003A536E">
        <w:rPr>
          <w:rFonts w:ascii="Times New Roman" w:eastAsia="ヒラギノ角ゴ Pro W3" w:hAnsi="Times New Roman"/>
          <w:spacing w:val="-3"/>
        </w:rPr>
        <w:t xml:space="preserve"> </w:t>
      </w:r>
      <w:r w:rsidRPr="003A536E">
        <w:rPr>
          <w:rFonts w:ascii="Times New Roman" w:hAnsi="Times New Roman"/>
        </w:rPr>
        <w:t>Multiple linear regression analysis of mental de</w:t>
      </w:r>
      <w:r w:rsidR="0071518D" w:rsidRPr="003A536E">
        <w:rPr>
          <w:rFonts w:ascii="Times New Roman" w:hAnsi="Times New Roman"/>
        </w:rPr>
        <w:t xml:space="preserve">mands and mental resources with </w:t>
      </w:r>
      <w:r w:rsidRPr="003A536E">
        <w:rPr>
          <w:rFonts w:ascii="Times New Roman" w:hAnsi="Times New Roman"/>
        </w:rPr>
        <w:t xml:space="preserve">somatic </w:t>
      </w:r>
      <w:r w:rsidR="0071518D" w:rsidRPr="003A536E">
        <w:rPr>
          <w:rFonts w:ascii="Times New Roman" w:hAnsi="Times New Roman"/>
        </w:rPr>
        <w:t xml:space="preserve">symptoms </w:t>
      </w:r>
      <w:r w:rsidRPr="003A536E">
        <w:rPr>
          <w:rFonts w:ascii="Times New Roman" w:hAnsi="Times New Roman"/>
        </w:rPr>
        <w:t>and anxiety as outcome variables.</w:t>
      </w:r>
    </w:p>
    <w:p w:rsidR="00197507" w:rsidRDefault="00197507" w:rsidP="00197507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237"/>
        <w:gridCol w:w="728"/>
        <w:gridCol w:w="664"/>
        <w:gridCol w:w="918"/>
        <w:gridCol w:w="704"/>
        <w:gridCol w:w="637"/>
        <w:gridCol w:w="748"/>
        <w:gridCol w:w="748"/>
        <w:gridCol w:w="886"/>
        <w:gridCol w:w="756"/>
      </w:tblGrid>
      <w:tr w:rsidR="00197507" w:rsidRPr="00410382" w:rsidTr="008527C3">
        <w:trPr>
          <w:jc w:val="center"/>
        </w:trPr>
        <w:tc>
          <w:tcPr>
            <w:tcW w:w="2335" w:type="dxa"/>
            <w:tcBorders>
              <w:bottom w:val="nil"/>
            </w:tcBorders>
            <w:shd w:val="clear" w:color="auto" w:fill="auto"/>
          </w:tcPr>
          <w:p w:rsidR="00197507" w:rsidRPr="00410382" w:rsidRDefault="00197507" w:rsidP="008527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4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97507" w:rsidRPr="00410382" w:rsidRDefault="00197507" w:rsidP="008527C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10382">
              <w:rPr>
                <w:rFonts w:ascii="Times New Roman" w:hAnsi="Times New Roman"/>
                <w:b/>
              </w:rPr>
              <w:t>GHQ Somatics</w:t>
            </w:r>
          </w:p>
          <w:p w:rsidR="00197507" w:rsidRPr="00410382" w:rsidRDefault="00197507" w:rsidP="008527C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73" w:type="dxa"/>
            <w:tcBorders>
              <w:bottom w:val="nil"/>
            </w:tcBorders>
          </w:tcPr>
          <w:p w:rsidR="00197507" w:rsidRPr="00410382" w:rsidRDefault="00197507" w:rsidP="008527C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8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97507" w:rsidRPr="00410382" w:rsidRDefault="00197507" w:rsidP="008527C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10382">
              <w:rPr>
                <w:rFonts w:ascii="Times New Roman" w:hAnsi="Times New Roman"/>
                <w:b/>
              </w:rPr>
              <w:t>GHQ Anxiety</w:t>
            </w:r>
          </w:p>
          <w:p w:rsidR="00197507" w:rsidRPr="00410382" w:rsidRDefault="00197507" w:rsidP="008527C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97507" w:rsidRPr="00410382" w:rsidTr="008527C3">
        <w:trPr>
          <w:jc w:val="center"/>
        </w:trPr>
        <w:tc>
          <w:tcPr>
            <w:tcW w:w="23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7507" w:rsidRPr="00410382" w:rsidRDefault="00197507" w:rsidP="008527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7507" w:rsidRPr="00410382" w:rsidRDefault="00197507" w:rsidP="008527C3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10382">
              <w:rPr>
                <w:rFonts w:ascii="Times New Roman" w:hAnsi="Times New Roman"/>
                <w:i/>
              </w:rPr>
              <w:t>B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7507" w:rsidRPr="00410382" w:rsidRDefault="00197507" w:rsidP="008527C3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10382">
              <w:rPr>
                <w:rFonts w:ascii="Times New Roman" w:hAnsi="Times New Roman"/>
                <w:i/>
              </w:rPr>
              <w:t>SE B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7507" w:rsidRPr="00410382" w:rsidRDefault="00197507" w:rsidP="008527C3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10382">
              <w:rPr>
                <w:rFonts w:ascii="Times New Roman" w:hAnsi="Times New Roman"/>
                <w:i/>
              </w:rPr>
              <w:t>β</w:t>
            </w:r>
          </w:p>
          <w:p w:rsidR="00197507" w:rsidRPr="00410382" w:rsidRDefault="00197507" w:rsidP="008527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197507" w:rsidRPr="00410382" w:rsidRDefault="00197507" w:rsidP="008527C3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t</w:t>
            </w: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</w:tcPr>
          <w:p w:rsidR="00197507" w:rsidRPr="00410382" w:rsidRDefault="00197507" w:rsidP="008527C3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7507" w:rsidRPr="00410382" w:rsidRDefault="00197507" w:rsidP="008527C3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10382">
              <w:rPr>
                <w:rFonts w:ascii="Times New Roman" w:hAnsi="Times New Roman"/>
                <w:i/>
              </w:rPr>
              <w:t>B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7507" w:rsidRPr="00410382" w:rsidRDefault="00197507" w:rsidP="008527C3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10382">
              <w:rPr>
                <w:rFonts w:ascii="Times New Roman" w:hAnsi="Times New Roman"/>
                <w:i/>
              </w:rPr>
              <w:t>SE B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7507" w:rsidRPr="00410382" w:rsidRDefault="00197507" w:rsidP="008527C3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10382">
              <w:rPr>
                <w:rFonts w:ascii="Times New Roman" w:hAnsi="Times New Roman"/>
                <w:i/>
              </w:rPr>
              <w:t>β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:rsidR="00197507" w:rsidRPr="00410382" w:rsidRDefault="00197507" w:rsidP="008527C3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t</w:t>
            </w:r>
          </w:p>
        </w:tc>
      </w:tr>
      <w:tr w:rsidR="00197507" w:rsidRPr="00410382" w:rsidTr="008527C3">
        <w:trPr>
          <w:jc w:val="center"/>
        </w:trPr>
        <w:tc>
          <w:tcPr>
            <w:tcW w:w="233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7507" w:rsidRPr="00973D52" w:rsidRDefault="00197507" w:rsidP="008527C3">
            <w:pPr>
              <w:spacing w:after="0" w:line="240" w:lineRule="auto"/>
              <w:rPr>
                <w:rFonts w:ascii="Times New Roman" w:hAnsi="Times New Roman"/>
              </w:rPr>
            </w:pPr>
            <w:r w:rsidRPr="00973D52">
              <w:rPr>
                <w:rFonts w:ascii="Times New Roman" w:hAnsi="Times New Roman"/>
              </w:rPr>
              <w:t>Mental Demands</w:t>
            </w:r>
          </w:p>
          <w:p w:rsidR="00197507" w:rsidRPr="00410382" w:rsidRDefault="00197507" w:rsidP="008527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7507" w:rsidRPr="00410382" w:rsidRDefault="00947B64" w:rsidP="008527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-1.40</w:t>
            </w:r>
          </w:p>
        </w:tc>
        <w:tc>
          <w:tcPr>
            <w:tcW w:w="67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7507" w:rsidRPr="00410382" w:rsidRDefault="00947B64" w:rsidP="008527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.666</w:t>
            </w:r>
          </w:p>
        </w:tc>
        <w:tc>
          <w:tcPr>
            <w:tcW w:w="92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7507" w:rsidRPr="00410382" w:rsidRDefault="00947B64" w:rsidP="008527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-.265</w:t>
            </w:r>
          </w:p>
        </w:tc>
        <w:tc>
          <w:tcPr>
            <w:tcW w:w="713" w:type="dxa"/>
            <w:tcBorders>
              <w:top w:val="single" w:sz="4" w:space="0" w:color="auto"/>
              <w:bottom w:val="nil"/>
            </w:tcBorders>
          </w:tcPr>
          <w:p w:rsidR="00197507" w:rsidRDefault="00947B64" w:rsidP="008527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-2.10</w:t>
            </w:r>
          </w:p>
        </w:tc>
        <w:tc>
          <w:tcPr>
            <w:tcW w:w="673" w:type="dxa"/>
            <w:tcBorders>
              <w:top w:val="single" w:sz="4" w:space="0" w:color="auto"/>
              <w:bottom w:val="nil"/>
            </w:tcBorders>
          </w:tcPr>
          <w:p w:rsidR="00197507" w:rsidRDefault="00197507" w:rsidP="008527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7507" w:rsidRPr="00410382" w:rsidRDefault="00947B64" w:rsidP="008527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-3.09</w:t>
            </w:r>
          </w:p>
        </w:tc>
        <w:tc>
          <w:tcPr>
            <w:tcW w:w="76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7507" w:rsidRPr="00410382" w:rsidRDefault="00947B64" w:rsidP="008527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.631</w:t>
            </w:r>
          </w:p>
        </w:tc>
        <w:tc>
          <w:tcPr>
            <w:tcW w:w="8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7507" w:rsidRPr="00410382" w:rsidRDefault="00947B64" w:rsidP="008527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-.58</w:t>
            </w:r>
            <w:r w:rsidR="00197507">
              <w:rPr>
                <w:rFonts w:ascii="Times New Roman" w:hAnsi="Times New Roman"/>
              </w:rPr>
              <w:t>5</w:t>
            </w:r>
            <w:r w:rsidR="00197507" w:rsidRPr="000D2963">
              <w:rPr>
                <w:rFonts w:ascii="Times New Roman" w:hAnsi="Times New Roman"/>
                <w:vertAlign w:val="superscript"/>
              </w:rPr>
              <w:t>***</w:t>
            </w:r>
          </w:p>
        </w:tc>
        <w:tc>
          <w:tcPr>
            <w:tcW w:w="770" w:type="dxa"/>
            <w:tcBorders>
              <w:top w:val="single" w:sz="4" w:space="0" w:color="auto"/>
              <w:bottom w:val="nil"/>
            </w:tcBorders>
          </w:tcPr>
          <w:p w:rsidR="00197507" w:rsidRDefault="00947B64" w:rsidP="008527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-4.90</w:t>
            </w:r>
          </w:p>
        </w:tc>
      </w:tr>
      <w:tr w:rsidR="00197507" w:rsidRPr="00410382" w:rsidTr="008527C3">
        <w:trPr>
          <w:jc w:val="center"/>
        </w:trPr>
        <w:tc>
          <w:tcPr>
            <w:tcW w:w="23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7507" w:rsidRPr="00973D52" w:rsidRDefault="00197507" w:rsidP="008527C3">
            <w:pPr>
              <w:spacing w:after="0" w:line="240" w:lineRule="auto"/>
              <w:rPr>
                <w:rFonts w:ascii="Times New Roman" w:hAnsi="Times New Roman"/>
              </w:rPr>
            </w:pPr>
            <w:r w:rsidRPr="00973D52">
              <w:rPr>
                <w:rFonts w:ascii="Times New Roman" w:hAnsi="Times New Roman"/>
              </w:rPr>
              <w:t>Mental Resources</w:t>
            </w:r>
          </w:p>
          <w:p w:rsidR="00197507" w:rsidRPr="00410382" w:rsidRDefault="00197507" w:rsidP="008527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7507" w:rsidRPr="00410382" w:rsidRDefault="00947B64" w:rsidP="008527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-3.34</w:t>
            </w:r>
          </w:p>
        </w:tc>
        <w:tc>
          <w:tcPr>
            <w:tcW w:w="67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7507" w:rsidRPr="00410382" w:rsidRDefault="00947B64" w:rsidP="008527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.872</w:t>
            </w:r>
          </w:p>
        </w:tc>
        <w:tc>
          <w:tcPr>
            <w:tcW w:w="9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7507" w:rsidRPr="00410382" w:rsidRDefault="00947B64" w:rsidP="008527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-.483</w:t>
            </w:r>
            <w:r w:rsidR="00197507" w:rsidRPr="000D2963">
              <w:rPr>
                <w:rFonts w:ascii="Times New Roman" w:hAnsi="Times New Roman"/>
                <w:vertAlign w:val="superscript"/>
              </w:rPr>
              <w:t>***</w:t>
            </w: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197507" w:rsidRDefault="00947B64" w:rsidP="008527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-3.83</w:t>
            </w: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</w:tcPr>
          <w:p w:rsidR="00197507" w:rsidRDefault="00197507" w:rsidP="008527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7507" w:rsidRPr="00410382" w:rsidRDefault="00947B64" w:rsidP="008527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-1.31</w:t>
            </w:r>
          </w:p>
        </w:tc>
        <w:tc>
          <w:tcPr>
            <w:tcW w:w="76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7507" w:rsidRPr="00410382" w:rsidRDefault="00947B64" w:rsidP="008527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.826</w:t>
            </w:r>
          </w:p>
        </w:tc>
        <w:tc>
          <w:tcPr>
            <w:tcW w:w="8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7507" w:rsidRPr="00410382" w:rsidRDefault="00947B64" w:rsidP="008527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-.189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</w:tcPr>
          <w:p w:rsidR="00197507" w:rsidRDefault="00947B64" w:rsidP="008527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-1.58</w:t>
            </w:r>
          </w:p>
        </w:tc>
      </w:tr>
    </w:tbl>
    <w:p w:rsidR="00197507" w:rsidRDefault="00197507" w:rsidP="0019750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vertAlign w:val="superscript"/>
        </w:rPr>
        <w:t>***</w:t>
      </w:r>
      <w:r w:rsidRPr="00D20CAF">
        <w:rPr>
          <w:rFonts w:ascii="Times New Roman" w:hAnsi="Times New Roman"/>
          <w:i/>
        </w:rPr>
        <w:t>P</w:t>
      </w:r>
      <w:r>
        <w:rPr>
          <w:rFonts w:ascii="Times New Roman" w:hAnsi="Times New Roman"/>
        </w:rPr>
        <w:t xml:space="preserve"> &lt; 0.001</w:t>
      </w:r>
    </w:p>
    <w:p w:rsidR="00197507" w:rsidRDefault="00197507" w:rsidP="00197507">
      <w:pPr>
        <w:spacing w:line="240" w:lineRule="auto"/>
        <w:rPr>
          <w:rFonts w:ascii="Times New Roman" w:eastAsia="ヒラギノ角ゴ Pro W3" w:hAnsi="Times New Roman"/>
          <w:spacing w:val="-3"/>
          <w:sz w:val="24"/>
          <w:szCs w:val="24"/>
        </w:rPr>
      </w:pPr>
    </w:p>
    <w:p w:rsidR="00197507" w:rsidRDefault="00197507" w:rsidP="00197507">
      <w:pPr>
        <w:spacing w:line="240" w:lineRule="auto"/>
        <w:jc w:val="both"/>
        <w:rPr>
          <w:rFonts w:ascii="Times New Roman" w:hAnsi="Times New Roman"/>
          <w:b/>
        </w:rPr>
      </w:pPr>
    </w:p>
    <w:p w:rsidR="00197507" w:rsidRDefault="00197507" w:rsidP="00197507">
      <w:pPr>
        <w:spacing w:line="240" w:lineRule="auto"/>
        <w:jc w:val="both"/>
        <w:rPr>
          <w:rFonts w:ascii="Times New Roman" w:hAnsi="Times New Roman"/>
          <w:b/>
        </w:rPr>
      </w:pPr>
    </w:p>
    <w:p w:rsidR="00E378E8" w:rsidRDefault="00E378E8" w:rsidP="00197507">
      <w:pPr>
        <w:spacing w:line="240" w:lineRule="auto"/>
        <w:jc w:val="both"/>
        <w:rPr>
          <w:rFonts w:ascii="Times New Roman" w:hAnsi="Times New Roman"/>
          <w:b/>
        </w:rPr>
      </w:pPr>
    </w:p>
    <w:p w:rsidR="00E378E8" w:rsidRDefault="00E378E8" w:rsidP="00197507">
      <w:pPr>
        <w:spacing w:line="240" w:lineRule="auto"/>
        <w:jc w:val="both"/>
        <w:rPr>
          <w:rFonts w:ascii="Times New Roman" w:hAnsi="Times New Roman"/>
          <w:b/>
        </w:rPr>
      </w:pPr>
    </w:p>
    <w:p w:rsidR="00E378E8" w:rsidRDefault="00E378E8" w:rsidP="00197507">
      <w:pPr>
        <w:spacing w:line="240" w:lineRule="auto"/>
        <w:jc w:val="both"/>
        <w:rPr>
          <w:rFonts w:ascii="Times New Roman" w:hAnsi="Times New Roman"/>
          <w:b/>
        </w:rPr>
      </w:pPr>
    </w:p>
    <w:p w:rsidR="00E378E8" w:rsidRDefault="00E378E8" w:rsidP="00197507">
      <w:pPr>
        <w:spacing w:line="240" w:lineRule="auto"/>
        <w:jc w:val="both"/>
        <w:rPr>
          <w:rFonts w:ascii="Times New Roman" w:hAnsi="Times New Roman"/>
          <w:b/>
        </w:rPr>
      </w:pPr>
    </w:p>
    <w:p w:rsidR="00E378E8" w:rsidRDefault="00E378E8" w:rsidP="00197507">
      <w:pPr>
        <w:spacing w:line="240" w:lineRule="auto"/>
        <w:jc w:val="both"/>
        <w:rPr>
          <w:rFonts w:ascii="Times New Roman" w:hAnsi="Times New Roman"/>
          <w:b/>
        </w:rPr>
      </w:pPr>
    </w:p>
    <w:p w:rsidR="00E378E8" w:rsidRDefault="00E378E8" w:rsidP="00197507">
      <w:pPr>
        <w:spacing w:line="240" w:lineRule="auto"/>
        <w:jc w:val="both"/>
        <w:rPr>
          <w:rFonts w:ascii="Times New Roman" w:hAnsi="Times New Roman"/>
          <w:b/>
        </w:rPr>
      </w:pPr>
    </w:p>
    <w:p w:rsidR="00E378E8" w:rsidRDefault="00E378E8" w:rsidP="00197507">
      <w:pPr>
        <w:spacing w:line="240" w:lineRule="auto"/>
        <w:jc w:val="both"/>
        <w:rPr>
          <w:rFonts w:ascii="Times New Roman" w:hAnsi="Times New Roman"/>
          <w:b/>
        </w:rPr>
      </w:pPr>
    </w:p>
    <w:p w:rsidR="00E378E8" w:rsidRDefault="00E378E8" w:rsidP="00197507">
      <w:pPr>
        <w:spacing w:line="240" w:lineRule="auto"/>
        <w:jc w:val="both"/>
        <w:rPr>
          <w:rFonts w:ascii="Times New Roman" w:hAnsi="Times New Roman"/>
          <w:b/>
        </w:rPr>
      </w:pPr>
    </w:p>
    <w:p w:rsidR="00E378E8" w:rsidRDefault="00E378E8" w:rsidP="00197507">
      <w:pPr>
        <w:spacing w:line="240" w:lineRule="auto"/>
        <w:jc w:val="both"/>
        <w:rPr>
          <w:rFonts w:ascii="Times New Roman" w:hAnsi="Times New Roman"/>
          <w:b/>
        </w:rPr>
      </w:pPr>
    </w:p>
    <w:p w:rsidR="00E378E8" w:rsidRDefault="00E378E8" w:rsidP="00197507">
      <w:pPr>
        <w:spacing w:line="240" w:lineRule="auto"/>
        <w:jc w:val="both"/>
        <w:rPr>
          <w:rFonts w:ascii="Times New Roman" w:hAnsi="Times New Roman"/>
          <w:b/>
        </w:rPr>
      </w:pPr>
    </w:p>
    <w:p w:rsidR="00E378E8" w:rsidRDefault="00E378E8" w:rsidP="00197507">
      <w:pPr>
        <w:spacing w:line="240" w:lineRule="auto"/>
        <w:jc w:val="both"/>
        <w:rPr>
          <w:rFonts w:ascii="Times New Roman" w:hAnsi="Times New Roman"/>
          <w:b/>
        </w:rPr>
      </w:pPr>
    </w:p>
    <w:p w:rsidR="00E378E8" w:rsidRDefault="00E378E8" w:rsidP="00197507">
      <w:pPr>
        <w:spacing w:line="240" w:lineRule="auto"/>
        <w:jc w:val="both"/>
        <w:rPr>
          <w:rFonts w:ascii="Times New Roman" w:hAnsi="Times New Roman"/>
          <w:b/>
        </w:rPr>
      </w:pPr>
    </w:p>
    <w:p w:rsidR="00E378E8" w:rsidRDefault="00E378E8" w:rsidP="00197507">
      <w:pPr>
        <w:spacing w:line="240" w:lineRule="auto"/>
        <w:jc w:val="both"/>
        <w:rPr>
          <w:rFonts w:ascii="Times New Roman" w:hAnsi="Times New Roman"/>
          <w:b/>
        </w:rPr>
      </w:pPr>
    </w:p>
    <w:p w:rsidR="00E378E8" w:rsidRDefault="00E378E8" w:rsidP="00197507">
      <w:pPr>
        <w:spacing w:line="240" w:lineRule="auto"/>
        <w:jc w:val="both"/>
        <w:rPr>
          <w:rFonts w:ascii="Times New Roman" w:hAnsi="Times New Roman"/>
          <w:b/>
        </w:rPr>
      </w:pPr>
    </w:p>
    <w:p w:rsidR="00E378E8" w:rsidRDefault="00E378E8" w:rsidP="00197507">
      <w:pPr>
        <w:spacing w:line="240" w:lineRule="auto"/>
        <w:jc w:val="both"/>
        <w:rPr>
          <w:rFonts w:ascii="Times New Roman" w:hAnsi="Times New Roman"/>
          <w:b/>
        </w:rPr>
      </w:pPr>
    </w:p>
    <w:p w:rsidR="00E378E8" w:rsidRDefault="00E378E8" w:rsidP="00197507">
      <w:pPr>
        <w:spacing w:line="240" w:lineRule="auto"/>
        <w:jc w:val="both"/>
        <w:rPr>
          <w:rFonts w:ascii="Times New Roman" w:hAnsi="Times New Roman"/>
          <w:b/>
        </w:rPr>
      </w:pPr>
    </w:p>
    <w:p w:rsidR="00E378E8" w:rsidRDefault="00E378E8" w:rsidP="00197507">
      <w:pPr>
        <w:spacing w:line="240" w:lineRule="auto"/>
        <w:jc w:val="both"/>
        <w:rPr>
          <w:rFonts w:ascii="Times New Roman" w:hAnsi="Times New Roman"/>
          <w:b/>
        </w:rPr>
      </w:pPr>
    </w:p>
    <w:p w:rsidR="00E378E8" w:rsidRDefault="00E378E8" w:rsidP="00197507">
      <w:pPr>
        <w:spacing w:line="240" w:lineRule="auto"/>
        <w:jc w:val="both"/>
        <w:rPr>
          <w:rFonts w:ascii="Times New Roman" w:hAnsi="Times New Roman"/>
          <w:b/>
        </w:rPr>
      </w:pPr>
    </w:p>
    <w:p w:rsidR="00E378E8" w:rsidRDefault="00E378E8" w:rsidP="00197507">
      <w:pPr>
        <w:spacing w:line="240" w:lineRule="auto"/>
        <w:jc w:val="both"/>
        <w:rPr>
          <w:rFonts w:ascii="Times New Roman" w:hAnsi="Times New Roman"/>
          <w:b/>
        </w:rPr>
      </w:pPr>
    </w:p>
    <w:p w:rsidR="00E378E8" w:rsidRDefault="00E378E8" w:rsidP="00197507">
      <w:pPr>
        <w:spacing w:line="240" w:lineRule="auto"/>
        <w:jc w:val="both"/>
        <w:rPr>
          <w:rFonts w:ascii="Times New Roman" w:hAnsi="Times New Roman"/>
          <w:b/>
        </w:rPr>
      </w:pPr>
    </w:p>
    <w:p w:rsidR="00197507" w:rsidRDefault="00197507" w:rsidP="00197507">
      <w:pPr>
        <w:spacing w:line="240" w:lineRule="auto"/>
        <w:jc w:val="both"/>
        <w:rPr>
          <w:rFonts w:ascii="Times New Roman" w:hAnsi="Times New Roman"/>
          <w:b/>
        </w:rPr>
      </w:pPr>
    </w:p>
    <w:p w:rsidR="00197507" w:rsidRDefault="00197507" w:rsidP="00197507">
      <w:pPr>
        <w:spacing w:line="240" w:lineRule="auto"/>
        <w:jc w:val="both"/>
        <w:rPr>
          <w:rFonts w:ascii="Times New Roman" w:hAnsi="Times New Roman"/>
          <w:b/>
        </w:rPr>
      </w:pPr>
    </w:p>
    <w:p w:rsidR="0071518D" w:rsidRDefault="003A536E" w:rsidP="0019750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Table 2.</w:t>
      </w:r>
      <w:r w:rsidR="00197507">
        <w:rPr>
          <w:rFonts w:ascii="Times New Roman" w:hAnsi="Times New Roman"/>
          <w:b/>
        </w:rPr>
        <w:t xml:space="preserve"> </w:t>
      </w:r>
      <w:r w:rsidR="00197507" w:rsidRPr="00D34F52">
        <w:rPr>
          <w:rFonts w:ascii="Times New Roman" w:hAnsi="Times New Roman"/>
        </w:rPr>
        <w:t>Global GHQ</w:t>
      </w:r>
      <w:r w:rsidR="00402D7D">
        <w:rPr>
          <w:rFonts w:ascii="Times New Roman" w:hAnsi="Times New Roman"/>
        </w:rPr>
        <w:t xml:space="preserve"> and Own Prognosis of WA</w:t>
      </w:r>
      <w:r w:rsidR="00197507" w:rsidRPr="00D34F52">
        <w:rPr>
          <w:rFonts w:ascii="Times New Roman" w:hAnsi="Times New Roman"/>
        </w:rPr>
        <w:t xml:space="preserve"> scores among </w:t>
      </w:r>
      <w:r w:rsidR="0071518D">
        <w:rPr>
          <w:rFonts w:ascii="Times New Roman" w:hAnsi="Times New Roman"/>
        </w:rPr>
        <w:t>workability groups.</w:t>
      </w:r>
    </w:p>
    <w:p w:rsidR="00197507" w:rsidRDefault="0071518D" w:rsidP="00197507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559"/>
        <w:gridCol w:w="1560"/>
        <w:gridCol w:w="1559"/>
        <w:gridCol w:w="1371"/>
      </w:tblGrid>
      <w:tr w:rsidR="00197507" w:rsidRPr="00410382" w:rsidTr="00402D7D">
        <w:trPr>
          <w:trHeight w:val="615"/>
          <w:jc w:val="center"/>
        </w:trPr>
        <w:tc>
          <w:tcPr>
            <w:tcW w:w="2977" w:type="dxa"/>
          </w:tcPr>
          <w:p w:rsidR="00197507" w:rsidRPr="00410382" w:rsidRDefault="00197507" w:rsidP="008527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hideMark/>
          </w:tcPr>
          <w:p w:rsidR="00197507" w:rsidRPr="00410382" w:rsidRDefault="00197507" w:rsidP="008527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hideMark/>
          </w:tcPr>
          <w:p w:rsidR="00197507" w:rsidRPr="00A56E8D" w:rsidRDefault="00197507" w:rsidP="008527C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56E8D">
              <w:rPr>
                <w:rFonts w:ascii="Times New Roman" w:hAnsi="Times New Roman"/>
                <w:b/>
              </w:rPr>
              <w:t>WAI groups</w:t>
            </w:r>
          </w:p>
        </w:tc>
        <w:tc>
          <w:tcPr>
            <w:tcW w:w="1559" w:type="dxa"/>
            <w:hideMark/>
          </w:tcPr>
          <w:p w:rsidR="00197507" w:rsidRPr="00410382" w:rsidRDefault="00197507" w:rsidP="008527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1" w:type="dxa"/>
          </w:tcPr>
          <w:p w:rsidR="00197507" w:rsidRPr="00410382" w:rsidRDefault="00197507" w:rsidP="008527C3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197507" w:rsidRPr="00410382" w:rsidTr="00402D7D">
        <w:trPr>
          <w:trHeight w:val="615"/>
          <w:jc w:val="center"/>
        </w:trPr>
        <w:tc>
          <w:tcPr>
            <w:tcW w:w="2977" w:type="dxa"/>
            <w:tcBorders>
              <w:bottom w:val="single" w:sz="4" w:space="0" w:color="auto"/>
            </w:tcBorders>
          </w:tcPr>
          <w:p w:rsidR="00197507" w:rsidRPr="00410382" w:rsidRDefault="00197507" w:rsidP="008527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hideMark/>
          </w:tcPr>
          <w:p w:rsidR="00197507" w:rsidRPr="00410382" w:rsidRDefault="00197507" w:rsidP="008527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0382">
              <w:rPr>
                <w:rFonts w:ascii="Times New Roman" w:hAnsi="Times New Roman"/>
              </w:rPr>
              <w:t>Excellent</w:t>
            </w:r>
          </w:p>
          <w:p w:rsidR="00197507" w:rsidRPr="00410382" w:rsidRDefault="00197507" w:rsidP="008527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0382">
              <w:rPr>
                <w:rFonts w:ascii="Times New Roman" w:hAnsi="Times New Roman"/>
                <w:i/>
              </w:rPr>
              <w:t>n</w:t>
            </w:r>
            <w:r w:rsidR="00947B64">
              <w:rPr>
                <w:rFonts w:ascii="Times New Roman" w:hAnsi="Times New Roman"/>
              </w:rPr>
              <w:t xml:space="preserve"> =  12</w:t>
            </w:r>
          </w:p>
          <w:p w:rsidR="00197507" w:rsidRPr="00410382" w:rsidRDefault="00197507" w:rsidP="008527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hideMark/>
          </w:tcPr>
          <w:p w:rsidR="00197507" w:rsidRPr="00410382" w:rsidRDefault="00197507" w:rsidP="008527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0382">
              <w:rPr>
                <w:rFonts w:ascii="Times New Roman" w:hAnsi="Times New Roman"/>
              </w:rPr>
              <w:t>Good</w:t>
            </w:r>
          </w:p>
          <w:p w:rsidR="00197507" w:rsidRPr="00410382" w:rsidRDefault="00197507" w:rsidP="008527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0382">
              <w:rPr>
                <w:rFonts w:ascii="Times New Roman" w:hAnsi="Times New Roman"/>
                <w:i/>
              </w:rPr>
              <w:t>n</w:t>
            </w:r>
            <w:r w:rsidR="00947B64">
              <w:rPr>
                <w:rFonts w:ascii="Times New Roman" w:hAnsi="Times New Roman"/>
              </w:rPr>
              <w:t xml:space="preserve"> = 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hideMark/>
          </w:tcPr>
          <w:p w:rsidR="00197507" w:rsidRPr="00410382" w:rsidRDefault="00197507" w:rsidP="008527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0382">
              <w:rPr>
                <w:rFonts w:ascii="Times New Roman" w:hAnsi="Times New Roman"/>
              </w:rPr>
              <w:t>Moderate-Poor</w:t>
            </w:r>
          </w:p>
          <w:p w:rsidR="00197507" w:rsidRPr="00410382" w:rsidRDefault="00197507" w:rsidP="008527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0382">
              <w:rPr>
                <w:rFonts w:ascii="Times New Roman" w:hAnsi="Times New Roman"/>
                <w:i/>
              </w:rPr>
              <w:t>n</w:t>
            </w:r>
            <w:r w:rsidR="00947B64">
              <w:rPr>
                <w:rFonts w:ascii="Times New Roman" w:hAnsi="Times New Roman"/>
              </w:rPr>
              <w:t xml:space="preserve"> = 9</w:t>
            </w:r>
          </w:p>
        </w:tc>
        <w:tc>
          <w:tcPr>
            <w:tcW w:w="1371" w:type="dxa"/>
            <w:tcBorders>
              <w:bottom w:val="single" w:sz="4" w:space="0" w:color="auto"/>
            </w:tcBorders>
          </w:tcPr>
          <w:p w:rsidR="00197507" w:rsidRPr="00410382" w:rsidRDefault="00197507" w:rsidP="008527C3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10382">
              <w:rPr>
                <w:rFonts w:ascii="Times New Roman" w:hAnsi="Times New Roman"/>
                <w:i/>
              </w:rPr>
              <w:t>P</w:t>
            </w:r>
          </w:p>
        </w:tc>
      </w:tr>
      <w:tr w:rsidR="00197507" w:rsidRPr="00410382" w:rsidTr="00402D7D">
        <w:trPr>
          <w:jc w:val="center"/>
        </w:trPr>
        <w:tc>
          <w:tcPr>
            <w:tcW w:w="2977" w:type="dxa"/>
            <w:tcBorders>
              <w:bottom w:val="nil"/>
            </w:tcBorders>
            <w:hideMark/>
          </w:tcPr>
          <w:p w:rsidR="00197507" w:rsidRPr="00410382" w:rsidRDefault="00197507" w:rsidP="008527C3">
            <w:pPr>
              <w:spacing w:after="0" w:line="240" w:lineRule="auto"/>
              <w:rPr>
                <w:rFonts w:ascii="Times New Roman" w:hAnsi="Times New Roman"/>
              </w:rPr>
            </w:pPr>
            <w:r w:rsidRPr="00410382">
              <w:rPr>
                <w:rFonts w:ascii="Times New Roman" w:hAnsi="Times New Roman"/>
              </w:rPr>
              <w:t xml:space="preserve">Global GHQ </w:t>
            </w:r>
            <w:r w:rsidRPr="0054206E">
              <w:rPr>
                <w:rFonts w:ascii="Times New Roman" w:hAnsi="Times New Roman"/>
                <w:i/>
              </w:rPr>
              <w:t>M</w:t>
            </w:r>
            <w:r w:rsidRPr="00410382">
              <w:rPr>
                <w:rFonts w:ascii="Times New Roman" w:hAnsi="Times New Roman"/>
              </w:rPr>
              <w:t xml:space="preserve"> (</w:t>
            </w:r>
            <w:r w:rsidRPr="0054206E">
              <w:rPr>
                <w:rFonts w:ascii="Times New Roman" w:hAnsi="Times New Roman"/>
                <w:i/>
              </w:rPr>
              <w:t>SD</w:t>
            </w:r>
            <w:r w:rsidRPr="00410382">
              <w:rPr>
                <w:rFonts w:ascii="Times New Roman" w:hAnsi="Times New Roman"/>
              </w:rPr>
              <w:t>)</w:t>
            </w:r>
          </w:p>
        </w:tc>
        <w:tc>
          <w:tcPr>
            <w:tcW w:w="1559" w:type="dxa"/>
            <w:tcBorders>
              <w:bottom w:val="nil"/>
            </w:tcBorders>
          </w:tcPr>
          <w:p w:rsidR="00197507" w:rsidRPr="00410382" w:rsidRDefault="00947B64" w:rsidP="008527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18.08 (5</w:t>
            </w:r>
            <w:r w:rsidR="00197507" w:rsidRPr="00410382">
              <w:rPr>
                <w:rFonts w:ascii="Times New Roman" w:hAnsi="Times New Roman"/>
              </w:rPr>
              <w:t>.8)</w:t>
            </w:r>
          </w:p>
          <w:p w:rsidR="00197507" w:rsidRPr="00410382" w:rsidRDefault="00197507" w:rsidP="008527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bottom w:val="nil"/>
            </w:tcBorders>
            <w:hideMark/>
          </w:tcPr>
          <w:p w:rsidR="00197507" w:rsidRPr="00410382" w:rsidRDefault="00947B64" w:rsidP="008527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28.10 (12.1</w:t>
            </w:r>
            <w:r w:rsidR="00197507" w:rsidRPr="00410382">
              <w:rPr>
                <w:rFonts w:ascii="Times New Roman" w:hAnsi="Times New Roman"/>
              </w:rPr>
              <w:t>)</w:t>
            </w:r>
          </w:p>
          <w:p w:rsidR="00197507" w:rsidRPr="00410382" w:rsidRDefault="00197507" w:rsidP="008527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bottom w:val="nil"/>
            </w:tcBorders>
            <w:hideMark/>
          </w:tcPr>
          <w:p w:rsidR="00197507" w:rsidRPr="00410382" w:rsidRDefault="00947B64" w:rsidP="008527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36.33 (7.4</w:t>
            </w:r>
            <w:r w:rsidR="00197507" w:rsidRPr="00410382">
              <w:rPr>
                <w:rFonts w:ascii="Times New Roman" w:hAnsi="Times New Roman"/>
              </w:rPr>
              <w:t>)</w:t>
            </w:r>
          </w:p>
          <w:p w:rsidR="00197507" w:rsidRPr="00410382" w:rsidRDefault="00197507" w:rsidP="008527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1" w:type="dxa"/>
            <w:tcBorders>
              <w:bottom w:val="nil"/>
            </w:tcBorders>
          </w:tcPr>
          <w:p w:rsidR="00197507" w:rsidRPr="00410382" w:rsidRDefault="00197507" w:rsidP="008527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0382">
              <w:rPr>
                <w:rFonts w:ascii="Times New Roman" w:hAnsi="Times New Roman"/>
              </w:rPr>
              <w:t>&lt; 0.0</w:t>
            </w:r>
            <w:r w:rsidR="002A7698">
              <w:rPr>
                <w:rFonts w:ascii="Times New Roman" w:hAnsi="Times New Roman"/>
              </w:rPr>
              <w:t>0</w:t>
            </w:r>
            <w:r w:rsidRPr="00410382">
              <w:rPr>
                <w:rFonts w:ascii="Times New Roman" w:hAnsi="Times New Roman"/>
              </w:rPr>
              <w:t>1</w:t>
            </w:r>
          </w:p>
        </w:tc>
      </w:tr>
      <w:tr w:rsidR="00AF67D9" w:rsidRPr="00410382" w:rsidTr="00402D7D">
        <w:trPr>
          <w:jc w:val="center"/>
        </w:trPr>
        <w:tc>
          <w:tcPr>
            <w:tcW w:w="2977" w:type="dxa"/>
            <w:tcBorders>
              <w:top w:val="nil"/>
            </w:tcBorders>
          </w:tcPr>
          <w:p w:rsidR="00AF67D9" w:rsidRDefault="00402D7D" w:rsidP="008527C3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Own Prognosis of WA</w:t>
            </w:r>
            <w:r w:rsidR="00AF67D9">
              <w:rPr>
                <w:rFonts w:ascii="Times New Roman" w:hAnsi="Times New Roman"/>
              </w:rPr>
              <w:t xml:space="preserve"> </w:t>
            </w:r>
            <w:r w:rsidR="00AF67D9" w:rsidRPr="00AF67D9">
              <w:rPr>
                <w:rFonts w:ascii="Times New Roman" w:hAnsi="Times New Roman"/>
                <w:i/>
              </w:rPr>
              <w:t>M (SD)</w:t>
            </w:r>
          </w:p>
          <w:p w:rsidR="00AF67D9" w:rsidRPr="00410382" w:rsidRDefault="00AF67D9" w:rsidP="008527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F67D9" w:rsidRPr="00410382" w:rsidRDefault="00402D7D" w:rsidP="008527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7.00 (0.0</w:t>
            </w:r>
            <w:r w:rsidR="00AA35A0">
              <w:rPr>
                <w:rFonts w:ascii="Times New Roman" w:hAnsi="Times New Roman"/>
              </w:rPr>
              <w:t>)</w:t>
            </w:r>
          </w:p>
        </w:tc>
        <w:tc>
          <w:tcPr>
            <w:tcW w:w="1560" w:type="dxa"/>
            <w:tcBorders>
              <w:top w:val="nil"/>
            </w:tcBorders>
          </w:tcPr>
          <w:p w:rsidR="00AF67D9" w:rsidRPr="00410382" w:rsidRDefault="00402D7D" w:rsidP="008527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6.86 (0.7</w:t>
            </w:r>
            <w:r w:rsidR="00AA35A0">
              <w:rPr>
                <w:rFonts w:ascii="Times New Roman" w:hAnsi="Times New Roman"/>
              </w:rPr>
              <w:t>)</w:t>
            </w:r>
          </w:p>
        </w:tc>
        <w:tc>
          <w:tcPr>
            <w:tcW w:w="1559" w:type="dxa"/>
            <w:tcBorders>
              <w:top w:val="nil"/>
            </w:tcBorders>
          </w:tcPr>
          <w:p w:rsidR="00AF67D9" w:rsidRPr="00410382" w:rsidRDefault="00402D7D" w:rsidP="008527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4.67 (2.0</w:t>
            </w:r>
            <w:r w:rsidR="00AA35A0">
              <w:rPr>
                <w:rFonts w:ascii="Times New Roman" w:hAnsi="Times New Roman"/>
              </w:rPr>
              <w:t>)</w:t>
            </w:r>
          </w:p>
        </w:tc>
        <w:tc>
          <w:tcPr>
            <w:tcW w:w="1371" w:type="dxa"/>
            <w:tcBorders>
              <w:top w:val="nil"/>
            </w:tcBorders>
          </w:tcPr>
          <w:p w:rsidR="00AF67D9" w:rsidRPr="00410382" w:rsidRDefault="00AA35A0" w:rsidP="008527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 0.05</w:t>
            </w:r>
          </w:p>
        </w:tc>
      </w:tr>
    </w:tbl>
    <w:p w:rsidR="00197507" w:rsidRDefault="00197507" w:rsidP="00197507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197507" w:rsidRDefault="00197507" w:rsidP="00197507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197507" w:rsidRDefault="00197507" w:rsidP="00197507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197507" w:rsidRPr="00297B74" w:rsidRDefault="00197507" w:rsidP="00197507">
      <w:pPr>
        <w:spacing w:line="480" w:lineRule="auto"/>
        <w:jc w:val="both"/>
        <w:rPr>
          <w:rFonts w:ascii="Times New Roman" w:eastAsia="ヒラギノ角ゴ Pro W3" w:hAnsi="Times New Roman"/>
          <w:spacing w:val="-3"/>
          <w:sz w:val="24"/>
          <w:szCs w:val="24"/>
        </w:rPr>
      </w:pPr>
    </w:p>
    <w:p w:rsidR="00197507" w:rsidRDefault="00197507" w:rsidP="00197507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197507" w:rsidRDefault="00197507" w:rsidP="00197507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7507" w:rsidRDefault="00197507" w:rsidP="00197507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378E8" w:rsidRDefault="00E378E8" w:rsidP="00197507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378E8" w:rsidRDefault="00E378E8" w:rsidP="00197507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378E8" w:rsidRDefault="00E378E8" w:rsidP="00197507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378E8" w:rsidRDefault="00E378E8" w:rsidP="00197507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378E8" w:rsidRDefault="00E378E8" w:rsidP="00197507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378E8" w:rsidRDefault="00E378E8" w:rsidP="00197507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378E8" w:rsidRDefault="00E378E8" w:rsidP="00197507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378E8" w:rsidRDefault="00E378E8" w:rsidP="00197507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7507" w:rsidRDefault="00197507" w:rsidP="00271F6F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410382">
        <w:rPr>
          <w:rFonts w:ascii="Times New Roman" w:hAnsi="Times New Roman"/>
          <w:b/>
          <w:sz w:val="24"/>
          <w:szCs w:val="24"/>
        </w:rPr>
        <w:lastRenderedPageBreak/>
        <w:t>References</w:t>
      </w:r>
    </w:p>
    <w:p w:rsidR="00197507" w:rsidRDefault="00197507" w:rsidP="00B75BC2">
      <w:p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A35DF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Coomer K, Houdmont J. Occupational health professionals’ knowledge, understanding and use of work ability. </w:t>
      </w:r>
      <w:r w:rsidRPr="00CA35DF">
        <w:rPr>
          <w:rFonts w:ascii="Times New Roman" w:hAnsi="Times New Roman"/>
          <w:i/>
          <w:sz w:val="24"/>
          <w:szCs w:val="24"/>
        </w:rPr>
        <w:t>Occup Med (Lond</w:t>
      </w:r>
      <w:r>
        <w:rPr>
          <w:rFonts w:ascii="Times New Roman" w:hAnsi="Times New Roman"/>
          <w:sz w:val="24"/>
          <w:szCs w:val="24"/>
        </w:rPr>
        <w:t xml:space="preserve">) 2013; </w:t>
      </w:r>
      <w:r w:rsidRPr="00CA35DF">
        <w:rPr>
          <w:rFonts w:ascii="Times New Roman" w:hAnsi="Times New Roman"/>
          <w:b/>
          <w:sz w:val="24"/>
          <w:szCs w:val="24"/>
        </w:rPr>
        <w:t>63:</w:t>
      </w:r>
      <w:r>
        <w:rPr>
          <w:rFonts w:ascii="Times New Roman" w:hAnsi="Times New Roman"/>
          <w:sz w:val="24"/>
          <w:szCs w:val="24"/>
        </w:rPr>
        <w:t xml:space="preserve"> 405-409</w:t>
      </w:r>
    </w:p>
    <w:p w:rsidR="00197507" w:rsidRDefault="00197507" w:rsidP="00B75BC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97507" w:rsidRDefault="00197507" w:rsidP="00B75BC2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Ilmarinen JE. Aging workers. </w:t>
      </w:r>
      <w:r w:rsidRPr="00075BB6">
        <w:rPr>
          <w:rFonts w:ascii="Times New Roman" w:hAnsi="Times New Roman"/>
          <w:i/>
          <w:sz w:val="24"/>
          <w:szCs w:val="24"/>
        </w:rPr>
        <w:t>Occup Environ Med</w:t>
      </w:r>
      <w:r>
        <w:rPr>
          <w:rFonts w:ascii="Times New Roman" w:hAnsi="Times New Roman"/>
          <w:sz w:val="24"/>
          <w:szCs w:val="24"/>
        </w:rPr>
        <w:t xml:space="preserve"> 2001; </w:t>
      </w:r>
      <w:r w:rsidRPr="00075BB6">
        <w:rPr>
          <w:rFonts w:ascii="Times New Roman" w:hAnsi="Times New Roman"/>
          <w:b/>
          <w:sz w:val="24"/>
          <w:szCs w:val="24"/>
        </w:rPr>
        <w:t>58:</w:t>
      </w:r>
      <w:r>
        <w:rPr>
          <w:rFonts w:ascii="Times New Roman" w:hAnsi="Times New Roman"/>
          <w:sz w:val="24"/>
          <w:szCs w:val="24"/>
        </w:rPr>
        <w:t xml:space="preserve"> 546-552</w:t>
      </w:r>
    </w:p>
    <w:p w:rsidR="00197507" w:rsidRDefault="00197507" w:rsidP="00B75BC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Ghaddar A, Ronda E, Nolasco A. Work ability, psychosocial hazards and work experience in prison environments. </w:t>
      </w:r>
      <w:r w:rsidRPr="00CA35DF">
        <w:rPr>
          <w:rFonts w:ascii="Times New Roman" w:hAnsi="Times New Roman"/>
          <w:i/>
          <w:sz w:val="24"/>
          <w:szCs w:val="24"/>
        </w:rPr>
        <w:t>Occup Med (Lond)</w:t>
      </w:r>
      <w:r>
        <w:rPr>
          <w:rFonts w:ascii="Times New Roman" w:hAnsi="Times New Roman"/>
          <w:sz w:val="24"/>
          <w:szCs w:val="24"/>
        </w:rPr>
        <w:t xml:space="preserve"> 2011; </w:t>
      </w:r>
      <w:r w:rsidRPr="00CA35DF">
        <w:rPr>
          <w:rFonts w:ascii="Times New Roman" w:hAnsi="Times New Roman"/>
          <w:b/>
          <w:sz w:val="24"/>
          <w:szCs w:val="24"/>
        </w:rPr>
        <w:t>61:</w:t>
      </w:r>
      <w:r>
        <w:rPr>
          <w:rFonts w:ascii="Times New Roman" w:hAnsi="Times New Roman"/>
          <w:sz w:val="24"/>
          <w:szCs w:val="24"/>
        </w:rPr>
        <w:t xml:space="preserve"> 503-508</w:t>
      </w:r>
    </w:p>
    <w:p w:rsidR="00197507" w:rsidRDefault="00197507" w:rsidP="00B75BC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97507" w:rsidRDefault="00197507" w:rsidP="00B75BC2">
      <w:p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Crawley E. </w:t>
      </w:r>
      <w:r w:rsidRPr="00CA35DF">
        <w:rPr>
          <w:rFonts w:ascii="Times New Roman" w:hAnsi="Times New Roman"/>
          <w:i/>
          <w:sz w:val="24"/>
          <w:szCs w:val="24"/>
        </w:rPr>
        <w:t>Doing Prison Work: The public and private lives of prison officers</w:t>
      </w:r>
      <w:r>
        <w:rPr>
          <w:rFonts w:ascii="Times New Roman" w:hAnsi="Times New Roman"/>
          <w:sz w:val="24"/>
          <w:szCs w:val="24"/>
        </w:rPr>
        <w:t>. London: Routledge, 2011</w:t>
      </w:r>
    </w:p>
    <w:p w:rsidR="00197507" w:rsidRDefault="00197507" w:rsidP="00B75BC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97507" w:rsidRDefault="00197507" w:rsidP="00B75BC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Liebling A, Price D, Shefer G. </w:t>
      </w:r>
      <w:r w:rsidRPr="00CA35DF">
        <w:rPr>
          <w:rFonts w:ascii="Times New Roman" w:hAnsi="Times New Roman"/>
          <w:i/>
          <w:sz w:val="24"/>
          <w:szCs w:val="24"/>
        </w:rPr>
        <w:t>The Prison Officer</w:t>
      </w:r>
      <w:r>
        <w:rPr>
          <w:rFonts w:ascii="Times New Roman" w:hAnsi="Times New Roman"/>
          <w:sz w:val="24"/>
          <w:szCs w:val="24"/>
        </w:rPr>
        <w:t>. Oxford: Willan Publishing, 2011</w:t>
      </w:r>
    </w:p>
    <w:p w:rsidR="00197507" w:rsidRDefault="00197507" w:rsidP="00B75BC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97507" w:rsidRDefault="00197507" w:rsidP="00B75BC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Ilmarinen J. The Work Ability Index (WAI). </w:t>
      </w:r>
      <w:r w:rsidRPr="003546A5">
        <w:rPr>
          <w:rFonts w:ascii="Times New Roman" w:hAnsi="Times New Roman"/>
          <w:i/>
          <w:sz w:val="24"/>
          <w:szCs w:val="24"/>
        </w:rPr>
        <w:t>Occup Med (Lond)</w:t>
      </w:r>
      <w:r>
        <w:rPr>
          <w:rFonts w:ascii="Times New Roman" w:hAnsi="Times New Roman"/>
          <w:sz w:val="24"/>
          <w:szCs w:val="24"/>
        </w:rPr>
        <w:t xml:space="preserve"> 2007; </w:t>
      </w:r>
      <w:r w:rsidRPr="003546A5">
        <w:rPr>
          <w:rFonts w:ascii="Times New Roman" w:hAnsi="Times New Roman"/>
          <w:b/>
          <w:sz w:val="24"/>
          <w:szCs w:val="24"/>
        </w:rPr>
        <w:t>57:</w:t>
      </w:r>
      <w:r>
        <w:rPr>
          <w:rFonts w:ascii="Times New Roman" w:hAnsi="Times New Roman"/>
          <w:sz w:val="24"/>
          <w:szCs w:val="24"/>
        </w:rPr>
        <w:t xml:space="preserve"> 160</w:t>
      </w:r>
    </w:p>
    <w:p w:rsidR="00197507" w:rsidRDefault="00197507" w:rsidP="00B75BC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97507" w:rsidRDefault="00197507" w:rsidP="00B75BC2">
      <w:p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Goldberg DP </w:t>
      </w:r>
      <w:r w:rsidRPr="005332C6">
        <w:rPr>
          <w:rFonts w:ascii="Times New Roman" w:hAnsi="Times New Roman"/>
          <w:i/>
          <w:sz w:val="24"/>
          <w:szCs w:val="24"/>
        </w:rPr>
        <w:t>et 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332C6">
        <w:rPr>
          <w:rFonts w:ascii="Times New Roman" w:hAnsi="Times New Roman"/>
          <w:i/>
          <w:sz w:val="24"/>
          <w:szCs w:val="24"/>
        </w:rPr>
        <w:t>Manual of the General Health Questionnaire</w:t>
      </w:r>
      <w:r>
        <w:rPr>
          <w:rFonts w:ascii="Times New Roman" w:hAnsi="Times New Roman"/>
          <w:sz w:val="24"/>
          <w:szCs w:val="24"/>
        </w:rPr>
        <w:t>. Windsor, England: NFER Publishing, 1978.</w:t>
      </w:r>
    </w:p>
    <w:p w:rsidR="00197507" w:rsidRDefault="00197507" w:rsidP="00B75BC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97507" w:rsidRDefault="00197507" w:rsidP="00B75BC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Jackson C</w:t>
      </w:r>
      <w:r w:rsidR="00AF67D9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. The General Health Questionnaire. </w:t>
      </w:r>
      <w:r w:rsidRPr="00CA35DF">
        <w:rPr>
          <w:rFonts w:ascii="Times New Roman" w:hAnsi="Times New Roman"/>
          <w:i/>
          <w:sz w:val="24"/>
          <w:szCs w:val="24"/>
        </w:rPr>
        <w:t>Occup Med (Lond)</w:t>
      </w:r>
      <w:r>
        <w:rPr>
          <w:rFonts w:ascii="Times New Roman" w:hAnsi="Times New Roman"/>
          <w:sz w:val="24"/>
          <w:szCs w:val="24"/>
        </w:rPr>
        <w:t xml:space="preserve"> 2007; </w:t>
      </w:r>
      <w:r w:rsidRPr="00CA35DF">
        <w:rPr>
          <w:rFonts w:ascii="Times New Roman" w:hAnsi="Times New Roman"/>
          <w:b/>
          <w:sz w:val="24"/>
          <w:szCs w:val="24"/>
        </w:rPr>
        <w:t>57:</w:t>
      </w:r>
      <w:r>
        <w:rPr>
          <w:rFonts w:ascii="Times New Roman" w:hAnsi="Times New Roman"/>
          <w:sz w:val="24"/>
          <w:szCs w:val="24"/>
        </w:rPr>
        <w:t xml:space="preserve"> 79</w:t>
      </w:r>
    </w:p>
    <w:p w:rsidR="00197507" w:rsidRDefault="00197507" w:rsidP="00B75BC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97507" w:rsidRDefault="00197507" w:rsidP="00B75BC2">
      <w:p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Harenstam A, Theorell T. Work conditions and urinary excretion of catecholamines – a study of prison staff in Sweden. </w:t>
      </w:r>
      <w:r w:rsidRPr="002527F9">
        <w:rPr>
          <w:rFonts w:ascii="Times New Roman" w:hAnsi="Times New Roman"/>
          <w:i/>
          <w:sz w:val="24"/>
          <w:szCs w:val="24"/>
        </w:rPr>
        <w:t>Scand J Work Environ Health</w:t>
      </w:r>
      <w:r>
        <w:rPr>
          <w:rFonts w:ascii="Times New Roman" w:hAnsi="Times New Roman"/>
          <w:sz w:val="24"/>
          <w:szCs w:val="24"/>
        </w:rPr>
        <w:t xml:space="preserve"> 1988; </w:t>
      </w:r>
      <w:r w:rsidRPr="002527F9">
        <w:rPr>
          <w:rFonts w:ascii="Times New Roman" w:hAnsi="Times New Roman"/>
          <w:b/>
          <w:sz w:val="24"/>
          <w:szCs w:val="24"/>
        </w:rPr>
        <w:t>14:</w:t>
      </w:r>
      <w:r>
        <w:rPr>
          <w:rFonts w:ascii="Times New Roman" w:hAnsi="Times New Roman"/>
          <w:sz w:val="24"/>
          <w:szCs w:val="24"/>
        </w:rPr>
        <w:t xml:space="preserve"> 257-264</w:t>
      </w:r>
    </w:p>
    <w:p w:rsidR="00197507" w:rsidRDefault="00197507" w:rsidP="00B75BC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97507" w:rsidRDefault="00197507" w:rsidP="00B75BC2">
      <w:p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Bevan A, Houdmont J, Menear N. The Management Standards Indicator Tool and the estimation of risk. </w:t>
      </w:r>
      <w:r w:rsidRPr="00362C2B">
        <w:rPr>
          <w:rFonts w:ascii="Times New Roman" w:hAnsi="Times New Roman"/>
          <w:i/>
          <w:sz w:val="24"/>
          <w:szCs w:val="24"/>
        </w:rPr>
        <w:t>Occup Med (Lond)</w:t>
      </w:r>
      <w:r>
        <w:rPr>
          <w:rFonts w:ascii="Times New Roman" w:hAnsi="Times New Roman"/>
          <w:sz w:val="24"/>
          <w:szCs w:val="24"/>
        </w:rPr>
        <w:t xml:space="preserve"> 2010; </w:t>
      </w:r>
      <w:r w:rsidRPr="00362C2B">
        <w:rPr>
          <w:rFonts w:ascii="Times New Roman" w:hAnsi="Times New Roman"/>
          <w:b/>
          <w:sz w:val="24"/>
          <w:szCs w:val="24"/>
        </w:rPr>
        <w:t>60:</w:t>
      </w:r>
      <w:r>
        <w:rPr>
          <w:rFonts w:ascii="Times New Roman" w:hAnsi="Times New Roman"/>
          <w:sz w:val="24"/>
          <w:szCs w:val="24"/>
        </w:rPr>
        <w:t xml:space="preserve"> 525-531</w:t>
      </w:r>
    </w:p>
    <w:p w:rsidR="00232DB7" w:rsidRDefault="006A3518"/>
    <w:sectPr w:rsidR="00232D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Times New Roman"/>
    <w:charset w:val="00"/>
    <w:family w:val="auto"/>
    <w:pitch w:val="default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8739AD"/>
    <w:multiLevelType w:val="hybridMultilevel"/>
    <w:tmpl w:val="34086AA6"/>
    <w:lvl w:ilvl="0" w:tplc="6F7A12D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507"/>
    <w:rsid w:val="00000D3A"/>
    <w:rsid w:val="000F3BC7"/>
    <w:rsid w:val="00130688"/>
    <w:rsid w:val="00144E49"/>
    <w:rsid w:val="00163382"/>
    <w:rsid w:val="00197507"/>
    <w:rsid w:val="001E2781"/>
    <w:rsid w:val="00222F4A"/>
    <w:rsid w:val="00270BAF"/>
    <w:rsid w:val="00271F6F"/>
    <w:rsid w:val="002A7698"/>
    <w:rsid w:val="002F4C19"/>
    <w:rsid w:val="003A536E"/>
    <w:rsid w:val="00402D7D"/>
    <w:rsid w:val="00504A4E"/>
    <w:rsid w:val="0052302E"/>
    <w:rsid w:val="00587B32"/>
    <w:rsid w:val="005D29B1"/>
    <w:rsid w:val="006A3518"/>
    <w:rsid w:val="0071518D"/>
    <w:rsid w:val="00745ABC"/>
    <w:rsid w:val="00814295"/>
    <w:rsid w:val="00833EAD"/>
    <w:rsid w:val="008A70A4"/>
    <w:rsid w:val="008C6113"/>
    <w:rsid w:val="008D1243"/>
    <w:rsid w:val="00903DEB"/>
    <w:rsid w:val="00947B64"/>
    <w:rsid w:val="009D48D5"/>
    <w:rsid w:val="00A56E8D"/>
    <w:rsid w:val="00AA35A0"/>
    <w:rsid w:val="00AA4BD6"/>
    <w:rsid w:val="00AF67D9"/>
    <w:rsid w:val="00B30E66"/>
    <w:rsid w:val="00B75BC2"/>
    <w:rsid w:val="00BC09EB"/>
    <w:rsid w:val="00BC22D6"/>
    <w:rsid w:val="00BC5B9C"/>
    <w:rsid w:val="00C86360"/>
    <w:rsid w:val="00C92509"/>
    <w:rsid w:val="00CB23F1"/>
    <w:rsid w:val="00CC71C5"/>
    <w:rsid w:val="00D36ADB"/>
    <w:rsid w:val="00D802BC"/>
    <w:rsid w:val="00DA14E3"/>
    <w:rsid w:val="00DB308D"/>
    <w:rsid w:val="00E378E8"/>
    <w:rsid w:val="00E51E51"/>
    <w:rsid w:val="00E91DD7"/>
    <w:rsid w:val="00EA769D"/>
    <w:rsid w:val="00F03E99"/>
    <w:rsid w:val="00F04B4B"/>
    <w:rsid w:val="00F126C1"/>
    <w:rsid w:val="00F761A3"/>
    <w:rsid w:val="00F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CC06C7-C1E3-4F99-A0A1-882CB5074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50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6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9BB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51E5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BC09EB"/>
    <w:rPr>
      <w:i/>
      <w:iCs/>
    </w:rPr>
  </w:style>
  <w:style w:type="character" w:styleId="Hyperlink">
    <w:name w:val="Hyperlink"/>
    <w:basedOn w:val="DefaultParagraphFont"/>
    <w:uiPriority w:val="99"/>
    <w:unhideWhenUsed/>
    <w:rsid w:val="00BC09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43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8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4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0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9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75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737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562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386459">
                                          <w:marLeft w:val="0"/>
                                          <w:marRight w:val="0"/>
                                          <w:marTop w:val="165"/>
                                          <w:marBottom w:val="16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358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939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i.org/10.1093/occmed/kqv08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cademic.oup.com/occmed/article/65/7/549/173369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03D40-19E0-487E-9E94-F974EF3C3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1516</Words>
  <Characters>8647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Walker</dc:creator>
  <cp:keywords/>
  <dc:description/>
  <cp:lastModifiedBy>Silvio Aldrovandi</cp:lastModifiedBy>
  <cp:revision>6</cp:revision>
  <cp:lastPrinted>2014-06-24T16:28:00Z</cp:lastPrinted>
  <dcterms:created xsi:type="dcterms:W3CDTF">2017-06-21T12:23:00Z</dcterms:created>
  <dcterms:modified xsi:type="dcterms:W3CDTF">2018-05-04T10:52:00Z</dcterms:modified>
</cp:coreProperties>
</file>