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212" w:rsidRDefault="00485212" w:rsidP="00485212">
      <w:pPr>
        <w:spacing w:line="200" w:lineRule="exact"/>
        <w:rPr>
          <w:sz w:val="24"/>
          <w:szCs w:val="24"/>
        </w:rPr>
      </w:pPr>
    </w:p>
    <w:p w:rsidR="00485212" w:rsidRDefault="00485212" w:rsidP="00485212">
      <w:pPr>
        <w:spacing w:line="200" w:lineRule="exact"/>
        <w:rPr>
          <w:sz w:val="24"/>
          <w:szCs w:val="24"/>
        </w:rPr>
      </w:pPr>
    </w:p>
    <w:p w:rsidR="00485212" w:rsidRPr="00485212" w:rsidRDefault="00485212" w:rsidP="00485212">
      <w:pPr>
        <w:pBdr>
          <w:top w:val="single" w:sz="4" w:space="1" w:color="auto"/>
          <w:left w:val="single" w:sz="4" w:space="4" w:color="auto"/>
          <w:bottom w:val="single" w:sz="4" w:space="1" w:color="auto"/>
          <w:right w:val="single" w:sz="4" w:space="4" w:color="auto"/>
        </w:pBdr>
        <w:jc w:val="center"/>
        <w:rPr>
          <w:sz w:val="24"/>
        </w:rPr>
      </w:pPr>
      <w:r>
        <w:rPr>
          <w:sz w:val="24"/>
        </w:rPr>
        <w:t xml:space="preserve">This is the accepted version of the manuscript published by SAGE in </w:t>
      </w:r>
      <w:r w:rsidRPr="00485212">
        <w:rPr>
          <w:i/>
          <w:sz w:val="24"/>
        </w:rPr>
        <w:t>Journal of Offender Therapy and Comparative Criminology</w:t>
      </w:r>
      <w:r>
        <w:rPr>
          <w:sz w:val="24"/>
        </w:rPr>
        <w:t xml:space="preserve">, </w:t>
      </w:r>
      <w:proofErr w:type="spellStart"/>
      <w:r>
        <w:rPr>
          <w:sz w:val="24"/>
        </w:rPr>
        <w:t>doi</w:t>
      </w:r>
      <w:proofErr w:type="spellEnd"/>
      <w:r>
        <w:rPr>
          <w:sz w:val="24"/>
        </w:rPr>
        <w:t>/10.1177/0306624X15586038</w:t>
      </w:r>
    </w:p>
    <w:p w:rsidR="00485212" w:rsidRDefault="00485212" w:rsidP="00485212">
      <w:pPr>
        <w:pBdr>
          <w:top w:val="single" w:sz="4" w:space="1" w:color="auto"/>
          <w:left w:val="single" w:sz="4" w:space="4" w:color="auto"/>
          <w:bottom w:val="single" w:sz="4" w:space="1" w:color="auto"/>
          <w:right w:val="single" w:sz="4" w:space="4" w:color="auto"/>
        </w:pBdr>
        <w:jc w:val="center"/>
        <w:rPr>
          <w:sz w:val="24"/>
        </w:rPr>
      </w:pPr>
    </w:p>
    <w:p w:rsidR="00485212" w:rsidRDefault="00485212" w:rsidP="00485212">
      <w:pPr>
        <w:pBdr>
          <w:top w:val="single" w:sz="4" w:space="1" w:color="auto"/>
          <w:left w:val="single" w:sz="4" w:space="4" w:color="auto"/>
          <w:bottom w:val="single" w:sz="4" w:space="1" w:color="auto"/>
          <w:right w:val="single" w:sz="4" w:space="4" w:color="auto"/>
        </w:pBdr>
        <w:jc w:val="center"/>
      </w:pPr>
      <w:r>
        <w:t xml:space="preserve">Available at </w:t>
      </w:r>
      <w:r w:rsidRPr="00485212">
        <w:t>http://journals.sagepub.com/doi/abs/10.1177/0306624X15586038</w:t>
      </w:r>
    </w:p>
    <w:p w:rsidR="00485212" w:rsidRPr="008E40F4" w:rsidRDefault="00485212" w:rsidP="00485212">
      <w:pPr>
        <w:pBdr>
          <w:top w:val="single" w:sz="4" w:space="1" w:color="auto"/>
          <w:left w:val="single" w:sz="4" w:space="4" w:color="auto"/>
          <w:bottom w:val="single" w:sz="4" w:space="1" w:color="auto"/>
          <w:right w:val="single" w:sz="4" w:space="4" w:color="auto"/>
        </w:pBdr>
        <w:jc w:val="center"/>
        <w:rPr>
          <w:sz w:val="24"/>
        </w:rPr>
      </w:pPr>
    </w:p>
    <w:p w:rsidR="00485212" w:rsidRDefault="00485212" w:rsidP="00485212">
      <w:pPr>
        <w:pBdr>
          <w:top w:val="single" w:sz="4" w:space="1" w:color="auto"/>
          <w:left w:val="single" w:sz="4" w:space="4" w:color="auto"/>
          <w:bottom w:val="single" w:sz="4" w:space="1" w:color="auto"/>
          <w:right w:val="single" w:sz="4" w:space="4" w:color="auto"/>
        </w:pBdr>
        <w:jc w:val="center"/>
        <w:rPr>
          <w:i/>
          <w:sz w:val="24"/>
        </w:rPr>
      </w:pPr>
    </w:p>
    <w:p w:rsidR="00485212" w:rsidRPr="00485212" w:rsidRDefault="00485212" w:rsidP="00485212">
      <w:pPr>
        <w:pBdr>
          <w:top w:val="single" w:sz="4" w:space="1" w:color="auto"/>
          <w:left w:val="single" w:sz="4" w:space="4" w:color="auto"/>
          <w:bottom w:val="single" w:sz="4" w:space="1" w:color="auto"/>
          <w:right w:val="single" w:sz="4" w:space="4" w:color="auto"/>
        </w:pBdr>
        <w:rPr>
          <w:sz w:val="24"/>
        </w:rPr>
      </w:pPr>
      <w:r w:rsidRPr="00485212">
        <w:rPr>
          <w:sz w:val="24"/>
        </w:rPr>
        <w:t xml:space="preserve">Full reference: </w:t>
      </w:r>
      <w:proofErr w:type="spellStart"/>
      <w:r w:rsidRPr="00485212">
        <w:rPr>
          <w:sz w:val="24"/>
        </w:rPr>
        <w:t>Sturgess</w:t>
      </w:r>
      <w:proofErr w:type="spellEnd"/>
      <w:r w:rsidRPr="00485212">
        <w:rPr>
          <w:sz w:val="24"/>
        </w:rPr>
        <w:t>, D</w:t>
      </w:r>
      <w:r>
        <w:rPr>
          <w:sz w:val="24"/>
        </w:rPr>
        <w:t>.</w:t>
      </w:r>
      <w:r w:rsidRPr="00485212">
        <w:rPr>
          <w:sz w:val="24"/>
        </w:rPr>
        <w:t xml:space="preserve">, </w:t>
      </w:r>
      <w:proofErr w:type="spellStart"/>
      <w:r w:rsidRPr="00485212">
        <w:rPr>
          <w:sz w:val="24"/>
        </w:rPr>
        <w:t>Woodhams</w:t>
      </w:r>
      <w:proofErr w:type="spellEnd"/>
      <w:r w:rsidRPr="00485212">
        <w:rPr>
          <w:sz w:val="24"/>
        </w:rPr>
        <w:t>, J</w:t>
      </w:r>
      <w:r>
        <w:rPr>
          <w:sz w:val="24"/>
        </w:rPr>
        <w:t>.,</w:t>
      </w:r>
      <w:r w:rsidRPr="00485212">
        <w:rPr>
          <w:sz w:val="24"/>
        </w:rPr>
        <w:t xml:space="preserve"> &amp; Tonkin, M</w:t>
      </w:r>
      <w:r>
        <w:rPr>
          <w:sz w:val="24"/>
        </w:rPr>
        <w:t>.</w:t>
      </w:r>
      <w:r w:rsidRPr="00485212">
        <w:rPr>
          <w:sz w:val="24"/>
        </w:rPr>
        <w:t xml:space="preserve"> </w:t>
      </w:r>
      <w:r>
        <w:rPr>
          <w:sz w:val="24"/>
        </w:rPr>
        <w:t>(</w:t>
      </w:r>
      <w:r w:rsidRPr="00485212">
        <w:rPr>
          <w:sz w:val="24"/>
        </w:rPr>
        <w:t>2015</w:t>
      </w:r>
      <w:r>
        <w:rPr>
          <w:sz w:val="24"/>
        </w:rPr>
        <w:t xml:space="preserve">). </w:t>
      </w:r>
      <w:r w:rsidRPr="00485212">
        <w:rPr>
          <w:sz w:val="24"/>
        </w:rPr>
        <w:t xml:space="preserve">Treatment engagement from the perspective of the offender: reasons for </w:t>
      </w:r>
      <w:proofErr w:type="spellStart"/>
      <w:r w:rsidRPr="00485212">
        <w:rPr>
          <w:sz w:val="24"/>
        </w:rPr>
        <w:t>noncompletion</w:t>
      </w:r>
      <w:proofErr w:type="spellEnd"/>
      <w:r w:rsidRPr="00485212">
        <w:rPr>
          <w:sz w:val="24"/>
        </w:rPr>
        <w:t xml:space="preserve"> and completion of </w:t>
      </w:r>
      <w:r>
        <w:rPr>
          <w:sz w:val="24"/>
        </w:rPr>
        <w:t xml:space="preserve">treatment- a systematic review. </w:t>
      </w:r>
      <w:r w:rsidRPr="00485212">
        <w:rPr>
          <w:i/>
          <w:sz w:val="24"/>
        </w:rPr>
        <w:t>International Journal of Offender Therapy and Comparative Criminology</w:t>
      </w:r>
      <w:r>
        <w:rPr>
          <w:i/>
          <w:sz w:val="24"/>
        </w:rPr>
        <w:t>, 60</w:t>
      </w:r>
      <w:r w:rsidRPr="00485212">
        <w:rPr>
          <w:sz w:val="24"/>
        </w:rPr>
        <w:t xml:space="preserve">, </w:t>
      </w:r>
      <w:r>
        <w:rPr>
          <w:sz w:val="24"/>
        </w:rPr>
        <w:t>1873–1896</w:t>
      </w:r>
      <w:r w:rsidRPr="00485212">
        <w:rPr>
          <w:sz w:val="24"/>
        </w:rPr>
        <w:t>. DOI: 10.1177/0306624X15586038</w:t>
      </w:r>
    </w:p>
    <w:p w:rsidR="00485212" w:rsidRDefault="00485212" w:rsidP="00485212">
      <w:pPr>
        <w:pBdr>
          <w:top w:val="single" w:sz="4" w:space="1" w:color="auto"/>
          <w:left w:val="single" w:sz="4" w:space="4" w:color="auto"/>
          <w:bottom w:val="single" w:sz="4" w:space="1" w:color="auto"/>
          <w:right w:val="single" w:sz="4" w:space="4" w:color="auto"/>
        </w:pBdr>
        <w:jc w:val="center"/>
        <w:rPr>
          <w:sz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17"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372"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200" w:lineRule="exact"/>
        <w:rPr>
          <w:sz w:val="24"/>
          <w:szCs w:val="24"/>
        </w:rPr>
      </w:pPr>
    </w:p>
    <w:p w:rsidR="000C2ED5" w:rsidRDefault="000C2ED5">
      <w:pPr>
        <w:spacing w:line="363" w:lineRule="exact"/>
        <w:rPr>
          <w:sz w:val="24"/>
          <w:szCs w:val="24"/>
        </w:rPr>
      </w:pPr>
    </w:p>
    <w:p w:rsidR="000C2ED5" w:rsidRDefault="000C2ED5">
      <w:pPr>
        <w:rPr>
          <w:sz w:val="20"/>
          <w:szCs w:val="20"/>
        </w:rPr>
      </w:pPr>
    </w:p>
    <w:p w:rsidR="000C2ED5" w:rsidRDefault="000C2ED5">
      <w:pPr>
        <w:spacing w:line="5" w:lineRule="exact"/>
        <w:rPr>
          <w:sz w:val="24"/>
          <w:szCs w:val="24"/>
        </w:rPr>
      </w:pPr>
    </w:p>
    <w:p w:rsidR="000C2ED5" w:rsidRDefault="000C2ED5">
      <w:pPr>
        <w:sectPr w:rsidR="000C2ED5">
          <w:pgSz w:w="11900" w:h="16840"/>
          <w:pgMar w:top="1440" w:right="840" w:bottom="0" w:left="1140" w:header="0" w:footer="0" w:gutter="0"/>
          <w:cols w:space="720" w:equalWidth="0">
            <w:col w:w="9920"/>
          </w:cols>
        </w:sectPr>
      </w:pPr>
    </w:p>
    <w:p w:rsidR="000C2ED5" w:rsidRDefault="00485212">
      <w:pPr>
        <w:rPr>
          <w:sz w:val="20"/>
          <w:szCs w:val="20"/>
        </w:rPr>
      </w:pPr>
      <w:bookmarkStart w:id="0" w:name="page2"/>
      <w:bookmarkEnd w:id="0"/>
      <w:r>
        <w:rPr>
          <w:rFonts w:eastAsia="Times New Roman"/>
          <w:i/>
          <w:iCs/>
        </w:rPr>
        <w:lastRenderedPageBreak/>
        <w:t>Running Head</w:t>
      </w:r>
      <w:r>
        <w:rPr>
          <w:rFonts w:eastAsia="Times New Roman"/>
        </w:rPr>
        <w:t>: Treatment Engagement from the Perspective of the Offender</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93" w:lineRule="exact"/>
        <w:rPr>
          <w:sz w:val="20"/>
          <w:szCs w:val="20"/>
        </w:rPr>
      </w:pPr>
    </w:p>
    <w:p w:rsidR="000C2ED5" w:rsidRDefault="00485212">
      <w:pPr>
        <w:ind w:right="6"/>
        <w:jc w:val="center"/>
        <w:rPr>
          <w:sz w:val="20"/>
          <w:szCs w:val="20"/>
        </w:rPr>
      </w:pPr>
      <w:r>
        <w:rPr>
          <w:rFonts w:eastAsia="Times New Roman"/>
          <w:sz w:val="23"/>
          <w:szCs w:val="23"/>
        </w:rPr>
        <w:t>Treatment Engagement from the Perspective of the Offender: Reasons for Non-Completion</w:t>
      </w:r>
    </w:p>
    <w:p w:rsidR="000C2ED5" w:rsidRDefault="000C2ED5">
      <w:pPr>
        <w:spacing w:line="276" w:lineRule="exact"/>
        <w:rPr>
          <w:sz w:val="20"/>
          <w:szCs w:val="20"/>
        </w:rPr>
      </w:pPr>
    </w:p>
    <w:p w:rsidR="000C2ED5" w:rsidRDefault="00485212">
      <w:pPr>
        <w:ind w:right="6"/>
        <w:jc w:val="center"/>
        <w:rPr>
          <w:sz w:val="20"/>
          <w:szCs w:val="20"/>
        </w:rPr>
      </w:pPr>
      <w:r>
        <w:rPr>
          <w:rFonts w:eastAsia="Times New Roman"/>
          <w:sz w:val="24"/>
          <w:szCs w:val="24"/>
        </w:rPr>
        <w:t>and Completion of Treatment: A Systematic Review</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28" w:lineRule="exact"/>
        <w:rPr>
          <w:sz w:val="20"/>
          <w:szCs w:val="20"/>
        </w:rPr>
      </w:pPr>
    </w:p>
    <w:p w:rsidR="000C2ED5" w:rsidRDefault="00485212">
      <w:pPr>
        <w:ind w:right="6"/>
        <w:jc w:val="center"/>
        <w:rPr>
          <w:sz w:val="20"/>
          <w:szCs w:val="20"/>
        </w:rPr>
      </w:pPr>
      <w:r>
        <w:rPr>
          <w:rFonts w:eastAsia="Times New Roman"/>
          <w:sz w:val="24"/>
          <w:szCs w:val="24"/>
        </w:rPr>
        <w:t>Danielle Sturgess</w:t>
      </w:r>
    </w:p>
    <w:p w:rsidR="000C2ED5" w:rsidRDefault="000C2ED5">
      <w:pPr>
        <w:spacing w:line="276" w:lineRule="exact"/>
        <w:rPr>
          <w:sz w:val="20"/>
          <w:szCs w:val="20"/>
        </w:rPr>
      </w:pPr>
    </w:p>
    <w:p w:rsidR="000C2ED5" w:rsidRDefault="00485212">
      <w:pPr>
        <w:ind w:right="6"/>
        <w:jc w:val="center"/>
        <w:rPr>
          <w:sz w:val="20"/>
          <w:szCs w:val="20"/>
        </w:rPr>
      </w:pPr>
      <w:r>
        <w:rPr>
          <w:rFonts w:eastAsia="Times New Roman"/>
          <w:sz w:val="24"/>
          <w:szCs w:val="24"/>
        </w:rPr>
        <w:t>Jessica Woodhams</w:t>
      </w:r>
    </w:p>
    <w:p w:rsidR="000C2ED5" w:rsidRDefault="000C2ED5">
      <w:pPr>
        <w:spacing w:line="276" w:lineRule="exact"/>
        <w:rPr>
          <w:sz w:val="20"/>
          <w:szCs w:val="20"/>
        </w:rPr>
      </w:pPr>
    </w:p>
    <w:p w:rsidR="000C2ED5" w:rsidRDefault="00485212">
      <w:pPr>
        <w:ind w:right="6"/>
        <w:jc w:val="center"/>
        <w:rPr>
          <w:sz w:val="20"/>
          <w:szCs w:val="20"/>
        </w:rPr>
      </w:pPr>
      <w:r>
        <w:rPr>
          <w:rFonts w:eastAsia="Times New Roman"/>
          <w:sz w:val="24"/>
          <w:szCs w:val="24"/>
        </w:rPr>
        <w:t>Matthew Tonkin</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93" w:lineRule="exact"/>
        <w:rPr>
          <w:sz w:val="20"/>
          <w:szCs w:val="20"/>
        </w:rPr>
      </w:pPr>
    </w:p>
    <w:p w:rsidR="000C2ED5" w:rsidRDefault="000C2ED5">
      <w:pPr>
        <w:sectPr w:rsidR="000C2ED5">
          <w:pgSz w:w="11900" w:h="16838"/>
          <w:pgMar w:top="700" w:right="1440" w:bottom="1440" w:left="1440" w:header="0" w:footer="0" w:gutter="0"/>
          <w:cols w:space="720" w:equalWidth="0">
            <w:col w:w="9026"/>
          </w:cols>
        </w:sectPr>
      </w:pPr>
      <w:bookmarkStart w:id="1" w:name="_GoBack"/>
      <w:bookmarkEnd w:id="1"/>
    </w:p>
    <w:p w:rsidR="000C2ED5" w:rsidRDefault="00485212">
      <w:pPr>
        <w:rPr>
          <w:sz w:val="20"/>
          <w:szCs w:val="20"/>
        </w:rPr>
      </w:pPr>
      <w:bookmarkStart w:id="2" w:name="page3"/>
      <w:bookmarkEnd w:id="2"/>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1" w:lineRule="exact"/>
        <w:rPr>
          <w:sz w:val="20"/>
          <w:szCs w:val="20"/>
        </w:rPr>
      </w:pPr>
    </w:p>
    <w:p w:rsidR="000C2ED5" w:rsidRDefault="00485212">
      <w:pPr>
        <w:ind w:right="6"/>
        <w:jc w:val="center"/>
        <w:rPr>
          <w:sz w:val="20"/>
          <w:szCs w:val="20"/>
        </w:rPr>
      </w:pPr>
      <w:r>
        <w:rPr>
          <w:rFonts w:eastAsia="Times New Roman"/>
          <w:b/>
          <w:bCs/>
          <w:sz w:val="24"/>
          <w:szCs w:val="24"/>
        </w:rPr>
        <w:t>Abstract</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90" w:lineRule="exact"/>
        <w:rPr>
          <w:sz w:val="20"/>
          <w:szCs w:val="20"/>
        </w:rPr>
      </w:pPr>
    </w:p>
    <w:p w:rsidR="000C2ED5" w:rsidRDefault="00485212">
      <w:pPr>
        <w:spacing w:line="479" w:lineRule="auto"/>
        <w:ind w:right="26"/>
        <w:rPr>
          <w:sz w:val="20"/>
          <w:szCs w:val="20"/>
        </w:rPr>
      </w:pPr>
      <w:r>
        <w:rPr>
          <w:rFonts w:eastAsia="Times New Roman"/>
          <w:sz w:val="24"/>
          <w:szCs w:val="24"/>
        </w:rPr>
        <w:t>A systematic review of the reasons why detained adult offenders fail to attend or successfully complete treatment programme(s) was conducted. A</w:t>
      </w:r>
      <w:r>
        <w:rPr>
          <w:rFonts w:eastAsia="Times New Roman"/>
          <w:sz w:val="24"/>
          <w:szCs w:val="24"/>
        </w:rPr>
        <w:t>n initial search of the literature identified 2,827 articles, which following evaluation against explicit inclusion/exclusion criteria and a quality assessment, was reduced to thirteen studies. Extracted data from the thirteen studies were synthesised usin</w:t>
      </w:r>
      <w:r>
        <w:rPr>
          <w:rFonts w:eastAsia="Times New Roman"/>
          <w:sz w:val="24"/>
          <w:szCs w:val="24"/>
        </w:rPr>
        <w:t>g a qualitative approach. Despite the thirteen studies being heterogeneous in design, there was consensus on the reasons offenders gave for completion/non-completion of treatment. The majority were consistent with the factors outlined in the Multifactor Of</w:t>
      </w:r>
      <w:r>
        <w:rPr>
          <w:rFonts w:eastAsia="Times New Roman"/>
          <w:sz w:val="24"/>
          <w:szCs w:val="24"/>
        </w:rPr>
        <w:t xml:space="preserve">fender Readiness Model (MORM) and included a perceived lack of self-efficacy, negative perceptions of treatment, staff and peers, an inability to regulate emotions and a lack of perceived choice and control. A lack of opportunity to engage in established, </w:t>
      </w:r>
      <w:r>
        <w:rPr>
          <w:rFonts w:eastAsia="Times New Roman"/>
          <w:sz w:val="24"/>
          <w:szCs w:val="24"/>
        </w:rPr>
        <w:t>professionally-run, groups, as well as perceived inadequate support from members of staff was also associated with poor engagement and non-completion of treatment.</w:t>
      </w:r>
    </w:p>
    <w:p w:rsidR="000C2ED5" w:rsidRDefault="000C2ED5">
      <w:pPr>
        <w:spacing w:line="200" w:lineRule="exact"/>
        <w:rPr>
          <w:sz w:val="20"/>
          <w:szCs w:val="20"/>
        </w:rPr>
      </w:pPr>
    </w:p>
    <w:p w:rsidR="000C2ED5" w:rsidRDefault="000C2ED5">
      <w:pPr>
        <w:spacing w:line="356" w:lineRule="exact"/>
        <w:rPr>
          <w:sz w:val="20"/>
          <w:szCs w:val="20"/>
        </w:rPr>
      </w:pPr>
    </w:p>
    <w:p w:rsidR="000C2ED5" w:rsidRDefault="00485212">
      <w:pPr>
        <w:rPr>
          <w:sz w:val="20"/>
          <w:szCs w:val="20"/>
        </w:rPr>
      </w:pPr>
      <w:r>
        <w:rPr>
          <w:rFonts w:eastAsia="Times New Roman"/>
          <w:b/>
          <w:bCs/>
          <w:sz w:val="24"/>
          <w:szCs w:val="24"/>
        </w:rPr>
        <w:t xml:space="preserve">Keywords: </w:t>
      </w:r>
      <w:r>
        <w:rPr>
          <w:rFonts w:eastAsia="Times New Roman"/>
          <w:sz w:val="24"/>
          <w:szCs w:val="24"/>
        </w:rPr>
        <w:t>treatment readiness, treatment engagement, offender, MORM</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24" w:lineRule="exact"/>
        <w:rPr>
          <w:sz w:val="20"/>
          <w:szCs w:val="20"/>
        </w:rPr>
      </w:pPr>
    </w:p>
    <w:p w:rsidR="000C2ED5" w:rsidRDefault="00485212">
      <w:pPr>
        <w:ind w:right="6"/>
        <w:jc w:val="right"/>
        <w:rPr>
          <w:sz w:val="20"/>
          <w:szCs w:val="20"/>
        </w:rPr>
      </w:pPr>
      <w:r>
        <w:rPr>
          <w:rFonts w:eastAsia="Times New Roman"/>
        </w:rPr>
        <w:t>2</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 w:name="page4"/>
      <w:bookmarkEnd w:id="3"/>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1" w:lineRule="exact"/>
        <w:rPr>
          <w:sz w:val="20"/>
          <w:szCs w:val="20"/>
        </w:rPr>
      </w:pPr>
    </w:p>
    <w:p w:rsidR="000C2ED5" w:rsidRDefault="00485212">
      <w:pPr>
        <w:ind w:left="3880"/>
        <w:rPr>
          <w:sz w:val="20"/>
          <w:szCs w:val="20"/>
        </w:rPr>
      </w:pPr>
      <w:r>
        <w:rPr>
          <w:rFonts w:eastAsia="Times New Roman"/>
          <w:b/>
          <w:bCs/>
          <w:sz w:val="24"/>
          <w:szCs w:val="24"/>
        </w:rPr>
        <w:t>Background</w:t>
      </w:r>
    </w:p>
    <w:p w:rsidR="000C2ED5" w:rsidRDefault="000C2ED5">
      <w:pPr>
        <w:spacing w:line="276" w:lineRule="exact"/>
        <w:rPr>
          <w:sz w:val="20"/>
          <w:szCs w:val="20"/>
        </w:rPr>
      </w:pPr>
    </w:p>
    <w:p w:rsidR="000C2ED5" w:rsidRDefault="00485212">
      <w:pPr>
        <w:rPr>
          <w:sz w:val="20"/>
          <w:szCs w:val="20"/>
        </w:rPr>
      </w:pPr>
      <w:r>
        <w:rPr>
          <w:rFonts w:eastAsia="Times New Roman"/>
          <w:b/>
          <w:bCs/>
          <w:sz w:val="24"/>
          <w:szCs w:val="24"/>
        </w:rPr>
        <w:t>Engagement and Non-Completion of Treatment</w:t>
      </w:r>
    </w:p>
    <w:p w:rsidR="000C2ED5" w:rsidRDefault="000C2ED5">
      <w:pPr>
        <w:spacing w:line="283" w:lineRule="exact"/>
        <w:rPr>
          <w:sz w:val="20"/>
          <w:szCs w:val="20"/>
        </w:rPr>
      </w:pPr>
    </w:p>
    <w:p w:rsidR="000C2ED5" w:rsidRDefault="00485212">
      <w:pPr>
        <w:spacing w:line="479" w:lineRule="auto"/>
        <w:ind w:right="86" w:firstLine="720"/>
        <w:rPr>
          <w:sz w:val="20"/>
          <w:szCs w:val="20"/>
        </w:rPr>
      </w:pPr>
      <w:r>
        <w:rPr>
          <w:rFonts w:eastAsia="Times New Roman"/>
          <w:sz w:val="24"/>
          <w:szCs w:val="24"/>
        </w:rPr>
        <w:t xml:space="preserve">The completion by offenders of evidenced-based treatment is thought to increase public safety through reduction in </w:t>
      </w:r>
      <w:r>
        <w:rPr>
          <w:rFonts w:eastAsia="Times New Roman"/>
          <w:sz w:val="24"/>
          <w:szCs w:val="24"/>
        </w:rPr>
        <w:t>recidivism (Polaschek, 2012). However, rehabilitation through treatment is dependent on the offenders’ engagement in treatment, which has been identified as characteristically low (McMurran, 2002). Low engagement includes poor attendance, attending treatme</w:t>
      </w:r>
      <w:r>
        <w:rPr>
          <w:rFonts w:eastAsia="Times New Roman"/>
          <w:sz w:val="24"/>
          <w:szCs w:val="24"/>
        </w:rPr>
        <w:t>nt but making little contribution, engaging in inappropriate/disruptive behaviour, poor cooperation with treatment facilitators, and/or failing to complete various tasks, including homework (Howells &amp; Day, 2007). Non-completion refers to the premature cess</w:t>
      </w:r>
      <w:r>
        <w:rPr>
          <w:rFonts w:eastAsia="Times New Roman"/>
          <w:sz w:val="24"/>
          <w:szCs w:val="24"/>
        </w:rPr>
        <w:t>ation of treatment (Howells &amp; Day, 2007). It can take one of three forms; expulsion due to inappropriate behaviour, an administratively based exit due to the offender being transferred or released from their current environment for reasons unrelated to pro</w:t>
      </w:r>
      <w:r>
        <w:rPr>
          <w:rFonts w:eastAsia="Times New Roman"/>
          <w:sz w:val="24"/>
          <w:szCs w:val="24"/>
        </w:rPr>
        <w:t>gramme attendance/engagement, and patient initiated dropout, in which the offender actively chooses to stop attending treatment (Wormith &amp; Oliver, 2002). For simplicity, throughout this review, the terms low engagement and non-completion will be used inter</w:t>
      </w:r>
      <w:r>
        <w:rPr>
          <w:rFonts w:eastAsia="Times New Roman"/>
          <w:sz w:val="24"/>
          <w:szCs w:val="24"/>
        </w:rPr>
        <w:t>changeably.</w:t>
      </w:r>
    </w:p>
    <w:p w:rsidR="000C2ED5" w:rsidRDefault="000C2ED5">
      <w:pPr>
        <w:spacing w:line="18" w:lineRule="exact"/>
        <w:rPr>
          <w:sz w:val="20"/>
          <w:szCs w:val="20"/>
        </w:rPr>
      </w:pPr>
    </w:p>
    <w:p w:rsidR="000C2ED5" w:rsidRDefault="00485212">
      <w:pPr>
        <w:spacing w:line="476" w:lineRule="auto"/>
        <w:ind w:right="126" w:firstLine="720"/>
        <w:rPr>
          <w:sz w:val="20"/>
          <w:szCs w:val="20"/>
        </w:rPr>
      </w:pPr>
      <w:r>
        <w:rPr>
          <w:rFonts w:eastAsia="Times New Roman"/>
          <w:sz w:val="24"/>
          <w:szCs w:val="24"/>
        </w:rPr>
        <w:t>Rates of non-completion of treatment range quite dramatically depending on type of offender and their residing environment. Meta-analysis has revealed that within institutional settings, including prison and secure hospitals, the rate of non-c</w:t>
      </w:r>
      <w:r>
        <w:rPr>
          <w:rFonts w:eastAsia="Times New Roman"/>
          <w:sz w:val="24"/>
          <w:szCs w:val="24"/>
        </w:rPr>
        <w:t>ompletion for cognitive behavioural interventions is 14.66%, but reaches 45.45% in community samples (McMurran</w:t>
      </w:r>
    </w:p>
    <w:p w:rsidR="000C2ED5" w:rsidRDefault="000C2ED5">
      <w:pPr>
        <w:spacing w:line="19" w:lineRule="exact"/>
        <w:rPr>
          <w:sz w:val="20"/>
          <w:szCs w:val="20"/>
        </w:rPr>
      </w:pPr>
    </w:p>
    <w:p w:rsidR="000C2ED5" w:rsidRDefault="00485212">
      <w:pPr>
        <w:numPr>
          <w:ilvl w:val="0"/>
          <w:numId w:val="2"/>
        </w:numPr>
        <w:tabs>
          <w:tab w:val="left" w:pos="245"/>
        </w:tabs>
        <w:spacing w:line="477" w:lineRule="auto"/>
        <w:ind w:right="6"/>
        <w:rPr>
          <w:rFonts w:eastAsia="Times New Roman"/>
          <w:sz w:val="24"/>
          <w:szCs w:val="24"/>
        </w:rPr>
      </w:pPr>
      <w:r>
        <w:rPr>
          <w:rFonts w:eastAsia="Times New Roman"/>
          <w:sz w:val="24"/>
          <w:szCs w:val="24"/>
        </w:rPr>
        <w:t xml:space="preserve">Theodosi, 2007) suggesting retention is harder to achieve in the community (Ashford et al., 2008; Cullen, Soria, Clarke, Dean &amp; Fahy, 2011). In </w:t>
      </w:r>
      <w:r>
        <w:rPr>
          <w:rFonts w:eastAsia="Times New Roman"/>
          <w:sz w:val="24"/>
          <w:szCs w:val="24"/>
        </w:rPr>
        <w:t>terms of offender type, rates of up to 86% are reported for sexual offenders (Larochelle, Diguer, &amp; Laverdiere, 2011) and between 12% to 34% for violent offenders (Hornsveld, 2005).</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40" w:lineRule="exact"/>
        <w:rPr>
          <w:sz w:val="20"/>
          <w:szCs w:val="20"/>
        </w:rPr>
      </w:pPr>
    </w:p>
    <w:p w:rsidR="000C2ED5" w:rsidRDefault="00485212">
      <w:pPr>
        <w:ind w:right="6"/>
        <w:jc w:val="right"/>
        <w:rPr>
          <w:sz w:val="20"/>
          <w:szCs w:val="20"/>
        </w:rPr>
      </w:pPr>
      <w:r>
        <w:rPr>
          <w:rFonts w:eastAsia="Times New Roman"/>
        </w:rPr>
        <w:t>3</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4" w:name="page5"/>
      <w:bookmarkEnd w:id="4"/>
      <w:r>
        <w:rPr>
          <w:rFonts w:eastAsia="Times New Roman"/>
          <w:sz w:val="24"/>
          <w:szCs w:val="24"/>
        </w:rPr>
        <w:lastRenderedPageBreak/>
        <w:t>Treatment Engagement from the Perspective of the O</w:t>
      </w:r>
      <w:r>
        <w:rPr>
          <w:rFonts w:eastAsia="Times New Roman"/>
          <w:sz w:val="24"/>
          <w:szCs w:val="24"/>
        </w:rPr>
        <w:t>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59" w:lineRule="auto"/>
        <w:ind w:right="6" w:firstLine="720"/>
        <w:rPr>
          <w:sz w:val="20"/>
          <w:szCs w:val="20"/>
        </w:rPr>
      </w:pPr>
      <w:r>
        <w:rPr>
          <w:rFonts w:eastAsia="Times New Roman"/>
          <w:sz w:val="24"/>
          <w:szCs w:val="24"/>
        </w:rPr>
        <w:t xml:space="preserve">Non-completion is associated with an increased risk of recidivism when compared to offenders who complete treatment and even when compared to </w:t>
      </w:r>
      <w:r>
        <w:rPr>
          <w:rFonts w:eastAsia="Times New Roman"/>
          <w:i/>
          <w:iCs/>
          <w:sz w:val="24"/>
          <w:szCs w:val="24"/>
        </w:rPr>
        <w:t>untreated</w:t>
      </w:r>
      <w:r>
        <w:rPr>
          <w:rFonts w:eastAsia="Times New Roman"/>
          <w:sz w:val="24"/>
          <w:szCs w:val="24"/>
        </w:rPr>
        <w:t xml:space="preserve"> offenders (Day, Casey, Ward, Howells, &amp; Vess, 2010; McMurran &amp; Theodosi, 2007). Other aversive outcomes associated with treatment non-completion include increased length of stay in secure hospital settings (Long, Dolley, &amp; Hollin, 2013) which in turn is a</w:t>
      </w:r>
      <w:r>
        <w:rPr>
          <w:rFonts w:eastAsia="Times New Roman"/>
          <w:sz w:val="24"/>
          <w:szCs w:val="24"/>
        </w:rPr>
        <w:t>ssociated with significant costs of up to £749 ($1206) per day, totalling approximately £273,000 ($439,530) per annum, per patient (Durcan, Hoare, &amp; Cumming, 2011)</w:t>
      </w:r>
      <w:r>
        <w:rPr>
          <w:rFonts w:eastAsia="Times New Roman"/>
          <w:sz w:val="32"/>
          <w:szCs w:val="32"/>
          <w:vertAlign w:val="superscript"/>
        </w:rPr>
        <w:t>1</w:t>
      </w:r>
      <w:r>
        <w:rPr>
          <w:rFonts w:eastAsia="Times New Roman"/>
          <w:sz w:val="24"/>
          <w:szCs w:val="24"/>
        </w:rPr>
        <w:t>. Not only does non-completion waste valuable resources, it also prevents new admissions fro</w:t>
      </w:r>
      <w:r>
        <w:rPr>
          <w:rFonts w:eastAsia="Times New Roman"/>
          <w:sz w:val="24"/>
          <w:szCs w:val="24"/>
        </w:rPr>
        <w:t>m benefiting from such services (McMurran, Huband, &amp; Duggan, 2008).</w:t>
      </w:r>
    </w:p>
    <w:p w:rsidR="000C2ED5" w:rsidRDefault="000C2ED5">
      <w:pPr>
        <w:spacing w:line="43" w:lineRule="exact"/>
        <w:rPr>
          <w:sz w:val="20"/>
          <w:szCs w:val="20"/>
        </w:rPr>
      </w:pPr>
    </w:p>
    <w:p w:rsidR="000C2ED5" w:rsidRDefault="00485212">
      <w:pPr>
        <w:spacing w:line="500" w:lineRule="auto"/>
        <w:ind w:right="26" w:firstLine="720"/>
        <w:rPr>
          <w:sz w:val="20"/>
          <w:szCs w:val="20"/>
        </w:rPr>
      </w:pPr>
      <w:r>
        <w:rPr>
          <w:rFonts w:eastAsia="Times New Roman"/>
          <w:sz w:val="23"/>
          <w:szCs w:val="23"/>
        </w:rPr>
        <w:t>Non-completion of treatment also has a negative impact on staff morale (Howells &amp; Day, 2007) which itself is associated with reductions in staffing levels and an increase in patients’ ris</w:t>
      </w:r>
      <w:r>
        <w:rPr>
          <w:rFonts w:eastAsia="Times New Roman"/>
          <w:sz w:val="23"/>
          <w:szCs w:val="23"/>
        </w:rPr>
        <w:t>k of violence (Totman, Hundt, Wearn, Paul, &amp; Johnson, 2011). Furthermore, poor staff morale can negatively impact upon the therapeutic alliance between staff and offenders, which is an essential component for offender engagement in treatment (Ward, Day, Ho</w:t>
      </w:r>
      <w:r>
        <w:rPr>
          <w:rFonts w:eastAsia="Times New Roman"/>
          <w:sz w:val="23"/>
          <w:szCs w:val="23"/>
        </w:rPr>
        <w:t>wells,</w:t>
      </w:r>
    </w:p>
    <w:p w:rsidR="000C2ED5" w:rsidRDefault="000C2ED5">
      <w:pPr>
        <w:spacing w:line="5" w:lineRule="exact"/>
        <w:rPr>
          <w:sz w:val="20"/>
          <w:szCs w:val="20"/>
        </w:rPr>
      </w:pPr>
    </w:p>
    <w:p w:rsidR="000C2ED5" w:rsidRDefault="00485212">
      <w:pPr>
        <w:numPr>
          <w:ilvl w:val="0"/>
          <w:numId w:val="3"/>
        </w:numPr>
        <w:tabs>
          <w:tab w:val="left" w:pos="245"/>
        </w:tabs>
        <w:spacing w:line="469" w:lineRule="auto"/>
        <w:ind w:right="446"/>
        <w:rPr>
          <w:rFonts w:eastAsia="Times New Roman"/>
          <w:sz w:val="24"/>
          <w:szCs w:val="24"/>
        </w:rPr>
      </w:pPr>
      <w:r>
        <w:rPr>
          <w:rFonts w:eastAsia="Times New Roman"/>
          <w:sz w:val="24"/>
          <w:szCs w:val="24"/>
        </w:rPr>
        <w:t>Birgden, 2004). Thus, non-completion of treatment results in what can be considered a vicious circle of dis-engagement within secure services.</w:t>
      </w:r>
    </w:p>
    <w:p w:rsidR="000C2ED5" w:rsidRDefault="000C2ED5">
      <w:pPr>
        <w:spacing w:line="18" w:lineRule="exact"/>
        <w:rPr>
          <w:sz w:val="20"/>
          <w:szCs w:val="20"/>
        </w:rPr>
      </w:pPr>
    </w:p>
    <w:p w:rsidR="000C2ED5" w:rsidRDefault="00485212">
      <w:pPr>
        <w:rPr>
          <w:sz w:val="20"/>
          <w:szCs w:val="20"/>
        </w:rPr>
      </w:pPr>
      <w:r>
        <w:rPr>
          <w:rFonts w:eastAsia="Times New Roman"/>
          <w:b/>
          <w:bCs/>
          <w:sz w:val="24"/>
          <w:szCs w:val="24"/>
        </w:rPr>
        <w:t>Models of Completion/Non-completion</w:t>
      </w:r>
    </w:p>
    <w:p w:rsidR="000C2ED5" w:rsidRDefault="000C2ED5">
      <w:pPr>
        <w:spacing w:line="283" w:lineRule="exact"/>
        <w:rPr>
          <w:sz w:val="20"/>
          <w:szCs w:val="20"/>
        </w:rPr>
      </w:pPr>
    </w:p>
    <w:p w:rsidR="000C2ED5" w:rsidRDefault="00485212">
      <w:pPr>
        <w:spacing w:line="478" w:lineRule="auto"/>
        <w:ind w:right="6" w:firstLine="720"/>
        <w:rPr>
          <w:sz w:val="20"/>
          <w:szCs w:val="20"/>
        </w:rPr>
      </w:pPr>
      <w:r>
        <w:rPr>
          <w:rFonts w:eastAsia="Times New Roman"/>
          <w:sz w:val="24"/>
          <w:szCs w:val="24"/>
        </w:rPr>
        <w:t xml:space="preserve">Several theoretical models have been designed to guide methods of </w:t>
      </w:r>
      <w:r>
        <w:rPr>
          <w:rFonts w:eastAsia="Times New Roman"/>
          <w:sz w:val="24"/>
          <w:szCs w:val="24"/>
        </w:rPr>
        <w:t>treatment in a way which increases engagement and thus treatment completion. For example, although not intended for an offending population, the transtheoretical model of change (Prochaska &amp; DiClemente, 1983) suggests an individual’s internal motivation is</w:t>
      </w:r>
      <w:r>
        <w:rPr>
          <w:rFonts w:eastAsia="Times New Roman"/>
          <w:sz w:val="24"/>
          <w:szCs w:val="24"/>
        </w:rPr>
        <w:t xml:space="preserve"> the driving force for behaviour change through participation in treatment. According to this model, an individual works through various stages of change, including pre-contemplation, contemplation and preparation, before arriving at the maintenance stage,</w:t>
      </w:r>
      <w:r>
        <w:rPr>
          <w:rFonts w:eastAsia="Times New Roman"/>
          <w:sz w:val="24"/>
          <w:szCs w:val="24"/>
        </w:rPr>
        <w:t xml:space="preserve"> in which rehabilitation is achieved and efforts are focused upon the prevention of relapse (Prochaska &amp; DiClemente, 1983). Taking</w:t>
      </w:r>
    </w:p>
    <w:p w:rsidR="000C2ED5" w:rsidRDefault="000C2ED5">
      <w:pPr>
        <w:spacing w:line="393" w:lineRule="exact"/>
        <w:rPr>
          <w:sz w:val="20"/>
          <w:szCs w:val="20"/>
        </w:rPr>
      </w:pPr>
    </w:p>
    <w:p w:rsidR="000C2ED5" w:rsidRDefault="00485212">
      <w:pPr>
        <w:ind w:right="6"/>
        <w:jc w:val="right"/>
        <w:rPr>
          <w:sz w:val="20"/>
          <w:szCs w:val="20"/>
        </w:rPr>
      </w:pPr>
      <w:r>
        <w:rPr>
          <w:rFonts w:eastAsia="Times New Roman"/>
        </w:rPr>
        <w:t>4</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5" w:name="page6"/>
      <w:bookmarkEnd w:id="5"/>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7" w:lineRule="auto"/>
        <w:ind w:right="6"/>
        <w:rPr>
          <w:sz w:val="20"/>
          <w:szCs w:val="20"/>
        </w:rPr>
      </w:pPr>
      <w:r>
        <w:rPr>
          <w:rFonts w:eastAsia="Times New Roman"/>
          <w:sz w:val="24"/>
          <w:szCs w:val="24"/>
        </w:rPr>
        <w:t xml:space="preserve">account of someone’s stage of change when </w:t>
      </w:r>
      <w:r>
        <w:rPr>
          <w:rFonts w:eastAsia="Times New Roman"/>
          <w:sz w:val="24"/>
          <w:szCs w:val="24"/>
        </w:rPr>
        <w:t>tailoring treatment is considered to result in more optimal treatment outcomes, including retention (Norcross, Krebs, &amp; Prochaska, 2011). The application of this model to offending populations has, however, been criticised. Criticisms include its exclusive</w:t>
      </w:r>
      <w:r>
        <w:rPr>
          <w:rFonts w:eastAsia="Times New Roman"/>
          <w:sz w:val="24"/>
          <w:szCs w:val="24"/>
        </w:rPr>
        <w:t xml:space="preserve"> focus on internal motivation and lack of consideration for external motivators, which can significantly influence behaviour change (Casey, Day, &amp; Howells, 2005).</w:t>
      </w:r>
    </w:p>
    <w:p w:rsidR="000C2ED5" w:rsidRDefault="000C2ED5">
      <w:pPr>
        <w:spacing w:line="21" w:lineRule="exact"/>
        <w:rPr>
          <w:sz w:val="20"/>
          <w:szCs w:val="20"/>
        </w:rPr>
      </w:pPr>
    </w:p>
    <w:p w:rsidR="000C2ED5" w:rsidRDefault="00485212">
      <w:pPr>
        <w:spacing w:line="500" w:lineRule="auto"/>
        <w:ind w:right="6" w:firstLine="720"/>
        <w:rPr>
          <w:sz w:val="20"/>
          <w:szCs w:val="20"/>
        </w:rPr>
      </w:pPr>
      <w:r>
        <w:rPr>
          <w:rFonts w:eastAsia="Times New Roman"/>
          <w:sz w:val="23"/>
          <w:szCs w:val="23"/>
        </w:rPr>
        <w:t>The concept of responsivity from the Risk-Need-Responsivity (RNR) model (Andrews, Bonta, &amp; H</w:t>
      </w:r>
      <w:r>
        <w:rPr>
          <w:rFonts w:eastAsia="Times New Roman"/>
          <w:sz w:val="23"/>
          <w:szCs w:val="23"/>
        </w:rPr>
        <w:t>odge, 1990) has also been put forward as a means to promote treatment completion (Ward et al., 2004). The responsivity principle refers to the need to consider how the offender’s characteristics (e.g., cognitive ability) may influence their capacity to ben</w:t>
      </w:r>
      <w:r>
        <w:rPr>
          <w:rFonts w:eastAsia="Times New Roman"/>
          <w:sz w:val="23"/>
          <w:szCs w:val="23"/>
        </w:rPr>
        <w:t>efit from the recommended treatments and how treatment should be adapted accordingly (Day et al., 2010). Whilst the risk-need principles have been widely attended to by the criminal justice system, the responsivity principle has been somewhat neglected (An</w:t>
      </w:r>
      <w:r>
        <w:rPr>
          <w:rFonts w:eastAsia="Times New Roman"/>
          <w:sz w:val="23"/>
          <w:szCs w:val="23"/>
        </w:rPr>
        <w:t>drews &amp; Bonta, 2003; Day et al., 2010). Day et al. (2010) argued this was due to a lack of clarity regarding the construct of responsivity and how it is effectively implemented within clinical practice.</w:t>
      </w:r>
    </w:p>
    <w:p w:rsidR="000C2ED5" w:rsidRDefault="00485212">
      <w:pPr>
        <w:spacing w:line="238" w:lineRule="auto"/>
        <w:ind w:left="720"/>
        <w:rPr>
          <w:sz w:val="20"/>
          <w:szCs w:val="20"/>
        </w:rPr>
      </w:pPr>
      <w:r>
        <w:rPr>
          <w:rFonts w:eastAsia="Times New Roman"/>
          <w:sz w:val="24"/>
          <w:szCs w:val="24"/>
        </w:rPr>
        <w:t>Building on the limitations of the above, Ward et al.</w:t>
      </w:r>
      <w:r>
        <w:rPr>
          <w:rFonts w:eastAsia="Times New Roman"/>
          <w:sz w:val="24"/>
          <w:szCs w:val="24"/>
        </w:rPr>
        <w:t>, (2004) proposed the Multifactor</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Offender Readiness Model (MORM) which encapsulated the concept of ‘treatment</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readiness’. Treatment readiness is defined as ‘</w:t>
      </w:r>
      <w:r>
        <w:rPr>
          <w:rFonts w:eastAsia="Times New Roman"/>
          <w:i/>
          <w:iCs/>
          <w:sz w:val="24"/>
          <w:szCs w:val="24"/>
        </w:rPr>
        <w:t>the presence of characteristics (states or</w:t>
      </w:r>
    </w:p>
    <w:p w:rsidR="000C2ED5" w:rsidRDefault="000C2ED5">
      <w:pPr>
        <w:spacing w:line="276" w:lineRule="exact"/>
        <w:rPr>
          <w:sz w:val="20"/>
          <w:szCs w:val="20"/>
        </w:rPr>
      </w:pPr>
    </w:p>
    <w:p w:rsidR="000C2ED5" w:rsidRDefault="00485212">
      <w:pPr>
        <w:rPr>
          <w:sz w:val="20"/>
          <w:szCs w:val="20"/>
        </w:rPr>
      </w:pPr>
      <w:r>
        <w:rPr>
          <w:rFonts w:eastAsia="Times New Roman"/>
          <w:i/>
          <w:iCs/>
          <w:sz w:val="24"/>
          <w:szCs w:val="24"/>
        </w:rPr>
        <w:t>dispositions) within either the client or the therap</w:t>
      </w:r>
      <w:r>
        <w:rPr>
          <w:rFonts w:eastAsia="Times New Roman"/>
          <w:i/>
          <w:iCs/>
          <w:sz w:val="24"/>
          <w:szCs w:val="24"/>
        </w:rPr>
        <w:t>eutic situation, which are likely to promote</w:t>
      </w:r>
    </w:p>
    <w:p w:rsidR="000C2ED5" w:rsidRDefault="000C2ED5">
      <w:pPr>
        <w:spacing w:line="276" w:lineRule="exact"/>
        <w:rPr>
          <w:sz w:val="20"/>
          <w:szCs w:val="20"/>
        </w:rPr>
      </w:pPr>
    </w:p>
    <w:p w:rsidR="000C2ED5" w:rsidRDefault="00485212">
      <w:pPr>
        <w:rPr>
          <w:sz w:val="20"/>
          <w:szCs w:val="20"/>
        </w:rPr>
      </w:pPr>
      <w:r>
        <w:rPr>
          <w:rFonts w:eastAsia="Times New Roman"/>
          <w:i/>
          <w:iCs/>
          <w:sz w:val="24"/>
          <w:szCs w:val="24"/>
        </w:rPr>
        <w:t>engagement in therapy and which, thereby, are likely to enhance therapeutic change</w:t>
      </w:r>
      <w:r>
        <w:rPr>
          <w:rFonts w:eastAsia="Times New Roman"/>
          <w:sz w:val="24"/>
          <w:szCs w:val="24"/>
        </w:rPr>
        <w:t>’</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(Howells &amp; Day, 2003, p. 321). The model proposes that treatment readiness is the result of</w:t>
      </w:r>
    </w:p>
    <w:p w:rsidR="000C2ED5" w:rsidRDefault="000C2ED5">
      <w:pPr>
        <w:spacing w:line="277" w:lineRule="exact"/>
        <w:rPr>
          <w:sz w:val="20"/>
          <w:szCs w:val="20"/>
        </w:rPr>
      </w:pPr>
    </w:p>
    <w:p w:rsidR="000C2ED5" w:rsidRDefault="00485212">
      <w:pPr>
        <w:rPr>
          <w:sz w:val="20"/>
          <w:szCs w:val="20"/>
        </w:rPr>
      </w:pPr>
      <w:r>
        <w:rPr>
          <w:rFonts w:eastAsia="Times New Roman"/>
          <w:sz w:val="24"/>
          <w:szCs w:val="24"/>
        </w:rPr>
        <w:t>various internal and external fa</w:t>
      </w:r>
      <w:r>
        <w:rPr>
          <w:rFonts w:eastAsia="Times New Roman"/>
          <w:sz w:val="24"/>
          <w:szCs w:val="24"/>
        </w:rPr>
        <w:t>ctors being present within an individual and their environment</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respectively, and the way which they interact to influence engagement (Day et al., 2010).</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Internal factors refer to ‘</w:t>
      </w:r>
      <w:r>
        <w:rPr>
          <w:rFonts w:eastAsia="Times New Roman"/>
          <w:i/>
          <w:iCs/>
          <w:sz w:val="24"/>
          <w:szCs w:val="24"/>
        </w:rPr>
        <w:t>person</w:t>
      </w:r>
      <w:r>
        <w:rPr>
          <w:rFonts w:eastAsia="Times New Roman"/>
          <w:sz w:val="24"/>
          <w:szCs w:val="24"/>
        </w:rPr>
        <w:t>’ factors and include cognitive (beliefs, cognitive strategies),</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af</w:t>
      </w:r>
      <w:r>
        <w:rPr>
          <w:rFonts w:eastAsia="Times New Roman"/>
          <w:sz w:val="24"/>
          <w:szCs w:val="24"/>
        </w:rPr>
        <w:t>fective (emotions), volitional (goals, wants or desires), behavioural (skills and</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62" w:lineRule="exact"/>
        <w:rPr>
          <w:sz w:val="20"/>
          <w:szCs w:val="20"/>
        </w:rPr>
      </w:pPr>
    </w:p>
    <w:p w:rsidR="000C2ED5" w:rsidRDefault="00485212">
      <w:pPr>
        <w:ind w:right="6"/>
        <w:jc w:val="right"/>
        <w:rPr>
          <w:sz w:val="20"/>
          <w:szCs w:val="20"/>
        </w:rPr>
      </w:pPr>
      <w:r>
        <w:rPr>
          <w:rFonts w:eastAsia="Times New Roman"/>
        </w:rPr>
        <w:t>5</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6" w:name="page7"/>
      <w:bookmarkEnd w:id="6"/>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8" w:lineRule="auto"/>
        <w:ind w:right="46"/>
        <w:rPr>
          <w:sz w:val="20"/>
          <w:szCs w:val="20"/>
        </w:rPr>
      </w:pPr>
      <w:r>
        <w:rPr>
          <w:rFonts w:eastAsia="Times New Roman"/>
          <w:sz w:val="24"/>
          <w:szCs w:val="24"/>
        </w:rPr>
        <w:t xml:space="preserve">competencies) and identity (personal and social) factors. External factors refer to </w:t>
      </w:r>
      <w:r>
        <w:rPr>
          <w:rFonts w:eastAsia="Times New Roman"/>
          <w:sz w:val="24"/>
          <w:szCs w:val="24"/>
        </w:rPr>
        <w:t>‘contextual’ factors and include circumstances (mandated vs. voluntary treatment, offender type), location (prison, community), opportunity (availability of therapy and programmes), resources (quality of programme, availability of trained and qualified the</w:t>
      </w:r>
      <w:r>
        <w:rPr>
          <w:rFonts w:eastAsia="Times New Roman"/>
          <w:sz w:val="24"/>
          <w:szCs w:val="24"/>
        </w:rPr>
        <w:t>rapists, appropriate culture/climate), interpersonal support (availability of individuals who wish the offender well and would like to see him or her succeed in overcoming their problems) and programme characteristics (e.g., the type and timing of treatmen</w:t>
      </w:r>
      <w:r>
        <w:rPr>
          <w:rFonts w:eastAsia="Times New Roman"/>
          <w:sz w:val="24"/>
          <w:szCs w:val="24"/>
        </w:rPr>
        <w:t>t). For a brief description of each of the factors please refer to Table 1 online.</w:t>
      </w:r>
    </w:p>
    <w:p w:rsidR="000C2ED5" w:rsidRDefault="000C2ED5">
      <w:pPr>
        <w:spacing w:line="20" w:lineRule="exact"/>
        <w:rPr>
          <w:sz w:val="20"/>
          <w:szCs w:val="20"/>
        </w:rPr>
      </w:pPr>
    </w:p>
    <w:p w:rsidR="000C2ED5" w:rsidRDefault="00485212">
      <w:pPr>
        <w:spacing w:line="476" w:lineRule="auto"/>
        <w:ind w:right="446" w:firstLine="720"/>
        <w:rPr>
          <w:sz w:val="20"/>
          <w:szCs w:val="20"/>
        </w:rPr>
      </w:pPr>
      <w:r>
        <w:rPr>
          <w:rFonts w:eastAsia="Times New Roman"/>
          <w:sz w:val="24"/>
          <w:szCs w:val="24"/>
        </w:rPr>
        <w:t>The model can be used to identify the internal and external factors required for an offender to successfully enter and engage in treatment so that necessary changes could b</w:t>
      </w:r>
      <w:r>
        <w:rPr>
          <w:rFonts w:eastAsia="Times New Roman"/>
          <w:sz w:val="24"/>
          <w:szCs w:val="24"/>
        </w:rPr>
        <w:t>e made to his/her environment and the treatment, but also the client to promote treatment readiness and thus retention (Day et al., 2010; Ward et al., 2004).</w:t>
      </w:r>
    </w:p>
    <w:p w:rsidR="000C2ED5" w:rsidRDefault="000C2ED5">
      <w:pPr>
        <w:spacing w:line="6" w:lineRule="exact"/>
        <w:rPr>
          <w:sz w:val="20"/>
          <w:szCs w:val="20"/>
        </w:rPr>
      </w:pPr>
    </w:p>
    <w:p w:rsidR="000C2ED5" w:rsidRDefault="00485212">
      <w:pPr>
        <w:ind w:left="3860"/>
        <w:rPr>
          <w:sz w:val="20"/>
          <w:szCs w:val="20"/>
        </w:rPr>
      </w:pPr>
      <w:r>
        <w:rPr>
          <w:rFonts w:eastAsia="Times New Roman"/>
          <w:sz w:val="24"/>
          <w:szCs w:val="24"/>
        </w:rPr>
        <w:t>[See Table 1. online]</w:t>
      </w:r>
    </w:p>
    <w:p w:rsidR="000C2ED5" w:rsidRDefault="000C2ED5">
      <w:pPr>
        <w:spacing w:line="281" w:lineRule="exact"/>
        <w:rPr>
          <w:sz w:val="20"/>
          <w:szCs w:val="20"/>
        </w:rPr>
      </w:pPr>
    </w:p>
    <w:p w:rsidR="000C2ED5" w:rsidRDefault="00485212">
      <w:pPr>
        <w:rPr>
          <w:sz w:val="20"/>
          <w:szCs w:val="20"/>
        </w:rPr>
      </w:pPr>
      <w:r>
        <w:rPr>
          <w:rFonts w:eastAsia="Times New Roman"/>
          <w:b/>
          <w:bCs/>
          <w:sz w:val="24"/>
          <w:szCs w:val="24"/>
        </w:rPr>
        <w:t>Characteristics of Non-Completers</w:t>
      </w:r>
    </w:p>
    <w:p w:rsidR="000C2ED5" w:rsidRDefault="000C2ED5">
      <w:pPr>
        <w:spacing w:line="283" w:lineRule="exact"/>
        <w:rPr>
          <w:sz w:val="20"/>
          <w:szCs w:val="20"/>
        </w:rPr>
      </w:pPr>
    </w:p>
    <w:p w:rsidR="000C2ED5" w:rsidRDefault="00485212">
      <w:pPr>
        <w:spacing w:line="500" w:lineRule="auto"/>
        <w:ind w:right="46" w:firstLine="720"/>
        <w:rPr>
          <w:sz w:val="20"/>
          <w:szCs w:val="20"/>
        </w:rPr>
      </w:pPr>
      <w:r>
        <w:rPr>
          <w:rFonts w:eastAsia="Times New Roman"/>
          <w:sz w:val="23"/>
          <w:szCs w:val="23"/>
        </w:rPr>
        <w:t>A substantial amount of research has be</w:t>
      </w:r>
      <w:r>
        <w:rPr>
          <w:rFonts w:eastAsia="Times New Roman"/>
          <w:sz w:val="23"/>
          <w:szCs w:val="23"/>
        </w:rPr>
        <w:t>en devoted to identifying the factors which predict dropout within an offending population (Cullen et al., 2011). These factors include lack of formal education, young age and unemployment, psychopathy, personality disorder (including ASPD), perceived pres</w:t>
      </w:r>
      <w:r>
        <w:rPr>
          <w:rFonts w:eastAsia="Times New Roman"/>
          <w:sz w:val="23"/>
          <w:szCs w:val="23"/>
        </w:rPr>
        <w:t>sure to complete treatment, previous participation in sex offender treatment and experience of sexual victimisation, being more hostile, aggressive or violent, a history of substance misuse, and being less motivated to change (DiClemente, Nidecker, &amp; Bella</w:t>
      </w:r>
      <w:r>
        <w:rPr>
          <w:rFonts w:eastAsia="Times New Roman"/>
          <w:sz w:val="23"/>
          <w:szCs w:val="23"/>
        </w:rPr>
        <w:t>ck, 2008; Hornsveld, 2005; Larochelle et al., 2011; Main &amp; Gudjonsson, 2006; McMurran, Huband, &amp; Overton, 2010; Olver &amp; Wong, 2009; Webb &amp; McMurran, 2009; Wormith &amp; Olver, 2002). Knowledge of these factors can be used to reduce attrition through the identi</w:t>
      </w:r>
      <w:r>
        <w:rPr>
          <w:rFonts w:eastAsia="Times New Roman"/>
          <w:sz w:val="23"/>
          <w:szCs w:val="23"/>
        </w:rPr>
        <w:t>fication of offenders who, based on such factors, are most suitable for treatment (McMurran et al., 2010). As suggested by the MORM, it can also highlight areas of</w:t>
      </w:r>
    </w:p>
    <w:p w:rsidR="000C2ED5" w:rsidRDefault="000C2ED5">
      <w:pPr>
        <w:spacing w:line="386" w:lineRule="exact"/>
        <w:rPr>
          <w:sz w:val="20"/>
          <w:szCs w:val="20"/>
        </w:rPr>
      </w:pPr>
    </w:p>
    <w:p w:rsidR="000C2ED5" w:rsidRDefault="00485212">
      <w:pPr>
        <w:ind w:right="6"/>
        <w:jc w:val="right"/>
        <w:rPr>
          <w:sz w:val="20"/>
          <w:szCs w:val="20"/>
        </w:rPr>
      </w:pPr>
      <w:r>
        <w:rPr>
          <w:rFonts w:eastAsia="Times New Roman"/>
        </w:rPr>
        <w:t>6</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7" w:name="page8"/>
      <w:bookmarkEnd w:id="7"/>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69" w:lineRule="auto"/>
        <w:ind w:right="86"/>
        <w:rPr>
          <w:sz w:val="20"/>
          <w:szCs w:val="20"/>
        </w:rPr>
      </w:pPr>
      <w:r>
        <w:rPr>
          <w:rFonts w:eastAsia="Times New Roman"/>
          <w:sz w:val="24"/>
          <w:szCs w:val="24"/>
        </w:rPr>
        <w:t>need within</w:t>
      </w:r>
      <w:r>
        <w:rPr>
          <w:rFonts w:eastAsia="Times New Roman"/>
          <w:sz w:val="24"/>
          <w:szCs w:val="24"/>
        </w:rPr>
        <w:t xml:space="preserve"> an offender, as well as highlight aspects of a treatment programme which are not meeting the needs of its target population.</w:t>
      </w:r>
    </w:p>
    <w:p w:rsidR="000C2ED5" w:rsidRDefault="000C2ED5">
      <w:pPr>
        <w:spacing w:line="26" w:lineRule="exact"/>
        <w:rPr>
          <w:sz w:val="20"/>
          <w:szCs w:val="20"/>
        </w:rPr>
      </w:pPr>
    </w:p>
    <w:p w:rsidR="000C2ED5" w:rsidRDefault="00485212">
      <w:pPr>
        <w:spacing w:line="479" w:lineRule="auto"/>
        <w:ind w:right="26" w:firstLine="720"/>
        <w:rPr>
          <w:sz w:val="20"/>
          <w:szCs w:val="20"/>
        </w:rPr>
      </w:pPr>
      <w:r>
        <w:rPr>
          <w:rFonts w:eastAsia="Times New Roman"/>
          <w:sz w:val="24"/>
          <w:szCs w:val="24"/>
        </w:rPr>
        <w:t>Whilst research into such factors provides practitioners with valuable information regarding an offender’s risks and possible nee</w:t>
      </w:r>
      <w:r>
        <w:rPr>
          <w:rFonts w:eastAsia="Times New Roman"/>
          <w:sz w:val="24"/>
          <w:szCs w:val="24"/>
        </w:rPr>
        <w:t xml:space="preserve">ds, it encourages practitioners to seek inherent deficits in the client as explanations for non-completion, rather than providing information on how treatment should be adapted in order to increase responsivity and thus engagement (McMurran et al., 2010). </w:t>
      </w:r>
      <w:r>
        <w:rPr>
          <w:rFonts w:eastAsia="Times New Roman"/>
          <w:sz w:val="24"/>
          <w:szCs w:val="24"/>
        </w:rPr>
        <w:t>Subsequently, such research has been criticised for neglecting the client’s experience and beliefs about both the treatment being offered and the service they reside in (McMurran et al., 2010). Unlike many client characteristics associated with non-complet</w:t>
      </w:r>
      <w:r>
        <w:rPr>
          <w:rFonts w:eastAsia="Times New Roman"/>
          <w:sz w:val="24"/>
          <w:szCs w:val="24"/>
        </w:rPr>
        <w:t>ion, a client’s perception of treatment is subject to change and thus in order to guide the development of treatment and reduce attrition, more attention should be paid to the client’s overall experience of rehabilitation. To the knowledge of the authors t</w:t>
      </w:r>
      <w:r>
        <w:rPr>
          <w:rFonts w:eastAsia="Times New Roman"/>
          <w:sz w:val="24"/>
          <w:szCs w:val="24"/>
        </w:rPr>
        <w:t>here is currently no review synthesising such research. Taking into consideration the previous research discussed, the current review aimed to systematically investigate offenders’ reasons for non-completion/completion of treatment in order to further unde</w:t>
      </w:r>
      <w:r>
        <w:rPr>
          <w:rFonts w:eastAsia="Times New Roman"/>
          <w:sz w:val="24"/>
          <w:szCs w:val="24"/>
        </w:rPr>
        <w:t>rstand the factors influencing treatment readiness amongst detained offenders.</w:t>
      </w:r>
    </w:p>
    <w:p w:rsidR="000C2ED5" w:rsidRDefault="000C2ED5">
      <w:pPr>
        <w:spacing w:line="200" w:lineRule="exact"/>
        <w:rPr>
          <w:sz w:val="20"/>
          <w:szCs w:val="20"/>
        </w:rPr>
      </w:pPr>
    </w:p>
    <w:p w:rsidR="000C2ED5" w:rsidRDefault="000C2ED5">
      <w:pPr>
        <w:spacing w:line="317" w:lineRule="exact"/>
        <w:rPr>
          <w:sz w:val="20"/>
          <w:szCs w:val="20"/>
        </w:rPr>
      </w:pPr>
    </w:p>
    <w:p w:rsidR="000C2ED5" w:rsidRDefault="00485212">
      <w:pPr>
        <w:ind w:right="6"/>
        <w:jc w:val="center"/>
        <w:rPr>
          <w:sz w:val="20"/>
          <w:szCs w:val="20"/>
        </w:rPr>
      </w:pPr>
      <w:r>
        <w:rPr>
          <w:rFonts w:eastAsia="Times New Roman"/>
          <w:b/>
          <w:bCs/>
          <w:sz w:val="24"/>
          <w:szCs w:val="24"/>
        </w:rPr>
        <w:t>Method</w:t>
      </w:r>
    </w:p>
    <w:p w:rsidR="000C2ED5" w:rsidRDefault="000C2ED5">
      <w:pPr>
        <w:spacing w:line="242" w:lineRule="exact"/>
        <w:rPr>
          <w:sz w:val="20"/>
          <w:szCs w:val="20"/>
        </w:rPr>
      </w:pPr>
    </w:p>
    <w:p w:rsidR="000C2ED5" w:rsidRDefault="00485212">
      <w:pPr>
        <w:ind w:left="720"/>
        <w:rPr>
          <w:sz w:val="20"/>
          <w:szCs w:val="20"/>
        </w:rPr>
      </w:pPr>
      <w:r>
        <w:rPr>
          <w:rFonts w:eastAsia="Times New Roman"/>
          <w:sz w:val="24"/>
          <w:szCs w:val="24"/>
        </w:rPr>
        <w:t>Searches were conducted on the following electronic databases on 30</w:t>
      </w:r>
      <w:r>
        <w:rPr>
          <w:rFonts w:eastAsia="Times New Roman"/>
          <w:sz w:val="32"/>
          <w:szCs w:val="32"/>
          <w:vertAlign w:val="superscript"/>
        </w:rPr>
        <w:t>th</w:t>
      </w:r>
      <w:r>
        <w:rPr>
          <w:rFonts w:eastAsia="Times New Roman"/>
          <w:sz w:val="24"/>
          <w:szCs w:val="24"/>
        </w:rPr>
        <w:t xml:space="preserve"> September</w:t>
      </w:r>
    </w:p>
    <w:p w:rsidR="000C2ED5" w:rsidRDefault="000C2ED5">
      <w:pPr>
        <w:spacing w:line="211" w:lineRule="exact"/>
        <w:rPr>
          <w:sz w:val="20"/>
          <w:szCs w:val="20"/>
        </w:rPr>
      </w:pPr>
    </w:p>
    <w:p w:rsidR="000C2ED5" w:rsidRDefault="00485212">
      <w:pPr>
        <w:rPr>
          <w:sz w:val="20"/>
          <w:szCs w:val="20"/>
        </w:rPr>
      </w:pPr>
      <w:r>
        <w:rPr>
          <w:rFonts w:eastAsia="Times New Roman"/>
          <w:sz w:val="24"/>
          <w:szCs w:val="24"/>
        </w:rPr>
        <w:t>2013: Cochrane Library, PsychINFO (1967 to September Week 4, 2013), EMBASE (1974 to</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2013 Week 27), MEDLINE (1946 to September Week 3 2013), Web of Science (1900 to</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2013) and ProQuest (including ASSIA, British Nursing Index, IBSS, NCJRS, ProQuest</w:t>
      </w:r>
    </w:p>
    <w:p w:rsidR="000C2ED5" w:rsidRDefault="000C2ED5">
      <w:pPr>
        <w:spacing w:line="277" w:lineRule="exact"/>
        <w:rPr>
          <w:sz w:val="20"/>
          <w:szCs w:val="20"/>
        </w:rPr>
      </w:pPr>
    </w:p>
    <w:p w:rsidR="000C2ED5" w:rsidRDefault="00485212">
      <w:pPr>
        <w:rPr>
          <w:sz w:val="20"/>
          <w:szCs w:val="20"/>
        </w:rPr>
      </w:pPr>
      <w:r>
        <w:rPr>
          <w:rFonts w:eastAsia="Times New Roman"/>
          <w:sz w:val="24"/>
          <w:szCs w:val="24"/>
        </w:rPr>
        <w:t>nursing and allied health source, social services abstracts and sociological abstracts; 1978</w:t>
      </w:r>
      <w:r>
        <w:rPr>
          <w:rFonts w:eastAsia="Times New Roman"/>
          <w:sz w:val="24"/>
          <w:szCs w:val="24"/>
        </w:rPr>
        <w:t xml:space="preserve"> to</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2013). The search strategy combined terms for the following concepts: “treatment”,</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“offender” and “treatment completion”/”treatment non-completion”. In order to maximise the</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10" w:lineRule="exact"/>
        <w:rPr>
          <w:sz w:val="20"/>
          <w:szCs w:val="20"/>
        </w:rPr>
      </w:pPr>
    </w:p>
    <w:p w:rsidR="000C2ED5" w:rsidRDefault="00485212">
      <w:pPr>
        <w:ind w:right="6"/>
        <w:jc w:val="right"/>
        <w:rPr>
          <w:sz w:val="20"/>
          <w:szCs w:val="20"/>
        </w:rPr>
      </w:pPr>
      <w:r>
        <w:rPr>
          <w:rFonts w:eastAsia="Times New Roman"/>
        </w:rPr>
        <w:t>7</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8" w:name="page9"/>
      <w:bookmarkEnd w:id="8"/>
      <w:r>
        <w:rPr>
          <w:rFonts w:eastAsia="Times New Roman"/>
          <w:sz w:val="24"/>
          <w:szCs w:val="24"/>
        </w:rPr>
        <w:lastRenderedPageBreak/>
        <w:t xml:space="preserve">Treatment Engagement from the Perspective of the </w:t>
      </w:r>
      <w:r>
        <w:rPr>
          <w:rFonts w:eastAsia="Times New Roman"/>
          <w:sz w:val="24"/>
          <w:szCs w:val="24"/>
        </w:rPr>
        <w:t>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6" w:lineRule="auto"/>
        <w:ind w:right="66"/>
        <w:rPr>
          <w:sz w:val="20"/>
          <w:szCs w:val="20"/>
        </w:rPr>
      </w:pPr>
      <w:r>
        <w:rPr>
          <w:rFonts w:eastAsia="Times New Roman"/>
          <w:sz w:val="24"/>
          <w:szCs w:val="24"/>
        </w:rPr>
        <w:t>number of articles identified, a hand search of the reference lists from previous reviews was conducted. A search for grey literature was also conducted using the internet search engine Google. Key authors in the area were also contacted. A tota</w:t>
      </w:r>
      <w:r>
        <w:rPr>
          <w:rFonts w:eastAsia="Times New Roman"/>
          <w:sz w:val="24"/>
          <w:szCs w:val="24"/>
        </w:rPr>
        <w:t>l of 2,827 articles were identified via this search strategy.</w:t>
      </w:r>
    </w:p>
    <w:p w:rsidR="000C2ED5" w:rsidRDefault="000C2ED5">
      <w:pPr>
        <w:spacing w:line="19" w:lineRule="exact"/>
        <w:rPr>
          <w:sz w:val="20"/>
          <w:szCs w:val="20"/>
        </w:rPr>
      </w:pPr>
    </w:p>
    <w:p w:rsidR="000C2ED5" w:rsidRDefault="00485212">
      <w:pPr>
        <w:spacing w:line="479" w:lineRule="auto"/>
        <w:ind w:right="26" w:firstLine="720"/>
        <w:rPr>
          <w:sz w:val="20"/>
          <w:szCs w:val="20"/>
        </w:rPr>
      </w:pPr>
      <w:r>
        <w:rPr>
          <w:rFonts w:eastAsia="Times New Roman"/>
          <w:sz w:val="24"/>
          <w:szCs w:val="24"/>
        </w:rPr>
        <w:t>Studies which met the following inclusion criteria were included in the review: (a) participants included detained male and female offenders aged at least 10 years old who were currently undert</w:t>
      </w:r>
      <w:r>
        <w:rPr>
          <w:rFonts w:eastAsia="Times New Roman"/>
          <w:sz w:val="24"/>
          <w:szCs w:val="24"/>
        </w:rPr>
        <w:t>aking treatment, had dropped out of treatment, completed treatment or had been offered treatment (despite being accepted or declined). The included age range is in accordance with the UK criminal justice system where the age of criminal responsibility is 1</w:t>
      </w:r>
      <w:r>
        <w:rPr>
          <w:rFonts w:eastAsia="Times New Roman"/>
          <w:sz w:val="24"/>
          <w:szCs w:val="24"/>
        </w:rPr>
        <w:t xml:space="preserve">0 years within England and Wales. An individual between (and including) 10 and 17 years, is considered to be a juvenile offender and at 18 years and above an adult offender. Treatment referred to any treatment programme/intervention provided by a forensic </w:t>
      </w:r>
      <w:r>
        <w:rPr>
          <w:rFonts w:eastAsia="Times New Roman"/>
          <w:sz w:val="24"/>
          <w:szCs w:val="24"/>
        </w:rPr>
        <w:t>service excluding medical treatment; (b) studies which explored reasons for non-completion and/or completion of treatment; (c) peer reviewed journals, including dissertations, written in English. Studies exploring compliance with medical treatment were exc</w:t>
      </w:r>
      <w:r>
        <w:rPr>
          <w:rFonts w:eastAsia="Times New Roman"/>
          <w:sz w:val="24"/>
          <w:szCs w:val="24"/>
        </w:rPr>
        <w:t>luded as were review articles, opinion papers, commentaries, conference papers and/or editorials.</w:t>
      </w:r>
    </w:p>
    <w:p w:rsidR="000C2ED5" w:rsidRDefault="000C2ED5">
      <w:pPr>
        <w:spacing w:line="15" w:lineRule="exact"/>
        <w:rPr>
          <w:sz w:val="20"/>
          <w:szCs w:val="20"/>
        </w:rPr>
      </w:pPr>
    </w:p>
    <w:p w:rsidR="000C2ED5" w:rsidRDefault="00485212">
      <w:pPr>
        <w:spacing w:line="478" w:lineRule="auto"/>
        <w:ind w:right="26" w:firstLine="720"/>
        <w:rPr>
          <w:sz w:val="20"/>
          <w:szCs w:val="20"/>
        </w:rPr>
      </w:pPr>
      <w:r>
        <w:rPr>
          <w:rFonts w:eastAsia="Times New Roman"/>
          <w:sz w:val="24"/>
          <w:szCs w:val="24"/>
        </w:rPr>
        <w:t>It should be noted, for the purpose of this review, non-completion of treatment referred to the premature cessation of treatment through client initiated dro</w:t>
      </w:r>
      <w:r>
        <w:rPr>
          <w:rFonts w:eastAsia="Times New Roman"/>
          <w:sz w:val="24"/>
          <w:szCs w:val="24"/>
        </w:rPr>
        <w:t>pout or exclusion due to inappropriate behaviour (Wormith &amp; Olver, 2002). The definition of non-completion also encapsulated failure to attend treatment sessions (a minimum of 1) and low engagement during sessions. Howells and Day’s (2007) definition of lo</w:t>
      </w:r>
      <w:r>
        <w:rPr>
          <w:rFonts w:eastAsia="Times New Roman"/>
          <w:sz w:val="24"/>
          <w:szCs w:val="24"/>
        </w:rPr>
        <w:t>w engagement (outlined in the Introduction to this article) was used. Although consistent with the current literature (Day et al., 2010; Driescher, Lammers &amp; van der Staak, 2004; Sheldon, Howells, &amp; Patel, 2010), it is acknowledged that in adopting what ma</w:t>
      </w:r>
      <w:r>
        <w:rPr>
          <w:rFonts w:eastAsia="Times New Roman"/>
          <w:sz w:val="24"/>
          <w:szCs w:val="24"/>
        </w:rPr>
        <w:t>y appear to be a stringent definition, some individuals included in the current review may have been erroneously categorised as disengaged. As</w:t>
      </w:r>
    </w:p>
    <w:p w:rsidR="000C2ED5" w:rsidRDefault="000C2ED5">
      <w:pPr>
        <w:spacing w:line="396" w:lineRule="exact"/>
        <w:rPr>
          <w:sz w:val="20"/>
          <w:szCs w:val="20"/>
        </w:rPr>
      </w:pPr>
    </w:p>
    <w:p w:rsidR="000C2ED5" w:rsidRDefault="00485212">
      <w:pPr>
        <w:ind w:right="6"/>
        <w:jc w:val="right"/>
        <w:rPr>
          <w:sz w:val="20"/>
          <w:szCs w:val="20"/>
        </w:rPr>
      </w:pPr>
      <w:r>
        <w:rPr>
          <w:rFonts w:eastAsia="Times New Roman"/>
        </w:rPr>
        <w:t>8</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9" w:name="page10"/>
      <w:bookmarkEnd w:id="9"/>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7" w:lineRule="auto"/>
        <w:ind w:right="6"/>
        <w:rPr>
          <w:sz w:val="20"/>
          <w:szCs w:val="20"/>
        </w:rPr>
      </w:pPr>
      <w:r>
        <w:rPr>
          <w:rFonts w:eastAsia="Times New Roman"/>
          <w:sz w:val="24"/>
          <w:szCs w:val="24"/>
        </w:rPr>
        <w:t>there are relatively few studies</w:t>
      </w:r>
      <w:r>
        <w:rPr>
          <w:rFonts w:eastAsia="Times New Roman"/>
          <w:sz w:val="24"/>
          <w:szCs w:val="24"/>
        </w:rPr>
        <w:t xml:space="preserve"> exploring reasons for and against engagement in treatment, research exploring reasons why offenders refuse to engage in treatment was also included in order to identify further obstacles to treatment engagement. As reasons for refusing treatment cannot be</w:t>
      </w:r>
      <w:r>
        <w:rPr>
          <w:rFonts w:eastAsia="Times New Roman"/>
          <w:sz w:val="24"/>
          <w:szCs w:val="24"/>
        </w:rPr>
        <w:t xml:space="preserve"> assumed to be the same as those for non-engagement, reasons specific to the refusal of treatment are highlighted within the review as to prevent the inaccurate generalisation of findings.</w:t>
      </w:r>
    </w:p>
    <w:p w:rsidR="000C2ED5" w:rsidRDefault="000C2ED5">
      <w:pPr>
        <w:spacing w:line="21" w:lineRule="exact"/>
        <w:rPr>
          <w:sz w:val="20"/>
          <w:szCs w:val="20"/>
        </w:rPr>
      </w:pPr>
    </w:p>
    <w:p w:rsidR="000C2ED5" w:rsidRDefault="00485212">
      <w:pPr>
        <w:spacing w:line="478" w:lineRule="auto"/>
        <w:ind w:right="26" w:firstLine="720"/>
        <w:rPr>
          <w:sz w:val="20"/>
          <w:szCs w:val="20"/>
        </w:rPr>
      </w:pPr>
      <w:r>
        <w:rPr>
          <w:rFonts w:eastAsia="Times New Roman"/>
          <w:sz w:val="24"/>
          <w:szCs w:val="24"/>
        </w:rPr>
        <w:t>A broad definition of non-completion/engagement was included to en</w:t>
      </w:r>
      <w:r>
        <w:rPr>
          <w:rFonts w:eastAsia="Times New Roman"/>
          <w:sz w:val="24"/>
          <w:szCs w:val="24"/>
        </w:rPr>
        <w:t>sure all factors influencing treatment engagement were identified. Whilst non-engagement has been commonly attributed to an individual’s lack of motivation or resistance, it has been argued that other reasons, including problems with the treatment environm</w:t>
      </w:r>
      <w:r>
        <w:rPr>
          <w:rFonts w:eastAsia="Times New Roman"/>
          <w:sz w:val="24"/>
          <w:szCs w:val="24"/>
        </w:rPr>
        <w:t>ent or legitimate and rational concerns regarding treatment, have often been ignored (Long, Banyard, Fox, Somers, Poynter, &amp; Chapman , 2012). Therefore, by using a broad definition of non-completion/engagement, the current review aimed to address this crit</w:t>
      </w:r>
      <w:r>
        <w:rPr>
          <w:rFonts w:eastAsia="Times New Roman"/>
          <w:sz w:val="24"/>
          <w:szCs w:val="24"/>
        </w:rPr>
        <w:t>ique and increase awareness that for some individual’s reasons for and against engaging in treatment, even for just one session, may be attributed to organisational factors as well as client factors.</w:t>
      </w:r>
    </w:p>
    <w:p w:rsidR="000C2ED5" w:rsidRDefault="000C2ED5">
      <w:pPr>
        <w:spacing w:line="22" w:lineRule="exact"/>
        <w:rPr>
          <w:sz w:val="20"/>
          <w:szCs w:val="20"/>
        </w:rPr>
      </w:pPr>
    </w:p>
    <w:p w:rsidR="000C2ED5" w:rsidRDefault="00485212">
      <w:pPr>
        <w:spacing w:line="476" w:lineRule="auto"/>
        <w:ind w:right="146" w:firstLine="720"/>
        <w:rPr>
          <w:sz w:val="20"/>
          <w:szCs w:val="20"/>
        </w:rPr>
      </w:pPr>
      <w:r>
        <w:rPr>
          <w:rFonts w:eastAsia="Times New Roman"/>
          <w:sz w:val="24"/>
          <w:szCs w:val="24"/>
        </w:rPr>
        <w:t>Reasons for non-completion, low engagement and/or failu</w:t>
      </w:r>
      <w:r>
        <w:rPr>
          <w:rFonts w:eastAsia="Times New Roman"/>
          <w:sz w:val="24"/>
          <w:szCs w:val="24"/>
        </w:rPr>
        <w:t>re to attend a session were required to be the offender’s opinion. Regarding treatment completion, participants were included if they were reported to have completed a treatment programme or fully engaged in treatment at the time the research was conducted</w:t>
      </w:r>
      <w:r>
        <w:rPr>
          <w:rFonts w:eastAsia="Times New Roman"/>
          <w:sz w:val="24"/>
          <w:szCs w:val="24"/>
        </w:rPr>
        <w:t>.</w:t>
      </w:r>
    </w:p>
    <w:p w:rsidR="000C2ED5" w:rsidRDefault="000C2ED5">
      <w:pPr>
        <w:spacing w:line="19" w:lineRule="exact"/>
        <w:rPr>
          <w:sz w:val="20"/>
          <w:szCs w:val="20"/>
        </w:rPr>
      </w:pPr>
    </w:p>
    <w:p w:rsidR="000C2ED5" w:rsidRDefault="00485212">
      <w:pPr>
        <w:spacing w:line="500" w:lineRule="auto"/>
        <w:ind w:right="246"/>
        <w:rPr>
          <w:sz w:val="20"/>
          <w:szCs w:val="20"/>
        </w:rPr>
      </w:pPr>
      <w:r>
        <w:rPr>
          <w:rFonts w:eastAsia="Times New Roman"/>
          <w:sz w:val="23"/>
          <w:szCs w:val="23"/>
        </w:rPr>
        <w:t>Of the 2,827 articles identified via the initial search, 136 were identified as content relevant based on a review of the abstract. After applying the inclusion/exclusion criteria, thirteen studies were deemed suitable for review. Six of the thirteen pa</w:t>
      </w:r>
      <w:r>
        <w:rPr>
          <w:rFonts w:eastAsia="Times New Roman"/>
          <w:sz w:val="23"/>
          <w:szCs w:val="23"/>
        </w:rPr>
        <w:t>pers were qualitative studies (Breckon, Smith, &amp; Daiches, 2013; Drapeau, Korner, Granger, Brunet, &amp; Caspar, 2005; Mason &amp; Adler, 2012; McCorkel, Harrison, &amp; Inciardi, 1998; McGrain, 2006; Sainsbury, Krishnan, &amp; Evans, 2004), two were quantitative studies (</w:t>
      </w:r>
      <w:r>
        <w:rPr>
          <w:rFonts w:eastAsia="Times New Roman"/>
          <w:sz w:val="23"/>
          <w:szCs w:val="23"/>
        </w:rPr>
        <w:t>Polascheck, 2010; Sheldon et al.,</w:t>
      </w:r>
    </w:p>
    <w:p w:rsidR="000C2ED5" w:rsidRDefault="000C2ED5">
      <w:pPr>
        <w:spacing w:line="381" w:lineRule="exact"/>
        <w:rPr>
          <w:sz w:val="20"/>
          <w:szCs w:val="20"/>
        </w:rPr>
      </w:pPr>
    </w:p>
    <w:p w:rsidR="000C2ED5" w:rsidRDefault="00485212">
      <w:pPr>
        <w:ind w:right="6"/>
        <w:jc w:val="right"/>
        <w:rPr>
          <w:sz w:val="20"/>
          <w:szCs w:val="20"/>
        </w:rPr>
      </w:pPr>
      <w:r>
        <w:rPr>
          <w:rFonts w:eastAsia="Times New Roman"/>
        </w:rPr>
        <w:t>9</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10" w:name="page11"/>
      <w:bookmarkEnd w:id="10"/>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9" w:lineRule="auto"/>
        <w:ind w:right="6"/>
        <w:rPr>
          <w:sz w:val="20"/>
          <w:szCs w:val="20"/>
        </w:rPr>
      </w:pPr>
      <w:r>
        <w:rPr>
          <w:rFonts w:eastAsia="Times New Roman"/>
          <w:sz w:val="24"/>
          <w:szCs w:val="24"/>
        </w:rPr>
        <w:t>2010) and five were mixed methods (Long et al., 2012; Mann, Webster, Wakeling, &amp; Keylock, 2013; McMurran &amp; McCulloch, 2007; Strauss &amp; Falkin,</w:t>
      </w:r>
      <w:r>
        <w:rPr>
          <w:rFonts w:eastAsia="Times New Roman"/>
          <w:sz w:val="24"/>
          <w:szCs w:val="24"/>
        </w:rPr>
        <w:t xml:space="preserve"> 2010; Tetley, Jinks, Huband, Howells, &amp; McMurran, 2012). These papers were quality assessed to highlight any biases and evaluate their overall methodological quality using the Mixed Methods Appraisal Tool (MMAT; Pluye, Gagnon, Griffiths, &amp; Johnson-Lafleur</w:t>
      </w:r>
      <w:r>
        <w:rPr>
          <w:rFonts w:eastAsia="Times New Roman"/>
          <w:sz w:val="24"/>
          <w:szCs w:val="24"/>
        </w:rPr>
        <w:t>, 2009; Pluye et al., 2011). This is a new tool but recent research suggests it has good reliability (Pace et al., 2012). For both qualitative and quantitative studies areas of critique included sampling, methodology and analysis of results/outcomes measur</w:t>
      </w:r>
      <w:r>
        <w:rPr>
          <w:rFonts w:eastAsia="Times New Roman"/>
          <w:sz w:val="24"/>
          <w:szCs w:val="24"/>
        </w:rPr>
        <w:t xml:space="preserve">es. In addition however, quantitative studies were also critiqued on matters regarding completion of outcome data/response rates, depending on the specific design. Matters regarding reflexivity were also critiqued in studies adopting a qualitative design. </w:t>
      </w:r>
      <w:r>
        <w:rPr>
          <w:rFonts w:eastAsia="Times New Roman"/>
          <w:sz w:val="24"/>
          <w:szCs w:val="24"/>
        </w:rPr>
        <w:t xml:space="preserve">In reference to mixed method designs, three additional questions were included for critique including the rationale for implementing a mixed method design, integration of qualitative and quantitative data and the limitations associated with this. Criteria </w:t>
      </w:r>
      <w:r>
        <w:rPr>
          <w:rFonts w:eastAsia="Times New Roman"/>
          <w:sz w:val="24"/>
          <w:szCs w:val="24"/>
        </w:rPr>
        <w:t>relating to the specific study design were coded as present or not present.</w:t>
      </w:r>
    </w:p>
    <w:p w:rsidR="000C2ED5" w:rsidRDefault="000C2ED5">
      <w:pPr>
        <w:spacing w:line="18" w:lineRule="exact"/>
        <w:rPr>
          <w:sz w:val="20"/>
          <w:szCs w:val="20"/>
        </w:rPr>
      </w:pPr>
    </w:p>
    <w:p w:rsidR="000C2ED5" w:rsidRDefault="00485212">
      <w:pPr>
        <w:spacing w:line="477" w:lineRule="auto"/>
        <w:ind w:right="146"/>
        <w:rPr>
          <w:sz w:val="20"/>
          <w:szCs w:val="20"/>
        </w:rPr>
      </w:pPr>
      <w:r>
        <w:rPr>
          <w:rFonts w:eastAsia="Times New Roman"/>
          <w:sz w:val="24"/>
          <w:szCs w:val="24"/>
        </w:rPr>
        <w:t xml:space="preserve">Depending on the number of criteria met, scores ranged from 25% (1 criterion met) to 100% (all criteria met). Specific to those studies using a mixed methods design, the </w:t>
      </w:r>
      <w:r>
        <w:rPr>
          <w:rFonts w:eastAsia="Times New Roman"/>
          <w:sz w:val="24"/>
          <w:szCs w:val="24"/>
        </w:rPr>
        <w:t>qualitative, quantitative and mixed methods components were appraised separately using the scoring system above. The overall score was taken from the lowest scoring component (Pluye et al., 2011).</w:t>
      </w:r>
    </w:p>
    <w:p w:rsidR="000C2ED5" w:rsidRDefault="000C2ED5">
      <w:pPr>
        <w:spacing w:line="217" w:lineRule="exact"/>
        <w:rPr>
          <w:sz w:val="20"/>
          <w:szCs w:val="20"/>
        </w:rPr>
      </w:pPr>
    </w:p>
    <w:p w:rsidR="000C2ED5" w:rsidRDefault="00485212">
      <w:pPr>
        <w:spacing w:line="478" w:lineRule="auto"/>
        <w:ind w:right="66" w:firstLine="720"/>
        <w:rPr>
          <w:sz w:val="20"/>
          <w:szCs w:val="20"/>
        </w:rPr>
      </w:pPr>
      <w:r>
        <w:rPr>
          <w:rFonts w:eastAsia="Times New Roman"/>
          <w:sz w:val="24"/>
          <w:szCs w:val="24"/>
        </w:rPr>
        <w:t>Twelve studies had quality assessments scores of 50% or hi</w:t>
      </w:r>
      <w:r>
        <w:rPr>
          <w:rFonts w:eastAsia="Times New Roman"/>
          <w:sz w:val="24"/>
          <w:szCs w:val="24"/>
        </w:rPr>
        <w:t>gher suggesting they were of acceptable quality. One study received quality assessment scores of 25% suggesting that this study is not of optimal quality (McMurran &amp; McCulloch, 2007). Due to the relatively new status of the quality assessment tool, and the</w:t>
      </w:r>
      <w:r>
        <w:rPr>
          <w:rFonts w:eastAsia="Times New Roman"/>
          <w:sz w:val="24"/>
          <w:szCs w:val="24"/>
        </w:rPr>
        <w:t xml:space="preserve"> small number of studies available for review, no papers were excluded based on the outcome of the quality assessment. Information derived from the quality assessments was, however, used to inform ideas for</w:t>
      </w:r>
    </w:p>
    <w:p w:rsidR="000C2ED5" w:rsidRDefault="000C2ED5">
      <w:pPr>
        <w:spacing w:line="189" w:lineRule="exact"/>
        <w:rPr>
          <w:sz w:val="20"/>
          <w:szCs w:val="20"/>
        </w:rPr>
      </w:pPr>
    </w:p>
    <w:p w:rsidR="000C2ED5" w:rsidRDefault="00485212">
      <w:pPr>
        <w:ind w:right="6"/>
        <w:jc w:val="right"/>
        <w:rPr>
          <w:sz w:val="20"/>
          <w:szCs w:val="20"/>
        </w:rPr>
      </w:pPr>
      <w:r>
        <w:rPr>
          <w:rFonts w:eastAsia="Times New Roman"/>
        </w:rPr>
        <w:t>10</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11" w:name="page12"/>
      <w:bookmarkEnd w:id="11"/>
      <w:r>
        <w:rPr>
          <w:rFonts w:eastAsia="Times New Roman"/>
          <w:sz w:val="24"/>
          <w:szCs w:val="24"/>
        </w:rPr>
        <w:lastRenderedPageBreak/>
        <w:t>Treatment Engagement from t</w:t>
      </w:r>
      <w:r>
        <w:rPr>
          <w:rFonts w:eastAsia="Times New Roman"/>
          <w:sz w:val="24"/>
          <w:szCs w:val="24"/>
        </w:rPr>
        <w: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4" w:lineRule="auto"/>
        <w:ind w:right="66"/>
        <w:rPr>
          <w:sz w:val="20"/>
          <w:szCs w:val="20"/>
        </w:rPr>
      </w:pPr>
      <w:r>
        <w:rPr>
          <w:rFonts w:eastAsia="Times New Roman"/>
          <w:sz w:val="24"/>
          <w:szCs w:val="24"/>
        </w:rPr>
        <w:t>potential future research and contributed to the overall critique of the current studies (See Discussion section). Just under half of the papers (</w:t>
      </w:r>
      <w:r>
        <w:rPr>
          <w:rFonts w:eastAsia="Times New Roman"/>
          <w:i/>
          <w:iCs/>
          <w:sz w:val="24"/>
          <w:szCs w:val="24"/>
        </w:rPr>
        <w:t>n</w:t>
      </w:r>
      <w:r>
        <w:rPr>
          <w:rFonts w:eastAsia="Times New Roman"/>
          <w:sz w:val="24"/>
          <w:szCs w:val="24"/>
        </w:rPr>
        <w:t xml:space="preserve">=6) were independently quality assessed by a two trainee Forensic </w:t>
      </w:r>
      <w:r>
        <w:rPr>
          <w:rFonts w:eastAsia="Times New Roman"/>
          <w:sz w:val="24"/>
          <w:szCs w:val="24"/>
        </w:rPr>
        <w:t>Psychologists and substantial inter-rater reliability was achieved (</w:t>
      </w:r>
      <w:r>
        <w:rPr>
          <w:rFonts w:eastAsia="Times New Roman"/>
          <w:i/>
          <w:iCs/>
          <w:sz w:val="24"/>
          <w:szCs w:val="24"/>
        </w:rPr>
        <w:t>Κ</w:t>
      </w:r>
    </w:p>
    <w:p w:rsidR="000C2ED5" w:rsidRDefault="000C2ED5">
      <w:pPr>
        <w:spacing w:line="21" w:lineRule="exact"/>
        <w:rPr>
          <w:sz w:val="20"/>
          <w:szCs w:val="20"/>
        </w:rPr>
      </w:pPr>
    </w:p>
    <w:p w:rsidR="000C2ED5" w:rsidRDefault="00485212">
      <w:pPr>
        <w:numPr>
          <w:ilvl w:val="0"/>
          <w:numId w:val="4"/>
        </w:numPr>
        <w:tabs>
          <w:tab w:val="left" w:pos="194"/>
        </w:tabs>
        <w:spacing w:line="469" w:lineRule="auto"/>
        <w:ind w:right="906"/>
        <w:rPr>
          <w:rFonts w:eastAsia="Times New Roman"/>
          <w:sz w:val="24"/>
          <w:szCs w:val="24"/>
        </w:rPr>
      </w:pPr>
      <w:r>
        <w:rPr>
          <w:rFonts w:eastAsia="Times New Roman"/>
          <w:sz w:val="24"/>
          <w:szCs w:val="24"/>
        </w:rPr>
        <w:t>0.761). Any differences in opinion between raters were discussed and resolved by consensus.</w:t>
      </w:r>
    </w:p>
    <w:p w:rsidR="000C2ED5" w:rsidRDefault="000C2ED5">
      <w:pPr>
        <w:spacing w:line="18" w:lineRule="exact"/>
        <w:rPr>
          <w:sz w:val="20"/>
          <w:szCs w:val="20"/>
        </w:rPr>
      </w:pPr>
    </w:p>
    <w:p w:rsidR="000C2ED5" w:rsidRDefault="00485212">
      <w:pPr>
        <w:ind w:right="6"/>
        <w:jc w:val="center"/>
        <w:rPr>
          <w:sz w:val="20"/>
          <w:szCs w:val="20"/>
        </w:rPr>
      </w:pPr>
      <w:r>
        <w:rPr>
          <w:rFonts w:eastAsia="Times New Roman"/>
          <w:b/>
          <w:bCs/>
          <w:sz w:val="24"/>
          <w:szCs w:val="24"/>
        </w:rPr>
        <w:t>Results</w:t>
      </w:r>
    </w:p>
    <w:p w:rsidR="000C2ED5" w:rsidRDefault="000C2ED5">
      <w:pPr>
        <w:spacing w:line="276" w:lineRule="exact"/>
        <w:rPr>
          <w:sz w:val="20"/>
          <w:szCs w:val="20"/>
        </w:rPr>
      </w:pPr>
    </w:p>
    <w:p w:rsidR="000C2ED5" w:rsidRDefault="00485212">
      <w:pPr>
        <w:rPr>
          <w:sz w:val="20"/>
          <w:szCs w:val="20"/>
        </w:rPr>
      </w:pPr>
      <w:r>
        <w:rPr>
          <w:rFonts w:eastAsia="Times New Roman"/>
          <w:b/>
          <w:bCs/>
          <w:sz w:val="24"/>
          <w:szCs w:val="24"/>
        </w:rPr>
        <w:t>Description of Studies</w:t>
      </w:r>
    </w:p>
    <w:p w:rsidR="000C2ED5" w:rsidRDefault="000C2ED5">
      <w:pPr>
        <w:spacing w:line="283" w:lineRule="exact"/>
        <w:rPr>
          <w:sz w:val="20"/>
          <w:szCs w:val="20"/>
        </w:rPr>
      </w:pPr>
    </w:p>
    <w:p w:rsidR="000C2ED5" w:rsidRDefault="00485212">
      <w:pPr>
        <w:spacing w:line="500" w:lineRule="auto"/>
        <w:ind w:right="126" w:firstLine="720"/>
        <w:rPr>
          <w:sz w:val="20"/>
          <w:szCs w:val="20"/>
        </w:rPr>
      </w:pPr>
      <w:r>
        <w:rPr>
          <w:rFonts w:eastAsia="Times New Roman"/>
          <w:sz w:val="23"/>
          <w:szCs w:val="23"/>
        </w:rPr>
        <w:t xml:space="preserve">Of the studies reviewed, three aimed to identify participants’ reasons for </w:t>
      </w:r>
      <w:r>
        <w:rPr>
          <w:rFonts w:eastAsia="Times New Roman"/>
          <w:i/>
          <w:iCs/>
          <w:sz w:val="23"/>
          <w:szCs w:val="23"/>
        </w:rPr>
        <w:t>engaging</w:t>
      </w:r>
      <w:r>
        <w:rPr>
          <w:rFonts w:eastAsia="Times New Roman"/>
          <w:sz w:val="23"/>
          <w:szCs w:val="23"/>
        </w:rPr>
        <w:t xml:space="preserve"> in treatment (Breckon et al., 2013; Mason &amp; Adler, 2012; McGrain, 2006; Sainsbury et al., 2004), four aimed to identify reasons for non-completion (Long et al., 2012; Mann </w:t>
      </w:r>
      <w:r>
        <w:rPr>
          <w:rFonts w:eastAsia="Times New Roman"/>
          <w:sz w:val="23"/>
          <w:szCs w:val="23"/>
        </w:rPr>
        <w:t>et al., 2013; Sheldon et al., 2012), five investigated reasons both for and against engagement/completion (Drapeau et al., 2005; McCorkel et al., 1998; McMurran &amp; McCulloch, 2007; Strauss &amp; Falkin, 2000; Tetley et al., 2012), and one assessed whether compl</w:t>
      </w:r>
      <w:r>
        <w:rPr>
          <w:rFonts w:eastAsia="Times New Roman"/>
          <w:sz w:val="23"/>
          <w:szCs w:val="23"/>
        </w:rPr>
        <w:t>eters and non-completers could be differentiated using psychometric and demographic variables, although only data regarding reasons for dropout was extracted (Polaschek, 2010).</w:t>
      </w:r>
    </w:p>
    <w:p w:rsidR="000C2ED5" w:rsidRDefault="000C2ED5">
      <w:pPr>
        <w:spacing w:line="9" w:lineRule="exact"/>
        <w:rPr>
          <w:sz w:val="20"/>
          <w:szCs w:val="20"/>
        </w:rPr>
      </w:pPr>
    </w:p>
    <w:p w:rsidR="000C2ED5" w:rsidRDefault="00485212">
      <w:pPr>
        <w:spacing w:line="469" w:lineRule="auto"/>
        <w:ind w:right="386" w:firstLine="720"/>
        <w:rPr>
          <w:sz w:val="20"/>
          <w:szCs w:val="20"/>
        </w:rPr>
      </w:pPr>
      <w:r>
        <w:rPr>
          <w:rFonts w:eastAsia="Times New Roman"/>
          <w:b/>
          <w:bCs/>
          <w:sz w:val="24"/>
          <w:szCs w:val="24"/>
        </w:rPr>
        <w:t xml:space="preserve">Demographic Characteristics of the Sample. </w:t>
      </w:r>
      <w:r>
        <w:rPr>
          <w:rFonts w:eastAsia="Times New Roman"/>
          <w:sz w:val="24"/>
          <w:szCs w:val="24"/>
        </w:rPr>
        <w:t>A total of 730 participants were</w:t>
      </w:r>
      <w:r>
        <w:rPr>
          <w:rFonts w:eastAsia="Times New Roman"/>
          <w:b/>
          <w:bCs/>
          <w:sz w:val="24"/>
          <w:szCs w:val="24"/>
        </w:rPr>
        <w:t xml:space="preserve"> </w:t>
      </w:r>
      <w:r>
        <w:rPr>
          <w:rFonts w:eastAsia="Times New Roman"/>
          <w:sz w:val="24"/>
          <w:szCs w:val="24"/>
        </w:rPr>
        <w:t>re</w:t>
      </w:r>
      <w:r>
        <w:rPr>
          <w:rFonts w:eastAsia="Times New Roman"/>
          <w:sz w:val="24"/>
          <w:szCs w:val="24"/>
        </w:rPr>
        <w:t>cruited across the thirteen studies of which 34.25% (</w:t>
      </w:r>
      <w:r>
        <w:rPr>
          <w:rFonts w:eastAsia="Times New Roman"/>
          <w:i/>
          <w:iCs/>
          <w:sz w:val="24"/>
          <w:szCs w:val="24"/>
        </w:rPr>
        <w:t>n</w:t>
      </w:r>
      <w:r>
        <w:rPr>
          <w:rFonts w:eastAsia="Times New Roman"/>
          <w:sz w:val="24"/>
          <w:szCs w:val="24"/>
        </w:rPr>
        <w:t xml:space="preserve"> = 250) were female, 58.22% (</w:t>
      </w:r>
      <w:r>
        <w:rPr>
          <w:rFonts w:eastAsia="Times New Roman"/>
          <w:i/>
          <w:iCs/>
          <w:sz w:val="24"/>
          <w:szCs w:val="24"/>
        </w:rPr>
        <w:t>n =</w:t>
      </w:r>
    </w:p>
    <w:p w:rsidR="000C2ED5" w:rsidRDefault="000C2ED5">
      <w:pPr>
        <w:spacing w:line="13" w:lineRule="exact"/>
        <w:rPr>
          <w:sz w:val="20"/>
          <w:szCs w:val="20"/>
        </w:rPr>
      </w:pPr>
    </w:p>
    <w:p w:rsidR="000C2ED5" w:rsidRDefault="00485212">
      <w:pPr>
        <w:numPr>
          <w:ilvl w:val="0"/>
          <w:numId w:val="5"/>
        </w:numPr>
        <w:tabs>
          <w:tab w:val="left" w:pos="500"/>
        </w:tabs>
        <w:ind w:left="500" w:hanging="500"/>
        <w:rPr>
          <w:rFonts w:eastAsia="Times New Roman"/>
          <w:sz w:val="24"/>
          <w:szCs w:val="24"/>
        </w:rPr>
      </w:pPr>
      <w:r>
        <w:rPr>
          <w:rFonts w:eastAsia="Times New Roman"/>
          <w:sz w:val="24"/>
          <w:szCs w:val="24"/>
        </w:rPr>
        <w:t>were male and 7.53% (</w:t>
      </w:r>
      <w:r>
        <w:rPr>
          <w:rFonts w:eastAsia="Times New Roman"/>
          <w:i/>
          <w:iCs/>
          <w:sz w:val="24"/>
          <w:szCs w:val="24"/>
        </w:rPr>
        <w:t>n =</w:t>
      </w:r>
      <w:r>
        <w:rPr>
          <w:rFonts w:eastAsia="Times New Roman"/>
          <w:sz w:val="24"/>
          <w:szCs w:val="24"/>
        </w:rPr>
        <w:t xml:space="preserve"> 55) failed to be differentiated by gender. The age range</w:t>
      </w:r>
    </w:p>
    <w:p w:rsidR="000C2ED5" w:rsidRDefault="000C2ED5">
      <w:pPr>
        <w:spacing w:line="288" w:lineRule="exact"/>
        <w:rPr>
          <w:rFonts w:eastAsia="Times New Roman"/>
          <w:sz w:val="24"/>
          <w:szCs w:val="24"/>
        </w:rPr>
      </w:pPr>
    </w:p>
    <w:p w:rsidR="000C2ED5" w:rsidRDefault="00485212">
      <w:pPr>
        <w:spacing w:line="500" w:lineRule="auto"/>
        <w:ind w:right="86"/>
        <w:rPr>
          <w:rFonts w:eastAsia="Times New Roman"/>
          <w:sz w:val="24"/>
          <w:szCs w:val="24"/>
        </w:rPr>
      </w:pPr>
      <w:r>
        <w:rPr>
          <w:rFonts w:eastAsia="Times New Roman"/>
          <w:sz w:val="23"/>
          <w:szCs w:val="23"/>
        </w:rPr>
        <w:t>reported across thirteen of the studies was between 20 to 50+ years, with one study f</w:t>
      </w:r>
      <w:r>
        <w:rPr>
          <w:rFonts w:eastAsia="Times New Roman"/>
          <w:sz w:val="23"/>
          <w:szCs w:val="23"/>
        </w:rPr>
        <w:t xml:space="preserve">ailing to report the age range sampled (Mason &amp; Adler, 2012). Across the nine studies which reported ethnicity of participants, the majority of participants were reported to be Caucasian (Long et al., 2012; Man et al., 2013; McCorkel et al., 1998; McGrain </w:t>
      </w:r>
      <w:r>
        <w:rPr>
          <w:rFonts w:eastAsia="Times New Roman"/>
          <w:sz w:val="23"/>
          <w:szCs w:val="23"/>
        </w:rPr>
        <w:t xml:space="preserve">et al., 2006; McMurran &amp; McCulloch, 2007; Polaschek 2006; Sheldon et al., 2010; Stauss &amp; Falkin, 2000; Tetley et al., 2012). In terms of offending behaviour, violent and sexual offenders were the most prevalent in the sample (Breckon et al., 2013; Drapeau </w:t>
      </w:r>
      <w:r>
        <w:rPr>
          <w:rFonts w:eastAsia="Times New Roman"/>
          <w:sz w:val="23"/>
          <w:szCs w:val="23"/>
        </w:rPr>
        <w:t>et al., 2005; Long et al., 2012; Mann et al.,</w:t>
      </w:r>
    </w:p>
    <w:p w:rsidR="000C2ED5" w:rsidRDefault="000C2ED5">
      <w:pPr>
        <w:spacing w:line="382" w:lineRule="exact"/>
        <w:rPr>
          <w:sz w:val="20"/>
          <w:szCs w:val="20"/>
        </w:rPr>
      </w:pPr>
    </w:p>
    <w:p w:rsidR="000C2ED5" w:rsidRDefault="00485212">
      <w:pPr>
        <w:ind w:right="6"/>
        <w:jc w:val="right"/>
        <w:rPr>
          <w:sz w:val="20"/>
          <w:szCs w:val="20"/>
        </w:rPr>
      </w:pPr>
      <w:r>
        <w:rPr>
          <w:rFonts w:eastAsia="Times New Roman"/>
        </w:rPr>
        <w:t>11</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12" w:name="page13"/>
      <w:bookmarkEnd w:id="12"/>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6" w:lineRule="auto"/>
        <w:ind w:right="126"/>
        <w:rPr>
          <w:sz w:val="20"/>
          <w:szCs w:val="20"/>
        </w:rPr>
      </w:pPr>
      <w:r>
        <w:rPr>
          <w:rFonts w:eastAsia="Times New Roman"/>
          <w:sz w:val="24"/>
          <w:szCs w:val="24"/>
        </w:rPr>
        <w:t>2013; McMurran &amp; McCulloch, 2007; Polaschek 2006; Sheldon et al., 2010). The United Kingdom was overrepresented in the studies i</w:t>
      </w:r>
      <w:r>
        <w:rPr>
          <w:rFonts w:eastAsia="Times New Roman"/>
          <w:sz w:val="24"/>
          <w:szCs w:val="24"/>
        </w:rPr>
        <w:t>ncluded in the review (Breckon et al., 2013; Long et al., 2012; Mann et al., 2013; Mason &amp; Adler, 2012; McMurran &amp; McCulloch, 2007; Sainsbury et al., 2004; Sheldon et al., 2010; Tetley et al., 2012).</w:t>
      </w:r>
    </w:p>
    <w:p w:rsidR="000C2ED5" w:rsidRDefault="000C2ED5">
      <w:pPr>
        <w:spacing w:line="19" w:lineRule="exact"/>
        <w:rPr>
          <w:sz w:val="20"/>
          <w:szCs w:val="20"/>
        </w:rPr>
      </w:pPr>
    </w:p>
    <w:p w:rsidR="000C2ED5" w:rsidRDefault="00485212">
      <w:pPr>
        <w:spacing w:line="478" w:lineRule="auto"/>
        <w:ind w:right="86" w:firstLine="720"/>
        <w:rPr>
          <w:sz w:val="20"/>
          <w:szCs w:val="20"/>
        </w:rPr>
      </w:pPr>
      <w:r>
        <w:rPr>
          <w:rFonts w:eastAsia="Times New Roman"/>
          <w:sz w:val="24"/>
          <w:szCs w:val="24"/>
        </w:rPr>
        <w:t xml:space="preserve">In terms of treatment setting, six studies recruited </w:t>
      </w:r>
      <w:r>
        <w:rPr>
          <w:rFonts w:eastAsia="Times New Roman"/>
          <w:sz w:val="24"/>
          <w:szCs w:val="24"/>
        </w:rPr>
        <w:t>participants detained within secure hospital facilities (low, medium and high secure), which comprised 23.42% (</w:t>
      </w:r>
      <w:r>
        <w:rPr>
          <w:rFonts w:eastAsia="Times New Roman"/>
          <w:i/>
          <w:iCs/>
          <w:sz w:val="24"/>
          <w:szCs w:val="24"/>
        </w:rPr>
        <w:t>n =</w:t>
      </w:r>
      <w:r>
        <w:rPr>
          <w:rFonts w:eastAsia="Times New Roman"/>
          <w:sz w:val="24"/>
          <w:szCs w:val="24"/>
        </w:rPr>
        <w:t xml:space="preserve"> 171) of the overall sample, including some patients exclusively from wards for individuals diagnosed with personality disorder and intellectu</w:t>
      </w:r>
      <w:r>
        <w:rPr>
          <w:rFonts w:eastAsia="Times New Roman"/>
          <w:sz w:val="24"/>
          <w:szCs w:val="24"/>
        </w:rPr>
        <w:t>al disability (Breckon et al., 2013; Long et al., 2012; Mason &amp; Adler, 2012; Sainsbury et al., 2004; Sheldon et al., 2010; Tetley et al., 2012). Time since admission ranged from less than 1 year to 36 years with two studies not reporting this variable (Mas</w:t>
      </w:r>
      <w:r>
        <w:rPr>
          <w:rFonts w:eastAsia="Times New Roman"/>
          <w:sz w:val="24"/>
          <w:szCs w:val="24"/>
        </w:rPr>
        <w:t>on &amp; Adler, 2012; Sheldon et al., 2012).</w:t>
      </w:r>
    </w:p>
    <w:p w:rsidR="000C2ED5" w:rsidRDefault="000C2ED5">
      <w:pPr>
        <w:spacing w:line="17" w:lineRule="exact"/>
        <w:rPr>
          <w:sz w:val="20"/>
          <w:szCs w:val="20"/>
        </w:rPr>
      </w:pPr>
    </w:p>
    <w:p w:rsidR="000C2ED5" w:rsidRDefault="00485212">
      <w:pPr>
        <w:spacing w:line="459" w:lineRule="auto"/>
        <w:ind w:right="86" w:firstLine="720"/>
        <w:rPr>
          <w:sz w:val="20"/>
          <w:szCs w:val="20"/>
        </w:rPr>
      </w:pPr>
      <w:r>
        <w:rPr>
          <w:rFonts w:eastAsia="Times New Roman"/>
          <w:sz w:val="24"/>
          <w:szCs w:val="24"/>
        </w:rPr>
        <w:t>Seven studies sampled from a prison population, comprising 65.62% (</w:t>
      </w:r>
      <w:r>
        <w:rPr>
          <w:rFonts w:eastAsia="Times New Roman"/>
          <w:i/>
          <w:iCs/>
          <w:sz w:val="24"/>
          <w:szCs w:val="24"/>
        </w:rPr>
        <w:t>n=</w:t>
      </w:r>
      <w:r>
        <w:rPr>
          <w:rFonts w:eastAsia="Times New Roman"/>
          <w:sz w:val="24"/>
          <w:szCs w:val="24"/>
        </w:rPr>
        <w:t xml:space="preserve"> 479) of the overall sample size (Drapeau et al., 2005; Mann et al., 2013; McCorkel et al., 1998; McGrain 2006; McMurran &amp; McCulloch, 2007; Polas</w:t>
      </w:r>
      <w:r>
        <w:rPr>
          <w:rFonts w:eastAsia="Times New Roman"/>
          <w:sz w:val="24"/>
          <w:szCs w:val="24"/>
        </w:rPr>
        <w:t>chek, 2006; Strauss &amp; Falkin, 2000). Two studies reported length of sentence which ranged approximately around 6 months up to 5 years (McCorkel et al., 1998; McMurran &amp; McCulloch, 2007) and one reported the mean amount of sentence currently served by the p</w:t>
      </w:r>
      <w:r>
        <w:rPr>
          <w:rFonts w:eastAsia="Times New Roman"/>
          <w:sz w:val="24"/>
          <w:szCs w:val="24"/>
        </w:rPr>
        <w:t>articipants, which ranged from 2.1 (SD=2.6) to 3.3 (SD=3.4) depending on the participant group</w:t>
      </w:r>
      <w:r>
        <w:rPr>
          <w:rFonts w:eastAsia="Times New Roman"/>
          <w:sz w:val="32"/>
          <w:szCs w:val="32"/>
          <w:vertAlign w:val="superscript"/>
        </w:rPr>
        <w:t>2</w:t>
      </w:r>
      <w:r>
        <w:rPr>
          <w:rFonts w:eastAsia="Times New Roman"/>
          <w:sz w:val="24"/>
          <w:szCs w:val="24"/>
        </w:rPr>
        <w:t xml:space="preserve"> (Mann et al., 2013). Prison security level ranged from low to high, however, this variable was only reported in two studies (McMurran &amp; McCulloch, 2007; Mann et al., 2013).</w:t>
      </w:r>
    </w:p>
    <w:p w:rsidR="000C2ED5" w:rsidRDefault="000C2ED5">
      <w:pPr>
        <w:spacing w:line="42" w:lineRule="exact"/>
        <w:rPr>
          <w:sz w:val="20"/>
          <w:szCs w:val="20"/>
        </w:rPr>
      </w:pPr>
    </w:p>
    <w:p w:rsidR="000C2ED5" w:rsidRDefault="00485212">
      <w:pPr>
        <w:spacing w:line="476" w:lineRule="auto"/>
        <w:ind w:right="366" w:firstLine="720"/>
        <w:rPr>
          <w:sz w:val="20"/>
          <w:szCs w:val="20"/>
        </w:rPr>
      </w:pPr>
      <w:r>
        <w:rPr>
          <w:rFonts w:eastAsia="Times New Roman"/>
          <w:sz w:val="24"/>
          <w:szCs w:val="24"/>
        </w:rPr>
        <w:t>Two studies incorporated additional participants in their samples (Breckon et al.</w:t>
      </w:r>
      <w:r>
        <w:rPr>
          <w:rFonts w:eastAsia="Times New Roman"/>
          <w:sz w:val="24"/>
          <w:szCs w:val="24"/>
        </w:rPr>
        <w:t>, 2013; Tetley et al., 2012). These were professional members of staff working in a hospital setting, representing 8.36% of the overall sample (</w:t>
      </w:r>
      <w:r>
        <w:rPr>
          <w:rFonts w:eastAsia="Times New Roman"/>
          <w:i/>
          <w:iCs/>
          <w:sz w:val="24"/>
          <w:szCs w:val="24"/>
        </w:rPr>
        <w:t>n</w:t>
      </w:r>
      <w:r>
        <w:rPr>
          <w:rFonts w:eastAsia="Times New Roman"/>
          <w:sz w:val="24"/>
          <w:szCs w:val="24"/>
        </w:rPr>
        <w:t xml:space="preserve"> = 61), and non-forensic psychiatric outpatients, representing 2.6% of the overall sample (</w:t>
      </w:r>
      <w:r>
        <w:rPr>
          <w:rFonts w:eastAsia="Times New Roman"/>
          <w:i/>
          <w:iCs/>
          <w:sz w:val="24"/>
          <w:szCs w:val="24"/>
        </w:rPr>
        <w:t>n</w:t>
      </w:r>
      <w:r>
        <w:rPr>
          <w:rFonts w:eastAsia="Times New Roman"/>
          <w:sz w:val="24"/>
          <w:szCs w:val="24"/>
        </w:rPr>
        <w:t xml:space="preserve"> = 19). As such par</w:t>
      </w:r>
      <w:r>
        <w:rPr>
          <w:rFonts w:eastAsia="Times New Roman"/>
          <w:sz w:val="24"/>
          <w:szCs w:val="24"/>
        </w:rPr>
        <w:t>ticipants did not</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45" w:lineRule="exact"/>
        <w:rPr>
          <w:sz w:val="20"/>
          <w:szCs w:val="20"/>
        </w:rPr>
      </w:pPr>
    </w:p>
    <w:p w:rsidR="000C2ED5" w:rsidRDefault="00485212">
      <w:pPr>
        <w:ind w:right="6"/>
        <w:jc w:val="right"/>
        <w:rPr>
          <w:sz w:val="20"/>
          <w:szCs w:val="20"/>
        </w:rPr>
      </w:pPr>
      <w:r>
        <w:rPr>
          <w:rFonts w:eastAsia="Times New Roman"/>
        </w:rPr>
        <w:t>12</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13" w:name="page14"/>
      <w:bookmarkEnd w:id="13"/>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69" w:lineRule="auto"/>
        <w:ind w:right="1026"/>
        <w:rPr>
          <w:sz w:val="20"/>
          <w:szCs w:val="20"/>
        </w:rPr>
      </w:pPr>
      <w:r>
        <w:rPr>
          <w:rFonts w:eastAsia="Times New Roman"/>
          <w:sz w:val="24"/>
          <w:szCs w:val="24"/>
        </w:rPr>
        <w:t>meet the inclusion criteria for this review, where possible, findings relating to these participants were not included in the review.</w:t>
      </w:r>
    </w:p>
    <w:p w:rsidR="000C2ED5" w:rsidRDefault="000C2ED5">
      <w:pPr>
        <w:spacing w:line="26" w:lineRule="exact"/>
        <w:rPr>
          <w:sz w:val="20"/>
          <w:szCs w:val="20"/>
        </w:rPr>
      </w:pPr>
    </w:p>
    <w:p w:rsidR="000C2ED5" w:rsidRDefault="00485212">
      <w:pPr>
        <w:spacing w:line="477" w:lineRule="auto"/>
        <w:ind w:right="226" w:firstLine="720"/>
        <w:rPr>
          <w:sz w:val="20"/>
          <w:szCs w:val="20"/>
        </w:rPr>
      </w:pPr>
      <w:r>
        <w:rPr>
          <w:rFonts w:eastAsia="Times New Roman"/>
          <w:sz w:val="24"/>
          <w:szCs w:val="24"/>
        </w:rPr>
        <w:t>In terms of the tr</w:t>
      </w:r>
      <w:r>
        <w:rPr>
          <w:rFonts w:eastAsia="Times New Roman"/>
          <w:sz w:val="24"/>
          <w:szCs w:val="24"/>
        </w:rPr>
        <w:t>eatment being offered to participants, this included psychological/psychosocial treatment, any form of treatment that was part of the care plan, group-based treatment programmes (e.g., Sex Offender Treatment Programme, Enhanced Thinking Skills, drug user t</w:t>
      </w:r>
      <w:r>
        <w:rPr>
          <w:rFonts w:eastAsia="Times New Roman"/>
          <w:sz w:val="24"/>
          <w:szCs w:val="24"/>
        </w:rPr>
        <w:t>reatment programme), therapeutic communities, and in one case the study failed to report the type of treatment being undertaken (Sainsbury et al., 2004).</w:t>
      </w:r>
    </w:p>
    <w:p w:rsidR="000C2ED5" w:rsidRDefault="000C2ED5">
      <w:pPr>
        <w:spacing w:line="212" w:lineRule="exact"/>
        <w:rPr>
          <w:sz w:val="20"/>
          <w:szCs w:val="20"/>
        </w:rPr>
      </w:pPr>
    </w:p>
    <w:p w:rsidR="000C2ED5" w:rsidRDefault="00485212">
      <w:pPr>
        <w:rPr>
          <w:sz w:val="20"/>
          <w:szCs w:val="20"/>
        </w:rPr>
      </w:pPr>
      <w:r>
        <w:rPr>
          <w:rFonts w:eastAsia="Times New Roman"/>
          <w:b/>
          <w:bCs/>
          <w:sz w:val="24"/>
          <w:szCs w:val="24"/>
        </w:rPr>
        <w:t>Descriptive Data Synthesis</w:t>
      </w:r>
    </w:p>
    <w:p w:rsidR="000C2ED5" w:rsidRDefault="000C2ED5">
      <w:pPr>
        <w:spacing w:line="281" w:lineRule="exact"/>
        <w:rPr>
          <w:sz w:val="20"/>
          <w:szCs w:val="20"/>
        </w:rPr>
      </w:pPr>
    </w:p>
    <w:p w:rsidR="000C2ED5" w:rsidRDefault="00485212">
      <w:pPr>
        <w:spacing w:line="477" w:lineRule="auto"/>
        <w:ind w:right="46" w:firstLine="720"/>
        <w:rPr>
          <w:sz w:val="20"/>
          <w:szCs w:val="20"/>
        </w:rPr>
      </w:pPr>
      <w:r>
        <w:rPr>
          <w:rFonts w:eastAsia="Times New Roman"/>
          <w:sz w:val="24"/>
          <w:szCs w:val="24"/>
        </w:rPr>
        <w:t xml:space="preserve">To clarify how the results of the review relate to current theoretical </w:t>
      </w:r>
      <w:r>
        <w:rPr>
          <w:rFonts w:eastAsia="Times New Roman"/>
          <w:sz w:val="24"/>
          <w:szCs w:val="24"/>
        </w:rPr>
        <w:t>thinking on treatment readiness, the findings are presented here, where possible, within the structure of the MORM (Ward et al., 2004). Findings from two of the studies were coded independently against the MORM by two professionals in order to assess the r</w:t>
      </w:r>
      <w:r>
        <w:rPr>
          <w:rFonts w:eastAsia="Times New Roman"/>
          <w:sz w:val="24"/>
          <w:szCs w:val="24"/>
        </w:rPr>
        <w:t>eliability of the coding scheme; there was a percentage agreement of 85%. A summary of each study can be found in Table 2 online.</w:t>
      </w:r>
    </w:p>
    <w:p w:rsidR="000C2ED5" w:rsidRDefault="000C2ED5">
      <w:pPr>
        <w:spacing w:line="9" w:lineRule="exact"/>
        <w:rPr>
          <w:sz w:val="20"/>
          <w:szCs w:val="20"/>
        </w:rPr>
      </w:pPr>
    </w:p>
    <w:p w:rsidR="000C2ED5" w:rsidRDefault="00485212">
      <w:pPr>
        <w:ind w:left="3860"/>
        <w:rPr>
          <w:sz w:val="20"/>
          <w:szCs w:val="20"/>
        </w:rPr>
      </w:pPr>
      <w:r>
        <w:rPr>
          <w:rFonts w:eastAsia="Times New Roman"/>
          <w:sz w:val="24"/>
          <w:szCs w:val="24"/>
        </w:rPr>
        <w:t>[See Table 2. online]</w:t>
      </w:r>
    </w:p>
    <w:p w:rsidR="000C2ED5" w:rsidRDefault="000C2ED5">
      <w:pPr>
        <w:spacing w:line="281" w:lineRule="exact"/>
        <w:rPr>
          <w:sz w:val="20"/>
          <w:szCs w:val="20"/>
        </w:rPr>
      </w:pPr>
    </w:p>
    <w:p w:rsidR="000C2ED5" w:rsidRDefault="00485212">
      <w:pPr>
        <w:ind w:left="720"/>
        <w:rPr>
          <w:sz w:val="20"/>
          <w:szCs w:val="20"/>
        </w:rPr>
      </w:pPr>
      <w:r>
        <w:rPr>
          <w:rFonts w:eastAsia="Times New Roman"/>
          <w:b/>
          <w:bCs/>
          <w:sz w:val="24"/>
          <w:szCs w:val="24"/>
        </w:rPr>
        <w:t>Internal Factors.</w:t>
      </w:r>
    </w:p>
    <w:p w:rsidR="000C2ED5" w:rsidRDefault="000C2ED5">
      <w:pPr>
        <w:spacing w:line="283" w:lineRule="exact"/>
        <w:rPr>
          <w:sz w:val="20"/>
          <w:szCs w:val="20"/>
        </w:rPr>
      </w:pPr>
    </w:p>
    <w:p w:rsidR="000C2ED5" w:rsidRDefault="00485212">
      <w:pPr>
        <w:spacing w:line="478" w:lineRule="auto"/>
        <w:ind w:right="6" w:firstLine="720"/>
        <w:rPr>
          <w:sz w:val="20"/>
          <w:szCs w:val="20"/>
        </w:rPr>
      </w:pPr>
      <w:r>
        <w:rPr>
          <w:rFonts w:eastAsia="Times New Roman"/>
          <w:b/>
          <w:bCs/>
          <w:i/>
          <w:iCs/>
          <w:sz w:val="24"/>
          <w:szCs w:val="24"/>
        </w:rPr>
        <w:t xml:space="preserve">Cognitive Factors. </w:t>
      </w:r>
      <w:r>
        <w:rPr>
          <w:rFonts w:eastAsia="Times New Roman"/>
          <w:sz w:val="24"/>
          <w:szCs w:val="24"/>
        </w:rPr>
        <w:t>Cognitive factors were reported within eleven of the studies.</w:t>
      </w:r>
      <w:r>
        <w:rPr>
          <w:rFonts w:eastAsia="Times New Roman"/>
          <w:b/>
          <w:bCs/>
          <w:i/>
          <w:iCs/>
          <w:sz w:val="24"/>
          <w:szCs w:val="24"/>
        </w:rPr>
        <w:t xml:space="preserve"> </w:t>
      </w:r>
      <w:r>
        <w:rPr>
          <w:rFonts w:eastAsia="Times New Roman"/>
          <w:sz w:val="24"/>
          <w:szCs w:val="24"/>
        </w:rPr>
        <w:t>Sp</w:t>
      </w:r>
      <w:r>
        <w:rPr>
          <w:rFonts w:eastAsia="Times New Roman"/>
          <w:sz w:val="24"/>
          <w:szCs w:val="24"/>
        </w:rPr>
        <w:t xml:space="preserve">ecifically, poor self-efficacy regarding one’s ability to effectively engage in treatment and ability to change was identified as a significant barrier to treatment engagement. Perceiving treatment to be too difficult and complex was noted by participants </w:t>
      </w:r>
      <w:r>
        <w:rPr>
          <w:rFonts w:eastAsia="Times New Roman"/>
          <w:sz w:val="24"/>
          <w:szCs w:val="24"/>
        </w:rPr>
        <w:t>as influencing decisions to engage, as was the perception that homework was to demanding. Negative appraisals of treatment and expected outcomes were negatively associated with treatment engagement and in some studies resulted in treatment dropout and refu</w:t>
      </w:r>
      <w:r>
        <w:rPr>
          <w:rFonts w:eastAsia="Times New Roman"/>
          <w:sz w:val="24"/>
          <w:szCs w:val="24"/>
        </w:rPr>
        <w:t>sal of treatment. Examples of negative appraisals included beliefs that treatment was patronising in its delivery, ineffective, stressful, boring, intrusive, challenging, unnecessary, repetitive, and unable to help participants achieve</w:t>
      </w:r>
    </w:p>
    <w:p w:rsidR="000C2ED5" w:rsidRDefault="000C2ED5">
      <w:pPr>
        <w:spacing w:line="196" w:lineRule="exact"/>
        <w:rPr>
          <w:sz w:val="20"/>
          <w:szCs w:val="20"/>
        </w:rPr>
      </w:pPr>
    </w:p>
    <w:p w:rsidR="000C2ED5" w:rsidRDefault="00485212">
      <w:pPr>
        <w:ind w:right="6"/>
        <w:jc w:val="right"/>
        <w:rPr>
          <w:sz w:val="20"/>
          <w:szCs w:val="20"/>
        </w:rPr>
      </w:pPr>
      <w:r>
        <w:rPr>
          <w:rFonts w:eastAsia="Times New Roman"/>
        </w:rPr>
        <w:t>13</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14" w:name="page15"/>
      <w:bookmarkEnd w:id="14"/>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9" w:lineRule="auto"/>
        <w:ind w:right="26"/>
        <w:rPr>
          <w:sz w:val="20"/>
          <w:szCs w:val="20"/>
        </w:rPr>
      </w:pPr>
      <w:r>
        <w:rPr>
          <w:rFonts w:eastAsia="Times New Roman"/>
          <w:sz w:val="24"/>
          <w:szCs w:val="24"/>
        </w:rPr>
        <w:t>their goals. In two studies, negative appraisals originated from participants prior negative experience of treatment. Furthermore, treatment refusers were more likely than treatment completers t</w:t>
      </w:r>
      <w:r>
        <w:rPr>
          <w:rFonts w:eastAsia="Times New Roman"/>
          <w:sz w:val="24"/>
          <w:szCs w:val="24"/>
        </w:rPr>
        <w:t>o have witnessed negative changes in others engaged in treatment, and therefore it is possible that attitudes towards treatment may be influenced vicariously through the experience of others. Disagreement with the treatment rules, how these were implemente</w:t>
      </w:r>
      <w:r>
        <w:rPr>
          <w:rFonts w:eastAsia="Times New Roman"/>
          <w:sz w:val="24"/>
          <w:szCs w:val="24"/>
        </w:rPr>
        <w:t xml:space="preserve">d and subsequent restrictions placed on their freedom (i.e. not having enough free time) caused some participants to feel like they were being victimised, precipitating dropout. For some participants a disparity between their expectations of treatment and </w:t>
      </w:r>
      <w:r>
        <w:rPr>
          <w:rFonts w:eastAsia="Times New Roman"/>
          <w:sz w:val="24"/>
          <w:szCs w:val="24"/>
        </w:rPr>
        <w:t>the treatment offered resulted in their dropout. McCorkel et al. (1998) noted that for some participants engaged in a Prison Therapeutic Community, dropout was precipitated by their perception that the treatment they had received was not actually what they</w:t>
      </w:r>
      <w:r>
        <w:rPr>
          <w:rFonts w:eastAsia="Times New Roman"/>
          <w:sz w:val="24"/>
          <w:szCs w:val="24"/>
        </w:rPr>
        <w:t xml:space="preserve"> considered to be “treatment” which subsequently triggered feelings of disappointment with the programme being offered. With the exception of one-to-one sessions with a qualified member of staff, dropouts did not perceive the peer-based treatment they rece</w:t>
      </w:r>
      <w:r>
        <w:rPr>
          <w:rFonts w:eastAsia="Times New Roman"/>
          <w:sz w:val="24"/>
          <w:szCs w:val="24"/>
        </w:rPr>
        <w:t>ived as “treatment”. The authors concluded that their perception of what constituted optimal treatment reflected “</w:t>
      </w:r>
      <w:r>
        <w:rPr>
          <w:rFonts w:eastAsia="Times New Roman"/>
          <w:i/>
          <w:iCs/>
          <w:sz w:val="24"/>
          <w:szCs w:val="24"/>
        </w:rPr>
        <w:t>the popular stereotype of a</w:t>
      </w:r>
      <w:r>
        <w:rPr>
          <w:rFonts w:eastAsia="Times New Roman"/>
          <w:sz w:val="24"/>
          <w:szCs w:val="24"/>
        </w:rPr>
        <w:t xml:space="preserve"> </w:t>
      </w:r>
      <w:r>
        <w:rPr>
          <w:rFonts w:eastAsia="Times New Roman"/>
          <w:i/>
          <w:iCs/>
          <w:sz w:val="24"/>
          <w:szCs w:val="24"/>
        </w:rPr>
        <w:t>passive, hierarchical relationship between a psychologist and a client</w:t>
      </w:r>
      <w:r>
        <w:rPr>
          <w:rFonts w:eastAsia="Times New Roman"/>
          <w:sz w:val="24"/>
          <w:szCs w:val="24"/>
        </w:rPr>
        <w:t>” (p.</w:t>
      </w:r>
      <w:r>
        <w:rPr>
          <w:rFonts w:eastAsia="Times New Roman"/>
          <w:i/>
          <w:iCs/>
          <w:sz w:val="24"/>
          <w:szCs w:val="24"/>
        </w:rPr>
        <w:t xml:space="preserve"> </w:t>
      </w:r>
      <w:r>
        <w:rPr>
          <w:rFonts w:eastAsia="Times New Roman"/>
          <w:sz w:val="24"/>
          <w:szCs w:val="24"/>
        </w:rPr>
        <w:t>46). Providing</w:t>
      </w:r>
      <w:r>
        <w:rPr>
          <w:rFonts w:eastAsia="Times New Roman"/>
          <w:i/>
          <w:iCs/>
          <w:sz w:val="24"/>
          <w:szCs w:val="24"/>
        </w:rPr>
        <w:t xml:space="preserve"> </w:t>
      </w:r>
      <w:r>
        <w:rPr>
          <w:rFonts w:eastAsia="Times New Roman"/>
          <w:sz w:val="24"/>
          <w:szCs w:val="24"/>
        </w:rPr>
        <w:t>offenders with the reso</w:t>
      </w:r>
      <w:r>
        <w:rPr>
          <w:rFonts w:eastAsia="Times New Roman"/>
          <w:sz w:val="24"/>
          <w:szCs w:val="24"/>
        </w:rPr>
        <w:t>urces to increase their understanding of treatment and make an informed decision regarding their engagement was noted in several studies to facilitate and subsequently maintain engagement in treatment. Conversely, positive appraisals of treatment and expec</w:t>
      </w:r>
      <w:r>
        <w:rPr>
          <w:rFonts w:eastAsia="Times New Roman"/>
          <w:sz w:val="24"/>
          <w:szCs w:val="24"/>
        </w:rPr>
        <w:t>ted outcomes were found to facilitate treatment engagement and aid completion. Perceiving treatment as informative, helpful in dealing with issues and facilitating personal development and growth was reported to encourage engagement in treatment. Specifica</w:t>
      </w:r>
      <w:r>
        <w:rPr>
          <w:rFonts w:eastAsia="Times New Roman"/>
          <w:sz w:val="24"/>
          <w:szCs w:val="24"/>
        </w:rPr>
        <w:t xml:space="preserve">lly to participants in prison, participation in treatment was maintained by the perceived advantages of being in the treatment programme over the general prison population (Strauss &amp; Falkin, 2000). Offenders who completed treatment perceived the programme </w:t>
      </w:r>
      <w:r>
        <w:rPr>
          <w:rFonts w:eastAsia="Times New Roman"/>
          <w:sz w:val="24"/>
          <w:szCs w:val="24"/>
        </w:rPr>
        <w:t>as interesting, positive,</w:t>
      </w:r>
    </w:p>
    <w:p w:rsidR="000C2ED5" w:rsidRDefault="000C2ED5">
      <w:pPr>
        <w:spacing w:line="200" w:lineRule="exact"/>
        <w:rPr>
          <w:sz w:val="20"/>
          <w:szCs w:val="20"/>
        </w:rPr>
      </w:pPr>
    </w:p>
    <w:p w:rsidR="000C2ED5" w:rsidRDefault="000C2ED5">
      <w:pPr>
        <w:spacing w:line="206" w:lineRule="exact"/>
        <w:rPr>
          <w:sz w:val="20"/>
          <w:szCs w:val="20"/>
        </w:rPr>
      </w:pPr>
    </w:p>
    <w:p w:rsidR="000C2ED5" w:rsidRDefault="00485212">
      <w:pPr>
        <w:ind w:right="6"/>
        <w:jc w:val="right"/>
        <w:rPr>
          <w:sz w:val="20"/>
          <w:szCs w:val="20"/>
        </w:rPr>
      </w:pPr>
      <w:r>
        <w:rPr>
          <w:rFonts w:eastAsia="Times New Roman"/>
        </w:rPr>
        <w:t>14</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15" w:name="page16"/>
      <w:bookmarkEnd w:id="15"/>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69" w:lineRule="auto"/>
        <w:ind w:right="6"/>
        <w:rPr>
          <w:sz w:val="20"/>
          <w:szCs w:val="20"/>
        </w:rPr>
      </w:pPr>
      <w:r>
        <w:rPr>
          <w:rFonts w:eastAsia="Times New Roman"/>
          <w:sz w:val="24"/>
          <w:szCs w:val="24"/>
        </w:rPr>
        <w:t>enjoyable, and appropriate to address their needs and were more open to the potential benefits of different methods of treatment besides one-to-one</w:t>
      </w:r>
      <w:r>
        <w:rPr>
          <w:rFonts w:eastAsia="Times New Roman"/>
          <w:sz w:val="24"/>
          <w:szCs w:val="24"/>
        </w:rPr>
        <w:t xml:space="preserve"> therapy.</w:t>
      </w:r>
    </w:p>
    <w:p w:rsidR="000C2ED5" w:rsidRDefault="000C2ED5">
      <w:pPr>
        <w:spacing w:line="26" w:lineRule="exact"/>
        <w:rPr>
          <w:sz w:val="20"/>
          <w:szCs w:val="20"/>
        </w:rPr>
      </w:pPr>
    </w:p>
    <w:p w:rsidR="000C2ED5" w:rsidRDefault="00485212">
      <w:pPr>
        <w:spacing w:line="478" w:lineRule="auto"/>
        <w:ind w:right="206" w:firstLine="720"/>
        <w:rPr>
          <w:sz w:val="20"/>
          <w:szCs w:val="20"/>
        </w:rPr>
      </w:pPr>
      <w:r>
        <w:rPr>
          <w:rFonts w:eastAsia="Times New Roman"/>
          <w:sz w:val="24"/>
          <w:szCs w:val="24"/>
        </w:rPr>
        <w:t>Negative perceptions of staff also impeded treatment engagement. Reasons for participants’ negative perceptions were a lack of trust towards professionals and the anticipation that staff would be disrespectful due to the nature of the crime they</w:t>
      </w:r>
      <w:r>
        <w:rPr>
          <w:rFonts w:eastAsia="Times New Roman"/>
          <w:sz w:val="24"/>
          <w:szCs w:val="24"/>
        </w:rPr>
        <w:t xml:space="preserve"> committed. Perceiving staff as prejudice hindered engagement. In contrast, motivation to engage in treatment was higher amongst participants who perceived staff to be trustworthy and able to promote a sense of safety through their ability to effectively m</w:t>
      </w:r>
      <w:r>
        <w:rPr>
          <w:rFonts w:eastAsia="Times New Roman"/>
          <w:sz w:val="24"/>
          <w:szCs w:val="24"/>
        </w:rPr>
        <w:t>anage a challenging client group.</w:t>
      </w:r>
    </w:p>
    <w:p w:rsidR="000C2ED5" w:rsidRDefault="000C2ED5">
      <w:pPr>
        <w:spacing w:line="17" w:lineRule="exact"/>
        <w:rPr>
          <w:sz w:val="20"/>
          <w:szCs w:val="20"/>
        </w:rPr>
      </w:pPr>
    </w:p>
    <w:p w:rsidR="000C2ED5" w:rsidRDefault="00485212">
      <w:pPr>
        <w:spacing w:line="478" w:lineRule="auto"/>
        <w:ind w:right="6" w:firstLine="720"/>
        <w:rPr>
          <w:sz w:val="20"/>
          <w:szCs w:val="20"/>
        </w:rPr>
      </w:pPr>
      <w:r>
        <w:rPr>
          <w:rFonts w:eastAsia="Times New Roman"/>
          <w:sz w:val="24"/>
          <w:szCs w:val="24"/>
        </w:rPr>
        <w:t xml:space="preserve">Within a group setting, participants’ negative appraisal of other group members, again often due to a lack of trust, negatively impacted upon motivation, treatment engagement and completion. Difficulties integrating into </w:t>
      </w:r>
      <w:r>
        <w:rPr>
          <w:rFonts w:eastAsia="Times New Roman"/>
          <w:sz w:val="24"/>
          <w:szCs w:val="24"/>
        </w:rPr>
        <w:t>the group or conflict between group members also hindered treatment engagement. Participants reported avoiding close relationships with peers and withholding certain information for fear that such information would be used against them, particularly when i</w:t>
      </w:r>
      <w:r>
        <w:rPr>
          <w:rFonts w:eastAsia="Times New Roman"/>
          <w:sz w:val="24"/>
          <w:szCs w:val="24"/>
        </w:rPr>
        <w:t>n groups aimed at addressing criminogenic issues. This subsequently impacted on their willingness to engage with treatment as it would put them in a vulnerable situation. Subsequently, in one study, participants expressed a preference for individual intevr</w:t>
      </w:r>
      <w:r>
        <w:rPr>
          <w:rFonts w:eastAsia="Times New Roman"/>
          <w:sz w:val="24"/>
          <w:szCs w:val="24"/>
        </w:rPr>
        <w:t>netions. Such fears seem to bear out with completers reporting being victimised more often than non-completers.</w:t>
      </w:r>
    </w:p>
    <w:p w:rsidR="000C2ED5" w:rsidRDefault="000C2ED5">
      <w:pPr>
        <w:spacing w:line="24" w:lineRule="exact"/>
        <w:rPr>
          <w:sz w:val="20"/>
          <w:szCs w:val="20"/>
        </w:rPr>
      </w:pPr>
    </w:p>
    <w:p w:rsidR="000C2ED5" w:rsidRDefault="00485212">
      <w:pPr>
        <w:spacing w:line="478" w:lineRule="auto"/>
        <w:ind w:right="66" w:firstLine="720"/>
        <w:rPr>
          <w:sz w:val="20"/>
          <w:szCs w:val="20"/>
        </w:rPr>
      </w:pPr>
      <w:r>
        <w:rPr>
          <w:rFonts w:eastAsia="Times New Roman"/>
          <w:sz w:val="24"/>
          <w:szCs w:val="24"/>
        </w:rPr>
        <w:t>Denial or minimisation of offending behaviour was a barrier to treatment engagement and therefore treatment completion. The way treatment is of</w:t>
      </w:r>
      <w:r>
        <w:rPr>
          <w:rFonts w:eastAsia="Times New Roman"/>
          <w:sz w:val="24"/>
          <w:szCs w:val="24"/>
        </w:rPr>
        <w:t>fered to those in denial was highlighted as important: Participants who denied their offence and subsequently refused to engage in treatment, were more likely to report being offered treatment in a derogatory manner by staff and receiving little informatio</w:t>
      </w:r>
      <w:r>
        <w:rPr>
          <w:rFonts w:eastAsia="Times New Roman"/>
          <w:sz w:val="24"/>
          <w:szCs w:val="24"/>
        </w:rPr>
        <w:t>n about the treatment programme in comparison to those who both accepted treatment and admitted their offence.</w:t>
      </w:r>
    </w:p>
    <w:p w:rsidR="000C2ED5" w:rsidRDefault="000C2ED5">
      <w:pPr>
        <w:spacing w:line="389" w:lineRule="exact"/>
        <w:rPr>
          <w:sz w:val="20"/>
          <w:szCs w:val="20"/>
        </w:rPr>
      </w:pPr>
    </w:p>
    <w:p w:rsidR="000C2ED5" w:rsidRDefault="00485212">
      <w:pPr>
        <w:ind w:right="6"/>
        <w:jc w:val="right"/>
        <w:rPr>
          <w:sz w:val="20"/>
          <w:szCs w:val="20"/>
        </w:rPr>
      </w:pPr>
      <w:r>
        <w:rPr>
          <w:rFonts w:eastAsia="Times New Roman"/>
        </w:rPr>
        <w:t>15</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16" w:name="page17"/>
      <w:bookmarkEnd w:id="16"/>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8" w:lineRule="auto"/>
        <w:ind w:right="26"/>
        <w:rPr>
          <w:sz w:val="20"/>
          <w:szCs w:val="20"/>
        </w:rPr>
      </w:pPr>
      <w:r>
        <w:rPr>
          <w:rFonts w:eastAsia="Times New Roman"/>
          <w:b/>
          <w:bCs/>
          <w:i/>
          <w:iCs/>
          <w:sz w:val="24"/>
          <w:szCs w:val="24"/>
        </w:rPr>
        <w:t xml:space="preserve">Affective Factors. </w:t>
      </w:r>
      <w:r>
        <w:rPr>
          <w:rFonts w:eastAsia="Times New Roman"/>
          <w:sz w:val="24"/>
          <w:szCs w:val="24"/>
        </w:rPr>
        <w:t xml:space="preserve">Ten studies included in the review </w:t>
      </w:r>
      <w:r>
        <w:rPr>
          <w:rFonts w:eastAsia="Times New Roman"/>
          <w:sz w:val="24"/>
          <w:szCs w:val="24"/>
        </w:rPr>
        <w:t>identified the role of affective factors in</w:t>
      </w:r>
      <w:r>
        <w:rPr>
          <w:rFonts w:eastAsia="Times New Roman"/>
          <w:b/>
          <w:bCs/>
          <w:i/>
          <w:iCs/>
          <w:sz w:val="24"/>
          <w:szCs w:val="24"/>
        </w:rPr>
        <w:t xml:space="preserve"> </w:t>
      </w:r>
      <w:r>
        <w:rPr>
          <w:rFonts w:eastAsia="Times New Roman"/>
          <w:sz w:val="24"/>
          <w:szCs w:val="24"/>
        </w:rPr>
        <w:t>influencing treatment engagement. Experiencing negative affect towards treatment, particularly anxiety, was associated with dropout. Feeling uncomfortable, under too much pressure and stressed as a result of enga</w:t>
      </w:r>
      <w:r>
        <w:rPr>
          <w:rFonts w:eastAsia="Times New Roman"/>
          <w:sz w:val="24"/>
          <w:szCs w:val="24"/>
        </w:rPr>
        <w:t>ging in treatment also precipitated dropout in one study (Strauss &amp; Falkin, 2000). Poor emotional regulation was implicated among female participants in two studies. Several studies highlighted the relevance of affective factors in the treatment engagement</w:t>
      </w:r>
      <w:r>
        <w:rPr>
          <w:rFonts w:eastAsia="Times New Roman"/>
          <w:sz w:val="24"/>
          <w:szCs w:val="24"/>
        </w:rPr>
        <w:t xml:space="preserve"> of personality disordered offenders. Feelings of guilt regarding one’s offending appeared to motivate participants’ to engage in treatment in an attempt to reduce such negative affect.</w:t>
      </w:r>
    </w:p>
    <w:p w:rsidR="000C2ED5" w:rsidRDefault="000C2ED5">
      <w:pPr>
        <w:spacing w:line="22" w:lineRule="exact"/>
        <w:rPr>
          <w:sz w:val="20"/>
          <w:szCs w:val="20"/>
        </w:rPr>
      </w:pPr>
    </w:p>
    <w:p w:rsidR="000C2ED5" w:rsidRDefault="00485212">
      <w:pPr>
        <w:spacing w:line="478" w:lineRule="auto"/>
        <w:ind w:right="146"/>
        <w:rPr>
          <w:sz w:val="20"/>
          <w:szCs w:val="20"/>
        </w:rPr>
      </w:pPr>
      <w:r>
        <w:rPr>
          <w:rFonts w:eastAsia="Times New Roman"/>
          <w:b/>
          <w:bCs/>
          <w:i/>
          <w:iCs/>
          <w:sz w:val="24"/>
          <w:szCs w:val="24"/>
        </w:rPr>
        <w:t>Volitional and Identity Factors</w:t>
      </w:r>
      <w:r>
        <w:rPr>
          <w:rFonts w:eastAsia="Times New Roman"/>
          <w:sz w:val="24"/>
          <w:szCs w:val="24"/>
        </w:rPr>
        <w:t xml:space="preserve">. These factors were found within the </w:t>
      </w:r>
      <w:r>
        <w:rPr>
          <w:rFonts w:eastAsia="Times New Roman"/>
          <w:sz w:val="24"/>
          <w:szCs w:val="24"/>
        </w:rPr>
        <w:t>majority of studies</w:t>
      </w:r>
      <w:r>
        <w:rPr>
          <w:rFonts w:eastAsia="Times New Roman"/>
          <w:b/>
          <w:bCs/>
          <w:i/>
          <w:iCs/>
          <w:sz w:val="24"/>
          <w:szCs w:val="24"/>
        </w:rPr>
        <w:t xml:space="preserve"> </w:t>
      </w:r>
      <w:r>
        <w:rPr>
          <w:rFonts w:eastAsia="Times New Roman"/>
          <w:sz w:val="24"/>
          <w:szCs w:val="24"/>
        </w:rPr>
        <w:t>reviewed. For example, realising and acknowledging the need for change was identified as vital for engagement in treatment and was often associated with the establishment of prosocial goals which in turn was found to facilitate treatmen</w:t>
      </w:r>
      <w:r>
        <w:rPr>
          <w:rFonts w:eastAsia="Times New Roman"/>
          <w:sz w:val="24"/>
          <w:szCs w:val="24"/>
        </w:rPr>
        <w:t>t engagement. Supporting this, attrition was lower for sessions that offenders rated as important to their recovery and/or future goals. Recognising the need for help in achieving ones goal to change was reported as a reason for completing treatment. For o</w:t>
      </w:r>
      <w:r>
        <w:rPr>
          <w:rFonts w:eastAsia="Times New Roman"/>
          <w:sz w:val="24"/>
          <w:szCs w:val="24"/>
        </w:rPr>
        <w:t>thers engagement was motivated simply by their desire to have a sense of pride in having completed something (Strauss &amp;Falkin, 2000).</w:t>
      </w:r>
    </w:p>
    <w:p w:rsidR="000C2ED5" w:rsidRDefault="000C2ED5">
      <w:pPr>
        <w:spacing w:line="19" w:lineRule="exact"/>
        <w:rPr>
          <w:sz w:val="20"/>
          <w:szCs w:val="20"/>
        </w:rPr>
      </w:pPr>
    </w:p>
    <w:p w:rsidR="000C2ED5" w:rsidRDefault="00485212">
      <w:pPr>
        <w:spacing w:line="478" w:lineRule="auto"/>
        <w:ind w:right="46" w:firstLine="720"/>
        <w:rPr>
          <w:sz w:val="20"/>
          <w:szCs w:val="20"/>
        </w:rPr>
      </w:pPr>
      <w:r>
        <w:rPr>
          <w:rFonts w:eastAsia="Times New Roman"/>
          <w:sz w:val="24"/>
          <w:szCs w:val="24"/>
        </w:rPr>
        <w:t xml:space="preserve">Conversely, an inability to set goals and incongruence between offenders’ goals and those of the treatment being offered </w:t>
      </w:r>
      <w:r>
        <w:rPr>
          <w:rFonts w:eastAsia="Times New Roman"/>
          <w:sz w:val="24"/>
          <w:szCs w:val="24"/>
        </w:rPr>
        <w:t>was associated with poor treatment engagement and non-completion. However, McMurran and McCulloch (2007) also noted that some treatment non-completers reported perceiving treatment as useful and relevant to their needs, which suggested that for these indiv</w:t>
      </w:r>
      <w:r>
        <w:rPr>
          <w:rFonts w:eastAsia="Times New Roman"/>
          <w:sz w:val="24"/>
          <w:szCs w:val="24"/>
        </w:rPr>
        <w:t>iduals factors unrelated to the content of the treatment programme influenced dropout.</w:t>
      </w:r>
    </w:p>
    <w:p w:rsidR="000C2ED5" w:rsidRDefault="000C2ED5">
      <w:pPr>
        <w:spacing w:line="15" w:lineRule="exact"/>
        <w:rPr>
          <w:sz w:val="20"/>
          <w:szCs w:val="20"/>
        </w:rPr>
      </w:pPr>
    </w:p>
    <w:p w:rsidR="000C2ED5" w:rsidRDefault="00485212">
      <w:pPr>
        <w:spacing w:line="500" w:lineRule="auto"/>
        <w:ind w:right="166" w:firstLine="720"/>
        <w:rPr>
          <w:sz w:val="20"/>
          <w:szCs w:val="20"/>
        </w:rPr>
      </w:pPr>
      <w:r>
        <w:rPr>
          <w:rFonts w:eastAsia="Times New Roman"/>
          <w:sz w:val="23"/>
          <w:szCs w:val="23"/>
        </w:rPr>
        <w:t xml:space="preserve">For some participants, specifically those detained within prison settings, engagement in treatment was motivated purely by a desire to gain parole, early release, or a </w:t>
      </w:r>
      <w:r>
        <w:rPr>
          <w:rFonts w:eastAsia="Times New Roman"/>
          <w:sz w:val="23"/>
          <w:szCs w:val="23"/>
        </w:rPr>
        <w:t>desire for</w:t>
      </w:r>
    </w:p>
    <w:p w:rsidR="000C2ED5" w:rsidRDefault="000C2ED5">
      <w:pPr>
        <w:spacing w:line="376" w:lineRule="exact"/>
        <w:rPr>
          <w:sz w:val="20"/>
          <w:szCs w:val="20"/>
        </w:rPr>
      </w:pPr>
    </w:p>
    <w:p w:rsidR="000C2ED5" w:rsidRDefault="00485212">
      <w:pPr>
        <w:ind w:right="6"/>
        <w:jc w:val="right"/>
        <w:rPr>
          <w:sz w:val="20"/>
          <w:szCs w:val="20"/>
        </w:rPr>
      </w:pPr>
      <w:r>
        <w:rPr>
          <w:rFonts w:eastAsia="Times New Roman"/>
        </w:rPr>
        <w:t>16</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17" w:name="page18"/>
      <w:bookmarkEnd w:id="17"/>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8" w:lineRule="auto"/>
        <w:ind w:right="66"/>
        <w:rPr>
          <w:sz w:val="20"/>
          <w:szCs w:val="20"/>
        </w:rPr>
      </w:pPr>
      <w:r>
        <w:rPr>
          <w:rFonts w:eastAsia="Times New Roman"/>
          <w:sz w:val="24"/>
          <w:szCs w:val="24"/>
        </w:rPr>
        <w:t>freedom, rather than a desire to reduce their risk of recidivism and address their criminogenic needs. However for others, the belief they would be paroled regardl</w:t>
      </w:r>
      <w:r>
        <w:rPr>
          <w:rFonts w:eastAsia="Times New Roman"/>
          <w:sz w:val="24"/>
          <w:szCs w:val="24"/>
        </w:rPr>
        <w:t>ess of whether they were engaged in treatment or not, precipitated dropout (Polaschek, 2010). Drapeau et al. (2005) noted that not one participant made reference to engaging in treatment for the purpose of addressing their offending behaviour. Whilst for s</w:t>
      </w:r>
      <w:r>
        <w:rPr>
          <w:rFonts w:eastAsia="Times New Roman"/>
          <w:sz w:val="24"/>
          <w:szCs w:val="24"/>
        </w:rPr>
        <w:t>ome of these offenders, engagement in treatment naturally increased their internal motivation to achieve rehabilitation, some perceived treatment to be of little benefit and were described by their peers as “faking” engagement (see McGrain, 2006). In refer</w:t>
      </w:r>
      <w:r>
        <w:rPr>
          <w:rFonts w:eastAsia="Times New Roman"/>
          <w:sz w:val="24"/>
          <w:szCs w:val="24"/>
        </w:rPr>
        <w:t>ence to those motivated to engage, being in treatment with those considered to be “faking it” resulted in feelings of dissatisfaction towards the treatment programme (Strauss &amp; Falkin, 2000).</w:t>
      </w:r>
    </w:p>
    <w:p w:rsidR="000C2ED5" w:rsidRDefault="000C2ED5">
      <w:pPr>
        <w:spacing w:line="24" w:lineRule="exact"/>
        <w:rPr>
          <w:sz w:val="20"/>
          <w:szCs w:val="20"/>
        </w:rPr>
      </w:pPr>
    </w:p>
    <w:p w:rsidR="000C2ED5" w:rsidRDefault="00485212">
      <w:pPr>
        <w:spacing w:line="477" w:lineRule="auto"/>
        <w:ind w:right="146" w:firstLine="720"/>
        <w:rPr>
          <w:sz w:val="20"/>
          <w:szCs w:val="20"/>
        </w:rPr>
      </w:pPr>
      <w:r>
        <w:rPr>
          <w:rFonts w:eastAsia="Times New Roman"/>
          <w:sz w:val="24"/>
          <w:szCs w:val="24"/>
        </w:rPr>
        <w:t xml:space="preserve">Perceived choice and control over one’s participation in </w:t>
      </w:r>
      <w:r>
        <w:rPr>
          <w:rFonts w:eastAsia="Times New Roman"/>
          <w:sz w:val="24"/>
          <w:szCs w:val="24"/>
        </w:rPr>
        <w:t>treatment was noted by five studies as related to treatment engagement. Having little choice or control, feeling powerless and lacking in autonomy or feeling coerced to take part in treatment were all found to be associated with poor engagement in both pri</w:t>
      </w:r>
      <w:r>
        <w:rPr>
          <w:rFonts w:eastAsia="Times New Roman"/>
          <w:sz w:val="24"/>
          <w:szCs w:val="24"/>
        </w:rPr>
        <w:t>son and hospital settings. Whilst perceived coercion might encourage attendance, it was less successful in promoting therapeutic engagement and for some, precipitated negative appraisals of treatment.</w:t>
      </w:r>
    </w:p>
    <w:p w:rsidR="000C2ED5" w:rsidRDefault="000C2ED5">
      <w:pPr>
        <w:spacing w:line="21" w:lineRule="exact"/>
        <w:rPr>
          <w:sz w:val="20"/>
          <w:szCs w:val="20"/>
        </w:rPr>
      </w:pPr>
    </w:p>
    <w:p w:rsidR="000C2ED5" w:rsidRDefault="00485212">
      <w:pPr>
        <w:spacing w:line="478" w:lineRule="auto"/>
        <w:ind w:right="46" w:firstLine="720"/>
        <w:rPr>
          <w:sz w:val="20"/>
          <w:szCs w:val="20"/>
        </w:rPr>
      </w:pPr>
      <w:r>
        <w:rPr>
          <w:rFonts w:eastAsia="Times New Roman"/>
          <w:sz w:val="24"/>
          <w:szCs w:val="24"/>
        </w:rPr>
        <w:t>Identity factors also impacted upon engagement. Specif</w:t>
      </w:r>
      <w:r>
        <w:rPr>
          <w:rFonts w:eastAsia="Times New Roman"/>
          <w:sz w:val="24"/>
          <w:szCs w:val="24"/>
        </w:rPr>
        <w:t>ically, three studies found that an inability to relinquish one’s identify as an offender, be it through an inability to disengage from a criminal lifestyle or refusing to dissociate one’s self from the street mentality or “code of the streets”, negatively</w:t>
      </w:r>
      <w:r>
        <w:rPr>
          <w:rFonts w:eastAsia="Times New Roman"/>
          <w:sz w:val="24"/>
          <w:szCs w:val="24"/>
        </w:rPr>
        <w:t xml:space="preserve"> impacted upon treatment engagement or resulted in expulsion from treatment. Furthermore, Sheldon et al. (2010) found non-completion to be associated for some participants with the denial of their identity as a “mental patient” or an individual diagnosed w</w:t>
      </w:r>
      <w:r>
        <w:rPr>
          <w:rFonts w:eastAsia="Times New Roman"/>
          <w:sz w:val="24"/>
          <w:szCs w:val="24"/>
        </w:rPr>
        <w:t>ith personality disorder.</w:t>
      </w:r>
    </w:p>
    <w:p w:rsidR="000C2ED5" w:rsidRDefault="000C2ED5">
      <w:pPr>
        <w:spacing w:line="17" w:lineRule="exact"/>
        <w:rPr>
          <w:sz w:val="20"/>
          <w:szCs w:val="20"/>
        </w:rPr>
      </w:pPr>
    </w:p>
    <w:p w:rsidR="000C2ED5" w:rsidRDefault="00485212">
      <w:pPr>
        <w:spacing w:line="500" w:lineRule="auto"/>
        <w:ind w:right="126"/>
        <w:rPr>
          <w:sz w:val="20"/>
          <w:szCs w:val="20"/>
        </w:rPr>
      </w:pPr>
      <w:r>
        <w:rPr>
          <w:rFonts w:eastAsia="Times New Roman"/>
          <w:b/>
          <w:bCs/>
          <w:i/>
          <w:iCs/>
          <w:sz w:val="23"/>
          <w:szCs w:val="23"/>
        </w:rPr>
        <w:t xml:space="preserve">Behavioural Factors. </w:t>
      </w:r>
      <w:r>
        <w:rPr>
          <w:rFonts w:eastAsia="Times New Roman"/>
          <w:sz w:val="23"/>
          <w:szCs w:val="23"/>
        </w:rPr>
        <w:t>Behavioural factors were reported to be associated with treatment</w:t>
      </w:r>
      <w:r>
        <w:rPr>
          <w:rFonts w:eastAsia="Times New Roman"/>
          <w:b/>
          <w:bCs/>
          <w:i/>
          <w:iCs/>
          <w:sz w:val="23"/>
          <w:szCs w:val="23"/>
        </w:rPr>
        <w:t xml:space="preserve"> </w:t>
      </w:r>
      <w:r>
        <w:rPr>
          <w:rFonts w:eastAsia="Times New Roman"/>
          <w:sz w:val="23"/>
          <w:szCs w:val="23"/>
        </w:rPr>
        <w:t>engagement in six studies however, two of these studies incorporated both offender and staff</w:t>
      </w:r>
    </w:p>
    <w:p w:rsidR="000C2ED5" w:rsidRDefault="000C2ED5">
      <w:pPr>
        <w:spacing w:line="376" w:lineRule="exact"/>
        <w:rPr>
          <w:sz w:val="20"/>
          <w:szCs w:val="20"/>
        </w:rPr>
      </w:pPr>
    </w:p>
    <w:p w:rsidR="000C2ED5" w:rsidRDefault="00485212">
      <w:pPr>
        <w:ind w:right="6"/>
        <w:jc w:val="right"/>
        <w:rPr>
          <w:sz w:val="20"/>
          <w:szCs w:val="20"/>
        </w:rPr>
      </w:pPr>
      <w:r>
        <w:rPr>
          <w:rFonts w:eastAsia="Times New Roman"/>
        </w:rPr>
        <w:t>17</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18" w:name="page19"/>
      <w:bookmarkEnd w:id="18"/>
      <w:r>
        <w:rPr>
          <w:rFonts w:eastAsia="Times New Roman"/>
          <w:sz w:val="24"/>
          <w:szCs w:val="24"/>
        </w:rPr>
        <w:lastRenderedPageBreak/>
        <w:t>Treatment Engagement from t</w:t>
      </w:r>
      <w:r>
        <w:rPr>
          <w:rFonts w:eastAsia="Times New Roman"/>
          <w:sz w:val="24"/>
          <w:szCs w:val="24"/>
        </w:rPr>
        <w: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500" w:lineRule="auto"/>
        <w:ind w:right="46"/>
        <w:rPr>
          <w:sz w:val="20"/>
          <w:szCs w:val="20"/>
        </w:rPr>
      </w:pPr>
      <w:r>
        <w:rPr>
          <w:rFonts w:eastAsia="Times New Roman"/>
          <w:sz w:val="23"/>
          <w:szCs w:val="23"/>
        </w:rPr>
        <w:t>opinions. It is therefore difficult to ascertain if offenders viewed these factors as influential. Nevertheless, both fluctuations in mental health, for example hearing noises during therapy and poor compliance with medicat</w:t>
      </w:r>
      <w:r>
        <w:rPr>
          <w:rFonts w:eastAsia="Times New Roman"/>
          <w:sz w:val="23"/>
          <w:szCs w:val="23"/>
        </w:rPr>
        <w:t>ion were reported to negatively impact upon treatment engagement. In reference to the latter, this was considered to precipitate periods of instability which negatively impacted on the participant’s ability and willingness to engage in treatment. An abilit</w:t>
      </w:r>
      <w:r>
        <w:rPr>
          <w:rFonts w:eastAsia="Times New Roman"/>
          <w:sz w:val="23"/>
          <w:szCs w:val="23"/>
        </w:rPr>
        <w:t>y to manage distress however, allowed participants to talk openly regarding difficult and painful topics, and consequently was considered a vital skill for treatment engagement.</w:t>
      </w:r>
    </w:p>
    <w:p w:rsidR="000C2ED5" w:rsidRDefault="000C2ED5">
      <w:pPr>
        <w:spacing w:line="7" w:lineRule="exact"/>
        <w:rPr>
          <w:sz w:val="20"/>
          <w:szCs w:val="20"/>
        </w:rPr>
      </w:pPr>
    </w:p>
    <w:p w:rsidR="000C2ED5" w:rsidRDefault="00485212">
      <w:pPr>
        <w:spacing w:line="477" w:lineRule="auto"/>
        <w:ind w:right="126" w:firstLine="720"/>
        <w:rPr>
          <w:sz w:val="20"/>
          <w:szCs w:val="20"/>
        </w:rPr>
      </w:pPr>
      <w:r>
        <w:rPr>
          <w:rFonts w:eastAsia="Times New Roman"/>
          <w:sz w:val="24"/>
          <w:szCs w:val="24"/>
        </w:rPr>
        <w:t>Factors regarding the impact of intellectual disability (ID) on treatment eng</w:t>
      </w:r>
      <w:r>
        <w:rPr>
          <w:rFonts w:eastAsia="Times New Roman"/>
          <w:sz w:val="24"/>
          <w:szCs w:val="24"/>
        </w:rPr>
        <w:t>agement were also noted, particularly regarding understanding the importance of therapy. Similarly, a lower educational level, concentration and memory difficulties negatively impacted upon treatment engagement, whereas an ability to “think psychologically</w:t>
      </w:r>
      <w:r>
        <w:rPr>
          <w:rFonts w:eastAsia="Times New Roman"/>
          <w:sz w:val="24"/>
          <w:szCs w:val="24"/>
        </w:rPr>
        <w:t>” facilitated treatment engagement (Tetley et al., 2012).</w:t>
      </w:r>
    </w:p>
    <w:p w:rsidR="000C2ED5" w:rsidRDefault="000C2ED5">
      <w:pPr>
        <w:spacing w:line="18" w:lineRule="exact"/>
        <w:rPr>
          <w:sz w:val="20"/>
          <w:szCs w:val="20"/>
        </w:rPr>
      </w:pPr>
    </w:p>
    <w:p w:rsidR="000C2ED5" w:rsidRDefault="00485212">
      <w:pPr>
        <w:spacing w:line="478" w:lineRule="auto"/>
        <w:ind w:right="6"/>
        <w:rPr>
          <w:sz w:val="20"/>
          <w:szCs w:val="20"/>
        </w:rPr>
      </w:pPr>
      <w:r>
        <w:rPr>
          <w:rFonts w:eastAsia="Times New Roman"/>
          <w:b/>
          <w:bCs/>
          <w:i/>
          <w:iCs/>
          <w:sz w:val="24"/>
          <w:szCs w:val="24"/>
        </w:rPr>
        <w:t xml:space="preserve">Additional Internal Factors. </w:t>
      </w:r>
      <w:r>
        <w:rPr>
          <w:rFonts w:eastAsia="Times New Roman"/>
          <w:sz w:val="24"/>
          <w:szCs w:val="24"/>
        </w:rPr>
        <w:t>Tetley et al., (2012) identified a number of factors impacting</w:t>
      </w:r>
      <w:r>
        <w:rPr>
          <w:rFonts w:eastAsia="Times New Roman"/>
          <w:b/>
          <w:bCs/>
          <w:i/>
          <w:iCs/>
          <w:sz w:val="24"/>
          <w:szCs w:val="24"/>
        </w:rPr>
        <w:t xml:space="preserve"> </w:t>
      </w:r>
      <w:r>
        <w:rPr>
          <w:rFonts w:eastAsia="Times New Roman"/>
          <w:sz w:val="24"/>
          <w:szCs w:val="24"/>
        </w:rPr>
        <w:t xml:space="preserve">upon treatment engagement which they reported could not be classified using the factors of the MORM. For </w:t>
      </w:r>
      <w:r>
        <w:rPr>
          <w:rFonts w:eastAsia="Times New Roman"/>
          <w:sz w:val="24"/>
          <w:szCs w:val="24"/>
        </w:rPr>
        <w:t>example they noted “being avoidant” (trait factor), “having psychopathic traits” (trait factor), “being unable to trust others” (relating factor), “having other psychiatric conditions” (comorbidity factor) and “having physical problems” (physical factor) a</w:t>
      </w:r>
      <w:r>
        <w:rPr>
          <w:rFonts w:eastAsia="Times New Roman"/>
          <w:sz w:val="24"/>
          <w:szCs w:val="24"/>
        </w:rPr>
        <w:t>s barriers to treatment engagement; whereas having “lower impulsivity” (trait factor), “being able to build a therapeutic relationship” (relating factor) and “having a good diet” (physical factor) as facilitating treatment engagement (p. 103). It should be</w:t>
      </w:r>
      <w:r>
        <w:rPr>
          <w:rFonts w:eastAsia="Times New Roman"/>
          <w:sz w:val="24"/>
          <w:szCs w:val="24"/>
        </w:rPr>
        <w:t xml:space="preserve"> noted that this study also incorporated the opinion of both staff and non-forensic patients and so it is difficult to determine the extent to which offenders consider these factors to impact upon their engagement.</w:t>
      </w:r>
    </w:p>
    <w:p w:rsidR="000C2ED5" w:rsidRDefault="000C2ED5">
      <w:pPr>
        <w:spacing w:line="17" w:lineRule="exact"/>
        <w:rPr>
          <w:sz w:val="20"/>
          <w:szCs w:val="20"/>
        </w:rPr>
      </w:pPr>
    </w:p>
    <w:p w:rsidR="000C2ED5" w:rsidRDefault="00485212">
      <w:pPr>
        <w:ind w:left="720"/>
        <w:rPr>
          <w:sz w:val="20"/>
          <w:szCs w:val="20"/>
        </w:rPr>
      </w:pPr>
      <w:r>
        <w:rPr>
          <w:rFonts w:eastAsia="Times New Roman"/>
          <w:b/>
          <w:bCs/>
          <w:sz w:val="24"/>
          <w:szCs w:val="24"/>
        </w:rPr>
        <w:t>External Factors.</w:t>
      </w:r>
    </w:p>
    <w:p w:rsidR="000C2ED5" w:rsidRDefault="000C2ED5">
      <w:pPr>
        <w:spacing w:line="283" w:lineRule="exact"/>
        <w:rPr>
          <w:sz w:val="20"/>
          <w:szCs w:val="20"/>
        </w:rPr>
      </w:pPr>
    </w:p>
    <w:p w:rsidR="000C2ED5" w:rsidRDefault="00485212">
      <w:pPr>
        <w:spacing w:line="500" w:lineRule="auto"/>
        <w:ind w:right="46" w:firstLine="720"/>
        <w:rPr>
          <w:sz w:val="20"/>
          <w:szCs w:val="20"/>
        </w:rPr>
      </w:pPr>
      <w:r>
        <w:rPr>
          <w:rFonts w:eastAsia="Times New Roman"/>
          <w:b/>
          <w:bCs/>
          <w:i/>
          <w:iCs/>
          <w:sz w:val="23"/>
          <w:szCs w:val="23"/>
        </w:rPr>
        <w:t xml:space="preserve">Opportunity, </w:t>
      </w:r>
      <w:r>
        <w:rPr>
          <w:rFonts w:eastAsia="Times New Roman"/>
          <w:b/>
          <w:bCs/>
          <w:i/>
          <w:iCs/>
          <w:sz w:val="23"/>
          <w:szCs w:val="23"/>
        </w:rPr>
        <w:t>Resources, Support</w:t>
      </w:r>
      <w:r>
        <w:rPr>
          <w:rFonts w:eastAsia="Times New Roman"/>
          <w:i/>
          <w:iCs/>
          <w:sz w:val="23"/>
          <w:szCs w:val="23"/>
        </w:rPr>
        <w:t>.</w:t>
      </w:r>
      <w:r>
        <w:rPr>
          <w:rFonts w:eastAsia="Times New Roman"/>
          <w:b/>
          <w:bCs/>
          <w:i/>
          <w:iCs/>
          <w:sz w:val="23"/>
          <w:szCs w:val="23"/>
        </w:rPr>
        <w:t xml:space="preserve"> </w:t>
      </w:r>
      <w:r>
        <w:rPr>
          <w:rFonts w:eastAsia="Times New Roman"/>
          <w:sz w:val="23"/>
          <w:szCs w:val="23"/>
        </w:rPr>
        <w:t>In terms of support, six studies found feeling safe</w:t>
      </w:r>
      <w:r>
        <w:rPr>
          <w:rFonts w:eastAsia="Times New Roman"/>
          <w:b/>
          <w:bCs/>
          <w:i/>
          <w:iCs/>
          <w:sz w:val="23"/>
          <w:szCs w:val="23"/>
        </w:rPr>
        <w:t xml:space="preserve"> </w:t>
      </w:r>
      <w:r>
        <w:rPr>
          <w:rFonts w:eastAsia="Times New Roman"/>
          <w:sz w:val="23"/>
          <w:szCs w:val="23"/>
        </w:rPr>
        <w:t>in one’s environment to improve treatment engagement. For example, one study reported that</w:t>
      </w:r>
    </w:p>
    <w:p w:rsidR="000C2ED5" w:rsidRDefault="000C2ED5">
      <w:pPr>
        <w:spacing w:line="376" w:lineRule="exact"/>
        <w:rPr>
          <w:sz w:val="20"/>
          <w:szCs w:val="20"/>
        </w:rPr>
      </w:pPr>
    </w:p>
    <w:p w:rsidR="000C2ED5" w:rsidRDefault="00485212">
      <w:pPr>
        <w:ind w:right="6"/>
        <w:jc w:val="right"/>
        <w:rPr>
          <w:sz w:val="20"/>
          <w:szCs w:val="20"/>
        </w:rPr>
      </w:pPr>
      <w:r>
        <w:rPr>
          <w:rFonts w:eastAsia="Times New Roman"/>
        </w:rPr>
        <w:t>18</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19" w:name="page20"/>
      <w:bookmarkEnd w:id="19"/>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8" w:lineRule="auto"/>
        <w:ind w:right="126"/>
        <w:rPr>
          <w:sz w:val="20"/>
          <w:szCs w:val="20"/>
        </w:rPr>
      </w:pPr>
      <w:r>
        <w:rPr>
          <w:rFonts w:eastAsia="Times New Roman"/>
          <w:sz w:val="24"/>
          <w:szCs w:val="24"/>
        </w:rPr>
        <w:t>offenders d</w:t>
      </w:r>
      <w:r>
        <w:rPr>
          <w:rFonts w:eastAsia="Times New Roman"/>
          <w:sz w:val="24"/>
          <w:szCs w:val="24"/>
        </w:rPr>
        <w:t>ropped out of treatment because they did not feel safe due to the harassment they were experiencing in treatment from their peers (Polaschek, 2010). Feelings of safety were enhanced by practical methods of security (e.g., CCTV, alarms, rules) and also by s</w:t>
      </w:r>
      <w:r>
        <w:rPr>
          <w:rFonts w:eastAsia="Times New Roman"/>
          <w:sz w:val="24"/>
          <w:szCs w:val="24"/>
        </w:rPr>
        <w:t>taff who the participants perceived to be competent in managing challenging behaviour and who gave consistent responses to offenders. The stigma of mental health was reported amongst some participants as a barrier to engagement. In contrast, the availabili</w:t>
      </w:r>
      <w:r>
        <w:rPr>
          <w:rFonts w:eastAsia="Times New Roman"/>
          <w:sz w:val="24"/>
          <w:szCs w:val="24"/>
        </w:rPr>
        <w:t>ty of a calm, therapeutic environment facilitated treatment engagement.</w:t>
      </w:r>
    </w:p>
    <w:p w:rsidR="000C2ED5" w:rsidRDefault="000C2ED5">
      <w:pPr>
        <w:spacing w:line="17" w:lineRule="exact"/>
        <w:rPr>
          <w:sz w:val="20"/>
          <w:szCs w:val="20"/>
        </w:rPr>
      </w:pPr>
    </w:p>
    <w:p w:rsidR="000C2ED5" w:rsidRDefault="00485212">
      <w:pPr>
        <w:spacing w:line="479" w:lineRule="auto"/>
        <w:ind w:right="186" w:firstLine="720"/>
        <w:rPr>
          <w:sz w:val="20"/>
          <w:szCs w:val="20"/>
        </w:rPr>
      </w:pPr>
      <w:r>
        <w:rPr>
          <w:rFonts w:eastAsia="Times New Roman"/>
          <w:sz w:val="24"/>
          <w:szCs w:val="24"/>
        </w:rPr>
        <w:t>Perceived support from staff facilitated treatment engagement and retention in eight of the studies reviewed. Support from staff increased participants’ willingness to talk about thei</w:t>
      </w:r>
      <w:r>
        <w:rPr>
          <w:rFonts w:eastAsia="Times New Roman"/>
          <w:sz w:val="24"/>
          <w:szCs w:val="24"/>
        </w:rPr>
        <w:t>r difficulties, increased their willingness to accept the treatment being offered, and enabled them to manage negative feelings precipitated by treatment. Participants perceived their relationships with staff as important in helping them to address their n</w:t>
      </w:r>
      <w:r>
        <w:rPr>
          <w:rFonts w:eastAsia="Times New Roman"/>
          <w:sz w:val="24"/>
          <w:szCs w:val="24"/>
        </w:rPr>
        <w:t>eeds and achieve their goals. Encouragement to pursue treatment and feedback regarding their therapeutic progress from staff also aided continued treatment engagement. This extended beyond staff directly involved in treatment to ward staff. Taking this all</w:t>
      </w:r>
      <w:r>
        <w:rPr>
          <w:rFonts w:eastAsia="Times New Roman"/>
          <w:sz w:val="24"/>
          <w:szCs w:val="24"/>
        </w:rPr>
        <w:t xml:space="preserve"> into account, it is not surprising that any withdrawal of such support was reported to negatively impact upon treatment engagement. Perceived negative relationships with both staff and peers were also noted to precipitate dropout. It is important to note,</w:t>
      </w:r>
      <w:r>
        <w:rPr>
          <w:rFonts w:eastAsia="Times New Roman"/>
          <w:sz w:val="24"/>
          <w:szCs w:val="24"/>
        </w:rPr>
        <w:t xml:space="preserve"> however, that support from staff was not perceived by all participants as relevant in explaining their non-completion.</w:t>
      </w:r>
    </w:p>
    <w:p w:rsidR="000C2ED5" w:rsidRDefault="000C2ED5">
      <w:pPr>
        <w:spacing w:line="15" w:lineRule="exact"/>
        <w:rPr>
          <w:sz w:val="20"/>
          <w:szCs w:val="20"/>
        </w:rPr>
      </w:pPr>
    </w:p>
    <w:p w:rsidR="000C2ED5" w:rsidRDefault="00485212">
      <w:pPr>
        <w:spacing w:line="477" w:lineRule="auto"/>
        <w:ind w:right="46" w:firstLine="720"/>
        <w:rPr>
          <w:sz w:val="20"/>
          <w:szCs w:val="20"/>
        </w:rPr>
      </w:pPr>
      <w:r>
        <w:rPr>
          <w:rFonts w:eastAsia="Times New Roman"/>
          <w:sz w:val="24"/>
          <w:szCs w:val="24"/>
        </w:rPr>
        <w:t xml:space="preserve">As well as verbal reassurances from staff being important in aiding engagement, visual aids and behavioural rewards were beneficial as </w:t>
      </w:r>
      <w:r>
        <w:rPr>
          <w:rFonts w:eastAsia="Times New Roman"/>
          <w:sz w:val="24"/>
          <w:szCs w:val="24"/>
        </w:rPr>
        <w:t xml:space="preserve">acknowledgments of participants with ID’s therapeutic progress. In the study by McMurran and McCulloch (2007) participants who had completed treatment reported that whilst they received no support from the prison, they acknowledged that they had been paid </w:t>
      </w:r>
      <w:r>
        <w:rPr>
          <w:rFonts w:eastAsia="Times New Roman"/>
          <w:sz w:val="24"/>
          <w:szCs w:val="24"/>
        </w:rPr>
        <w:t>to attend the course and thus on this occasion the</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44" w:lineRule="exact"/>
        <w:rPr>
          <w:sz w:val="20"/>
          <w:szCs w:val="20"/>
        </w:rPr>
      </w:pPr>
    </w:p>
    <w:p w:rsidR="000C2ED5" w:rsidRDefault="00485212">
      <w:pPr>
        <w:ind w:right="6"/>
        <w:jc w:val="right"/>
        <w:rPr>
          <w:sz w:val="20"/>
          <w:szCs w:val="20"/>
        </w:rPr>
      </w:pPr>
      <w:r>
        <w:rPr>
          <w:rFonts w:eastAsia="Times New Roman"/>
        </w:rPr>
        <w:t>19</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20" w:name="page21"/>
      <w:bookmarkEnd w:id="20"/>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69" w:lineRule="auto"/>
        <w:ind w:right="186"/>
        <w:rPr>
          <w:sz w:val="20"/>
          <w:szCs w:val="20"/>
        </w:rPr>
      </w:pPr>
      <w:r>
        <w:rPr>
          <w:rFonts w:eastAsia="Times New Roman"/>
          <w:sz w:val="24"/>
          <w:szCs w:val="24"/>
        </w:rPr>
        <w:t>negative consequences associated with a lack of support may have been compensated for by their financial gain.</w:t>
      </w:r>
    </w:p>
    <w:p w:rsidR="000C2ED5" w:rsidRDefault="000C2ED5">
      <w:pPr>
        <w:spacing w:line="26" w:lineRule="exact"/>
        <w:rPr>
          <w:sz w:val="20"/>
          <w:szCs w:val="20"/>
        </w:rPr>
      </w:pPr>
    </w:p>
    <w:p w:rsidR="000C2ED5" w:rsidRDefault="00485212">
      <w:pPr>
        <w:spacing w:line="478" w:lineRule="auto"/>
        <w:ind w:right="26" w:firstLine="720"/>
        <w:rPr>
          <w:sz w:val="20"/>
          <w:szCs w:val="20"/>
        </w:rPr>
      </w:pPr>
      <w:r>
        <w:rPr>
          <w:rFonts w:eastAsia="Times New Roman"/>
          <w:sz w:val="24"/>
          <w:szCs w:val="24"/>
        </w:rPr>
        <w:t xml:space="preserve">Three </w:t>
      </w:r>
      <w:r>
        <w:rPr>
          <w:rFonts w:eastAsia="Times New Roman"/>
          <w:sz w:val="24"/>
          <w:szCs w:val="24"/>
        </w:rPr>
        <w:t>studies identified the availability of treatment as impacting on treatment engagement. Specifically, having a variety of therapies available which are facilitated by professional, experienced and motivated staff aided treatment engagement. Perceptions that</w:t>
      </w:r>
      <w:r>
        <w:rPr>
          <w:rFonts w:eastAsia="Times New Roman"/>
          <w:sz w:val="24"/>
          <w:szCs w:val="24"/>
        </w:rPr>
        <w:t xml:space="preserve"> treatment should not be delivered by psychological assistants were common amongst treatment refusers. The unavailability of immediate treatment decreased motivation to engage in treatment due to consequent feelings of ‘bureaucracy’ increasing the “them-us</w:t>
      </w:r>
      <w:r>
        <w:rPr>
          <w:rFonts w:eastAsia="Times New Roman"/>
          <w:sz w:val="24"/>
          <w:szCs w:val="24"/>
        </w:rPr>
        <w:t>” perception between staff and those seeking treatment.</w:t>
      </w:r>
    </w:p>
    <w:p w:rsidR="000C2ED5" w:rsidRDefault="000C2ED5">
      <w:pPr>
        <w:spacing w:line="17" w:lineRule="exact"/>
        <w:rPr>
          <w:sz w:val="20"/>
          <w:szCs w:val="20"/>
        </w:rPr>
      </w:pPr>
    </w:p>
    <w:p w:rsidR="000C2ED5" w:rsidRDefault="00485212">
      <w:pPr>
        <w:spacing w:line="476" w:lineRule="auto"/>
        <w:ind w:right="126" w:firstLine="720"/>
        <w:rPr>
          <w:sz w:val="20"/>
          <w:szCs w:val="20"/>
        </w:rPr>
      </w:pPr>
      <w:r>
        <w:rPr>
          <w:rFonts w:eastAsia="Times New Roman"/>
          <w:b/>
          <w:bCs/>
          <w:sz w:val="24"/>
          <w:szCs w:val="24"/>
        </w:rPr>
        <w:t xml:space="preserve">Circumstance &amp; Location Factors. </w:t>
      </w:r>
      <w:r>
        <w:rPr>
          <w:rFonts w:eastAsia="Times New Roman"/>
          <w:sz w:val="24"/>
          <w:szCs w:val="24"/>
        </w:rPr>
        <w:t>Specific to those participants residing in prison,</w:t>
      </w:r>
      <w:r>
        <w:rPr>
          <w:rFonts w:eastAsia="Times New Roman"/>
          <w:b/>
          <w:bCs/>
          <w:sz w:val="24"/>
          <w:szCs w:val="24"/>
        </w:rPr>
        <w:t xml:space="preserve"> </w:t>
      </w:r>
      <w:r>
        <w:rPr>
          <w:rFonts w:eastAsia="Times New Roman"/>
          <w:sz w:val="24"/>
          <w:szCs w:val="24"/>
        </w:rPr>
        <w:t>a desire to be relocated nearer to family members was noted as a reason for dropout in one study (Polaschek, 2010).</w:t>
      </w:r>
      <w:r>
        <w:rPr>
          <w:rFonts w:eastAsia="Times New Roman"/>
          <w:sz w:val="24"/>
          <w:szCs w:val="24"/>
        </w:rPr>
        <w:t xml:space="preserve"> Furthermore, legal coercion to attend treatment was reported by a small number of participants.</w:t>
      </w:r>
    </w:p>
    <w:p w:rsidR="000C2ED5" w:rsidRDefault="000C2ED5">
      <w:pPr>
        <w:spacing w:line="19" w:lineRule="exact"/>
        <w:rPr>
          <w:sz w:val="20"/>
          <w:szCs w:val="20"/>
        </w:rPr>
      </w:pPr>
    </w:p>
    <w:p w:rsidR="000C2ED5" w:rsidRDefault="00485212">
      <w:pPr>
        <w:spacing w:line="478" w:lineRule="auto"/>
        <w:ind w:right="186" w:firstLine="720"/>
        <w:rPr>
          <w:sz w:val="20"/>
          <w:szCs w:val="20"/>
        </w:rPr>
      </w:pPr>
      <w:r>
        <w:rPr>
          <w:rFonts w:eastAsia="Times New Roman"/>
          <w:b/>
          <w:bCs/>
          <w:i/>
          <w:iCs/>
          <w:sz w:val="24"/>
          <w:szCs w:val="24"/>
        </w:rPr>
        <w:t>Additional External Factors</w:t>
      </w:r>
      <w:r>
        <w:rPr>
          <w:rFonts w:eastAsia="Times New Roman"/>
          <w:i/>
          <w:iCs/>
          <w:sz w:val="24"/>
          <w:szCs w:val="24"/>
        </w:rPr>
        <w:t>.</w:t>
      </w:r>
      <w:r>
        <w:rPr>
          <w:rFonts w:eastAsia="Times New Roman"/>
          <w:b/>
          <w:bCs/>
          <w:i/>
          <w:iCs/>
          <w:sz w:val="24"/>
          <w:szCs w:val="24"/>
        </w:rPr>
        <w:t xml:space="preserve"> </w:t>
      </w:r>
      <w:r>
        <w:rPr>
          <w:rFonts w:eastAsia="Times New Roman"/>
          <w:sz w:val="24"/>
          <w:szCs w:val="24"/>
        </w:rPr>
        <w:t>Within five studies, staff decisions to exclude an</w:t>
      </w:r>
      <w:r>
        <w:rPr>
          <w:rFonts w:eastAsia="Times New Roman"/>
          <w:b/>
          <w:bCs/>
          <w:i/>
          <w:iCs/>
          <w:sz w:val="24"/>
          <w:szCs w:val="24"/>
        </w:rPr>
        <w:t xml:space="preserve"> </w:t>
      </w:r>
      <w:r>
        <w:rPr>
          <w:rFonts w:eastAsia="Times New Roman"/>
          <w:sz w:val="24"/>
          <w:szCs w:val="24"/>
        </w:rPr>
        <w:t>individual from treatment due to inappropriate behaviour, for example non-compliance with rules, were identified as a common reason for treatment non-completion. Whilst this would appear to be an external factor, reasons for the behaviour which lead to exc</w:t>
      </w:r>
      <w:r>
        <w:rPr>
          <w:rFonts w:eastAsia="Times New Roman"/>
          <w:sz w:val="24"/>
          <w:szCs w:val="24"/>
        </w:rPr>
        <w:t xml:space="preserve">lusion may represent the lack of an </w:t>
      </w:r>
      <w:r>
        <w:rPr>
          <w:rFonts w:eastAsia="Times New Roman"/>
          <w:i/>
          <w:iCs/>
          <w:sz w:val="24"/>
          <w:szCs w:val="24"/>
        </w:rPr>
        <w:t>internal</w:t>
      </w:r>
      <w:r>
        <w:rPr>
          <w:rFonts w:eastAsia="Times New Roman"/>
          <w:sz w:val="24"/>
          <w:szCs w:val="24"/>
        </w:rPr>
        <w:t xml:space="preserve"> readiness factor (Breckon et al., 2013). Removal from treatment precipitated negative affect within such participants. Offender transfer from the unit was also found within two studies as a reason for treatment </w:t>
      </w:r>
      <w:r>
        <w:rPr>
          <w:rFonts w:eastAsia="Times New Roman"/>
          <w:sz w:val="24"/>
          <w:szCs w:val="24"/>
        </w:rPr>
        <w:t>non-completion. Physical factors such as being sleep deprived, having a poor diet, and experiencing illness were also found to impede treatment engagement.</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52" w:lineRule="exact"/>
        <w:rPr>
          <w:sz w:val="20"/>
          <w:szCs w:val="20"/>
        </w:rPr>
      </w:pPr>
    </w:p>
    <w:p w:rsidR="000C2ED5" w:rsidRDefault="00485212">
      <w:pPr>
        <w:ind w:right="6"/>
        <w:jc w:val="right"/>
        <w:rPr>
          <w:sz w:val="20"/>
          <w:szCs w:val="20"/>
        </w:rPr>
      </w:pPr>
      <w:r>
        <w:rPr>
          <w:rFonts w:eastAsia="Times New Roman"/>
        </w:rPr>
        <w:t>20</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21" w:name="page22"/>
      <w:bookmarkEnd w:id="21"/>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1" w:lineRule="exact"/>
        <w:rPr>
          <w:sz w:val="20"/>
          <w:szCs w:val="20"/>
        </w:rPr>
      </w:pPr>
    </w:p>
    <w:p w:rsidR="000C2ED5" w:rsidRDefault="00485212">
      <w:pPr>
        <w:ind w:right="6"/>
        <w:jc w:val="center"/>
        <w:rPr>
          <w:sz w:val="20"/>
          <w:szCs w:val="20"/>
        </w:rPr>
      </w:pPr>
      <w:r>
        <w:rPr>
          <w:rFonts w:eastAsia="Times New Roman"/>
          <w:b/>
          <w:bCs/>
          <w:sz w:val="24"/>
          <w:szCs w:val="24"/>
        </w:rPr>
        <w:t>Discussion</w:t>
      </w:r>
    </w:p>
    <w:p w:rsidR="000C2ED5" w:rsidRDefault="000C2ED5">
      <w:pPr>
        <w:spacing w:line="284" w:lineRule="exact"/>
        <w:rPr>
          <w:sz w:val="20"/>
          <w:szCs w:val="20"/>
        </w:rPr>
      </w:pPr>
    </w:p>
    <w:p w:rsidR="000C2ED5" w:rsidRDefault="00485212">
      <w:pPr>
        <w:spacing w:line="478" w:lineRule="auto"/>
        <w:ind w:right="66" w:firstLine="720"/>
        <w:rPr>
          <w:sz w:val="20"/>
          <w:szCs w:val="20"/>
        </w:rPr>
      </w:pPr>
      <w:r>
        <w:rPr>
          <w:rFonts w:eastAsia="Times New Roman"/>
          <w:sz w:val="24"/>
          <w:szCs w:val="24"/>
        </w:rPr>
        <w:t>To date, theoretical models regarding offender rehabilitation have focused on what factors prevent client engagement in treatment. Whilst these models aid practitioners in the assessment of an individual’s level of risk and needs, they have bee</w:t>
      </w:r>
      <w:r>
        <w:rPr>
          <w:rFonts w:eastAsia="Times New Roman"/>
          <w:sz w:val="24"/>
          <w:szCs w:val="24"/>
        </w:rPr>
        <w:t>n criticised as providing little guidance in the way of responsivity (Ward et al., 2004). Although limited, more recent research has begun to explore client’s perceptions of treatment, specifically what encourages/discourages their engagement in therapy, i</w:t>
      </w:r>
      <w:r>
        <w:rPr>
          <w:rFonts w:eastAsia="Times New Roman"/>
          <w:sz w:val="24"/>
          <w:szCs w:val="24"/>
        </w:rPr>
        <w:t>n order to guide practitioners in development of responsive treatment programmes. This review therefore represented the first effort in this area to synthesise what is known about offenders’ perspectives on factors that affect treatment readiness.</w:t>
      </w:r>
    </w:p>
    <w:p w:rsidR="000C2ED5" w:rsidRDefault="000C2ED5">
      <w:pPr>
        <w:spacing w:line="22" w:lineRule="exact"/>
        <w:rPr>
          <w:sz w:val="20"/>
          <w:szCs w:val="20"/>
        </w:rPr>
      </w:pPr>
    </w:p>
    <w:p w:rsidR="000C2ED5" w:rsidRDefault="00485212">
      <w:pPr>
        <w:spacing w:line="479" w:lineRule="auto"/>
        <w:ind w:right="46" w:firstLine="720"/>
        <w:rPr>
          <w:sz w:val="20"/>
          <w:szCs w:val="20"/>
        </w:rPr>
      </w:pPr>
      <w:r>
        <w:rPr>
          <w:rFonts w:eastAsia="Times New Roman"/>
          <w:sz w:val="24"/>
          <w:szCs w:val="24"/>
        </w:rPr>
        <w:t>Overall</w:t>
      </w:r>
      <w:r>
        <w:rPr>
          <w:rFonts w:eastAsia="Times New Roman"/>
          <w:sz w:val="24"/>
          <w:szCs w:val="24"/>
        </w:rPr>
        <w:t xml:space="preserve"> the findings of the review support the contention made in current theoretical models, such as the MORM, that treatment readiness is not just the result of internal, person centred factors, but external, contextual factors and their subsequent interaction.</w:t>
      </w:r>
      <w:r>
        <w:rPr>
          <w:rFonts w:eastAsia="Times New Roman"/>
          <w:sz w:val="24"/>
          <w:szCs w:val="24"/>
        </w:rPr>
        <w:t xml:space="preserve"> Internal factors associated with poor engagement identified by participants in the studies reviewed included cognitive (e.g., low self-efficacy, negative appraisals of staff, treatment, outcomes and other group members, denial/minimisation), affective (e.</w:t>
      </w:r>
      <w:r>
        <w:rPr>
          <w:rFonts w:eastAsia="Times New Roman"/>
          <w:sz w:val="24"/>
          <w:szCs w:val="24"/>
        </w:rPr>
        <w:t>g., anxiety, stress, poor emotion regulation), and behavioural factors (e.g., fluctuations in mental health, learning difficulties and poor compliance with medication/rules). Engagement issues consequent of one’s intellectual ability would suggest that the</w:t>
      </w:r>
      <w:r>
        <w:rPr>
          <w:rFonts w:eastAsia="Times New Roman"/>
          <w:sz w:val="24"/>
          <w:szCs w:val="24"/>
        </w:rPr>
        <w:t xml:space="preserve"> treatment being offered is not responsive to the specific needs of the client and therefore potentially reflects an issue external to the offender, rather than internal. It may be that such clients are motivated to engage but the treatment they are receiv</w:t>
      </w:r>
      <w:r>
        <w:rPr>
          <w:rFonts w:eastAsia="Times New Roman"/>
          <w:sz w:val="24"/>
          <w:szCs w:val="24"/>
        </w:rPr>
        <w:t>ing is too complex. This is likely to precipitate negative affect and reduce one’s self-efficacy to achieve change, which, as highlighted in this review, is associated with treatment non-completion.</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44" w:lineRule="exact"/>
        <w:rPr>
          <w:sz w:val="20"/>
          <w:szCs w:val="20"/>
        </w:rPr>
      </w:pPr>
    </w:p>
    <w:p w:rsidR="000C2ED5" w:rsidRDefault="00485212">
      <w:pPr>
        <w:ind w:right="6"/>
        <w:jc w:val="right"/>
        <w:rPr>
          <w:sz w:val="20"/>
          <w:szCs w:val="20"/>
        </w:rPr>
      </w:pPr>
      <w:r>
        <w:rPr>
          <w:rFonts w:eastAsia="Times New Roman"/>
        </w:rPr>
        <w:t>21</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22" w:name="page23"/>
      <w:bookmarkEnd w:id="22"/>
      <w:r>
        <w:rPr>
          <w:rFonts w:eastAsia="Times New Roman"/>
          <w:sz w:val="24"/>
          <w:szCs w:val="24"/>
        </w:rPr>
        <w:lastRenderedPageBreak/>
        <w:t xml:space="preserve">Treatment Engagement from the </w:t>
      </w:r>
      <w:r>
        <w:rPr>
          <w:rFonts w:eastAsia="Times New Roman"/>
          <w:sz w:val="24"/>
          <w:szCs w:val="24"/>
        </w:rPr>
        <w:t>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8" w:lineRule="auto"/>
        <w:ind w:right="6" w:firstLine="720"/>
        <w:rPr>
          <w:sz w:val="20"/>
          <w:szCs w:val="20"/>
        </w:rPr>
      </w:pPr>
      <w:r>
        <w:rPr>
          <w:rFonts w:eastAsia="Times New Roman"/>
          <w:sz w:val="24"/>
          <w:szCs w:val="24"/>
        </w:rPr>
        <w:t>Volitional/identity factors (e.g., poor motivation to change, inability to set goals, incongruence between personal and treatment goals, strong subscription to identity as a “criminal” or the “street code”, perceived lack of c</w:t>
      </w:r>
      <w:r>
        <w:rPr>
          <w:rFonts w:eastAsia="Times New Roman"/>
          <w:sz w:val="24"/>
          <w:szCs w:val="24"/>
        </w:rPr>
        <w:t xml:space="preserve">hoice and control) were also seen. The mismatch between personal and treatment goals reported in these studies highlights the need to properly assess the goals of the offender when recommending treatment in order to prevent non-completion of treatment. If </w:t>
      </w:r>
      <w:r>
        <w:rPr>
          <w:rFonts w:eastAsia="Times New Roman"/>
          <w:sz w:val="24"/>
          <w:szCs w:val="24"/>
        </w:rPr>
        <w:t xml:space="preserve">an offender’s goals are still in accord with their previous criminal lifestyle, treatment aimed at rehabilitation will have little impact and thus treatment planning should take account of the offender’s status in the stages of change to ensure matters of </w:t>
      </w:r>
      <w:r>
        <w:rPr>
          <w:rFonts w:eastAsia="Times New Roman"/>
          <w:sz w:val="24"/>
          <w:szCs w:val="24"/>
        </w:rPr>
        <w:t>responsivity can be adequately met (Prochaska &amp; DiClemente, 1983).</w:t>
      </w:r>
    </w:p>
    <w:p w:rsidR="000C2ED5" w:rsidRDefault="000C2ED5">
      <w:pPr>
        <w:spacing w:line="22" w:lineRule="exact"/>
        <w:rPr>
          <w:sz w:val="20"/>
          <w:szCs w:val="20"/>
        </w:rPr>
      </w:pPr>
    </w:p>
    <w:p w:rsidR="000C2ED5" w:rsidRDefault="00485212">
      <w:pPr>
        <w:spacing w:line="478" w:lineRule="auto"/>
        <w:ind w:right="126" w:firstLine="720"/>
        <w:rPr>
          <w:sz w:val="20"/>
          <w:szCs w:val="20"/>
        </w:rPr>
      </w:pPr>
      <w:r>
        <w:rPr>
          <w:rFonts w:eastAsia="Times New Roman"/>
          <w:sz w:val="24"/>
          <w:szCs w:val="24"/>
        </w:rPr>
        <w:t>A number of additional factors were also identified including trait, relating, co-morbidity and physical factors (Tetley et al., 2010). However these factors appeared to be specific to ind</w:t>
      </w:r>
      <w:r>
        <w:rPr>
          <w:rFonts w:eastAsia="Times New Roman"/>
          <w:sz w:val="24"/>
          <w:szCs w:val="24"/>
        </w:rPr>
        <w:t>ividuals with PD suggesting an extended version of the MORM is required for this population. In an attempt to meet this requirement Tetley et al., (2012) developed the Treatment Readiness Model of Personality Disorder (TReMoPeD). Future research should aim</w:t>
      </w:r>
      <w:r>
        <w:rPr>
          <w:rFonts w:eastAsia="Times New Roman"/>
          <w:sz w:val="24"/>
          <w:szCs w:val="24"/>
        </w:rPr>
        <w:t xml:space="preserve"> to explore the extent to which the TReMoPeD provides a more comprehensive model of treatment readiness amongst this specific population.</w:t>
      </w:r>
    </w:p>
    <w:p w:rsidR="000C2ED5" w:rsidRDefault="000C2ED5">
      <w:pPr>
        <w:spacing w:line="17" w:lineRule="exact"/>
        <w:rPr>
          <w:sz w:val="20"/>
          <w:szCs w:val="20"/>
        </w:rPr>
      </w:pPr>
    </w:p>
    <w:p w:rsidR="000C2ED5" w:rsidRDefault="00485212">
      <w:pPr>
        <w:spacing w:line="478" w:lineRule="auto"/>
        <w:ind w:right="106" w:firstLine="720"/>
        <w:rPr>
          <w:sz w:val="20"/>
          <w:szCs w:val="20"/>
        </w:rPr>
      </w:pPr>
      <w:r>
        <w:rPr>
          <w:rFonts w:eastAsia="Times New Roman"/>
          <w:sz w:val="24"/>
          <w:szCs w:val="24"/>
        </w:rPr>
        <w:t>External factors identified by participants as encouraging engagement were support, treatment availability, and feeli</w:t>
      </w:r>
      <w:r>
        <w:rPr>
          <w:rFonts w:eastAsia="Times New Roman"/>
          <w:sz w:val="24"/>
          <w:szCs w:val="24"/>
        </w:rPr>
        <w:t>ngs of safety, indicating the presence of support, opportunity and resources factors of the MORM. Mason and Adler (2012) highlighted the importance of staff support on influencing treatment engagement stating that internal factors such as choice and contro</w:t>
      </w:r>
      <w:r>
        <w:rPr>
          <w:rFonts w:eastAsia="Times New Roman"/>
          <w:sz w:val="24"/>
          <w:szCs w:val="24"/>
        </w:rPr>
        <w:t>l are to an extent removed from an offender once detained, and consequently internal sources of motivation for treatment are depleted. As a result, they suggested that offenders are dependent upon external motivation through staff support and encouragement</w:t>
      </w:r>
      <w:r>
        <w:rPr>
          <w:rFonts w:eastAsia="Times New Roman"/>
          <w:sz w:val="24"/>
          <w:szCs w:val="24"/>
        </w:rPr>
        <w:t>, emphasising the importance of the therapeutic alliance in engaging clients in treatment but also support outside of treatment itself, as identified by the participants in this review.</w:t>
      </w:r>
    </w:p>
    <w:p w:rsidR="000C2ED5" w:rsidRDefault="000C2ED5">
      <w:pPr>
        <w:spacing w:line="396" w:lineRule="exact"/>
        <w:rPr>
          <w:sz w:val="20"/>
          <w:szCs w:val="20"/>
        </w:rPr>
      </w:pPr>
    </w:p>
    <w:p w:rsidR="000C2ED5" w:rsidRDefault="00485212">
      <w:pPr>
        <w:ind w:right="6"/>
        <w:jc w:val="right"/>
        <w:rPr>
          <w:sz w:val="20"/>
          <w:szCs w:val="20"/>
        </w:rPr>
      </w:pPr>
      <w:r>
        <w:rPr>
          <w:rFonts w:eastAsia="Times New Roman"/>
        </w:rPr>
        <w:t>22</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23" w:name="page24"/>
      <w:bookmarkEnd w:id="23"/>
      <w:r>
        <w:rPr>
          <w:rFonts w:eastAsia="Times New Roman"/>
          <w:sz w:val="24"/>
          <w:szCs w:val="24"/>
        </w:rPr>
        <w:lastRenderedPageBreak/>
        <w:t>Treatment Engagement from the Perspective of the</w:t>
      </w:r>
      <w:r>
        <w:rPr>
          <w:rFonts w:eastAsia="Times New Roman"/>
          <w:sz w:val="24"/>
          <w:szCs w:val="24"/>
        </w:rPr>
        <w:t xml:space="preserv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6" w:lineRule="auto"/>
        <w:ind w:right="66"/>
        <w:rPr>
          <w:sz w:val="20"/>
          <w:szCs w:val="20"/>
        </w:rPr>
      </w:pPr>
      <w:r>
        <w:rPr>
          <w:rFonts w:eastAsia="Times New Roman"/>
          <w:sz w:val="24"/>
          <w:szCs w:val="24"/>
        </w:rPr>
        <w:t>Although less commonly reported, a desire to be relocated nearer to family members as well as being mandated to treatment was noted to influence engagement amongst those residing in prison settings only, indicating the presence of both location</w:t>
      </w:r>
      <w:r>
        <w:rPr>
          <w:rFonts w:eastAsia="Times New Roman"/>
          <w:sz w:val="24"/>
          <w:szCs w:val="24"/>
        </w:rPr>
        <w:t xml:space="preserve"> and circumstance factor of the MORM.</w:t>
      </w:r>
    </w:p>
    <w:p w:rsidR="000C2ED5" w:rsidRDefault="000C2ED5">
      <w:pPr>
        <w:spacing w:line="19" w:lineRule="exact"/>
        <w:rPr>
          <w:sz w:val="20"/>
          <w:szCs w:val="20"/>
        </w:rPr>
      </w:pPr>
    </w:p>
    <w:p w:rsidR="000C2ED5" w:rsidRDefault="00485212">
      <w:pPr>
        <w:spacing w:line="476" w:lineRule="auto"/>
        <w:ind w:right="306" w:firstLine="720"/>
        <w:rPr>
          <w:sz w:val="20"/>
          <w:szCs w:val="20"/>
        </w:rPr>
      </w:pPr>
      <w:r>
        <w:rPr>
          <w:rFonts w:eastAsia="Times New Roman"/>
          <w:sz w:val="24"/>
          <w:szCs w:val="24"/>
        </w:rPr>
        <w:t>Other external factors identified that are not included in the MORM were the client suffering from physical illness, sleep deprivation, and poor diet. Some of these external factors identified were staff- or organisat</w:t>
      </w:r>
      <w:r>
        <w:rPr>
          <w:rFonts w:eastAsia="Times New Roman"/>
          <w:sz w:val="24"/>
          <w:szCs w:val="24"/>
        </w:rPr>
        <w:t>ion precipitated, for example, expulsion from treatment or transfer to another prison.</w:t>
      </w:r>
    </w:p>
    <w:p w:rsidR="000C2ED5" w:rsidRDefault="000C2ED5">
      <w:pPr>
        <w:spacing w:line="12" w:lineRule="exact"/>
        <w:rPr>
          <w:sz w:val="20"/>
          <w:szCs w:val="20"/>
        </w:rPr>
      </w:pPr>
    </w:p>
    <w:p w:rsidR="000C2ED5" w:rsidRDefault="00485212">
      <w:pPr>
        <w:rPr>
          <w:sz w:val="20"/>
          <w:szCs w:val="20"/>
        </w:rPr>
      </w:pPr>
      <w:r>
        <w:rPr>
          <w:rFonts w:eastAsia="Times New Roman"/>
          <w:b/>
          <w:bCs/>
          <w:sz w:val="24"/>
          <w:szCs w:val="24"/>
        </w:rPr>
        <w:t>Strengths and Limitations of the Current Review</w:t>
      </w:r>
    </w:p>
    <w:p w:rsidR="000C2ED5" w:rsidRDefault="000C2ED5">
      <w:pPr>
        <w:spacing w:line="283" w:lineRule="exact"/>
        <w:rPr>
          <w:sz w:val="20"/>
          <w:szCs w:val="20"/>
        </w:rPr>
      </w:pPr>
    </w:p>
    <w:p w:rsidR="000C2ED5" w:rsidRDefault="00485212">
      <w:pPr>
        <w:spacing w:line="478" w:lineRule="auto"/>
        <w:ind w:right="46" w:firstLine="720"/>
        <w:rPr>
          <w:sz w:val="20"/>
          <w:szCs w:val="20"/>
        </w:rPr>
      </w:pPr>
      <w:r>
        <w:rPr>
          <w:rFonts w:eastAsia="Times New Roman"/>
          <w:sz w:val="24"/>
          <w:szCs w:val="24"/>
        </w:rPr>
        <w:t xml:space="preserve">The current review provides a unique contribution to the existing literature surrounding offender treatment readiness. </w:t>
      </w:r>
      <w:r>
        <w:rPr>
          <w:rFonts w:eastAsia="Times New Roman"/>
          <w:sz w:val="24"/>
          <w:szCs w:val="24"/>
        </w:rPr>
        <w:t>The review implemented a thorough search strategy including searches across five electronic databases considered relevant to the field of research, a general search using the internet search engine Google, a hand search of the reference lists of previous r</w:t>
      </w:r>
      <w:r>
        <w:rPr>
          <w:rFonts w:eastAsia="Times New Roman"/>
          <w:sz w:val="24"/>
          <w:szCs w:val="24"/>
        </w:rPr>
        <w:t>eviews and through contact with key authors in the area. As no additional papers were identified by these authors, the search was considered comprehensive. The inclusion of dissertation papers in the review reduced the likelihood of publication bias, and w</w:t>
      </w:r>
      <w:r>
        <w:rPr>
          <w:rFonts w:eastAsia="Times New Roman"/>
          <w:sz w:val="24"/>
          <w:szCs w:val="24"/>
        </w:rPr>
        <w:t>as a further strength (Hopewell, McDonald, Clarke, &amp; Egger, 2008). However, restricting papers for inclusion to those written in English is a limitation of the review because additional studies may have been missed.</w:t>
      </w:r>
    </w:p>
    <w:p w:rsidR="000C2ED5" w:rsidRDefault="000C2ED5">
      <w:pPr>
        <w:spacing w:line="24" w:lineRule="exact"/>
        <w:rPr>
          <w:sz w:val="20"/>
          <w:szCs w:val="20"/>
        </w:rPr>
      </w:pPr>
    </w:p>
    <w:p w:rsidR="000C2ED5" w:rsidRDefault="00485212">
      <w:pPr>
        <w:spacing w:line="478" w:lineRule="auto"/>
        <w:ind w:right="146" w:firstLine="720"/>
        <w:rPr>
          <w:sz w:val="20"/>
          <w:szCs w:val="20"/>
        </w:rPr>
      </w:pPr>
      <w:r>
        <w:rPr>
          <w:rFonts w:eastAsia="Times New Roman"/>
          <w:sz w:val="24"/>
          <w:szCs w:val="24"/>
        </w:rPr>
        <w:t>In addition to the above, all participa</w:t>
      </w:r>
      <w:r>
        <w:rPr>
          <w:rFonts w:eastAsia="Times New Roman"/>
          <w:sz w:val="24"/>
          <w:szCs w:val="24"/>
        </w:rPr>
        <w:t>nts included within the review were detained either in secure hospital or prison settings and subsequently the findings cannot be generalised to offenders residing in the community. Whilst this is a limitation of the review, factors regarding location (e.g</w:t>
      </w:r>
      <w:r>
        <w:rPr>
          <w:rFonts w:eastAsia="Times New Roman"/>
          <w:sz w:val="24"/>
          <w:szCs w:val="24"/>
        </w:rPr>
        <w:t>., prison or community) have been noted to impact upon treatment readiness and therefore distinguishing offenders who were detained from those in community settings was deemed necessary (Ward et al., 2004). Although this review did not</w:t>
      </w:r>
    </w:p>
    <w:p w:rsidR="000C2ED5" w:rsidRDefault="000C2ED5">
      <w:pPr>
        <w:spacing w:line="389" w:lineRule="exact"/>
        <w:rPr>
          <w:sz w:val="20"/>
          <w:szCs w:val="20"/>
        </w:rPr>
      </w:pPr>
    </w:p>
    <w:p w:rsidR="000C2ED5" w:rsidRDefault="00485212">
      <w:pPr>
        <w:ind w:right="6"/>
        <w:jc w:val="right"/>
        <w:rPr>
          <w:sz w:val="20"/>
          <w:szCs w:val="20"/>
        </w:rPr>
      </w:pPr>
      <w:r>
        <w:rPr>
          <w:rFonts w:eastAsia="Times New Roman"/>
        </w:rPr>
        <w:t>23</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24" w:name="page25"/>
      <w:bookmarkEnd w:id="24"/>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7" w:lineRule="auto"/>
        <w:ind w:right="46"/>
        <w:rPr>
          <w:sz w:val="20"/>
          <w:szCs w:val="20"/>
        </w:rPr>
      </w:pPr>
      <w:r>
        <w:rPr>
          <w:rFonts w:eastAsia="Times New Roman"/>
          <w:sz w:val="24"/>
          <w:szCs w:val="24"/>
        </w:rPr>
        <w:t>highlight any significant differences between those individuals detained in prison as opposed to secure hospital settings, as the research in this area expands, independent exploration of reason</w:t>
      </w:r>
      <w:r>
        <w:rPr>
          <w:rFonts w:eastAsia="Times New Roman"/>
          <w:sz w:val="24"/>
          <w:szCs w:val="24"/>
        </w:rPr>
        <w:t>s for and against engaging in treatment between these populations would be warranted. It should be noted that two studies included for review did not report participants offending behaviour and therefore it cannot be concluded with certainty that all parti</w:t>
      </w:r>
      <w:r>
        <w:rPr>
          <w:rFonts w:eastAsia="Times New Roman"/>
          <w:sz w:val="24"/>
          <w:szCs w:val="24"/>
        </w:rPr>
        <w:t>cipants included in the review were convicted of an offence (Mason &amp; Adler, 2012; Tetley et al., 2012).</w:t>
      </w:r>
    </w:p>
    <w:p w:rsidR="000C2ED5" w:rsidRDefault="000C2ED5">
      <w:pPr>
        <w:spacing w:line="21" w:lineRule="exact"/>
        <w:rPr>
          <w:sz w:val="20"/>
          <w:szCs w:val="20"/>
        </w:rPr>
      </w:pPr>
    </w:p>
    <w:p w:rsidR="000C2ED5" w:rsidRDefault="00485212">
      <w:pPr>
        <w:spacing w:line="478" w:lineRule="auto"/>
        <w:ind w:right="86" w:firstLine="720"/>
        <w:rPr>
          <w:sz w:val="20"/>
          <w:szCs w:val="20"/>
        </w:rPr>
      </w:pPr>
      <w:r>
        <w:rPr>
          <w:rFonts w:eastAsia="Times New Roman"/>
          <w:sz w:val="24"/>
          <w:szCs w:val="24"/>
        </w:rPr>
        <w:t>Only a small number of studies were identified for review and these were heterogeneous in design, reflecting the emerging nature of research on treatme</w:t>
      </w:r>
      <w:r>
        <w:rPr>
          <w:rFonts w:eastAsia="Times New Roman"/>
          <w:sz w:val="24"/>
          <w:szCs w:val="24"/>
        </w:rPr>
        <w:t>nt readiness. Regarding the latter, a quality assessment was identified that could accommodate qualitative, quantitative and mixed-method studies, however, this variation makes it more challenging to draw firm conclusions in this area. This is, however, th</w:t>
      </w:r>
      <w:r>
        <w:rPr>
          <w:rFonts w:eastAsia="Times New Roman"/>
          <w:sz w:val="24"/>
          <w:szCs w:val="24"/>
        </w:rPr>
        <w:t>e state of the literature as it stands and with more research investment in this area, it will be possible in the future to compare across studies that have adopted a similar design.</w:t>
      </w:r>
    </w:p>
    <w:p w:rsidR="000C2ED5" w:rsidRDefault="000C2ED5">
      <w:pPr>
        <w:spacing w:line="17" w:lineRule="exact"/>
        <w:rPr>
          <w:sz w:val="20"/>
          <w:szCs w:val="20"/>
        </w:rPr>
      </w:pPr>
    </w:p>
    <w:p w:rsidR="000C2ED5" w:rsidRDefault="00485212">
      <w:pPr>
        <w:spacing w:line="478" w:lineRule="auto"/>
        <w:ind w:right="26" w:firstLine="720"/>
        <w:rPr>
          <w:sz w:val="20"/>
          <w:szCs w:val="20"/>
        </w:rPr>
      </w:pPr>
      <w:r>
        <w:rPr>
          <w:rFonts w:eastAsia="Times New Roman"/>
          <w:sz w:val="24"/>
          <w:szCs w:val="24"/>
        </w:rPr>
        <w:t xml:space="preserve">The definitions of engagement varied across all thirteen studies </w:t>
      </w:r>
      <w:r>
        <w:rPr>
          <w:rFonts w:eastAsia="Times New Roman"/>
          <w:sz w:val="24"/>
          <w:szCs w:val="24"/>
        </w:rPr>
        <w:t>included for review, from failing to attend a required number of sessions (Sheldon et al., 2010) to poor engagement when attending sessions (Long et al., 2012). Furthermore, four of the studies failed to provide an explicit definition of engagement/non-com</w:t>
      </w:r>
      <w:r>
        <w:rPr>
          <w:rFonts w:eastAsia="Times New Roman"/>
          <w:sz w:val="24"/>
          <w:szCs w:val="24"/>
        </w:rPr>
        <w:t>pletion (Breckon et al., 2013; Drapeau et al., 2005; McMurran &amp; McCulloch, 2007; Tetley et al., 2012). The lack of a consistent definition across all studies prevents definitive conclusions from being drawn. This limitation in particular has been identifie</w:t>
      </w:r>
      <w:r>
        <w:rPr>
          <w:rFonts w:eastAsia="Times New Roman"/>
          <w:sz w:val="24"/>
          <w:szCs w:val="24"/>
        </w:rPr>
        <w:t>d in previous reviews regarding non-completion of treatment within offending populations and thus appears to be a limitation of the literature as a whole (McMurran et al., 2010; Larochelle et al., 2011).</w:t>
      </w:r>
    </w:p>
    <w:p w:rsidR="000C2ED5" w:rsidRDefault="000C2ED5">
      <w:pPr>
        <w:spacing w:line="22" w:lineRule="exact"/>
        <w:rPr>
          <w:sz w:val="20"/>
          <w:szCs w:val="20"/>
        </w:rPr>
      </w:pPr>
    </w:p>
    <w:p w:rsidR="000C2ED5" w:rsidRDefault="00485212">
      <w:pPr>
        <w:spacing w:line="474" w:lineRule="auto"/>
        <w:ind w:right="166"/>
        <w:rPr>
          <w:sz w:val="20"/>
          <w:szCs w:val="20"/>
        </w:rPr>
      </w:pPr>
      <w:r>
        <w:rPr>
          <w:rFonts w:eastAsia="Times New Roman"/>
          <w:sz w:val="24"/>
          <w:szCs w:val="24"/>
        </w:rPr>
        <w:t>In reference to the above, Tetley, Jinks, Huband an</w:t>
      </w:r>
      <w:r>
        <w:rPr>
          <w:rFonts w:eastAsia="Times New Roman"/>
          <w:sz w:val="24"/>
          <w:szCs w:val="24"/>
        </w:rPr>
        <w:t>d Howells (2011) define treatment engagement as “</w:t>
      </w:r>
      <w:r>
        <w:rPr>
          <w:rFonts w:eastAsia="Times New Roman"/>
          <w:i/>
          <w:iCs/>
          <w:sz w:val="24"/>
          <w:szCs w:val="24"/>
        </w:rPr>
        <w:t>the extent to which the client actively participates in the treatment on offer</w:t>
      </w:r>
      <w:r>
        <w:rPr>
          <w:rFonts w:eastAsia="Times New Roman"/>
          <w:sz w:val="24"/>
          <w:szCs w:val="24"/>
        </w:rPr>
        <w:t>” (p. 927). Specifically they suggest six aspects of participation which should be considered</w:t>
      </w:r>
    </w:p>
    <w:p w:rsidR="000C2ED5" w:rsidRDefault="000C2ED5">
      <w:pPr>
        <w:spacing w:line="395" w:lineRule="exact"/>
        <w:rPr>
          <w:sz w:val="20"/>
          <w:szCs w:val="20"/>
        </w:rPr>
      </w:pPr>
    </w:p>
    <w:p w:rsidR="000C2ED5" w:rsidRDefault="00485212">
      <w:pPr>
        <w:ind w:right="6"/>
        <w:jc w:val="right"/>
        <w:rPr>
          <w:sz w:val="20"/>
          <w:szCs w:val="20"/>
        </w:rPr>
      </w:pPr>
      <w:r>
        <w:rPr>
          <w:rFonts w:eastAsia="Times New Roman"/>
        </w:rPr>
        <w:t>24</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25" w:name="page26"/>
      <w:bookmarkEnd w:id="25"/>
      <w:r>
        <w:rPr>
          <w:rFonts w:eastAsia="Times New Roman"/>
          <w:sz w:val="24"/>
          <w:szCs w:val="24"/>
        </w:rPr>
        <w:lastRenderedPageBreak/>
        <w:t xml:space="preserve">Treatment </w:t>
      </w:r>
      <w:r>
        <w:rPr>
          <w:rFonts w:eastAsia="Times New Roman"/>
          <w:sz w:val="24"/>
          <w:szCs w:val="24"/>
        </w:rPr>
        <w:t>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500" w:lineRule="auto"/>
        <w:ind w:right="86"/>
        <w:rPr>
          <w:sz w:val="20"/>
          <w:szCs w:val="20"/>
        </w:rPr>
      </w:pPr>
      <w:r>
        <w:rPr>
          <w:rFonts w:eastAsia="Times New Roman"/>
          <w:sz w:val="23"/>
          <w:szCs w:val="23"/>
        </w:rPr>
        <w:t>when assessing treatment engagement including, (1) attendance at requisite sessions, (2) completion of treatment within the expected timeframe, (3) completion of expected between-session tasks (where approp</w:t>
      </w:r>
      <w:r>
        <w:rPr>
          <w:rFonts w:eastAsia="Times New Roman"/>
          <w:sz w:val="23"/>
          <w:szCs w:val="23"/>
        </w:rPr>
        <w:t>riate), (4) expected contribution to therapy sessions (including self-disclosure and/or other tasks activities), (5) appropriate alliance with the therapist, and</w:t>
      </w:r>
    </w:p>
    <w:p w:rsidR="000C2ED5" w:rsidRDefault="000C2ED5">
      <w:pPr>
        <w:spacing w:line="4" w:lineRule="exact"/>
        <w:rPr>
          <w:sz w:val="20"/>
          <w:szCs w:val="20"/>
        </w:rPr>
      </w:pPr>
    </w:p>
    <w:p w:rsidR="000C2ED5" w:rsidRDefault="00485212">
      <w:pPr>
        <w:numPr>
          <w:ilvl w:val="0"/>
          <w:numId w:val="6"/>
        </w:numPr>
        <w:tabs>
          <w:tab w:val="left" w:pos="338"/>
        </w:tabs>
        <w:spacing w:line="478" w:lineRule="auto"/>
        <w:ind w:right="26"/>
        <w:rPr>
          <w:rFonts w:eastAsia="Times New Roman"/>
          <w:sz w:val="24"/>
          <w:szCs w:val="24"/>
        </w:rPr>
      </w:pPr>
      <w:r>
        <w:rPr>
          <w:rFonts w:eastAsia="Times New Roman"/>
          <w:sz w:val="24"/>
          <w:szCs w:val="24"/>
        </w:rPr>
        <w:t>supportive and helpful behaviour towards other participants (in group therapies)” (p. 929). I</w:t>
      </w:r>
      <w:r>
        <w:rPr>
          <w:rFonts w:eastAsia="Times New Roman"/>
          <w:sz w:val="24"/>
          <w:szCs w:val="24"/>
        </w:rPr>
        <w:t>n support of this definition, similar aspects of engagement have been highlighted by Day et al. (2010; p. 154). Not only do Tetley et al. (2011) provide what would appear to be a compressive definition of engagement, but they also provide specific construc</w:t>
      </w:r>
      <w:r>
        <w:rPr>
          <w:rFonts w:eastAsia="Times New Roman"/>
          <w:sz w:val="24"/>
          <w:szCs w:val="24"/>
        </w:rPr>
        <w:t>ts in which engagement may be assessed.</w:t>
      </w:r>
    </w:p>
    <w:p w:rsidR="000C2ED5" w:rsidRDefault="000C2ED5">
      <w:pPr>
        <w:spacing w:line="212" w:lineRule="exact"/>
        <w:rPr>
          <w:sz w:val="20"/>
          <w:szCs w:val="20"/>
        </w:rPr>
      </w:pPr>
    </w:p>
    <w:p w:rsidR="000C2ED5" w:rsidRDefault="00485212">
      <w:pPr>
        <w:spacing w:line="479" w:lineRule="auto"/>
        <w:ind w:right="66" w:firstLine="720"/>
        <w:rPr>
          <w:sz w:val="20"/>
          <w:szCs w:val="20"/>
        </w:rPr>
      </w:pPr>
      <w:r>
        <w:rPr>
          <w:rFonts w:eastAsia="Times New Roman"/>
          <w:sz w:val="24"/>
          <w:szCs w:val="24"/>
        </w:rPr>
        <w:t>Whilst various measures of treatment engagement exist, they typically fail to measure the construct of treatment engagement in its entirety (Tetley et al., 2011). Therefore, in order to accurately assess treatment e</w:t>
      </w:r>
      <w:r>
        <w:rPr>
          <w:rFonts w:eastAsia="Times New Roman"/>
          <w:sz w:val="24"/>
          <w:szCs w:val="24"/>
        </w:rPr>
        <w:t>ngagement, both for the purpose of future research and clinical practice, validated and reliable measures which take account of each of the six identified constructs of treatment engagement need to be developed (Tetley et al., 2011). In the absence of such</w:t>
      </w:r>
      <w:r>
        <w:rPr>
          <w:rFonts w:eastAsia="Times New Roman"/>
          <w:sz w:val="24"/>
          <w:szCs w:val="24"/>
        </w:rPr>
        <w:t>, reliance on an individual’s clinical notes or post intervention reports to provide details of engagement is necessary. Not only is this method likely to be very time consuming but it is also unlikely that such sources would provide consistent and compreh</w:t>
      </w:r>
      <w:r>
        <w:rPr>
          <w:rFonts w:eastAsia="Times New Roman"/>
          <w:sz w:val="24"/>
          <w:szCs w:val="24"/>
        </w:rPr>
        <w:t>ensive details regarding the construct of treatment engagement</w:t>
      </w:r>
      <w:r>
        <w:rPr>
          <w:rFonts w:eastAsia="Times New Roman"/>
        </w:rPr>
        <w:t>.</w:t>
      </w:r>
      <w:r>
        <w:rPr>
          <w:rFonts w:eastAsia="Times New Roman"/>
          <w:sz w:val="24"/>
          <w:szCs w:val="24"/>
        </w:rPr>
        <w:t xml:space="preserve"> However if such information and/or measures were available, this might provide a more sensitive way of assessing lack of engagement</w:t>
      </w:r>
    </w:p>
    <w:p w:rsidR="000C2ED5" w:rsidRDefault="000C2ED5">
      <w:pPr>
        <w:spacing w:line="205" w:lineRule="exact"/>
        <w:rPr>
          <w:sz w:val="20"/>
          <w:szCs w:val="20"/>
        </w:rPr>
      </w:pPr>
    </w:p>
    <w:p w:rsidR="000C2ED5" w:rsidRDefault="00485212">
      <w:pPr>
        <w:rPr>
          <w:sz w:val="20"/>
          <w:szCs w:val="20"/>
        </w:rPr>
      </w:pPr>
      <w:r>
        <w:rPr>
          <w:rFonts w:eastAsia="Times New Roman"/>
          <w:b/>
          <w:bCs/>
          <w:sz w:val="24"/>
          <w:szCs w:val="24"/>
        </w:rPr>
        <w:t>Strengths and Weaknesses of the Studies</w:t>
      </w:r>
    </w:p>
    <w:p w:rsidR="000C2ED5" w:rsidRDefault="000C2ED5">
      <w:pPr>
        <w:spacing w:line="284" w:lineRule="exact"/>
        <w:rPr>
          <w:sz w:val="20"/>
          <w:szCs w:val="20"/>
        </w:rPr>
      </w:pPr>
    </w:p>
    <w:p w:rsidR="000C2ED5" w:rsidRDefault="00485212">
      <w:pPr>
        <w:spacing w:line="497" w:lineRule="auto"/>
        <w:ind w:right="426" w:firstLine="720"/>
        <w:rPr>
          <w:sz w:val="20"/>
          <w:szCs w:val="20"/>
        </w:rPr>
      </w:pPr>
      <w:r>
        <w:rPr>
          <w:rFonts w:eastAsia="Times New Roman"/>
          <w:sz w:val="23"/>
          <w:szCs w:val="23"/>
        </w:rPr>
        <w:t xml:space="preserve">As identified in </w:t>
      </w:r>
      <w:r>
        <w:rPr>
          <w:rFonts w:eastAsia="Times New Roman"/>
          <w:sz w:val="23"/>
          <w:szCs w:val="23"/>
        </w:rPr>
        <w:t>the quality assessment, there are limitations amongst the studies included for review which require consideration. Reasons for engagement/disengagement were collated using semi-structured interviews and/or questionnaires, or via reference to clinical notes</w:t>
      </w:r>
      <w:r>
        <w:rPr>
          <w:rFonts w:eastAsia="Times New Roman"/>
          <w:sz w:val="23"/>
          <w:szCs w:val="23"/>
        </w:rPr>
        <w:t>. Regarding the latter, reliance on retrospective clinical notes to assess</w:t>
      </w:r>
    </w:p>
    <w:p w:rsidR="000C2ED5" w:rsidRDefault="00485212">
      <w:pPr>
        <w:spacing w:line="233" w:lineRule="auto"/>
        <w:ind w:right="6"/>
        <w:jc w:val="right"/>
        <w:rPr>
          <w:sz w:val="20"/>
          <w:szCs w:val="20"/>
        </w:rPr>
      </w:pPr>
      <w:r>
        <w:rPr>
          <w:rFonts w:eastAsia="Times New Roman"/>
        </w:rPr>
        <w:t>25</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26" w:name="page27"/>
      <w:bookmarkEnd w:id="26"/>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6" w:lineRule="auto"/>
        <w:ind w:right="166"/>
        <w:rPr>
          <w:sz w:val="20"/>
          <w:szCs w:val="20"/>
        </w:rPr>
      </w:pPr>
      <w:r>
        <w:rPr>
          <w:rFonts w:eastAsia="Times New Roman"/>
          <w:sz w:val="24"/>
          <w:szCs w:val="24"/>
        </w:rPr>
        <w:t>offenders’ reasons for non-completion is a significant limitation (Polascheck, 2010; Sheldon et al.,</w:t>
      </w:r>
      <w:r>
        <w:rPr>
          <w:rFonts w:eastAsia="Times New Roman"/>
          <w:sz w:val="24"/>
          <w:szCs w:val="24"/>
        </w:rPr>
        <w:t xml:space="preserve"> 2010). As acknowledged by Sheldon et al., (2010) clinical notes may in part reflect staff’s attributions for dropout and therefore the extent to which the findings accurately reflect the participant’s opinion is unclear.</w:t>
      </w:r>
    </w:p>
    <w:p w:rsidR="000C2ED5" w:rsidRDefault="000C2ED5">
      <w:pPr>
        <w:spacing w:line="19" w:lineRule="exact"/>
        <w:rPr>
          <w:sz w:val="20"/>
          <w:szCs w:val="20"/>
        </w:rPr>
      </w:pPr>
    </w:p>
    <w:p w:rsidR="000C2ED5" w:rsidRDefault="00485212">
      <w:pPr>
        <w:spacing w:line="500" w:lineRule="auto"/>
        <w:ind w:right="86" w:firstLine="720"/>
        <w:rPr>
          <w:sz w:val="20"/>
          <w:szCs w:val="20"/>
        </w:rPr>
      </w:pPr>
      <w:r>
        <w:rPr>
          <w:rFonts w:eastAsia="Times New Roman"/>
          <w:sz w:val="23"/>
          <w:szCs w:val="23"/>
        </w:rPr>
        <w:t>A bias towards adult, male offend</w:t>
      </w:r>
      <w:r>
        <w:rPr>
          <w:rFonts w:eastAsia="Times New Roman"/>
          <w:sz w:val="23"/>
          <w:szCs w:val="23"/>
        </w:rPr>
        <w:t>ers is apparent in the studies. Whilst this is reflective of the larger population of convicted male to female offenders (Blanchette &amp; Brown, 2006), gender differences and/or similarities regarding treatment readiness cannot be assumed and therefore more r</w:t>
      </w:r>
      <w:r>
        <w:rPr>
          <w:rFonts w:eastAsia="Times New Roman"/>
          <w:sz w:val="23"/>
          <w:szCs w:val="23"/>
        </w:rPr>
        <w:t>esearch utilising female populations is required. Taking into consideration the fact that female detention rate is increasing (Blanchette &amp; Brown, 2006), ensuring the availability of responsive treatment would appear vital in preventing recidivism.</w:t>
      </w:r>
    </w:p>
    <w:p w:rsidR="000C2ED5" w:rsidRDefault="000C2ED5">
      <w:pPr>
        <w:spacing w:line="7" w:lineRule="exact"/>
        <w:rPr>
          <w:sz w:val="20"/>
          <w:szCs w:val="20"/>
        </w:rPr>
      </w:pPr>
    </w:p>
    <w:p w:rsidR="000C2ED5" w:rsidRDefault="00485212">
      <w:pPr>
        <w:spacing w:line="500" w:lineRule="auto"/>
        <w:ind w:right="26" w:firstLine="720"/>
        <w:rPr>
          <w:sz w:val="20"/>
          <w:szCs w:val="20"/>
        </w:rPr>
      </w:pPr>
      <w:r>
        <w:rPr>
          <w:rFonts w:eastAsia="Times New Roman"/>
          <w:sz w:val="23"/>
          <w:szCs w:val="23"/>
        </w:rPr>
        <w:t>In ref</w:t>
      </w:r>
      <w:r>
        <w:rPr>
          <w:rFonts w:eastAsia="Times New Roman"/>
          <w:sz w:val="23"/>
          <w:szCs w:val="23"/>
        </w:rPr>
        <w:t>erence to those studies which implemented semi-structured interviews, the majority interviewed participants on one occasion and therefore only collected data regarding a limited period of time (Breckon et al., 2013; Drapeau et al., 2005; Mann et al., 2013;</w:t>
      </w:r>
      <w:r>
        <w:rPr>
          <w:rFonts w:eastAsia="Times New Roman"/>
          <w:sz w:val="23"/>
          <w:szCs w:val="23"/>
        </w:rPr>
        <w:t xml:space="preserve"> Mason</w:t>
      </w:r>
    </w:p>
    <w:p w:rsidR="000C2ED5" w:rsidRDefault="000C2ED5">
      <w:pPr>
        <w:spacing w:line="3" w:lineRule="exact"/>
        <w:rPr>
          <w:sz w:val="20"/>
          <w:szCs w:val="20"/>
        </w:rPr>
      </w:pPr>
    </w:p>
    <w:p w:rsidR="000C2ED5" w:rsidRDefault="00485212">
      <w:pPr>
        <w:numPr>
          <w:ilvl w:val="0"/>
          <w:numId w:val="7"/>
        </w:numPr>
        <w:tabs>
          <w:tab w:val="left" w:pos="245"/>
        </w:tabs>
        <w:spacing w:line="477" w:lineRule="auto"/>
        <w:ind w:right="46"/>
        <w:rPr>
          <w:rFonts w:eastAsia="Times New Roman"/>
          <w:sz w:val="24"/>
          <w:szCs w:val="24"/>
        </w:rPr>
      </w:pPr>
      <w:r>
        <w:rPr>
          <w:rFonts w:eastAsia="Times New Roman"/>
          <w:sz w:val="24"/>
          <w:szCs w:val="24"/>
        </w:rPr>
        <w:t>Adler, 2012; McMurran &amp; McCulloch, 2007; Sainsbury et al., 2004; Tetley et al., 2012). It should be noted that whilst Strauss and Falkin (2000) conducted two separate interviews, only the latter explored reasons for completion/non-completion of tre</w:t>
      </w:r>
      <w:r>
        <w:rPr>
          <w:rFonts w:eastAsia="Times New Roman"/>
          <w:sz w:val="24"/>
          <w:szCs w:val="24"/>
        </w:rPr>
        <w:t>atment. Both Long et al. (2012) and McGrain (2006) are an exception and their studies likely produced more comprehensive and accurate data. The studies also varied in whether they collected data on reasons for completion/non-completion prospectively or ret</w:t>
      </w:r>
      <w:r>
        <w:rPr>
          <w:rFonts w:eastAsia="Times New Roman"/>
          <w:sz w:val="24"/>
          <w:szCs w:val="24"/>
        </w:rPr>
        <w:t>rospectively. By adopting a</w:t>
      </w:r>
    </w:p>
    <w:p w:rsidR="000C2ED5" w:rsidRDefault="000C2ED5">
      <w:pPr>
        <w:spacing w:line="21" w:lineRule="exact"/>
        <w:rPr>
          <w:sz w:val="20"/>
          <w:szCs w:val="20"/>
        </w:rPr>
      </w:pPr>
    </w:p>
    <w:p w:rsidR="000C2ED5" w:rsidRDefault="00485212">
      <w:pPr>
        <w:spacing w:line="469" w:lineRule="auto"/>
        <w:ind w:right="866"/>
        <w:rPr>
          <w:sz w:val="20"/>
          <w:szCs w:val="20"/>
        </w:rPr>
      </w:pPr>
      <w:r>
        <w:rPr>
          <w:rFonts w:eastAsia="Times New Roman"/>
          <w:sz w:val="24"/>
          <w:szCs w:val="24"/>
        </w:rPr>
        <w:t>retrospective approach, participant’s experiences of having completed/not completed treatment are likely to have influenced their views.</w:t>
      </w:r>
    </w:p>
    <w:p w:rsidR="000C2ED5" w:rsidRDefault="000C2ED5">
      <w:pPr>
        <w:spacing w:line="26" w:lineRule="exact"/>
        <w:rPr>
          <w:sz w:val="20"/>
          <w:szCs w:val="20"/>
        </w:rPr>
      </w:pPr>
    </w:p>
    <w:p w:rsidR="000C2ED5" w:rsidRDefault="00485212">
      <w:pPr>
        <w:spacing w:line="476" w:lineRule="auto"/>
        <w:ind w:right="46" w:firstLine="720"/>
        <w:rPr>
          <w:sz w:val="20"/>
          <w:szCs w:val="20"/>
        </w:rPr>
      </w:pPr>
      <w:r>
        <w:rPr>
          <w:rFonts w:eastAsia="Times New Roman"/>
          <w:sz w:val="24"/>
          <w:szCs w:val="24"/>
        </w:rPr>
        <w:t xml:space="preserve">Matters regarding reporting bias, as highlighted in the quality assessment, particularly </w:t>
      </w:r>
      <w:r>
        <w:rPr>
          <w:rFonts w:eastAsia="Times New Roman"/>
          <w:sz w:val="24"/>
          <w:szCs w:val="24"/>
        </w:rPr>
        <w:t xml:space="preserve">with concern to the treatment status of the participant was problematic across the majority of studies included for review. Whilst authors reported on whether the participant was engaged in treatment or not, more specific details regarding their treatment </w:t>
      </w:r>
      <w:r>
        <w:rPr>
          <w:rFonts w:eastAsia="Times New Roman"/>
          <w:sz w:val="24"/>
          <w:szCs w:val="24"/>
        </w:rPr>
        <w:t>status at the time of data</w:t>
      </w:r>
    </w:p>
    <w:p w:rsidR="000C2ED5" w:rsidRDefault="000C2ED5">
      <w:pPr>
        <w:spacing w:line="392" w:lineRule="exact"/>
        <w:rPr>
          <w:sz w:val="20"/>
          <w:szCs w:val="20"/>
        </w:rPr>
      </w:pPr>
    </w:p>
    <w:p w:rsidR="000C2ED5" w:rsidRDefault="00485212">
      <w:pPr>
        <w:ind w:right="6"/>
        <w:jc w:val="right"/>
        <w:rPr>
          <w:sz w:val="20"/>
          <w:szCs w:val="20"/>
        </w:rPr>
      </w:pPr>
      <w:r>
        <w:rPr>
          <w:rFonts w:eastAsia="Times New Roman"/>
        </w:rPr>
        <w:t>26</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27" w:name="page28"/>
      <w:bookmarkEnd w:id="27"/>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8" w:lineRule="auto"/>
        <w:ind w:right="126"/>
        <w:rPr>
          <w:sz w:val="20"/>
          <w:szCs w:val="20"/>
        </w:rPr>
      </w:pPr>
      <w:r>
        <w:rPr>
          <w:rFonts w:eastAsia="Times New Roman"/>
          <w:sz w:val="24"/>
          <w:szCs w:val="24"/>
        </w:rPr>
        <w:t xml:space="preserve">collection was absent. For example, of those studies which interviewed participants engaged in treatment, their level of engagement or how near to </w:t>
      </w:r>
      <w:r>
        <w:rPr>
          <w:rFonts w:eastAsia="Times New Roman"/>
          <w:sz w:val="24"/>
          <w:szCs w:val="24"/>
        </w:rPr>
        <w:t>completing treatment they were when interviewed was rarely reported (Drapeau et al., 2005; Mason &amp; Adler, 2012; Sainsbury et al., 2004). Similarly, the recency with which participants had dropped out/refused to engage or had completed treatment in relation</w:t>
      </w:r>
      <w:r>
        <w:rPr>
          <w:rFonts w:eastAsia="Times New Roman"/>
          <w:sz w:val="24"/>
          <w:szCs w:val="24"/>
        </w:rPr>
        <w:t xml:space="preserve"> to the timing of the interview was also rarely reported (McCorkel et al., 1998; McMurran &amp; McCulloch, 2007; Tetley et al., 2012). This is problematic because reasons for/against engaging in treatment are likely influenced by the participant’s specific tre</w:t>
      </w:r>
      <w:r>
        <w:rPr>
          <w:rFonts w:eastAsia="Times New Roman"/>
          <w:sz w:val="24"/>
          <w:szCs w:val="24"/>
        </w:rPr>
        <w:t>atment status. Future research in the area needs to accurately report information regarding the sample used.</w:t>
      </w:r>
    </w:p>
    <w:p w:rsidR="000C2ED5" w:rsidRDefault="000C2ED5">
      <w:pPr>
        <w:spacing w:line="22" w:lineRule="exact"/>
        <w:rPr>
          <w:sz w:val="20"/>
          <w:szCs w:val="20"/>
        </w:rPr>
      </w:pPr>
    </w:p>
    <w:p w:rsidR="000C2ED5" w:rsidRDefault="00485212">
      <w:pPr>
        <w:spacing w:line="478" w:lineRule="auto"/>
        <w:ind w:right="26" w:firstLine="720"/>
        <w:rPr>
          <w:sz w:val="20"/>
          <w:szCs w:val="20"/>
        </w:rPr>
      </w:pPr>
      <w:r>
        <w:rPr>
          <w:rFonts w:eastAsia="Times New Roman"/>
          <w:sz w:val="24"/>
          <w:szCs w:val="24"/>
        </w:rPr>
        <w:t xml:space="preserve">In addition to the above, as highlighted by the quality assessment, of the eleven studies which incorporated interviews within their design, only </w:t>
      </w:r>
      <w:r>
        <w:rPr>
          <w:rFonts w:eastAsia="Times New Roman"/>
          <w:sz w:val="24"/>
          <w:szCs w:val="24"/>
        </w:rPr>
        <w:t xml:space="preserve">five provided explicit information regarding the interviewer and their affiliation with the research setting (Drapeau et al., 2005; Mann et al., 2013; McGrain, 2006; McMurran &amp; McCulloch, 2007; Sainsbury et al., 2004). Consequently, matters of reflexivity </w:t>
      </w:r>
      <w:r>
        <w:rPr>
          <w:rFonts w:eastAsia="Times New Roman"/>
          <w:sz w:val="24"/>
          <w:szCs w:val="24"/>
        </w:rPr>
        <w:t>were poorly discussed. Of those studies which did report such information, in one study the interviewer although not directly involved in treatment was familiar with the participants (Sainsbury et al., 2004) and in another the interviewers were directly li</w:t>
      </w:r>
      <w:r>
        <w:rPr>
          <w:rFonts w:eastAsia="Times New Roman"/>
          <w:sz w:val="24"/>
          <w:szCs w:val="24"/>
        </w:rPr>
        <w:t>nked with the treatment programme in question (McMurran &amp; McCulloch, 2007). Subsequently, the risk of demand characteristics and response biased is increased.</w:t>
      </w:r>
    </w:p>
    <w:p w:rsidR="000C2ED5" w:rsidRDefault="000C2ED5">
      <w:pPr>
        <w:spacing w:line="24" w:lineRule="exact"/>
        <w:rPr>
          <w:sz w:val="20"/>
          <w:szCs w:val="20"/>
        </w:rPr>
      </w:pPr>
    </w:p>
    <w:p w:rsidR="000C2ED5" w:rsidRDefault="00485212">
      <w:pPr>
        <w:spacing w:line="500" w:lineRule="auto"/>
        <w:ind w:right="46" w:firstLine="720"/>
        <w:rPr>
          <w:sz w:val="20"/>
          <w:szCs w:val="20"/>
        </w:rPr>
      </w:pPr>
      <w:r>
        <w:rPr>
          <w:rFonts w:eastAsia="Times New Roman"/>
          <w:sz w:val="23"/>
          <w:szCs w:val="23"/>
        </w:rPr>
        <w:t>Finally, as identified in the quality assessment, the qualitative data were often poorly reporte</w:t>
      </w:r>
      <w:r>
        <w:rPr>
          <w:rFonts w:eastAsia="Times New Roman"/>
          <w:sz w:val="23"/>
          <w:szCs w:val="23"/>
        </w:rPr>
        <w:t>d in those studies utilising a mixed methods design. As a result the integration of both qualitative and quantitative data for these studies was not always clear. For example, where possible, three studies coded participant responses using the factors of t</w:t>
      </w:r>
      <w:r>
        <w:rPr>
          <w:rFonts w:eastAsia="Times New Roman"/>
          <w:sz w:val="23"/>
          <w:szCs w:val="23"/>
        </w:rPr>
        <w:t>he MORM (Long et al., 2012; Sheldon et al., 2012; Tetley et al., 2012). Whilst appropriate, direct quotes from participants to support the findings were not reported. Whilst both McMurran and McCulloch</w:t>
      </w:r>
    </w:p>
    <w:p w:rsidR="000C2ED5" w:rsidRDefault="000C2ED5">
      <w:pPr>
        <w:spacing w:line="381" w:lineRule="exact"/>
        <w:rPr>
          <w:sz w:val="20"/>
          <w:szCs w:val="20"/>
        </w:rPr>
      </w:pPr>
    </w:p>
    <w:p w:rsidR="000C2ED5" w:rsidRDefault="00485212">
      <w:pPr>
        <w:ind w:right="6"/>
        <w:jc w:val="right"/>
        <w:rPr>
          <w:sz w:val="20"/>
          <w:szCs w:val="20"/>
        </w:rPr>
      </w:pPr>
      <w:r>
        <w:rPr>
          <w:rFonts w:eastAsia="Times New Roman"/>
        </w:rPr>
        <w:t>27</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28" w:name="page29"/>
      <w:bookmarkEnd w:id="28"/>
      <w:r>
        <w:rPr>
          <w:rFonts w:eastAsia="Times New Roman"/>
          <w:sz w:val="24"/>
          <w:szCs w:val="24"/>
        </w:rPr>
        <w:lastRenderedPageBreak/>
        <w:t xml:space="preserve">Treatment Engagement from the </w:t>
      </w:r>
      <w:r>
        <w:rPr>
          <w:rFonts w:eastAsia="Times New Roman"/>
          <w:sz w:val="24"/>
          <w:szCs w:val="24"/>
        </w:rPr>
        <w:t>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8" w:lineRule="auto"/>
        <w:ind w:right="6"/>
        <w:rPr>
          <w:sz w:val="20"/>
          <w:szCs w:val="20"/>
        </w:rPr>
      </w:pPr>
      <w:r>
        <w:rPr>
          <w:rFonts w:eastAsia="Times New Roman"/>
          <w:sz w:val="24"/>
          <w:szCs w:val="24"/>
        </w:rPr>
        <w:t>(2007) and Strauss and Falkin (2000) provided a general discussion on reasons for completing/not completing treatment, specific themes were not identified nor was sufficient evidence provided to support the findings discussed.</w:t>
      </w:r>
      <w:r>
        <w:rPr>
          <w:rFonts w:eastAsia="Times New Roman"/>
          <w:sz w:val="24"/>
          <w:szCs w:val="24"/>
        </w:rPr>
        <w:t xml:space="preserve"> One study failed to fully report the findings of the qualitative stage (Mann et al., 2012). Consequently, in reference to the studies discussed above, the extent to which the qualitative findings were drawn accurately from the results generated in the res</w:t>
      </w:r>
      <w:r>
        <w:rPr>
          <w:rFonts w:eastAsia="Times New Roman"/>
          <w:sz w:val="24"/>
          <w:szCs w:val="24"/>
        </w:rPr>
        <w:t>earch and not influenced by biases is unknown.</w:t>
      </w:r>
    </w:p>
    <w:p w:rsidR="000C2ED5" w:rsidRDefault="000C2ED5">
      <w:pPr>
        <w:spacing w:line="206" w:lineRule="exact"/>
        <w:rPr>
          <w:sz w:val="20"/>
          <w:szCs w:val="20"/>
        </w:rPr>
      </w:pPr>
    </w:p>
    <w:p w:rsidR="000C2ED5" w:rsidRDefault="00485212">
      <w:pPr>
        <w:rPr>
          <w:sz w:val="20"/>
          <w:szCs w:val="20"/>
        </w:rPr>
      </w:pPr>
      <w:r>
        <w:rPr>
          <w:rFonts w:eastAsia="Times New Roman"/>
          <w:b/>
          <w:bCs/>
          <w:sz w:val="24"/>
          <w:szCs w:val="24"/>
        </w:rPr>
        <w:t>Implications for future research</w:t>
      </w:r>
    </w:p>
    <w:p w:rsidR="000C2ED5" w:rsidRDefault="000C2ED5">
      <w:pPr>
        <w:spacing w:line="284" w:lineRule="exact"/>
        <w:rPr>
          <w:sz w:val="20"/>
          <w:szCs w:val="20"/>
        </w:rPr>
      </w:pPr>
    </w:p>
    <w:p w:rsidR="000C2ED5" w:rsidRDefault="00485212">
      <w:pPr>
        <w:spacing w:line="500" w:lineRule="auto"/>
        <w:ind w:right="6" w:firstLine="720"/>
        <w:rPr>
          <w:sz w:val="20"/>
          <w:szCs w:val="20"/>
        </w:rPr>
      </w:pPr>
      <w:r>
        <w:rPr>
          <w:rFonts w:eastAsia="Times New Roman"/>
          <w:sz w:val="23"/>
          <w:szCs w:val="23"/>
        </w:rPr>
        <w:t>Several suggestions for future research have already been made above. In addition, of the studies included for review, only two explored engagement amongst exclusive offender</w:t>
      </w:r>
      <w:r>
        <w:rPr>
          <w:rFonts w:eastAsia="Times New Roman"/>
          <w:sz w:val="23"/>
          <w:szCs w:val="23"/>
        </w:rPr>
        <w:t xml:space="preserve"> types, i.e., sex offenders (Mann et al., 2013) or violent offenders (Polaschek, 2010), yet the reasons given might vary by offender type. Subsequently, future research with exclusive offender types would help determine this. For example, with regards to v</w:t>
      </w:r>
      <w:r>
        <w:rPr>
          <w:rFonts w:eastAsia="Times New Roman"/>
          <w:sz w:val="23"/>
          <w:szCs w:val="23"/>
        </w:rPr>
        <w:t>iolent offenders, attrition rates, particularly amongst those referred to intimate partner violence (IPV) programmes are high, with research reporting non-completion rates of up to 75% (Buttell &amp; Carney, 2008; Day et al., 2010). Such findings would suggest</w:t>
      </w:r>
      <w:r>
        <w:rPr>
          <w:rFonts w:eastAsia="Times New Roman"/>
          <w:sz w:val="23"/>
          <w:szCs w:val="23"/>
        </w:rPr>
        <w:t xml:space="preserve"> that for this population either treatment programmes are simply not engaging individuals, or they are not viewed as relevant by those referred (Brown, 2012). Considering the latter, violent offenders are heterogeneous not only regarding their offence, but</w:t>
      </w:r>
      <w:r>
        <w:rPr>
          <w:rFonts w:eastAsia="Times New Roman"/>
          <w:sz w:val="23"/>
          <w:szCs w:val="23"/>
        </w:rPr>
        <w:t xml:space="preserve"> also in terms of their needs and causal influences on their offending behaviour (Day et al., 2010). Therefore, referral to highly structured programmes based on an individual’s offence alone, without consideration of their specific needs, is likely to neg</w:t>
      </w:r>
      <w:r>
        <w:rPr>
          <w:rFonts w:eastAsia="Times New Roman"/>
          <w:sz w:val="23"/>
          <w:szCs w:val="23"/>
        </w:rPr>
        <w:t xml:space="preserve">atively impact on treatment engagement as offenders may perceive such programmes as irrelevant or unnecessary (Day et al., 2010). This perception is likely to precipitate dropout and/or treatment refusal, even amongst those motivated to address their risk </w:t>
      </w:r>
      <w:r>
        <w:rPr>
          <w:rFonts w:eastAsia="Times New Roman"/>
          <w:sz w:val="23"/>
          <w:szCs w:val="23"/>
        </w:rPr>
        <w:t>(Day et al., 2010). Furthermore, particularly amongst offenders convicted of IPV, denial and minimisation of offending has been noted to coincide with the perception that one has</w:t>
      </w:r>
    </w:p>
    <w:p w:rsidR="000C2ED5" w:rsidRDefault="000C2ED5">
      <w:pPr>
        <w:spacing w:line="194" w:lineRule="exact"/>
        <w:rPr>
          <w:sz w:val="20"/>
          <w:szCs w:val="20"/>
        </w:rPr>
      </w:pPr>
    </w:p>
    <w:p w:rsidR="000C2ED5" w:rsidRDefault="00485212">
      <w:pPr>
        <w:ind w:right="6"/>
        <w:jc w:val="right"/>
        <w:rPr>
          <w:sz w:val="20"/>
          <w:szCs w:val="20"/>
        </w:rPr>
      </w:pPr>
      <w:r>
        <w:rPr>
          <w:rFonts w:eastAsia="Times New Roman"/>
        </w:rPr>
        <w:t>28</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29" w:name="page30"/>
      <w:bookmarkEnd w:id="29"/>
      <w:r>
        <w:rPr>
          <w:rFonts w:eastAsia="Times New Roman"/>
          <w:sz w:val="24"/>
          <w:szCs w:val="24"/>
        </w:rPr>
        <w:lastRenderedPageBreak/>
        <w:t>Treatment Engagement from the Perspective of the Offend</w:t>
      </w:r>
      <w:r>
        <w:rPr>
          <w:rFonts w:eastAsia="Times New Roman"/>
          <w:sz w:val="24"/>
          <w:szCs w:val="24"/>
        </w:rPr>
        <w:t>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8" w:lineRule="auto"/>
        <w:ind w:right="86"/>
        <w:rPr>
          <w:sz w:val="20"/>
          <w:szCs w:val="20"/>
        </w:rPr>
      </w:pPr>
      <w:r>
        <w:rPr>
          <w:rFonts w:eastAsia="Times New Roman"/>
          <w:sz w:val="24"/>
          <w:szCs w:val="24"/>
        </w:rPr>
        <w:t>been treated unfairly by the criminal justice system regarding their arrest and subsequent detention (Levesque, Velicer, Castle &amp; Greene, 2008). Mandating such individuals to engage in treatment programmes is likely to reinforce this perception furthe</w:t>
      </w:r>
      <w:r>
        <w:rPr>
          <w:rFonts w:eastAsia="Times New Roman"/>
          <w:sz w:val="24"/>
          <w:szCs w:val="24"/>
        </w:rPr>
        <w:t>r, creating additional resistance to treatment, increasing the risk of poor engagement and even dropout (Day et al., 2010; O’leary, Day, Foster &amp; Chung, 2009). Taking the above into consideration, further exploration of the factors that impact on treatment</w:t>
      </w:r>
      <w:r>
        <w:rPr>
          <w:rFonts w:eastAsia="Times New Roman"/>
          <w:sz w:val="24"/>
          <w:szCs w:val="24"/>
        </w:rPr>
        <w:t xml:space="preserve"> readiness in specific offender groups, particularly violent offenders, is vital in reducing recidivism and helping offenders pursue better lives.</w:t>
      </w:r>
    </w:p>
    <w:p w:rsidR="000C2ED5" w:rsidRDefault="000C2ED5">
      <w:pPr>
        <w:spacing w:line="20" w:lineRule="exact"/>
        <w:rPr>
          <w:sz w:val="20"/>
          <w:szCs w:val="20"/>
        </w:rPr>
      </w:pPr>
    </w:p>
    <w:p w:rsidR="000C2ED5" w:rsidRDefault="00485212">
      <w:pPr>
        <w:spacing w:line="477" w:lineRule="auto"/>
        <w:ind w:right="286" w:firstLine="720"/>
        <w:rPr>
          <w:sz w:val="20"/>
          <w:szCs w:val="20"/>
        </w:rPr>
      </w:pPr>
      <w:r>
        <w:rPr>
          <w:rFonts w:eastAsia="Times New Roman"/>
          <w:sz w:val="24"/>
          <w:szCs w:val="24"/>
        </w:rPr>
        <w:t>Few studies included in the review (Drapeau et al., 2005; McCorkel et al., 1998; McGrain, 2006; McMurran &amp; M</w:t>
      </w:r>
      <w:r>
        <w:rPr>
          <w:rFonts w:eastAsia="Times New Roman"/>
          <w:sz w:val="24"/>
          <w:szCs w:val="24"/>
        </w:rPr>
        <w:t>cCulloch, 2007; Polaschek, 2010; Strauss &amp; Falkin, 2000) provided adequate descriptions of the treatment programmes explored. Future research should ensure that treatment programmes are adequately described in order to allow the generalisation of results t</w:t>
      </w:r>
      <w:r>
        <w:rPr>
          <w:rFonts w:eastAsia="Times New Roman"/>
          <w:sz w:val="24"/>
          <w:szCs w:val="24"/>
        </w:rPr>
        <w:t>o other similar treatment programmes and subsequently aid the development of more targeted treatment programmes.</w:t>
      </w:r>
    </w:p>
    <w:p w:rsidR="000C2ED5" w:rsidRDefault="000C2ED5">
      <w:pPr>
        <w:spacing w:line="21" w:lineRule="exact"/>
        <w:rPr>
          <w:sz w:val="20"/>
          <w:szCs w:val="20"/>
        </w:rPr>
      </w:pPr>
    </w:p>
    <w:p w:rsidR="000C2ED5" w:rsidRDefault="00485212">
      <w:pPr>
        <w:spacing w:line="478" w:lineRule="auto"/>
        <w:ind w:right="66" w:firstLine="720"/>
        <w:rPr>
          <w:sz w:val="20"/>
          <w:szCs w:val="20"/>
        </w:rPr>
      </w:pPr>
      <w:r>
        <w:rPr>
          <w:rFonts w:eastAsia="Times New Roman"/>
          <w:sz w:val="24"/>
          <w:szCs w:val="24"/>
        </w:rPr>
        <w:t xml:space="preserve">Furthermore, amongst the external factors identified in this review, exclusion from treatment was noted in several studies as the reason for </w:t>
      </w:r>
      <w:r>
        <w:rPr>
          <w:rFonts w:eastAsia="Times New Roman"/>
          <w:sz w:val="24"/>
          <w:szCs w:val="24"/>
        </w:rPr>
        <w:t>non-completion of treatment (Long et al., 2012; Polaschek, 2010; Sheldon et al., 2012; Strauss &amp; Falkin, 2000). Whilst this is clearly an external reason, the reasons why participants engaged in particular behaviours that led to expulsion were not explored</w:t>
      </w:r>
      <w:r>
        <w:rPr>
          <w:rFonts w:eastAsia="Times New Roman"/>
          <w:sz w:val="24"/>
          <w:szCs w:val="24"/>
        </w:rPr>
        <w:t xml:space="preserve"> and likely reflect internal factors. Exploration of these reasons would appear of particular importance as for some reason these offenders are choosing not to dropout nor are they choosing to engage and therefore the motivation for attending treatment is </w:t>
      </w:r>
      <w:r>
        <w:rPr>
          <w:rFonts w:eastAsia="Times New Roman"/>
          <w:sz w:val="24"/>
          <w:szCs w:val="24"/>
        </w:rPr>
        <w:t>unknown.</w:t>
      </w:r>
    </w:p>
    <w:p w:rsidR="000C2ED5" w:rsidRDefault="000C2ED5">
      <w:pPr>
        <w:spacing w:line="20" w:lineRule="exact"/>
        <w:rPr>
          <w:sz w:val="20"/>
          <w:szCs w:val="20"/>
        </w:rPr>
      </w:pPr>
    </w:p>
    <w:p w:rsidR="000C2ED5" w:rsidRDefault="00485212">
      <w:pPr>
        <w:spacing w:line="474" w:lineRule="auto"/>
        <w:ind w:right="66" w:firstLine="720"/>
        <w:rPr>
          <w:sz w:val="20"/>
          <w:szCs w:val="20"/>
        </w:rPr>
      </w:pPr>
      <w:r>
        <w:rPr>
          <w:rFonts w:eastAsia="Times New Roman"/>
          <w:sz w:val="24"/>
          <w:szCs w:val="24"/>
        </w:rPr>
        <w:t>Finally, when considering the implications associated with treatment non-completion, mainly increased risk of recidivism (McMurran &amp; Theodosi, 2007), future research should focus its attention on developing measures of treatment readiness in orde</w:t>
      </w:r>
      <w:r>
        <w:rPr>
          <w:rFonts w:eastAsia="Times New Roman"/>
          <w:sz w:val="24"/>
          <w:szCs w:val="24"/>
        </w:rPr>
        <w:t>r to allow</w:t>
      </w:r>
    </w:p>
    <w:p w:rsidR="000C2ED5" w:rsidRDefault="000C2ED5">
      <w:pPr>
        <w:spacing w:line="395" w:lineRule="exact"/>
        <w:rPr>
          <w:sz w:val="20"/>
          <w:szCs w:val="20"/>
        </w:rPr>
      </w:pPr>
    </w:p>
    <w:p w:rsidR="000C2ED5" w:rsidRDefault="00485212">
      <w:pPr>
        <w:ind w:right="6"/>
        <w:jc w:val="right"/>
        <w:rPr>
          <w:sz w:val="20"/>
          <w:szCs w:val="20"/>
        </w:rPr>
      </w:pPr>
      <w:r>
        <w:rPr>
          <w:rFonts w:eastAsia="Times New Roman"/>
        </w:rPr>
        <w:t>29</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0" w:name="page31"/>
      <w:bookmarkEnd w:id="30"/>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8" w:lineRule="auto"/>
        <w:ind w:right="106"/>
        <w:rPr>
          <w:sz w:val="20"/>
          <w:szCs w:val="20"/>
        </w:rPr>
      </w:pPr>
      <w:r>
        <w:rPr>
          <w:rFonts w:eastAsia="Times New Roman"/>
          <w:sz w:val="24"/>
          <w:szCs w:val="24"/>
        </w:rPr>
        <w:t>practitioners to identify those individuals who are unlikely to engage and require preparatory intervention (Casey, Day, Howells &amp; Ward, 2007). Derived from the in</w:t>
      </w:r>
      <w:r>
        <w:rPr>
          <w:rFonts w:eastAsia="Times New Roman"/>
          <w:sz w:val="24"/>
          <w:szCs w:val="24"/>
        </w:rPr>
        <w:t>ternal factors of the MORM, the Corrections Victoria Treatment Readiness Questionnaire (CVTRQ) would appear, based on the outcome of this review, to reflect factors which offenders themselves perceive to impact their treatment readiness. However, validatio</w:t>
      </w:r>
      <w:r>
        <w:rPr>
          <w:rFonts w:eastAsia="Times New Roman"/>
          <w:sz w:val="24"/>
          <w:szCs w:val="24"/>
        </w:rPr>
        <w:t>n of this tool is limited to male offenders referred to a cognitive skills programme delivered in community and prison settings in Victoria, Australia. Validation of this tool amongst both male and females in varying offender groups, as well as with differ</w:t>
      </w:r>
      <w:r>
        <w:rPr>
          <w:rFonts w:eastAsia="Times New Roman"/>
          <w:sz w:val="24"/>
          <w:szCs w:val="24"/>
        </w:rPr>
        <w:t>ent types of intervention is required before it can be accurately used to assess suitability for treatment (Casey et al., 2007).</w:t>
      </w:r>
    </w:p>
    <w:p w:rsidR="000C2ED5" w:rsidRDefault="000C2ED5">
      <w:pPr>
        <w:spacing w:line="15" w:lineRule="exact"/>
        <w:rPr>
          <w:sz w:val="20"/>
          <w:szCs w:val="20"/>
        </w:rPr>
      </w:pPr>
    </w:p>
    <w:p w:rsidR="000C2ED5" w:rsidRDefault="00485212">
      <w:pPr>
        <w:rPr>
          <w:sz w:val="20"/>
          <w:szCs w:val="20"/>
        </w:rPr>
      </w:pPr>
      <w:r>
        <w:rPr>
          <w:rFonts w:eastAsia="Times New Roman"/>
          <w:b/>
          <w:bCs/>
          <w:sz w:val="24"/>
          <w:szCs w:val="24"/>
        </w:rPr>
        <w:t>Implications for Practice</w:t>
      </w:r>
    </w:p>
    <w:p w:rsidR="000C2ED5" w:rsidRDefault="000C2ED5">
      <w:pPr>
        <w:spacing w:line="283" w:lineRule="exact"/>
        <w:rPr>
          <w:sz w:val="20"/>
          <w:szCs w:val="20"/>
        </w:rPr>
      </w:pPr>
    </w:p>
    <w:p w:rsidR="000C2ED5" w:rsidRDefault="00485212">
      <w:pPr>
        <w:spacing w:line="500" w:lineRule="auto"/>
        <w:ind w:right="186" w:firstLine="720"/>
        <w:rPr>
          <w:sz w:val="20"/>
          <w:szCs w:val="20"/>
        </w:rPr>
      </w:pPr>
      <w:r>
        <w:rPr>
          <w:rFonts w:eastAsia="Times New Roman"/>
          <w:sz w:val="23"/>
          <w:szCs w:val="23"/>
        </w:rPr>
        <w:t>The review highlights several implications for practice. First, the findings revealed that for some</w:t>
      </w:r>
      <w:r>
        <w:rPr>
          <w:rFonts w:eastAsia="Times New Roman"/>
          <w:sz w:val="23"/>
          <w:szCs w:val="23"/>
        </w:rPr>
        <w:t xml:space="preserve"> offenders, failure to detach themselves from their previous criminal lifestyle/identity negatively impacted on their engagement in treatment because achieving rehabilitation was not considered a personal goal (McGrain, 2006; Polascheck, 2010; Tetley et al</w:t>
      </w:r>
      <w:r>
        <w:rPr>
          <w:rFonts w:eastAsia="Times New Roman"/>
          <w:sz w:val="23"/>
          <w:szCs w:val="23"/>
        </w:rPr>
        <w:t>., 2012). Specifically within the context of secure hospitals, assisting clients to perceive themselves as “patients” rather than “criminals” or “prisoners” may help such individuals to detach from their previous criminal lifestyle and goals and instead wo</w:t>
      </w:r>
      <w:r>
        <w:rPr>
          <w:rFonts w:eastAsia="Times New Roman"/>
          <w:sz w:val="23"/>
          <w:szCs w:val="23"/>
        </w:rPr>
        <w:t>rk towards rehabilitation with the aim of pursuing a prosocial life. Engaging clients in such work prior to offence-focused treatment, is likely to ensure their personal goals are in accordance with those set by the treatment programme and thus increase mo</w:t>
      </w:r>
      <w:r>
        <w:rPr>
          <w:rFonts w:eastAsia="Times New Roman"/>
          <w:sz w:val="23"/>
          <w:szCs w:val="23"/>
        </w:rPr>
        <w:t>tivation to engage.</w:t>
      </w:r>
    </w:p>
    <w:p w:rsidR="000C2ED5" w:rsidRDefault="000C2ED5">
      <w:pPr>
        <w:spacing w:line="10" w:lineRule="exact"/>
        <w:rPr>
          <w:sz w:val="20"/>
          <w:szCs w:val="20"/>
        </w:rPr>
      </w:pPr>
    </w:p>
    <w:p w:rsidR="000C2ED5" w:rsidRDefault="00485212">
      <w:pPr>
        <w:spacing w:line="477" w:lineRule="auto"/>
        <w:ind w:right="106" w:firstLine="720"/>
        <w:rPr>
          <w:sz w:val="20"/>
          <w:szCs w:val="20"/>
        </w:rPr>
      </w:pPr>
      <w:r>
        <w:rPr>
          <w:rFonts w:eastAsia="Times New Roman"/>
          <w:sz w:val="24"/>
          <w:szCs w:val="24"/>
        </w:rPr>
        <w:t>Furthermore, the findings revealed that, for some individuals, negative perceptions of treatment were influenced by their inaccurate assumptions of the treatment experience. Whilst some participants perceived treatment negatively due t</w:t>
      </w:r>
      <w:r>
        <w:rPr>
          <w:rFonts w:eastAsia="Times New Roman"/>
          <w:sz w:val="24"/>
          <w:szCs w:val="24"/>
        </w:rPr>
        <w:t>o aversive past experiences, be it their own (Mason &amp; Adler, 2012; Tetley et al., 2012) or others (Mann et al., 2013), others failed to perceive the treatment being offered as comprehensive due to a disparity between</w:t>
      </w:r>
    </w:p>
    <w:p w:rsidR="000C2ED5" w:rsidRDefault="000C2ED5">
      <w:pPr>
        <w:spacing w:line="392" w:lineRule="exact"/>
        <w:rPr>
          <w:sz w:val="20"/>
          <w:szCs w:val="20"/>
        </w:rPr>
      </w:pPr>
    </w:p>
    <w:p w:rsidR="000C2ED5" w:rsidRDefault="00485212">
      <w:pPr>
        <w:ind w:right="6"/>
        <w:jc w:val="right"/>
        <w:rPr>
          <w:sz w:val="20"/>
          <w:szCs w:val="20"/>
        </w:rPr>
      </w:pPr>
      <w:r>
        <w:rPr>
          <w:rFonts w:eastAsia="Times New Roman"/>
        </w:rPr>
        <w:t>30</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1" w:name="page32"/>
      <w:bookmarkEnd w:id="31"/>
      <w:r>
        <w:rPr>
          <w:rFonts w:eastAsia="Times New Roman"/>
          <w:sz w:val="24"/>
          <w:szCs w:val="24"/>
        </w:rPr>
        <w:lastRenderedPageBreak/>
        <w:t xml:space="preserve">Treatment </w:t>
      </w:r>
      <w:r>
        <w:rPr>
          <w:rFonts w:eastAsia="Times New Roman"/>
          <w:sz w:val="24"/>
          <w:szCs w:val="24"/>
        </w:rPr>
        <w:t>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8" w:lineRule="auto"/>
        <w:ind w:right="66"/>
        <w:rPr>
          <w:sz w:val="20"/>
          <w:szCs w:val="20"/>
        </w:rPr>
      </w:pPr>
      <w:r>
        <w:rPr>
          <w:rFonts w:eastAsia="Times New Roman"/>
          <w:sz w:val="24"/>
          <w:szCs w:val="24"/>
        </w:rPr>
        <w:t>their ideal preconception of treatment and the treatment being offered (McCorkel et al., 1998). As positive perceptions of treatment were noted to facilitate treatment engagement (Mason &amp; Adler, 2012; McGra</w:t>
      </w:r>
      <w:r>
        <w:rPr>
          <w:rFonts w:eastAsia="Times New Roman"/>
          <w:sz w:val="24"/>
          <w:szCs w:val="24"/>
        </w:rPr>
        <w:t>in, 2006; McMurran &amp; McCulloch, 2007; Tetley et al., 2012; Strauss &amp; Falkin, 2000), engaging offenders in preparatory work, aimed at increasing their understanding of the aims of treatment, what it involves and the evidence base behind it, may alleviate ne</w:t>
      </w:r>
      <w:r>
        <w:rPr>
          <w:rFonts w:eastAsia="Times New Roman"/>
          <w:sz w:val="24"/>
          <w:szCs w:val="24"/>
        </w:rPr>
        <w:t>gative preconceptions and encourage engagement (Kozar, 2010). Such preparatory work would also allow practitioners to assess clients’ treatment readiness, learning style and level of ability in order to identify areas of need and ensure matters of responsi</w:t>
      </w:r>
      <w:r>
        <w:rPr>
          <w:rFonts w:eastAsia="Times New Roman"/>
          <w:sz w:val="24"/>
          <w:szCs w:val="24"/>
        </w:rPr>
        <w:t>vity can be addressed.</w:t>
      </w:r>
    </w:p>
    <w:p w:rsidR="000C2ED5" w:rsidRDefault="000C2ED5">
      <w:pPr>
        <w:spacing w:line="22" w:lineRule="exact"/>
        <w:rPr>
          <w:sz w:val="20"/>
          <w:szCs w:val="20"/>
        </w:rPr>
      </w:pPr>
    </w:p>
    <w:p w:rsidR="000C2ED5" w:rsidRDefault="00485212">
      <w:pPr>
        <w:spacing w:line="479" w:lineRule="auto"/>
        <w:ind w:right="46" w:firstLine="720"/>
        <w:rPr>
          <w:sz w:val="20"/>
          <w:szCs w:val="20"/>
        </w:rPr>
      </w:pPr>
      <w:r>
        <w:rPr>
          <w:rFonts w:eastAsia="Times New Roman"/>
          <w:sz w:val="24"/>
          <w:szCs w:val="24"/>
        </w:rPr>
        <w:t>Furthermore, it was highlighted in the review that engagement in treatment was strongly precipitated by the realisation of the need to change and pursue a more prosocial lifestyle. Engaging clients in brief interventions, such as mo</w:t>
      </w:r>
      <w:r>
        <w:rPr>
          <w:rFonts w:eastAsia="Times New Roman"/>
          <w:sz w:val="24"/>
          <w:szCs w:val="24"/>
        </w:rPr>
        <w:t>tivational interviewing, has not only been noted to increase readiness to change and self-efficacy (McMurran, 2002), but also reduce treatment attrition and recidivism (McMurran, 2009). Additionally, the findings of the review highlighted the importance of</w:t>
      </w:r>
      <w:r>
        <w:rPr>
          <w:rFonts w:eastAsia="Times New Roman"/>
          <w:sz w:val="24"/>
          <w:szCs w:val="24"/>
        </w:rPr>
        <w:t xml:space="preserve"> future goals upon offender engagement in treatment (Drapeau et al., 2005; McCorkel et al., 2007; McGrain, 2006; Long et al., 2012; Sainsbury et al., 2004; Sheldon et al., 2010; Tetley at el., 2012; Strauss &amp; Falkin, 2000) and the subsequent negative impac</w:t>
      </w:r>
      <w:r>
        <w:rPr>
          <w:rFonts w:eastAsia="Times New Roman"/>
          <w:sz w:val="24"/>
          <w:szCs w:val="24"/>
        </w:rPr>
        <w:t>t of perceived coercion (Mason &amp; Adler, 2012; McGrain, 2006; Strauss &amp; Falkin, 2000). It is well documented that individuals are more likely to strive to achieve goals they set themselves as opposed to those set by others (Deci &amp; Ryan, 2000). Thus practiti</w:t>
      </w:r>
      <w:r>
        <w:rPr>
          <w:rFonts w:eastAsia="Times New Roman"/>
          <w:sz w:val="24"/>
          <w:szCs w:val="24"/>
        </w:rPr>
        <w:t xml:space="preserve">oners should aim to work collaboratively with clients to establish prosocial goals and guide offenders to the realisation that such goals can be achieved via engagement in treatment (McMurran, 2010). This will not only allow clients to have ownership over </w:t>
      </w:r>
      <w:r>
        <w:rPr>
          <w:rFonts w:eastAsia="Times New Roman"/>
          <w:sz w:val="24"/>
          <w:szCs w:val="24"/>
        </w:rPr>
        <w:t>their own goals, but also ensure they are in accordance with those of the treatment being offered,</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45" w:lineRule="exact"/>
        <w:rPr>
          <w:sz w:val="20"/>
          <w:szCs w:val="20"/>
        </w:rPr>
      </w:pPr>
    </w:p>
    <w:p w:rsidR="000C2ED5" w:rsidRDefault="00485212">
      <w:pPr>
        <w:ind w:right="6"/>
        <w:jc w:val="right"/>
        <w:rPr>
          <w:sz w:val="20"/>
          <w:szCs w:val="20"/>
        </w:rPr>
      </w:pPr>
      <w:r>
        <w:rPr>
          <w:rFonts w:eastAsia="Times New Roman"/>
        </w:rPr>
        <w:t>31</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2" w:name="page33"/>
      <w:bookmarkEnd w:id="32"/>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69" w:lineRule="auto"/>
        <w:ind w:right="226"/>
        <w:rPr>
          <w:sz w:val="20"/>
          <w:szCs w:val="20"/>
        </w:rPr>
      </w:pPr>
      <w:r>
        <w:rPr>
          <w:rFonts w:eastAsia="Times New Roman"/>
          <w:sz w:val="24"/>
          <w:szCs w:val="24"/>
        </w:rPr>
        <w:t>preventing the likelihood of dropout due to the discrepancy between pers</w:t>
      </w:r>
      <w:r>
        <w:rPr>
          <w:rFonts w:eastAsia="Times New Roman"/>
          <w:sz w:val="24"/>
          <w:szCs w:val="24"/>
        </w:rPr>
        <w:t>onal and treatment goals.</w:t>
      </w:r>
    </w:p>
    <w:p w:rsidR="000C2ED5" w:rsidRDefault="000C2ED5">
      <w:pPr>
        <w:spacing w:line="26" w:lineRule="exact"/>
        <w:rPr>
          <w:sz w:val="20"/>
          <w:szCs w:val="20"/>
        </w:rPr>
      </w:pPr>
    </w:p>
    <w:p w:rsidR="000C2ED5" w:rsidRDefault="00485212">
      <w:pPr>
        <w:spacing w:line="479" w:lineRule="auto"/>
        <w:ind w:right="6" w:firstLine="720"/>
        <w:rPr>
          <w:sz w:val="20"/>
          <w:szCs w:val="20"/>
        </w:rPr>
      </w:pPr>
      <w:r>
        <w:rPr>
          <w:rFonts w:eastAsia="Times New Roman"/>
          <w:sz w:val="24"/>
          <w:szCs w:val="24"/>
        </w:rPr>
        <w:t xml:space="preserve">The negotiation and agreement of goals between a therapist and a client is reported to be essential for the development of a therapeutic alliance (McMurran, 2010). In line with existing research, this review highlighted the </w:t>
      </w:r>
      <w:r>
        <w:rPr>
          <w:rFonts w:eastAsia="Times New Roman"/>
          <w:sz w:val="24"/>
          <w:szCs w:val="24"/>
        </w:rPr>
        <w:t xml:space="preserve">importance of the therapeutic alliance and subsequent perception of external support in facilitating treatment engagement within an offending population (Kozar, 2010; Ward et al., 2004). With research suggesting the therapeutic alliance can accentuate the </w:t>
      </w:r>
      <w:r>
        <w:rPr>
          <w:rFonts w:eastAsia="Times New Roman"/>
          <w:sz w:val="24"/>
          <w:szCs w:val="24"/>
        </w:rPr>
        <w:t xml:space="preserve">positive outcomes of treatment (Arnow et al., 2013; Meier, Barrowclough &amp; Donmall, 2005; Polaschek &amp; Ross, 2010) and increase motivation to change and pursue goals (Meier et al., 2005; Polaschek &amp; Ross, 2010), practitioners should strive to establish such </w:t>
      </w:r>
      <w:r>
        <w:rPr>
          <w:rFonts w:eastAsia="Times New Roman"/>
          <w:sz w:val="24"/>
          <w:szCs w:val="24"/>
        </w:rPr>
        <w:t>a relationship early on in an offender’s treatment pathway. Once established, the therapeutic alliance should be used in a “motivationally-supportive way” to encourage an individual’s progress through the various stages of change in an attempt to encourage</w:t>
      </w:r>
      <w:r>
        <w:rPr>
          <w:rFonts w:eastAsia="Times New Roman"/>
          <w:sz w:val="24"/>
          <w:szCs w:val="24"/>
        </w:rPr>
        <w:t xml:space="preserve"> engagement in treatment (p. 108, Polaschek &amp; Ross, 2010) and facilitate therapeutic change (Kozar, 2010). Establishing a therapeutic relationship prior to treatment engagement would appear particularly important for those professionals facilitating group </w:t>
      </w:r>
      <w:r>
        <w:rPr>
          <w:rFonts w:eastAsia="Times New Roman"/>
          <w:sz w:val="24"/>
          <w:szCs w:val="24"/>
        </w:rPr>
        <w:t>programmes as offenders are often reported to be treatment resistant, hostile and non-complaint, especially in the early stages of intervention (Day et al., 2010). With research suggesting such behaviour can negatively affect staff engagement with group me</w:t>
      </w:r>
      <w:r>
        <w:rPr>
          <w:rFonts w:eastAsia="Times New Roman"/>
          <w:sz w:val="24"/>
          <w:szCs w:val="24"/>
        </w:rPr>
        <w:t xml:space="preserve">mbers, for example not addressing violent behaviour or becoming overly reactive or punitive, increasing treatment readiness through the development of a therapeutic relationship prior to intervention would appear imperative (Day et al., 2010; Kozar &amp; Day, </w:t>
      </w:r>
      <w:r>
        <w:rPr>
          <w:rFonts w:eastAsia="Times New Roman"/>
          <w:sz w:val="24"/>
          <w:szCs w:val="24"/>
        </w:rPr>
        <w:t>2009 as cited in Day et al., 2010).</w:t>
      </w:r>
    </w:p>
    <w:p w:rsidR="000C2ED5" w:rsidRDefault="000C2ED5">
      <w:pPr>
        <w:spacing w:line="27" w:lineRule="exact"/>
        <w:rPr>
          <w:sz w:val="20"/>
          <w:szCs w:val="20"/>
        </w:rPr>
      </w:pPr>
    </w:p>
    <w:p w:rsidR="000C2ED5" w:rsidRDefault="00485212">
      <w:pPr>
        <w:spacing w:line="500" w:lineRule="auto"/>
        <w:ind w:right="166" w:firstLine="720"/>
        <w:rPr>
          <w:sz w:val="20"/>
          <w:szCs w:val="20"/>
        </w:rPr>
      </w:pPr>
      <w:r>
        <w:rPr>
          <w:rFonts w:eastAsia="Times New Roman"/>
          <w:sz w:val="23"/>
          <w:szCs w:val="23"/>
        </w:rPr>
        <w:t>Finally, the review highlighted the importance of internalised feelings of safety upon treatment engagement (Breckon et al., 2013; Drapeau et al., 2005; Mann et al., 2013; Mason</w:t>
      </w:r>
    </w:p>
    <w:p w:rsidR="000C2ED5" w:rsidRDefault="000C2ED5">
      <w:pPr>
        <w:spacing w:line="376" w:lineRule="exact"/>
        <w:rPr>
          <w:sz w:val="20"/>
          <w:szCs w:val="20"/>
        </w:rPr>
      </w:pPr>
    </w:p>
    <w:p w:rsidR="000C2ED5" w:rsidRDefault="00485212">
      <w:pPr>
        <w:ind w:right="6"/>
        <w:jc w:val="right"/>
        <w:rPr>
          <w:sz w:val="20"/>
          <w:szCs w:val="20"/>
        </w:rPr>
      </w:pPr>
      <w:r>
        <w:rPr>
          <w:rFonts w:eastAsia="Times New Roman"/>
        </w:rPr>
        <w:t>32</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3" w:name="page34"/>
      <w:bookmarkEnd w:id="33"/>
      <w:r>
        <w:rPr>
          <w:rFonts w:eastAsia="Times New Roman"/>
          <w:sz w:val="24"/>
          <w:szCs w:val="24"/>
        </w:rPr>
        <w:lastRenderedPageBreak/>
        <w:t>Treatment Engagemen</w:t>
      </w:r>
      <w:r>
        <w:rPr>
          <w:rFonts w:eastAsia="Times New Roman"/>
          <w:sz w:val="24"/>
          <w:szCs w:val="24"/>
        </w:rPr>
        <w:t>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numPr>
          <w:ilvl w:val="0"/>
          <w:numId w:val="8"/>
        </w:numPr>
        <w:tabs>
          <w:tab w:val="left" w:pos="245"/>
        </w:tabs>
        <w:spacing w:line="469" w:lineRule="auto"/>
        <w:ind w:right="206"/>
        <w:jc w:val="both"/>
        <w:rPr>
          <w:rFonts w:eastAsia="Times New Roman"/>
          <w:sz w:val="24"/>
          <w:szCs w:val="24"/>
        </w:rPr>
      </w:pPr>
      <w:r>
        <w:rPr>
          <w:rFonts w:eastAsia="Times New Roman"/>
          <w:sz w:val="24"/>
          <w:szCs w:val="24"/>
        </w:rPr>
        <w:t>Adler, 2012; Polascheck, 2010; Tetley et al., 2012). According to Maslow’s Hierarchy of Needs (1943), safety is a basic human need and therefore it is not surprising that offenders’</w:t>
      </w:r>
    </w:p>
    <w:p w:rsidR="000C2ED5" w:rsidRDefault="000C2ED5">
      <w:pPr>
        <w:spacing w:line="26" w:lineRule="exact"/>
        <w:rPr>
          <w:sz w:val="20"/>
          <w:szCs w:val="20"/>
        </w:rPr>
      </w:pPr>
    </w:p>
    <w:p w:rsidR="000C2ED5" w:rsidRDefault="00485212">
      <w:pPr>
        <w:spacing w:line="476" w:lineRule="auto"/>
        <w:ind w:right="186"/>
        <w:rPr>
          <w:sz w:val="20"/>
          <w:szCs w:val="20"/>
        </w:rPr>
      </w:pPr>
      <w:r>
        <w:rPr>
          <w:rFonts w:eastAsia="Times New Roman"/>
          <w:sz w:val="24"/>
          <w:szCs w:val="24"/>
        </w:rPr>
        <w:t>perception of safety would impac</w:t>
      </w:r>
      <w:r>
        <w:rPr>
          <w:rFonts w:eastAsia="Times New Roman"/>
          <w:sz w:val="24"/>
          <w:szCs w:val="24"/>
        </w:rPr>
        <w:t>t upon treatment engagement and ultimately the refusal of treatment (Mann et al., 2013). It is vital that all staff working with offenders feel able to manage challenging behaviour appropriately, in order to promote feelings of safety amongst others.</w:t>
      </w:r>
    </w:p>
    <w:p w:rsidR="000C2ED5" w:rsidRDefault="000C2ED5">
      <w:pPr>
        <w:spacing w:line="11" w:lineRule="exact"/>
        <w:rPr>
          <w:sz w:val="20"/>
          <w:szCs w:val="20"/>
        </w:rPr>
      </w:pPr>
    </w:p>
    <w:p w:rsidR="000C2ED5" w:rsidRDefault="00485212">
      <w:pPr>
        <w:rPr>
          <w:sz w:val="20"/>
          <w:szCs w:val="20"/>
        </w:rPr>
      </w:pPr>
      <w:r>
        <w:rPr>
          <w:rFonts w:eastAsia="Times New Roman"/>
          <w:b/>
          <w:bCs/>
          <w:sz w:val="24"/>
          <w:szCs w:val="24"/>
        </w:rPr>
        <w:t>Conc</w:t>
      </w:r>
      <w:r>
        <w:rPr>
          <w:rFonts w:eastAsia="Times New Roman"/>
          <w:b/>
          <w:bCs/>
          <w:sz w:val="24"/>
          <w:szCs w:val="24"/>
        </w:rPr>
        <w:t>lusion</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36" w:lineRule="exact"/>
        <w:rPr>
          <w:sz w:val="20"/>
          <w:szCs w:val="20"/>
        </w:rPr>
      </w:pPr>
    </w:p>
    <w:p w:rsidR="000C2ED5" w:rsidRDefault="00485212">
      <w:pPr>
        <w:spacing w:line="479" w:lineRule="auto"/>
        <w:ind w:right="26" w:firstLine="720"/>
        <w:rPr>
          <w:sz w:val="20"/>
          <w:szCs w:val="20"/>
        </w:rPr>
      </w:pPr>
      <w:r>
        <w:rPr>
          <w:rFonts w:eastAsia="Times New Roman"/>
          <w:sz w:val="24"/>
          <w:szCs w:val="24"/>
        </w:rPr>
        <w:t xml:space="preserve">Overall, despite the limitations discussed, the current review provides a unique insight into factors which impact upon offender treatment readiness. Findings from the review highlight that engagement in treatment is not solely the </w:t>
      </w:r>
      <w:r>
        <w:rPr>
          <w:rFonts w:eastAsia="Times New Roman"/>
          <w:sz w:val="24"/>
          <w:szCs w:val="24"/>
        </w:rPr>
        <w:t>responsibility of the offender and their motivation to change but the organisation in which they reside. In the absence of professional, competent and supportive staff, working in a safe environment equipped with all the necessary resources, even those ind</w:t>
      </w:r>
      <w:r>
        <w:rPr>
          <w:rFonts w:eastAsia="Times New Roman"/>
          <w:sz w:val="24"/>
          <w:szCs w:val="24"/>
        </w:rPr>
        <w:t>ividuals who are motivated to change may fail to do so. The findings from the review emphasise the importance of investing time and building a therapeutic alliance with clients, prior to engaging them in treatment, if attrition is to be avoided. Such an in</w:t>
      </w:r>
      <w:r>
        <w:rPr>
          <w:rFonts w:eastAsia="Times New Roman"/>
          <w:sz w:val="24"/>
          <w:szCs w:val="24"/>
        </w:rPr>
        <w:t>vestment is likely to reduce negative affect precipitated by both the treatment programme being offered and the environment and instead increase feelings of support, self-efficacy and control, which, as indicated by those participants included in the revie</w:t>
      </w:r>
      <w:r>
        <w:rPr>
          <w:rFonts w:eastAsia="Times New Roman"/>
          <w:sz w:val="24"/>
          <w:szCs w:val="24"/>
        </w:rPr>
        <w:t>w, is important for treatment engagement.</w:t>
      </w:r>
    </w:p>
    <w:p w:rsidR="000C2ED5" w:rsidRDefault="000C2ED5">
      <w:pPr>
        <w:spacing w:line="15" w:lineRule="exact"/>
        <w:rPr>
          <w:sz w:val="20"/>
          <w:szCs w:val="20"/>
        </w:rPr>
      </w:pPr>
    </w:p>
    <w:p w:rsidR="000C2ED5" w:rsidRDefault="00485212">
      <w:pPr>
        <w:spacing w:line="500" w:lineRule="auto"/>
        <w:ind w:right="26" w:firstLine="720"/>
        <w:rPr>
          <w:sz w:val="20"/>
          <w:szCs w:val="20"/>
        </w:rPr>
      </w:pPr>
      <w:r>
        <w:rPr>
          <w:rFonts w:eastAsia="Times New Roman"/>
          <w:sz w:val="23"/>
          <w:szCs w:val="23"/>
        </w:rPr>
        <w:t xml:space="preserve">Furthermore, the review also highlights the lack of consistency regarding the definition of engagement, and the implications this subsequently poses to the current field in terms of generalising the findings of </w:t>
      </w:r>
      <w:r>
        <w:rPr>
          <w:rFonts w:eastAsia="Times New Roman"/>
          <w:sz w:val="23"/>
          <w:szCs w:val="23"/>
        </w:rPr>
        <w:t>what is already considered to be a limited research area. In order for research within the area of engagement to meaningfully progress, it would appear</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31" w:lineRule="exact"/>
        <w:rPr>
          <w:sz w:val="20"/>
          <w:szCs w:val="20"/>
        </w:rPr>
      </w:pPr>
    </w:p>
    <w:p w:rsidR="000C2ED5" w:rsidRDefault="00485212">
      <w:pPr>
        <w:ind w:right="6"/>
        <w:jc w:val="right"/>
        <w:rPr>
          <w:sz w:val="20"/>
          <w:szCs w:val="20"/>
        </w:rPr>
      </w:pPr>
      <w:r>
        <w:rPr>
          <w:rFonts w:eastAsia="Times New Roman"/>
        </w:rPr>
        <w:t>33</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4" w:name="page35"/>
      <w:bookmarkEnd w:id="34"/>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69" w:lineRule="auto"/>
        <w:ind w:right="366"/>
        <w:rPr>
          <w:sz w:val="20"/>
          <w:szCs w:val="20"/>
        </w:rPr>
      </w:pPr>
      <w:r>
        <w:rPr>
          <w:rFonts w:eastAsia="Times New Roman"/>
          <w:sz w:val="24"/>
          <w:szCs w:val="24"/>
        </w:rPr>
        <w:t>vital that a more c</w:t>
      </w:r>
      <w:r>
        <w:rPr>
          <w:rFonts w:eastAsia="Times New Roman"/>
          <w:sz w:val="24"/>
          <w:szCs w:val="24"/>
        </w:rPr>
        <w:t>onsistent definition of engagement is adopted. A potential definition has subsequently been provided in this review (Tetley et al., 2011).</w:t>
      </w:r>
    </w:p>
    <w:p w:rsidR="000C2ED5" w:rsidRDefault="000C2ED5">
      <w:pPr>
        <w:spacing w:line="26" w:lineRule="exact"/>
        <w:rPr>
          <w:sz w:val="20"/>
          <w:szCs w:val="20"/>
        </w:rPr>
      </w:pPr>
    </w:p>
    <w:p w:rsidR="000C2ED5" w:rsidRDefault="00485212">
      <w:pPr>
        <w:spacing w:line="478" w:lineRule="auto"/>
        <w:ind w:right="6" w:firstLine="720"/>
        <w:rPr>
          <w:sz w:val="20"/>
          <w:szCs w:val="20"/>
        </w:rPr>
      </w:pPr>
      <w:r>
        <w:rPr>
          <w:rFonts w:eastAsia="Times New Roman"/>
          <w:sz w:val="24"/>
          <w:szCs w:val="24"/>
        </w:rPr>
        <w:t>Consequently, the current review provides support for the MORM and its applicability amongst adult offenders, both w</w:t>
      </w:r>
      <w:r>
        <w:rPr>
          <w:rFonts w:eastAsia="Times New Roman"/>
          <w:sz w:val="24"/>
          <w:szCs w:val="24"/>
        </w:rPr>
        <w:t>ith secure hospital and prison settings. However, it should be noted that a number of additional factors, both internal and external, were also identified. Whilst the additional internal factors appeared to be specific to those individuals with PD, the add</w:t>
      </w:r>
      <w:r>
        <w:rPr>
          <w:rFonts w:eastAsia="Times New Roman"/>
          <w:sz w:val="24"/>
          <w:szCs w:val="24"/>
        </w:rPr>
        <w:t xml:space="preserve">itional external factors identified, including exclusion by staff and transfer to another facility appeared to be endorsed across several studies. Based on the findings of the review, adapting the MORM to include such external factors is likely to provide </w:t>
      </w:r>
      <w:r>
        <w:rPr>
          <w:rFonts w:eastAsia="Times New Roman"/>
          <w:sz w:val="24"/>
          <w:szCs w:val="24"/>
        </w:rPr>
        <w:t>a more comprehensive model of treatment engagement for offenders as a whole.</w:t>
      </w:r>
    </w:p>
    <w:p w:rsidR="000C2ED5" w:rsidRDefault="000C2ED5">
      <w:pPr>
        <w:spacing w:line="19" w:lineRule="exact"/>
        <w:rPr>
          <w:sz w:val="20"/>
          <w:szCs w:val="20"/>
        </w:rPr>
      </w:pPr>
    </w:p>
    <w:p w:rsidR="000C2ED5" w:rsidRDefault="00485212">
      <w:pPr>
        <w:spacing w:line="476" w:lineRule="auto"/>
        <w:ind w:right="246" w:firstLine="1440"/>
        <w:jc w:val="both"/>
        <w:rPr>
          <w:sz w:val="20"/>
          <w:szCs w:val="20"/>
        </w:rPr>
      </w:pPr>
      <w:r>
        <w:rPr>
          <w:rFonts w:eastAsia="Times New Roman"/>
          <w:sz w:val="24"/>
          <w:szCs w:val="24"/>
        </w:rPr>
        <w:t>Finally, as highlighted by the current review, research exploring reasons for and against engaging in treatment from the perspective of the offender is sparse. If dropout and ult</w:t>
      </w:r>
      <w:r>
        <w:rPr>
          <w:rFonts w:eastAsia="Times New Roman"/>
          <w:sz w:val="24"/>
          <w:szCs w:val="24"/>
        </w:rPr>
        <w:t>imately recidivism are to be prevented then it would appear vital that the opinions of those at whom intervention is targeted are listened to.</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65" w:lineRule="exact"/>
        <w:rPr>
          <w:sz w:val="20"/>
          <w:szCs w:val="20"/>
        </w:rPr>
      </w:pPr>
    </w:p>
    <w:p w:rsidR="000C2ED5" w:rsidRDefault="00485212">
      <w:pPr>
        <w:ind w:right="6"/>
        <w:jc w:val="right"/>
        <w:rPr>
          <w:sz w:val="20"/>
          <w:szCs w:val="20"/>
        </w:rPr>
      </w:pPr>
      <w:r>
        <w:rPr>
          <w:rFonts w:eastAsia="Times New Roman"/>
        </w:rPr>
        <w:t>34</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5" w:name="page36"/>
      <w:bookmarkEnd w:id="35"/>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13" w:lineRule="exact"/>
        <w:rPr>
          <w:sz w:val="20"/>
          <w:szCs w:val="20"/>
        </w:rPr>
      </w:pPr>
    </w:p>
    <w:p w:rsidR="000C2ED5" w:rsidRDefault="00485212">
      <w:pPr>
        <w:ind w:left="4320"/>
        <w:rPr>
          <w:sz w:val="20"/>
          <w:szCs w:val="20"/>
        </w:rPr>
      </w:pPr>
      <w:r>
        <w:rPr>
          <w:rFonts w:eastAsia="Times New Roman"/>
          <w:b/>
          <w:bCs/>
          <w:sz w:val="24"/>
          <w:szCs w:val="24"/>
        </w:rPr>
        <w:t>References</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51" w:lineRule="exact"/>
        <w:rPr>
          <w:sz w:val="20"/>
          <w:szCs w:val="20"/>
        </w:rPr>
      </w:pPr>
    </w:p>
    <w:p w:rsidR="000C2ED5" w:rsidRDefault="00485212">
      <w:pPr>
        <w:rPr>
          <w:sz w:val="20"/>
          <w:szCs w:val="20"/>
        </w:rPr>
      </w:pPr>
      <w:r>
        <w:rPr>
          <w:rFonts w:eastAsia="Times New Roman"/>
          <w:sz w:val="24"/>
          <w:szCs w:val="24"/>
        </w:rPr>
        <w:t xml:space="preserve">Andrews, D. A. &amp; Bonta, J. (2003). </w:t>
      </w:r>
      <w:r>
        <w:rPr>
          <w:rFonts w:eastAsia="Times New Roman"/>
          <w:i/>
          <w:iCs/>
          <w:sz w:val="24"/>
          <w:szCs w:val="24"/>
        </w:rPr>
        <w:t>The psychology of criminal conduct</w:t>
      </w:r>
      <w:r>
        <w:rPr>
          <w:rFonts w:eastAsia="Times New Roman"/>
          <w:sz w:val="24"/>
          <w:szCs w:val="24"/>
        </w:rPr>
        <w:t>. (3rd ed.) Cincinnati:</w:t>
      </w:r>
    </w:p>
    <w:p w:rsidR="000C2ED5" w:rsidRDefault="000C2ED5">
      <w:pPr>
        <w:spacing w:line="276" w:lineRule="exact"/>
        <w:rPr>
          <w:sz w:val="20"/>
          <w:szCs w:val="20"/>
        </w:rPr>
      </w:pPr>
    </w:p>
    <w:p w:rsidR="000C2ED5" w:rsidRDefault="00485212">
      <w:pPr>
        <w:ind w:left="700"/>
        <w:rPr>
          <w:sz w:val="20"/>
          <w:szCs w:val="20"/>
        </w:rPr>
      </w:pPr>
      <w:r>
        <w:rPr>
          <w:rFonts w:eastAsia="Times New Roman"/>
          <w:sz w:val="24"/>
          <w:szCs w:val="24"/>
        </w:rPr>
        <w:t>Anderson.</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Andrews, D. A., Bonta, J., &amp; Hodge, J. E. (1990). Classification for effective rehabilitation:</w:t>
      </w:r>
    </w:p>
    <w:p w:rsidR="000C2ED5" w:rsidRDefault="000C2ED5">
      <w:pPr>
        <w:spacing w:line="276" w:lineRule="exact"/>
        <w:rPr>
          <w:sz w:val="20"/>
          <w:szCs w:val="20"/>
        </w:rPr>
      </w:pPr>
    </w:p>
    <w:p w:rsidR="000C2ED5" w:rsidRDefault="00485212">
      <w:pPr>
        <w:ind w:left="720"/>
        <w:rPr>
          <w:sz w:val="20"/>
          <w:szCs w:val="20"/>
        </w:rPr>
      </w:pPr>
      <w:r>
        <w:rPr>
          <w:rFonts w:eastAsia="Times New Roman"/>
          <w:sz w:val="24"/>
          <w:szCs w:val="24"/>
        </w:rPr>
        <w:t xml:space="preserve">Rediscovering psychology. </w:t>
      </w:r>
      <w:r>
        <w:rPr>
          <w:rFonts w:eastAsia="Times New Roman"/>
          <w:i/>
          <w:iCs/>
          <w:sz w:val="24"/>
          <w:szCs w:val="24"/>
        </w:rPr>
        <w:t>Criminal Jus</w:t>
      </w:r>
      <w:r>
        <w:rPr>
          <w:rFonts w:eastAsia="Times New Roman"/>
          <w:i/>
          <w:iCs/>
          <w:sz w:val="24"/>
          <w:szCs w:val="24"/>
        </w:rPr>
        <w:t>tice and Behavior, 17,</w:t>
      </w:r>
      <w:r>
        <w:rPr>
          <w:rFonts w:eastAsia="Times New Roman"/>
          <w:sz w:val="24"/>
          <w:szCs w:val="24"/>
        </w:rPr>
        <w:t xml:space="preserve"> 19-52.</w:t>
      </w:r>
    </w:p>
    <w:p w:rsidR="000C2ED5" w:rsidRDefault="000C2ED5">
      <w:pPr>
        <w:spacing w:line="288" w:lineRule="exact"/>
        <w:rPr>
          <w:sz w:val="20"/>
          <w:szCs w:val="20"/>
        </w:rPr>
      </w:pPr>
    </w:p>
    <w:p w:rsidR="000C2ED5" w:rsidRDefault="00485212">
      <w:pPr>
        <w:spacing w:line="478" w:lineRule="auto"/>
        <w:ind w:left="700" w:right="266" w:hanging="707"/>
        <w:rPr>
          <w:sz w:val="20"/>
          <w:szCs w:val="20"/>
        </w:rPr>
      </w:pPr>
      <w:r>
        <w:rPr>
          <w:rFonts w:eastAsia="Times New Roman"/>
          <w:sz w:val="24"/>
          <w:szCs w:val="24"/>
        </w:rPr>
        <w:t>Arnow, B.A., Steidtmann, D, Blasey, C., Manber, R., Constantino, M.J., D.N. Klein., Markowitz, J.C., Rothbaum, B.O., Thase, M.E., Fisher, A.J. &amp; Kocsis, J.H. (2013). The relationship between the therapeutic alliance and treatment outcome in two distinct ps</w:t>
      </w:r>
      <w:r>
        <w:rPr>
          <w:rFonts w:eastAsia="Times New Roman"/>
          <w:sz w:val="24"/>
          <w:szCs w:val="24"/>
        </w:rPr>
        <w:t xml:space="preserve">ychotherapies for chronic depression. </w:t>
      </w:r>
      <w:r>
        <w:rPr>
          <w:rFonts w:eastAsia="Times New Roman"/>
          <w:i/>
          <w:iCs/>
          <w:sz w:val="24"/>
          <w:szCs w:val="24"/>
        </w:rPr>
        <w:t>Journal of Consulting and Clinical</w:t>
      </w:r>
      <w:r>
        <w:rPr>
          <w:rFonts w:eastAsia="Times New Roman"/>
          <w:sz w:val="24"/>
          <w:szCs w:val="24"/>
        </w:rPr>
        <w:t xml:space="preserve"> </w:t>
      </w:r>
      <w:r>
        <w:rPr>
          <w:rFonts w:eastAsia="Times New Roman"/>
          <w:i/>
          <w:iCs/>
          <w:sz w:val="24"/>
          <w:szCs w:val="24"/>
        </w:rPr>
        <w:t xml:space="preserve">Psychology, 81, </w:t>
      </w:r>
      <w:r>
        <w:rPr>
          <w:rFonts w:eastAsia="Times New Roman"/>
          <w:sz w:val="24"/>
          <w:szCs w:val="24"/>
        </w:rPr>
        <w:t>627–</w:t>
      </w:r>
      <w:r>
        <w:rPr>
          <w:rFonts w:eastAsia="Times New Roman"/>
          <w:i/>
          <w:iCs/>
          <w:sz w:val="24"/>
          <w:szCs w:val="24"/>
        </w:rPr>
        <w:t xml:space="preserve"> </w:t>
      </w:r>
      <w:r>
        <w:rPr>
          <w:rFonts w:eastAsia="Times New Roman"/>
          <w:sz w:val="24"/>
          <w:szCs w:val="24"/>
        </w:rPr>
        <w:t>638.</w:t>
      </w:r>
    </w:p>
    <w:p w:rsidR="000C2ED5" w:rsidRDefault="000C2ED5">
      <w:pPr>
        <w:spacing w:line="212" w:lineRule="exact"/>
        <w:rPr>
          <w:sz w:val="20"/>
          <w:szCs w:val="20"/>
        </w:rPr>
      </w:pPr>
    </w:p>
    <w:p w:rsidR="000C2ED5" w:rsidRDefault="00485212">
      <w:pPr>
        <w:spacing w:line="471" w:lineRule="auto"/>
        <w:ind w:right="146"/>
        <w:jc w:val="right"/>
        <w:rPr>
          <w:sz w:val="20"/>
          <w:szCs w:val="20"/>
        </w:rPr>
      </w:pPr>
      <w:r>
        <w:rPr>
          <w:rFonts w:eastAsia="Times New Roman"/>
          <w:sz w:val="24"/>
          <w:szCs w:val="24"/>
        </w:rPr>
        <w:t xml:space="preserve">Ashford, J. B., Wong, K. W., &amp; Sternbach, K. O. (2008). Generic correctional programming for mentally ill offenders: A pilot study. </w:t>
      </w:r>
      <w:r>
        <w:rPr>
          <w:rFonts w:eastAsia="Times New Roman"/>
          <w:i/>
          <w:iCs/>
          <w:sz w:val="24"/>
          <w:szCs w:val="24"/>
        </w:rPr>
        <w:t>Criminal Justice and Beh</w:t>
      </w:r>
      <w:r>
        <w:rPr>
          <w:rFonts w:eastAsia="Times New Roman"/>
          <w:i/>
          <w:iCs/>
          <w:sz w:val="24"/>
          <w:szCs w:val="24"/>
        </w:rPr>
        <w:t>avior</w:t>
      </w:r>
      <w:r>
        <w:rPr>
          <w:rFonts w:eastAsia="Times New Roman"/>
          <w:sz w:val="24"/>
          <w:szCs w:val="24"/>
        </w:rPr>
        <w:t xml:space="preserve">, </w:t>
      </w:r>
      <w:r>
        <w:rPr>
          <w:rFonts w:eastAsia="Times New Roman"/>
          <w:i/>
          <w:iCs/>
          <w:sz w:val="24"/>
          <w:szCs w:val="24"/>
        </w:rPr>
        <w:t>35</w:t>
      </w:r>
      <w:r>
        <w:rPr>
          <w:rFonts w:eastAsia="Times New Roman"/>
          <w:sz w:val="24"/>
          <w:szCs w:val="24"/>
        </w:rPr>
        <w:t>, 457-473</w:t>
      </w:r>
    </w:p>
    <w:p w:rsidR="000C2ED5" w:rsidRDefault="000C2ED5">
      <w:pPr>
        <w:spacing w:line="220" w:lineRule="exact"/>
        <w:rPr>
          <w:sz w:val="20"/>
          <w:szCs w:val="20"/>
        </w:rPr>
      </w:pPr>
    </w:p>
    <w:p w:rsidR="000C2ED5" w:rsidRDefault="00485212">
      <w:pPr>
        <w:spacing w:line="476" w:lineRule="auto"/>
        <w:ind w:left="700" w:right="26" w:hanging="707"/>
        <w:rPr>
          <w:sz w:val="20"/>
          <w:szCs w:val="20"/>
        </w:rPr>
      </w:pPr>
      <w:r>
        <w:rPr>
          <w:rFonts w:eastAsia="Times New Roman"/>
          <w:sz w:val="24"/>
          <w:szCs w:val="24"/>
        </w:rPr>
        <w:t xml:space="preserve">Blanchette, K. &amp; Brown, S. L. (2006). The extent and nature of female offending andincarceration patterns. In K. Blanchette &amp; S. L. Brown (Eds.), </w:t>
      </w:r>
      <w:r>
        <w:rPr>
          <w:rFonts w:eastAsia="Times New Roman"/>
          <w:i/>
          <w:iCs/>
          <w:sz w:val="24"/>
          <w:szCs w:val="24"/>
        </w:rPr>
        <w:t>The Assessment and</w:t>
      </w:r>
      <w:r>
        <w:rPr>
          <w:rFonts w:eastAsia="Times New Roman"/>
          <w:sz w:val="24"/>
          <w:szCs w:val="24"/>
        </w:rPr>
        <w:t xml:space="preserve"> </w:t>
      </w:r>
      <w:r>
        <w:rPr>
          <w:rFonts w:eastAsia="Times New Roman"/>
          <w:i/>
          <w:iCs/>
          <w:sz w:val="24"/>
          <w:szCs w:val="24"/>
        </w:rPr>
        <w:t xml:space="preserve">treatment of women offenders. An integrative perspective </w:t>
      </w:r>
      <w:r>
        <w:rPr>
          <w:rFonts w:eastAsia="Times New Roman"/>
          <w:sz w:val="24"/>
          <w:szCs w:val="24"/>
        </w:rPr>
        <w:t>(pp. 1-15). En</w:t>
      </w:r>
      <w:r>
        <w:rPr>
          <w:rFonts w:eastAsia="Times New Roman"/>
          <w:sz w:val="24"/>
          <w:szCs w:val="24"/>
        </w:rPr>
        <w:t>gland: John</w:t>
      </w:r>
      <w:r>
        <w:rPr>
          <w:rFonts w:eastAsia="Times New Roman"/>
          <w:i/>
          <w:iCs/>
          <w:sz w:val="24"/>
          <w:szCs w:val="24"/>
        </w:rPr>
        <w:t xml:space="preserve"> </w:t>
      </w:r>
      <w:r>
        <w:rPr>
          <w:rFonts w:eastAsia="Times New Roman"/>
          <w:sz w:val="24"/>
          <w:szCs w:val="24"/>
        </w:rPr>
        <w:t>Wiley &amp; Sons Ltd.</w:t>
      </w:r>
    </w:p>
    <w:p w:rsidR="000C2ED5" w:rsidRDefault="000C2ED5">
      <w:pPr>
        <w:spacing w:line="19" w:lineRule="exact"/>
        <w:rPr>
          <w:sz w:val="20"/>
          <w:szCs w:val="20"/>
        </w:rPr>
      </w:pPr>
    </w:p>
    <w:p w:rsidR="000C2ED5" w:rsidRDefault="00485212">
      <w:pPr>
        <w:spacing w:line="474" w:lineRule="auto"/>
        <w:ind w:left="720" w:right="646" w:hanging="719"/>
        <w:rPr>
          <w:sz w:val="20"/>
          <w:szCs w:val="20"/>
        </w:rPr>
      </w:pPr>
      <w:r>
        <w:rPr>
          <w:rFonts w:eastAsia="Times New Roman"/>
          <w:sz w:val="24"/>
          <w:szCs w:val="24"/>
        </w:rPr>
        <w:t xml:space="preserve">*Breckon, S. E., Smith, I. C., &amp; Daiches, A. (2013). What makes offenders with an intellectual disability ready to engage with psychological therapy? A qualitative study. </w:t>
      </w:r>
      <w:r>
        <w:rPr>
          <w:rFonts w:eastAsia="Times New Roman"/>
          <w:i/>
          <w:iCs/>
          <w:sz w:val="24"/>
          <w:szCs w:val="24"/>
        </w:rPr>
        <w:t>Research in Developmental Disabilities, 34,</w:t>
      </w:r>
      <w:r>
        <w:rPr>
          <w:rFonts w:eastAsia="Times New Roman"/>
          <w:sz w:val="24"/>
          <w:szCs w:val="24"/>
        </w:rPr>
        <w:t xml:space="preserve"> 1408-1416.</w:t>
      </w:r>
    </w:p>
    <w:p w:rsidR="000C2ED5" w:rsidRDefault="000C2ED5">
      <w:pPr>
        <w:spacing w:line="21" w:lineRule="exact"/>
        <w:rPr>
          <w:sz w:val="20"/>
          <w:szCs w:val="20"/>
        </w:rPr>
      </w:pPr>
    </w:p>
    <w:p w:rsidR="000C2ED5" w:rsidRDefault="00485212">
      <w:pPr>
        <w:spacing w:line="471" w:lineRule="auto"/>
        <w:ind w:left="700" w:right="406" w:hanging="707"/>
        <w:rPr>
          <w:sz w:val="20"/>
          <w:szCs w:val="20"/>
        </w:rPr>
      </w:pPr>
      <w:r>
        <w:rPr>
          <w:rFonts w:eastAsia="Times New Roman"/>
          <w:sz w:val="24"/>
          <w:szCs w:val="24"/>
        </w:rPr>
        <w:t xml:space="preserve">Brown, J. (2012). Male perpetrators, the gender symmetry debate, and the rejection-abuse cycle: Implications for treatment. </w:t>
      </w:r>
      <w:r>
        <w:rPr>
          <w:rFonts w:eastAsia="Times New Roman"/>
          <w:i/>
          <w:iCs/>
          <w:sz w:val="24"/>
          <w:szCs w:val="24"/>
        </w:rPr>
        <w:t>American Journal of Men’s Health, 6,</w:t>
      </w:r>
      <w:r>
        <w:rPr>
          <w:rFonts w:eastAsia="Times New Roman"/>
          <w:sz w:val="24"/>
          <w:szCs w:val="24"/>
        </w:rPr>
        <w:t xml:space="preserve"> 331-343.</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72" w:lineRule="exact"/>
        <w:rPr>
          <w:sz w:val="20"/>
          <w:szCs w:val="20"/>
        </w:rPr>
      </w:pPr>
    </w:p>
    <w:p w:rsidR="000C2ED5" w:rsidRDefault="00485212">
      <w:pPr>
        <w:ind w:right="6"/>
        <w:jc w:val="right"/>
        <w:rPr>
          <w:sz w:val="20"/>
          <w:szCs w:val="20"/>
        </w:rPr>
      </w:pPr>
      <w:r>
        <w:rPr>
          <w:rFonts w:eastAsia="Times New Roman"/>
        </w:rPr>
        <w:t>35</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6" w:name="page37"/>
      <w:bookmarkEnd w:id="36"/>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5" w:lineRule="auto"/>
        <w:ind w:left="700" w:right="426" w:hanging="707"/>
        <w:rPr>
          <w:sz w:val="20"/>
          <w:szCs w:val="20"/>
        </w:rPr>
      </w:pPr>
      <w:r>
        <w:rPr>
          <w:rFonts w:eastAsia="Times New Roman"/>
          <w:sz w:val="24"/>
          <w:szCs w:val="24"/>
        </w:rPr>
        <w:t xml:space="preserve">Buttle, F.P. &amp; Carney, M.M. (2008). A large sample investigation of batterer intervention program attrition: Evaluating the impact of state program standards. </w:t>
      </w:r>
      <w:r>
        <w:rPr>
          <w:rFonts w:eastAsia="Times New Roman"/>
          <w:i/>
          <w:iCs/>
          <w:sz w:val="24"/>
          <w:szCs w:val="24"/>
        </w:rPr>
        <w:t>Research on</w:t>
      </w:r>
      <w:r>
        <w:rPr>
          <w:rFonts w:eastAsia="Times New Roman"/>
          <w:sz w:val="24"/>
          <w:szCs w:val="24"/>
        </w:rPr>
        <w:t xml:space="preserve"> </w:t>
      </w:r>
      <w:r>
        <w:rPr>
          <w:rFonts w:eastAsia="Times New Roman"/>
          <w:i/>
          <w:iCs/>
          <w:sz w:val="24"/>
          <w:szCs w:val="24"/>
        </w:rPr>
        <w:t xml:space="preserve">Social Work Practice, 18, </w:t>
      </w:r>
      <w:r>
        <w:rPr>
          <w:rFonts w:eastAsia="Times New Roman"/>
          <w:sz w:val="24"/>
          <w:szCs w:val="24"/>
        </w:rPr>
        <w:t>177-188.</w:t>
      </w:r>
    </w:p>
    <w:p w:rsidR="000C2ED5" w:rsidRDefault="000C2ED5">
      <w:pPr>
        <w:spacing w:line="217" w:lineRule="exact"/>
        <w:rPr>
          <w:sz w:val="20"/>
          <w:szCs w:val="20"/>
        </w:rPr>
      </w:pPr>
    </w:p>
    <w:p w:rsidR="000C2ED5" w:rsidRDefault="00485212">
      <w:pPr>
        <w:spacing w:line="474" w:lineRule="auto"/>
        <w:ind w:left="720" w:right="86" w:hanging="719"/>
        <w:rPr>
          <w:sz w:val="20"/>
          <w:szCs w:val="20"/>
        </w:rPr>
      </w:pPr>
      <w:r>
        <w:rPr>
          <w:rFonts w:eastAsia="Times New Roman"/>
          <w:sz w:val="24"/>
          <w:szCs w:val="24"/>
        </w:rPr>
        <w:t>Casey, S., Day, A., &amp; Howells, K. (2005). The a</w:t>
      </w:r>
      <w:r>
        <w:rPr>
          <w:rFonts w:eastAsia="Times New Roman"/>
          <w:sz w:val="24"/>
          <w:szCs w:val="24"/>
        </w:rPr>
        <w:t xml:space="preserve">pplication of the transtheoretical model to offender populations: Some critical issues. </w:t>
      </w:r>
      <w:r>
        <w:rPr>
          <w:rFonts w:eastAsia="Times New Roman"/>
          <w:i/>
          <w:iCs/>
          <w:sz w:val="24"/>
          <w:szCs w:val="24"/>
        </w:rPr>
        <w:t>Legal and Criminological Psychology, 10,</w:t>
      </w:r>
      <w:r>
        <w:rPr>
          <w:rFonts w:eastAsia="Times New Roman"/>
          <w:sz w:val="24"/>
          <w:szCs w:val="24"/>
        </w:rPr>
        <w:t xml:space="preserve"> 157-171.</w:t>
      </w:r>
    </w:p>
    <w:p w:rsidR="000C2ED5" w:rsidRDefault="000C2ED5">
      <w:pPr>
        <w:spacing w:line="261" w:lineRule="exact"/>
        <w:rPr>
          <w:sz w:val="20"/>
          <w:szCs w:val="20"/>
        </w:rPr>
      </w:pPr>
    </w:p>
    <w:p w:rsidR="000C2ED5" w:rsidRDefault="00485212">
      <w:pPr>
        <w:spacing w:line="474" w:lineRule="auto"/>
        <w:ind w:left="720" w:right="206" w:hanging="719"/>
        <w:rPr>
          <w:sz w:val="20"/>
          <w:szCs w:val="20"/>
        </w:rPr>
      </w:pPr>
      <w:r>
        <w:rPr>
          <w:rFonts w:eastAsia="Times New Roman"/>
          <w:sz w:val="24"/>
          <w:szCs w:val="24"/>
        </w:rPr>
        <w:t>Casey, S., Day, A., &amp; Howells, K., &amp; Ward, T. (2007). Assessing the suitablity for offender rehabilitation: Developme</w:t>
      </w:r>
      <w:r>
        <w:rPr>
          <w:rFonts w:eastAsia="Times New Roman"/>
          <w:sz w:val="24"/>
          <w:szCs w:val="24"/>
        </w:rPr>
        <w:t xml:space="preserve">nt and vaildation of the treatment readiness quesitonaire. </w:t>
      </w:r>
      <w:r>
        <w:rPr>
          <w:rFonts w:eastAsia="Times New Roman"/>
          <w:i/>
          <w:iCs/>
          <w:sz w:val="24"/>
          <w:szCs w:val="24"/>
        </w:rPr>
        <w:t xml:space="preserve">Criminal Justicie and Behaviour, 34, </w:t>
      </w:r>
      <w:r>
        <w:rPr>
          <w:rFonts w:eastAsia="Times New Roman"/>
          <w:sz w:val="24"/>
          <w:szCs w:val="24"/>
        </w:rPr>
        <w:t>1427-1440.</w:t>
      </w:r>
    </w:p>
    <w:p w:rsidR="000C2ED5" w:rsidRDefault="000C2ED5">
      <w:pPr>
        <w:spacing w:line="261" w:lineRule="exact"/>
        <w:rPr>
          <w:sz w:val="20"/>
          <w:szCs w:val="20"/>
        </w:rPr>
      </w:pPr>
    </w:p>
    <w:p w:rsidR="000C2ED5" w:rsidRDefault="00485212">
      <w:pPr>
        <w:spacing w:line="474" w:lineRule="auto"/>
        <w:ind w:left="720" w:right="606" w:hanging="719"/>
        <w:jc w:val="both"/>
        <w:rPr>
          <w:sz w:val="20"/>
          <w:szCs w:val="20"/>
        </w:rPr>
      </w:pPr>
      <w:r>
        <w:rPr>
          <w:rFonts w:eastAsia="Times New Roman"/>
          <w:sz w:val="24"/>
          <w:szCs w:val="24"/>
        </w:rPr>
        <w:t xml:space="preserve">Cullen, A. E., Soria, C., Clarke, A. Y., Dean, K., &amp; Fahy, T. (2011). Factors predicting dropout from the reasoning and rehabilitation program with </w:t>
      </w:r>
      <w:r>
        <w:rPr>
          <w:rFonts w:eastAsia="Times New Roman"/>
          <w:sz w:val="24"/>
          <w:szCs w:val="24"/>
        </w:rPr>
        <w:t>mentally disordered offenders. C</w:t>
      </w:r>
      <w:r>
        <w:rPr>
          <w:rFonts w:eastAsia="Times New Roman"/>
          <w:i/>
          <w:iCs/>
          <w:sz w:val="24"/>
          <w:szCs w:val="24"/>
        </w:rPr>
        <w:t>riminal Justice and Behavior, 38,</w:t>
      </w:r>
      <w:r>
        <w:rPr>
          <w:rFonts w:eastAsia="Times New Roman"/>
          <w:sz w:val="24"/>
          <w:szCs w:val="24"/>
        </w:rPr>
        <w:t xml:space="preserve"> 217-230.</w:t>
      </w:r>
    </w:p>
    <w:p w:rsidR="000C2ED5" w:rsidRDefault="000C2ED5">
      <w:pPr>
        <w:spacing w:line="9" w:lineRule="exact"/>
        <w:rPr>
          <w:sz w:val="20"/>
          <w:szCs w:val="20"/>
        </w:rPr>
      </w:pPr>
    </w:p>
    <w:p w:rsidR="000C2ED5" w:rsidRDefault="00485212">
      <w:pPr>
        <w:rPr>
          <w:sz w:val="20"/>
          <w:szCs w:val="20"/>
        </w:rPr>
      </w:pPr>
      <w:r>
        <w:rPr>
          <w:rFonts w:eastAsia="Times New Roman"/>
          <w:sz w:val="24"/>
          <w:szCs w:val="24"/>
        </w:rPr>
        <w:t xml:space="preserve">Day, A., Casey, S., Ward, T., Howells, K., &amp; Vess, J. (2010). </w:t>
      </w:r>
      <w:r>
        <w:rPr>
          <w:rFonts w:eastAsia="Times New Roman"/>
          <w:i/>
          <w:iCs/>
          <w:sz w:val="24"/>
          <w:szCs w:val="24"/>
        </w:rPr>
        <w:t>Transitions to Better Lives.</w:t>
      </w:r>
    </w:p>
    <w:p w:rsidR="000C2ED5" w:rsidRDefault="000C2ED5">
      <w:pPr>
        <w:spacing w:line="276" w:lineRule="exact"/>
        <w:rPr>
          <w:sz w:val="20"/>
          <w:szCs w:val="20"/>
        </w:rPr>
      </w:pPr>
    </w:p>
    <w:p w:rsidR="000C2ED5" w:rsidRDefault="00485212">
      <w:pPr>
        <w:ind w:left="720"/>
        <w:rPr>
          <w:sz w:val="20"/>
          <w:szCs w:val="20"/>
        </w:rPr>
      </w:pPr>
      <w:r>
        <w:rPr>
          <w:rFonts w:eastAsia="Times New Roman"/>
          <w:i/>
          <w:iCs/>
          <w:sz w:val="24"/>
          <w:szCs w:val="24"/>
        </w:rPr>
        <w:t>Offender readiness and rehabilitation.</w:t>
      </w:r>
      <w:r>
        <w:rPr>
          <w:rFonts w:eastAsia="Times New Roman"/>
          <w:sz w:val="24"/>
          <w:szCs w:val="24"/>
        </w:rPr>
        <w:t>Devon, UK: Willan Publishing.</w:t>
      </w:r>
    </w:p>
    <w:p w:rsidR="000C2ED5" w:rsidRDefault="000C2ED5">
      <w:pPr>
        <w:spacing w:line="200" w:lineRule="exact"/>
        <w:rPr>
          <w:sz w:val="20"/>
          <w:szCs w:val="20"/>
        </w:rPr>
      </w:pPr>
    </w:p>
    <w:p w:rsidR="000C2ED5" w:rsidRDefault="000C2ED5">
      <w:pPr>
        <w:spacing w:line="328" w:lineRule="exact"/>
        <w:rPr>
          <w:sz w:val="20"/>
          <w:szCs w:val="20"/>
        </w:rPr>
      </w:pPr>
    </w:p>
    <w:p w:rsidR="000C2ED5" w:rsidRDefault="00485212">
      <w:pPr>
        <w:spacing w:line="469" w:lineRule="auto"/>
        <w:ind w:left="720" w:right="66" w:hanging="719"/>
        <w:rPr>
          <w:sz w:val="20"/>
          <w:szCs w:val="20"/>
        </w:rPr>
      </w:pPr>
      <w:r>
        <w:rPr>
          <w:rFonts w:eastAsia="Times New Roman"/>
          <w:sz w:val="24"/>
          <w:szCs w:val="24"/>
        </w:rPr>
        <w:t xml:space="preserve">Deci, E. L. &amp; Ryan, R. M. (2000). 'The "what" and "why" of goal pursuits: Human needs and the self-determination of behaviour, </w:t>
      </w:r>
      <w:r>
        <w:rPr>
          <w:rFonts w:eastAsia="Times New Roman"/>
          <w:i/>
          <w:iCs/>
          <w:sz w:val="24"/>
          <w:szCs w:val="24"/>
        </w:rPr>
        <w:t>Psychological Inquiry, 11</w:t>
      </w:r>
      <w:r>
        <w:rPr>
          <w:rFonts w:eastAsia="Times New Roman"/>
          <w:sz w:val="24"/>
          <w:szCs w:val="24"/>
        </w:rPr>
        <w:t>, 227-268.</w:t>
      </w:r>
    </w:p>
    <w:p w:rsidR="000C2ED5" w:rsidRDefault="000C2ED5">
      <w:pPr>
        <w:spacing w:line="265" w:lineRule="exact"/>
        <w:rPr>
          <w:sz w:val="20"/>
          <w:szCs w:val="20"/>
        </w:rPr>
      </w:pPr>
    </w:p>
    <w:p w:rsidR="000C2ED5" w:rsidRDefault="00485212">
      <w:pPr>
        <w:spacing w:line="474" w:lineRule="auto"/>
        <w:ind w:left="720" w:right="6" w:hanging="719"/>
        <w:rPr>
          <w:sz w:val="20"/>
          <w:szCs w:val="20"/>
        </w:rPr>
      </w:pPr>
      <w:r>
        <w:rPr>
          <w:rFonts w:eastAsia="Times New Roman"/>
          <w:sz w:val="24"/>
          <w:szCs w:val="24"/>
        </w:rPr>
        <w:t>DiClemente, C. C., Nidecker, M., &amp; Bellack, A. S. (2008). Motivation and stages of change am</w:t>
      </w:r>
      <w:r>
        <w:rPr>
          <w:rFonts w:eastAsia="Times New Roman"/>
          <w:sz w:val="24"/>
          <w:szCs w:val="24"/>
        </w:rPr>
        <w:t xml:space="preserve">ong individuals with severe mental illness and substance abuse disorder. </w:t>
      </w:r>
      <w:r>
        <w:rPr>
          <w:rFonts w:eastAsia="Times New Roman"/>
          <w:i/>
          <w:iCs/>
          <w:sz w:val="24"/>
          <w:szCs w:val="24"/>
        </w:rPr>
        <w:t>Journal of</w:t>
      </w:r>
      <w:r>
        <w:rPr>
          <w:rFonts w:eastAsia="Times New Roman"/>
          <w:sz w:val="24"/>
          <w:szCs w:val="24"/>
        </w:rPr>
        <w:t xml:space="preserve"> </w:t>
      </w:r>
      <w:r>
        <w:rPr>
          <w:rFonts w:eastAsia="Times New Roman"/>
          <w:i/>
          <w:iCs/>
          <w:sz w:val="24"/>
          <w:szCs w:val="24"/>
        </w:rPr>
        <w:t xml:space="preserve">Substance Abuse Treatment, 34, </w:t>
      </w:r>
      <w:r>
        <w:rPr>
          <w:rFonts w:eastAsia="Times New Roman"/>
          <w:sz w:val="24"/>
          <w:szCs w:val="24"/>
        </w:rPr>
        <w:t>25-35.</w:t>
      </w:r>
    </w:p>
    <w:p w:rsidR="000C2ED5" w:rsidRDefault="000C2ED5">
      <w:pPr>
        <w:spacing w:line="21" w:lineRule="exact"/>
        <w:rPr>
          <w:sz w:val="20"/>
          <w:szCs w:val="20"/>
        </w:rPr>
      </w:pPr>
    </w:p>
    <w:p w:rsidR="000C2ED5" w:rsidRDefault="00485212">
      <w:pPr>
        <w:spacing w:line="476" w:lineRule="auto"/>
        <w:ind w:left="720" w:right="286" w:hanging="719"/>
        <w:rPr>
          <w:sz w:val="20"/>
          <w:szCs w:val="20"/>
        </w:rPr>
      </w:pPr>
      <w:r>
        <w:rPr>
          <w:rFonts w:eastAsia="Times New Roman"/>
          <w:sz w:val="24"/>
          <w:szCs w:val="24"/>
        </w:rPr>
        <w:t>*Drapeau, M., Korner, A., Granger, L., Brunet, L. &amp; Caspar, F. (2005). A plan analysis of pedophile sexual abusers' motivations for t</w:t>
      </w:r>
      <w:r>
        <w:rPr>
          <w:rFonts w:eastAsia="Times New Roman"/>
          <w:sz w:val="24"/>
          <w:szCs w:val="24"/>
        </w:rPr>
        <w:t xml:space="preserve">reatment: A qualitative pilot study. </w:t>
      </w:r>
      <w:r>
        <w:rPr>
          <w:rFonts w:eastAsia="Times New Roman"/>
          <w:i/>
          <w:iCs/>
          <w:sz w:val="24"/>
          <w:szCs w:val="24"/>
        </w:rPr>
        <w:t>International Journal of Offender Therpay and Comparative Criminology, 49</w:t>
      </w:r>
      <w:r>
        <w:rPr>
          <w:rFonts w:eastAsia="Times New Roman"/>
          <w:sz w:val="24"/>
          <w:szCs w:val="24"/>
        </w:rPr>
        <w:t>, 308-324.</w:t>
      </w:r>
    </w:p>
    <w:p w:rsidR="000C2ED5" w:rsidRDefault="000C2ED5">
      <w:pPr>
        <w:spacing w:line="337" w:lineRule="exact"/>
        <w:rPr>
          <w:sz w:val="20"/>
          <w:szCs w:val="20"/>
        </w:rPr>
      </w:pPr>
    </w:p>
    <w:p w:rsidR="000C2ED5" w:rsidRDefault="00485212">
      <w:pPr>
        <w:ind w:right="6"/>
        <w:jc w:val="right"/>
        <w:rPr>
          <w:sz w:val="20"/>
          <w:szCs w:val="20"/>
        </w:rPr>
      </w:pPr>
      <w:r>
        <w:rPr>
          <w:rFonts w:eastAsia="Times New Roman"/>
        </w:rPr>
        <w:t>36</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7" w:name="page38"/>
      <w:bookmarkEnd w:id="37"/>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4" w:lineRule="auto"/>
        <w:ind w:left="700" w:right="166" w:hanging="707"/>
        <w:rPr>
          <w:sz w:val="20"/>
          <w:szCs w:val="20"/>
        </w:rPr>
      </w:pPr>
      <w:r>
        <w:rPr>
          <w:rFonts w:eastAsia="Times New Roman"/>
          <w:sz w:val="24"/>
          <w:szCs w:val="24"/>
        </w:rPr>
        <w:t>Driescher, K.H., Lammers, S.M.M. &amp; van der Staak, C.P</w:t>
      </w:r>
      <w:r>
        <w:rPr>
          <w:rFonts w:eastAsia="Times New Roman"/>
          <w:sz w:val="24"/>
          <w:szCs w:val="24"/>
        </w:rPr>
        <w:t xml:space="preserve">.F. (2004). Treatment motivation: An attempt for clarificaion of an ambigous concept. </w:t>
      </w:r>
      <w:r>
        <w:rPr>
          <w:rFonts w:eastAsia="Times New Roman"/>
          <w:i/>
          <w:iCs/>
          <w:sz w:val="24"/>
          <w:szCs w:val="24"/>
        </w:rPr>
        <w:t>Clinical Psychology Review, 23,</w:t>
      </w:r>
      <w:r>
        <w:rPr>
          <w:rFonts w:eastAsia="Times New Roman"/>
          <w:sz w:val="24"/>
          <w:szCs w:val="24"/>
        </w:rPr>
        <w:t xml:space="preserve"> 1115-1137.</w:t>
      </w:r>
    </w:p>
    <w:p w:rsidR="000C2ED5" w:rsidRDefault="000C2ED5">
      <w:pPr>
        <w:spacing w:line="261" w:lineRule="exact"/>
        <w:rPr>
          <w:sz w:val="20"/>
          <w:szCs w:val="20"/>
        </w:rPr>
      </w:pPr>
    </w:p>
    <w:p w:rsidR="000C2ED5" w:rsidRDefault="00485212">
      <w:pPr>
        <w:spacing w:line="474" w:lineRule="auto"/>
        <w:ind w:left="720" w:right="326" w:hanging="719"/>
        <w:rPr>
          <w:sz w:val="20"/>
          <w:szCs w:val="20"/>
        </w:rPr>
      </w:pPr>
      <w:r>
        <w:rPr>
          <w:rFonts w:eastAsia="Times New Roman"/>
          <w:sz w:val="24"/>
          <w:szCs w:val="24"/>
        </w:rPr>
        <w:t xml:space="preserve">Durcan, G., Hoare, T., &amp; Cumming, I. (2011). </w:t>
      </w:r>
      <w:r>
        <w:rPr>
          <w:rFonts w:eastAsia="Times New Roman"/>
          <w:i/>
          <w:iCs/>
          <w:sz w:val="24"/>
          <w:szCs w:val="24"/>
        </w:rPr>
        <w:t>Pathways to unlocking secure mental</w:t>
      </w:r>
      <w:r>
        <w:rPr>
          <w:rFonts w:eastAsia="Times New Roman"/>
          <w:sz w:val="24"/>
          <w:szCs w:val="24"/>
        </w:rPr>
        <w:t xml:space="preserve"> </w:t>
      </w:r>
      <w:r>
        <w:rPr>
          <w:rFonts w:eastAsia="Times New Roman"/>
          <w:i/>
          <w:iCs/>
          <w:sz w:val="24"/>
          <w:szCs w:val="24"/>
        </w:rPr>
        <w:t xml:space="preserve">healthcare: National Mental Health </w:t>
      </w:r>
      <w:r>
        <w:rPr>
          <w:rFonts w:eastAsia="Times New Roman"/>
          <w:i/>
          <w:iCs/>
          <w:sz w:val="24"/>
          <w:szCs w:val="24"/>
        </w:rPr>
        <w:t>Development Unit</w:t>
      </w:r>
      <w:r>
        <w:rPr>
          <w:rFonts w:eastAsia="Times New Roman"/>
          <w:sz w:val="24"/>
          <w:szCs w:val="24"/>
        </w:rPr>
        <w:t>. London: Centre for Mental</w:t>
      </w:r>
      <w:r>
        <w:rPr>
          <w:rFonts w:eastAsia="Times New Roman"/>
          <w:i/>
          <w:iCs/>
          <w:sz w:val="24"/>
          <w:szCs w:val="24"/>
        </w:rPr>
        <w:t xml:space="preserve"> </w:t>
      </w:r>
      <w:r>
        <w:rPr>
          <w:rFonts w:eastAsia="Times New Roman"/>
          <w:sz w:val="24"/>
          <w:szCs w:val="24"/>
        </w:rPr>
        <w:t>Health.</w:t>
      </w:r>
    </w:p>
    <w:p w:rsidR="000C2ED5" w:rsidRDefault="000C2ED5">
      <w:pPr>
        <w:spacing w:line="261" w:lineRule="exact"/>
        <w:rPr>
          <w:sz w:val="20"/>
          <w:szCs w:val="20"/>
        </w:rPr>
      </w:pPr>
    </w:p>
    <w:p w:rsidR="000C2ED5" w:rsidRDefault="00485212">
      <w:pPr>
        <w:spacing w:line="469" w:lineRule="auto"/>
        <w:ind w:left="720" w:right="66" w:hanging="719"/>
        <w:rPr>
          <w:sz w:val="20"/>
          <w:szCs w:val="20"/>
        </w:rPr>
      </w:pPr>
      <w:r>
        <w:rPr>
          <w:rFonts w:eastAsia="Times New Roman"/>
          <w:sz w:val="24"/>
          <w:szCs w:val="24"/>
        </w:rPr>
        <w:t xml:space="preserve">Hanson, R. K. &amp; Harris, A. J. R. (2000). Where should we intervene?: Dynamic predictors of sexual offense recidivism. </w:t>
      </w:r>
      <w:r>
        <w:rPr>
          <w:rFonts w:eastAsia="Times New Roman"/>
          <w:i/>
          <w:iCs/>
          <w:sz w:val="24"/>
          <w:szCs w:val="24"/>
        </w:rPr>
        <w:t>Criminal Justice and Behaviour, 27,</w:t>
      </w:r>
      <w:r>
        <w:rPr>
          <w:rFonts w:eastAsia="Times New Roman"/>
          <w:sz w:val="24"/>
          <w:szCs w:val="24"/>
        </w:rPr>
        <w:t xml:space="preserve"> 6-35.</w:t>
      </w:r>
    </w:p>
    <w:p w:rsidR="000C2ED5" w:rsidRDefault="000C2ED5">
      <w:pPr>
        <w:spacing w:line="26" w:lineRule="exact"/>
        <w:rPr>
          <w:sz w:val="20"/>
          <w:szCs w:val="20"/>
        </w:rPr>
      </w:pPr>
    </w:p>
    <w:p w:rsidR="000C2ED5" w:rsidRDefault="00485212">
      <w:pPr>
        <w:spacing w:line="474" w:lineRule="auto"/>
        <w:ind w:left="720" w:right="246" w:hanging="719"/>
        <w:rPr>
          <w:sz w:val="20"/>
          <w:szCs w:val="20"/>
        </w:rPr>
      </w:pPr>
      <w:r>
        <w:rPr>
          <w:rFonts w:eastAsia="Times New Roman"/>
          <w:sz w:val="24"/>
          <w:szCs w:val="24"/>
        </w:rPr>
        <w:t>Hopewell, S., McDonald, S., Clarke, M.J. &amp;</w:t>
      </w:r>
      <w:r>
        <w:rPr>
          <w:rFonts w:eastAsia="Times New Roman"/>
          <w:sz w:val="24"/>
          <w:szCs w:val="24"/>
        </w:rPr>
        <w:t xml:space="preserve"> Egger, M. (2008). Grey literature in meta-analyses of randomised trials of health care interventions. </w:t>
      </w:r>
      <w:r>
        <w:rPr>
          <w:rFonts w:eastAsia="Times New Roman"/>
          <w:i/>
          <w:iCs/>
          <w:sz w:val="24"/>
          <w:szCs w:val="24"/>
        </w:rPr>
        <w:t>The Cochrane Library, 2</w:t>
      </w:r>
      <w:r>
        <w:rPr>
          <w:rFonts w:eastAsia="Times New Roman"/>
          <w:sz w:val="24"/>
          <w:szCs w:val="24"/>
        </w:rPr>
        <w:t>, 1-16.</w:t>
      </w:r>
    </w:p>
    <w:p w:rsidR="000C2ED5" w:rsidRDefault="000C2ED5">
      <w:pPr>
        <w:spacing w:line="21" w:lineRule="exact"/>
        <w:rPr>
          <w:sz w:val="20"/>
          <w:szCs w:val="20"/>
        </w:rPr>
      </w:pPr>
    </w:p>
    <w:p w:rsidR="000C2ED5" w:rsidRDefault="00485212">
      <w:pPr>
        <w:spacing w:line="469" w:lineRule="auto"/>
        <w:ind w:left="720" w:right="566" w:hanging="719"/>
        <w:rPr>
          <w:sz w:val="20"/>
          <w:szCs w:val="20"/>
        </w:rPr>
      </w:pPr>
      <w:r>
        <w:rPr>
          <w:rFonts w:eastAsia="Times New Roman"/>
          <w:sz w:val="24"/>
          <w:szCs w:val="24"/>
        </w:rPr>
        <w:t xml:space="preserve">Hornsveld, R. H. J. (2005). Evaluation of aggression control therpay for violent forensic psychiatric patients. </w:t>
      </w:r>
      <w:r>
        <w:rPr>
          <w:rFonts w:eastAsia="Times New Roman"/>
          <w:i/>
          <w:iCs/>
          <w:sz w:val="24"/>
          <w:szCs w:val="24"/>
        </w:rPr>
        <w:t>Psycholog</w:t>
      </w:r>
      <w:r>
        <w:rPr>
          <w:rFonts w:eastAsia="Times New Roman"/>
          <w:i/>
          <w:iCs/>
          <w:sz w:val="24"/>
          <w:szCs w:val="24"/>
        </w:rPr>
        <w:t>y, Crime &amp; Law, 11,</w:t>
      </w:r>
      <w:r>
        <w:rPr>
          <w:rFonts w:eastAsia="Times New Roman"/>
          <w:sz w:val="24"/>
          <w:szCs w:val="24"/>
        </w:rPr>
        <w:t xml:space="preserve"> 403-410.</w:t>
      </w:r>
    </w:p>
    <w:p w:rsidR="000C2ED5" w:rsidRDefault="000C2ED5">
      <w:pPr>
        <w:spacing w:line="25" w:lineRule="exact"/>
        <w:rPr>
          <w:sz w:val="20"/>
          <w:szCs w:val="20"/>
        </w:rPr>
      </w:pPr>
    </w:p>
    <w:p w:rsidR="000C2ED5" w:rsidRDefault="00485212">
      <w:pPr>
        <w:spacing w:line="469" w:lineRule="auto"/>
        <w:ind w:left="720" w:right="486" w:hanging="719"/>
        <w:rPr>
          <w:sz w:val="20"/>
          <w:szCs w:val="20"/>
        </w:rPr>
      </w:pPr>
      <w:r>
        <w:rPr>
          <w:rFonts w:eastAsia="Times New Roman"/>
          <w:sz w:val="24"/>
          <w:szCs w:val="24"/>
        </w:rPr>
        <w:t xml:space="preserve">Howells, K. &amp; Day, A. (2003). Readiness for anger management: clinical and theoretical issues. </w:t>
      </w:r>
      <w:r>
        <w:rPr>
          <w:rFonts w:eastAsia="Times New Roman"/>
          <w:i/>
          <w:iCs/>
          <w:sz w:val="24"/>
          <w:szCs w:val="24"/>
        </w:rPr>
        <w:t>Clinical Psychology Review, 23,</w:t>
      </w:r>
      <w:r>
        <w:rPr>
          <w:rFonts w:eastAsia="Times New Roman"/>
          <w:sz w:val="24"/>
          <w:szCs w:val="24"/>
        </w:rPr>
        <w:t xml:space="preserve"> 319-337.</w:t>
      </w:r>
    </w:p>
    <w:p w:rsidR="000C2ED5" w:rsidRDefault="000C2ED5">
      <w:pPr>
        <w:spacing w:line="26" w:lineRule="exact"/>
        <w:rPr>
          <w:sz w:val="20"/>
          <w:szCs w:val="20"/>
        </w:rPr>
      </w:pPr>
    </w:p>
    <w:p w:rsidR="000C2ED5" w:rsidRDefault="00485212">
      <w:pPr>
        <w:spacing w:line="469" w:lineRule="auto"/>
        <w:ind w:left="720" w:right="1106" w:hanging="719"/>
        <w:rPr>
          <w:sz w:val="20"/>
          <w:szCs w:val="20"/>
        </w:rPr>
      </w:pPr>
      <w:r>
        <w:rPr>
          <w:rFonts w:eastAsia="Times New Roman"/>
          <w:sz w:val="24"/>
          <w:szCs w:val="24"/>
        </w:rPr>
        <w:t xml:space="preserve">Howells, K. &amp; Day, A. (2007). Readiness for treatment in high risk offenders with personality disorders. </w:t>
      </w:r>
      <w:r>
        <w:rPr>
          <w:rFonts w:eastAsia="Times New Roman"/>
          <w:i/>
          <w:iCs/>
          <w:sz w:val="24"/>
          <w:szCs w:val="24"/>
        </w:rPr>
        <w:t>Psychology, Crime &amp; Law, 13,</w:t>
      </w:r>
      <w:r>
        <w:rPr>
          <w:rFonts w:eastAsia="Times New Roman"/>
          <w:sz w:val="24"/>
          <w:szCs w:val="24"/>
        </w:rPr>
        <w:t xml:space="preserve"> 47-56.</w:t>
      </w:r>
    </w:p>
    <w:p w:rsidR="000C2ED5" w:rsidRDefault="000C2ED5">
      <w:pPr>
        <w:spacing w:line="25" w:lineRule="exact"/>
        <w:rPr>
          <w:sz w:val="20"/>
          <w:szCs w:val="20"/>
        </w:rPr>
      </w:pPr>
    </w:p>
    <w:p w:rsidR="000C2ED5" w:rsidRDefault="00485212">
      <w:pPr>
        <w:spacing w:line="474" w:lineRule="auto"/>
        <w:ind w:left="700" w:right="146" w:hanging="707"/>
        <w:rPr>
          <w:sz w:val="20"/>
          <w:szCs w:val="20"/>
        </w:rPr>
      </w:pPr>
      <w:r>
        <w:rPr>
          <w:rFonts w:eastAsia="Times New Roman"/>
          <w:sz w:val="24"/>
          <w:szCs w:val="24"/>
        </w:rPr>
        <w:t xml:space="preserve">Kozar, C. (2010). Treatment readiness and the therapeutic alliance. In A. Day, S. Casey, T.Ward, K. Howells, &amp; J. Vess (Eds.), </w:t>
      </w:r>
      <w:r>
        <w:rPr>
          <w:rFonts w:eastAsia="Times New Roman"/>
          <w:i/>
          <w:iCs/>
          <w:sz w:val="24"/>
          <w:szCs w:val="24"/>
        </w:rPr>
        <w:t>Transition to Better Lives. Offender readiness</w:t>
      </w:r>
      <w:r>
        <w:rPr>
          <w:rFonts w:eastAsia="Times New Roman"/>
          <w:sz w:val="24"/>
          <w:szCs w:val="24"/>
        </w:rPr>
        <w:t xml:space="preserve"> </w:t>
      </w:r>
      <w:r>
        <w:rPr>
          <w:rFonts w:eastAsia="Times New Roman"/>
          <w:i/>
          <w:iCs/>
          <w:sz w:val="24"/>
          <w:szCs w:val="24"/>
        </w:rPr>
        <w:t xml:space="preserve">and rehabilitation. </w:t>
      </w:r>
      <w:r>
        <w:rPr>
          <w:rFonts w:eastAsia="Times New Roman"/>
          <w:sz w:val="24"/>
          <w:szCs w:val="24"/>
        </w:rPr>
        <w:t>Devon, UK: Willan Publishing.</w:t>
      </w:r>
    </w:p>
    <w:p w:rsidR="000C2ED5" w:rsidRDefault="000C2ED5">
      <w:pPr>
        <w:spacing w:line="21" w:lineRule="exact"/>
        <w:rPr>
          <w:sz w:val="20"/>
          <w:szCs w:val="20"/>
        </w:rPr>
      </w:pPr>
    </w:p>
    <w:p w:rsidR="000C2ED5" w:rsidRDefault="00485212">
      <w:pPr>
        <w:spacing w:line="469" w:lineRule="auto"/>
        <w:ind w:right="366"/>
        <w:jc w:val="right"/>
        <w:rPr>
          <w:sz w:val="20"/>
          <w:szCs w:val="20"/>
        </w:rPr>
      </w:pPr>
      <w:r>
        <w:rPr>
          <w:rFonts w:eastAsia="Times New Roman"/>
          <w:sz w:val="24"/>
          <w:szCs w:val="24"/>
        </w:rPr>
        <w:t>Larochelle, S., Diguer, L., &amp; L</w:t>
      </w:r>
      <w:r>
        <w:rPr>
          <w:rFonts w:eastAsia="Times New Roman"/>
          <w:sz w:val="24"/>
          <w:szCs w:val="24"/>
        </w:rPr>
        <w:t>averdiere, O. (2011). Predictors of psychological treatment noncompletion among sexual offenders</w:t>
      </w:r>
      <w:r>
        <w:rPr>
          <w:rFonts w:eastAsia="Times New Roman"/>
          <w:i/>
          <w:iCs/>
          <w:sz w:val="24"/>
          <w:szCs w:val="24"/>
        </w:rPr>
        <w:t>. Clinical Psychology Review, 31,</w:t>
      </w:r>
      <w:r>
        <w:rPr>
          <w:rFonts w:eastAsia="Times New Roman"/>
          <w:sz w:val="24"/>
          <w:szCs w:val="24"/>
        </w:rPr>
        <w:t xml:space="preserve"> 554-562.</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76" w:lineRule="exact"/>
        <w:rPr>
          <w:sz w:val="20"/>
          <w:szCs w:val="20"/>
        </w:rPr>
      </w:pPr>
    </w:p>
    <w:p w:rsidR="000C2ED5" w:rsidRDefault="00485212">
      <w:pPr>
        <w:ind w:right="6"/>
        <w:jc w:val="right"/>
        <w:rPr>
          <w:sz w:val="20"/>
          <w:szCs w:val="20"/>
        </w:rPr>
      </w:pPr>
      <w:r>
        <w:rPr>
          <w:rFonts w:eastAsia="Times New Roman"/>
        </w:rPr>
        <w:t>37</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8" w:name="page39"/>
      <w:bookmarkEnd w:id="38"/>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5" w:lineRule="auto"/>
        <w:ind w:left="700" w:right="106" w:hanging="707"/>
        <w:jc w:val="both"/>
        <w:rPr>
          <w:sz w:val="20"/>
          <w:szCs w:val="20"/>
        </w:rPr>
      </w:pPr>
      <w:r>
        <w:rPr>
          <w:rFonts w:eastAsia="Times New Roman"/>
          <w:sz w:val="24"/>
          <w:szCs w:val="24"/>
        </w:rPr>
        <w:t>Levesque, D.A., Velicer, W.F.</w:t>
      </w:r>
      <w:r>
        <w:rPr>
          <w:rFonts w:eastAsia="Times New Roman"/>
          <w:sz w:val="24"/>
          <w:szCs w:val="24"/>
        </w:rPr>
        <w:t xml:space="preserve">, Castle, P.H. &amp; Greene, R.N. (2008). Development and Initial Validation Resistance Among Domestic Violence Offenders: Measurement. </w:t>
      </w:r>
      <w:r>
        <w:rPr>
          <w:rFonts w:eastAsia="Times New Roman"/>
          <w:i/>
          <w:iCs/>
          <w:sz w:val="24"/>
          <w:szCs w:val="24"/>
        </w:rPr>
        <w:t>Violence</w:t>
      </w:r>
      <w:r>
        <w:rPr>
          <w:rFonts w:eastAsia="Times New Roman"/>
          <w:sz w:val="24"/>
          <w:szCs w:val="24"/>
        </w:rPr>
        <w:t xml:space="preserve"> </w:t>
      </w:r>
      <w:r>
        <w:rPr>
          <w:rFonts w:eastAsia="Times New Roman"/>
          <w:i/>
          <w:iCs/>
          <w:sz w:val="24"/>
          <w:szCs w:val="24"/>
        </w:rPr>
        <w:t xml:space="preserve">Against Women, 14, </w:t>
      </w:r>
      <w:r>
        <w:rPr>
          <w:rFonts w:eastAsia="Times New Roman"/>
          <w:sz w:val="24"/>
          <w:szCs w:val="24"/>
        </w:rPr>
        <w:t>158-182.</w:t>
      </w:r>
    </w:p>
    <w:p w:rsidR="000C2ED5" w:rsidRDefault="000C2ED5">
      <w:pPr>
        <w:spacing w:line="217" w:lineRule="exact"/>
        <w:rPr>
          <w:sz w:val="20"/>
          <w:szCs w:val="20"/>
        </w:rPr>
      </w:pPr>
    </w:p>
    <w:p w:rsidR="000C2ED5" w:rsidRDefault="00485212">
      <w:pPr>
        <w:spacing w:line="474" w:lineRule="auto"/>
        <w:ind w:left="720" w:right="186" w:hanging="719"/>
        <w:jc w:val="both"/>
        <w:rPr>
          <w:sz w:val="20"/>
          <w:szCs w:val="20"/>
        </w:rPr>
      </w:pPr>
      <w:r>
        <w:rPr>
          <w:rFonts w:eastAsia="Times New Roman"/>
          <w:sz w:val="24"/>
          <w:szCs w:val="24"/>
        </w:rPr>
        <w:t xml:space="preserve">*Long, C., Banyard, E., Fox, E., Somers, J., Poynter, D., &amp; Chapman, R. (2012). Barriers to treatment: reasons for non-attendance in womens secure setting. </w:t>
      </w:r>
      <w:r>
        <w:rPr>
          <w:rFonts w:eastAsia="Times New Roman"/>
          <w:i/>
          <w:iCs/>
          <w:sz w:val="24"/>
          <w:szCs w:val="24"/>
        </w:rPr>
        <w:t>Journal of Forensic</w:t>
      </w:r>
      <w:r>
        <w:rPr>
          <w:rFonts w:eastAsia="Times New Roman"/>
          <w:sz w:val="24"/>
          <w:szCs w:val="24"/>
        </w:rPr>
        <w:t xml:space="preserve"> </w:t>
      </w:r>
      <w:r>
        <w:rPr>
          <w:rFonts w:eastAsia="Times New Roman"/>
          <w:i/>
          <w:iCs/>
          <w:sz w:val="24"/>
          <w:szCs w:val="24"/>
        </w:rPr>
        <w:t xml:space="preserve">Psychiatry and Psychology 5, </w:t>
      </w:r>
      <w:r>
        <w:rPr>
          <w:rFonts w:eastAsia="Times New Roman"/>
          <w:sz w:val="24"/>
          <w:szCs w:val="24"/>
        </w:rPr>
        <w:t>154-163.</w:t>
      </w:r>
    </w:p>
    <w:p w:rsidR="000C2ED5" w:rsidRDefault="000C2ED5">
      <w:pPr>
        <w:spacing w:line="21" w:lineRule="exact"/>
        <w:rPr>
          <w:sz w:val="20"/>
          <w:szCs w:val="20"/>
        </w:rPr>
      </w:pPr>
    </w:p>
    <w:p w:rsidR="000C2ED5" w:rsidRDefault="00485212">
      <w:pPr>
        <w:spacing w:line="474" w:lineRule="auto"/>
        <w:ind w:left="720" w:right="526" w:hanging="719"/>
        <w:rPr>
          <w:sz w:val="20"/>
          <w:szCs w:val="20"/>
        </w:rPr>
      </w:pPr>
      <w:r>
        <w:rPr>
          <w:rFonts w:eastAsia="Times New Roman"/>
          <w:sz w:val="24"/>
          <w:szCs w:val="24"/>
        </w:rPr>
        <w:t>Long, C., Dolley, O., &amp; Hollin, C. (2013)</w:t>
      </w:r>
      <w:r>
        <w:rPr>
          <w:rFonts w:eastAsia="Times New Roman"/>
          <w:sz w:val="24"/>
          <w:szCs w:val="24"/>
        </w:rPr>
        <w:t xml:space="preserve">. Engagement in psychosocial treatment: Its relationship to outcome and care pathway progress for women in medium-secure settings. </w:t>
      </w:r>
      <w:r>
        <w:rPr>
          <w:rFonts w:eastAsia="Times New Roman"/>
          <w:i/>
          <w:iCs/>
          <w:sz w:val="24"/>
          <w:szCs w:val="24"/>
        </w:rPr>
        <w:t>Criminal Behaviour and Mental Health, 22,</w:t>
      </w:r>
      <w:r>
        <w:rPr>
          <w:rFonts w:eastAsia="Times New Roman"/>
          <w:sz w:val="24"/>
          <w:szCs w:val="24"/>
        </w:rPr>
        <w:t xml:space="preserve"> 336-349.</w:t>
      </w:r>
    </w:p>
    <w:p w:rsidR="000C2ED5" w:rsidRDefault="000C2ED5">
      <w:pPr>
        <w:spacing w:line="21" w:lineRule="exact"/>
        <w:rPr>
          <w:sz w:val="20"/>
          <w:szCs w:val="20"/>
        </w:rPr>
      </w:pPr>
    </w:p>
    <w:p w:rsidR="000C2ED5" w:rsidRDefault="00485212">
      <w:pPr>
        <w:spacing w:line="474" w:lineRule="auto"/>
        <w:ind w:left="720" w:right="486" w:hanging="719"/>
        <w:jc w:val="both"/>
        <w:rPr>
          <w:sz w:val="20"/>
          <w:szCs w:val="20"/>
        </w:rPr>
      </w:pPr>
      <w:r>
        <w:rPr>
          <w:rFonts w:eastAsia="Times New Roman"/>
          <w:sz w:val="24"/>
          <w:szCs w:val="24"/>
        </w:rPr>
        <w:t>Main, M. &amp; Gudjonsson, G. H. (2006). An investigation into the forensic f</w:t>
      </w:r>
      <w:r>
        <w:rPr>
          <w:rFonts w:eastAsia="Times New Roman"/>
          <w:sz w:val="24"/>
          <w:szCs w:val="24"/>
        </w:rPr>
        <w:t>actors that are associated with non-compliance in medium secure units</w:t>
      </w:r>
      <w:r>
        <w:rPr>
          <w:rFonts w:eastAsia="Times New Roman"/>
          <w:i/>
          <w:iCs/>
          <w:sz w:val="24"/>
          <w:szCs w:val="24"/>
        </w:rPr>
        <w:t>. The Journal of Forensic</w:t>
      </w:r>
      <w:r>
        <w:rPr>
          <w:rFonts w:eastAsia="Times New Roman"/>
          <w:sz w:val="24"/>
          <w:szCs w:val="24"/>
        </w:rPr>
        <w:t xml:space="preserve"> </w:t>
      </w:r>
      <w:r>
        <w:rPr>
          <w:rFonts w:eastAsia="Times New Roman"/>
          <w:i/>
          <w:iCs/>
          <w:sz w:val="24"/>
          <w:szCs w:val="24"/>
        </w:rPr>
        <w:t>Psychiatry and Psychology, 17</w:t>
      </w:r>
      <w:r>
        <w:rPr>
          <w:rFonts w:eastAsia="Times New Roman"/>
          <w:sz w:val="24"/>
          <w:szCs w:val="24"/>
        </w:rPr>
        <w:t>, 181-191.</w:t>
      </w:r>
    </w:p>
    <w:p w:rsidR="000C2ED5" w:rsidRDefault="000C2ED5">
      <w:pPr>
        <w:spacing w:line="21" w:lineRule="exact"/>
        <w:rPr>
          <w:sz w:val="20"/>
          <w:szCs w:val="20"/>
        </w:rPr>
      </w:pPr>
    </w:p>
    <w:p w:rsidR="000C2ED5" w:rsidRDefault="00485212">
      <w:pPr>
        <w:spacing w:line="469" w:lineRule="auto"/>
        <w:ind w:left="720" w:right="6" w:hanging="719"/>
        <w:rPr>
          <w:sz w:val="20"/>
          <w:szCs w:val="20"/>
        </w:rPr>
      </w:pPr>
      <w:r>
        <w:rPr>
          <w:rFonts w:eastAsia="Times New Roman"/>
          <w:sz w:val="24"/>
          <w:szCs w:val="24"/>
        </w:rPr>
        <w:t xml:space="preserve">*Mann, R.E., Webster, S.D. Wakeling, H.C., &amp; Keylock, H. (2012). Why do sexual offenders refuse treatment? </w:t>
      </w:r>
      <w:r>
        <w:rPr>
          <w:rFonts w:eastAsia="Times New Roman"/>
          <w:i/>
          <w:iCs/>
          <w:sz w:val="24"/>
          <w:szCs w:val="24"/>
        </w:rPr>
        <w:t>Journal of Se</w:t>
      </w:r>
      <w:r>
        <w:rPr>
          <w:rFonts w:eastAsia="Times New Roman"/>
          <w:i/>
          <w:iCs/>
          <w:sz w:val="24"/>
          <w:szCs w:val="24"/>
        </w:rPr>
        <w:t>xual Aggression</w:t>
      </w:r>
      <w:r>
        <w:rPr>
          <w:rFonts w:eastAsia="Times New Roman"/>
          <w:sz w:val="24"/>
          <w:szCs w:val="24"/>
        </w:rPr>
        <w:t xml:space="preserve">, </w:t>
      </w:r>
      <w:r>
        <w:rPr>
          <w:rFonts w:eastAsia="Times New Roman"/>
          <w:i/>
          <w:iCs/>
          <w:sz w:val="24"/>
          <w:szCs w:val="24"/>
        </w:rPr>
        <w:t>19</w:t>
      </w:r>
      <w:r>
        <w:rPr>
          <w:rFonts w:eastAsia="Times New Roman"/>
          <w:sz w:val="24"/>
          <w:szCs w:val="24"/>
        </w:rPr>
        <w:t>, 191-206.</w:t>
      </w:r>
    </w:p>
    <w:p w:rsidR="000C2ED5" w:rsidRDefault="000C2ED5">
      <w:pPr>
        <w:spacing w:line="26" w:lineRule="exact"/>
        <w:rPr>
          <w:sz w:val="20"/>
          <w:szCs w:val="20"/>
        </w:rPr>
      </w:pPr>
    </w:p>
    <w:p w:rsidR="000C2ED5" w:rsidRDefault="00485212">
      <w:pPr>
        <w:spacing w:line="474" w:lineRule="auto"/>
        <w:ind w:left="720" w:right="26" w:hanging="719"/>
        <w:rPr>
          <w:sz w:val="20"/>
          <w:szCs w:val="20"/>
        </w:rPr>
      </w:pPr>
      <w:r>
        <w:rPr>
          <w:rFonts w:eastAsia="Times New Roman"/>
          <w:sz w:val="24"/>
          <w:szCs w:val="24"/>
        </w:rPr>
        <w:t xml:space="preserve">*Mason, K. &amp; Adler, J. R. (2012). Group-work therapeutic engagement in a high secure hospital: Male service user perspectives. </w:t>
      </w:r>
      <w:r>
        <w:rPr>
          <w:rFonts w:eastAsia="Times New Roman"/>
          <w:i/>
          <w:iCs/>
          <w:sz w:val="24"/>
          <w:szCs w:val="24"/>
        </w:rPr>
        <w:t>The British Journal of Forensic Practice, 14</w:t>
      </w:r>
      <w:r>
        <w:rPr>
          <w:rFonts w:eastAsia="Times New Roman"/>
          <w:sz w:val="24"/>
          <w:szCs w:val="24"/>
        </w:rPr>
        <w:t>, 92-103.</w:t>
      </w:r>
    </w:p>
    <w:p w:rsidR="000C2ED5" w:rsidRDefault="000C2ED5">
      <w:pPr>
        <w:spacing w:line="9" w:lineRule="exact"/>
        <w:rPr>
          <w:sz w:val="20"/>
          <w:szCs w:val="20"/>
        </w:rPr>
      </w:pPr>
    </w:p>
    <w:p w:rsidR="000C2ED5" w:rsidRDefault="00485212">
      <w:pPr>
        <w:rPr>
          <w:sz w:val="20"/>
          <w:szCs w:val="20"/>
        </w:rPr>
      </w:pPr>
      <w:r>
        <w:rPr>
          <w:rFonts w:eastAsia="Times New Roman"/>
          <w:sz w:val="24"/>
          <w:szCs w:val="24"/>
        </w:rPr>
        <w:t>Maslow, A.H. (194). A theory of human motiv</w:t>
      </w:r>
      <w:r>
        <w:rPr>
          <w:rFonts w:eastAsia="Times New Roman"/>
          <w:sz w:val="24"/>
          <w:szCs w:val="24"/>
        </w:rPr>
        <w:t xml:space="preserve">ation. </w:t>
      </w:r>
      <w:r>
        <w:rPr>
          <w:rFonts w:eastAsia="Times New Roman"/>
          <w:i/>
          <w:iCs/>
          <w:sz w:val="24"/>
          <w:szCs w:val="24"/>
        </w:rPr>
        <w:t>Psychological Review, 50</w:t>
      </w:r>
      <w:r>
        <w:rPr>
          <w:rFonts w:eastAsia="Times New Roman"/>
          <w:sz w:val="24"/>
          <w:szCs w:val="24"/>
        </w:rPr>
        <w:t>, 370-396.</w:t>
      </w:r>
    </w:p>
    <w:p w:rsidR="000C2ED5" w:rsidRDefault="000C2ED5">
      <w:pPr>
        <w:spacing w:line="200" w:lineRule="exact"/>
        <w:rPr>
          <w:sz w:val="20"/>
          <w:szCs w:val="20"/>
        </w:rPr>
      </w:pPr>
    </w:p>
    <w:p w:rsidR="000C2ED5" w:rsidRDefault="000C2ED5">
      <w:pPr>
        <w:spacing w:line="364" w:lineRule="exact"/>
        <w:rPr>
          <w:sz w:val="20"/>
          <w:szCs w:val="20"/>
        </w:rPr>
      </w:pPr>
    </w:p>
    <w:p w:rsidR="000C2ED5" w:rsidRDefault="00485212">
      <w:pPr>
        <w:spacing w:line="474" w:lineRule="auto"/>
        <w:ind w:left="720" w:right="226" w:hanging="719"/>
        <w:rPr>
          <w:sz w:val="20"/>
          <w:szCs w:val="20"/>
        </w:rPr>
      </w:pPr>
      <w:r>
        <w:rPr>
          <w:rFonts w:eastAsia="Times New Roman"/>
          <w:sz w:val="24"/>
          <w:szCs w:val="24"/>
        </w:rPr>
        <w:t xml:space="preserve">*McCorkel, J., Harrison, L.D. &amp; Inciardi, J.A. (1998). How treatment is constructed among graduates and dropouts in a prison therapeutic community for Women. </w:t>
      </w:r>
      <w:r>
        <w:rPr>
          <w:rFonts w:eastAsia="Times New Roman"/>
          <w:i/>
          <w:iCs/>
          <w:sz w:val="24"/>
          <w:szCs w:val="24"/>
        </w:rPr>
        <w:t>Journal of</w:t>
      </w:r>
      <w:r>
        <w:rPr>
          <w:rFonts w:eastAsia="Times New Roman"/>
          <w:sz w:val="24"/>
          <w:szCs w:val="24"/>
        </w:rPr>
        <w:t xml:space="preserve"> </w:t>
      </w:r>
      <w:r>
        <w:rPr>
          <w:rFonts w:eastAsia="Times New Roman"/>
          <w:i/>
          <w:iCs/>
          <w:sz w:val="24"/>
          <w:szCs w:val="24"/>
        </w:rPr>
        <w:t>Offender Rehabilitation</w:t>
      </w:r>
      <w:r>
        <w:rPr>
          <w:rFonts w:eastAsia="Times New Roman"/>
          <w:sz w:val="24"/>
          <w:szCs w:val="24"/>
        </w:rPr>
        <w:t>,</w:t>
      </w:r>
      <w:r>
        <w:rPr>
          <w:rFonts w:eastAsia="Times New Roman"/>
          <w:i/>
          <w:iCs/>
          <w:sz w:val="24"/>
          <w:szCs w:val="24"/>
        </w:rPr>
        <w:t xml:space="preserve"> 27, </w:t>
      </w:r>
      <w:r>
        <w:rPr>
          <w:rFonts w:eastAsia="Times New Roman"/>
          <w:sz w:val="24"/>
          <w:szCs w:val="24"/>
        </w:rPr>
        <w:t>37-59.</w:t>
      </w:r>
    </w:p>
    <w:p w:rsidR="000C2ED5" w:rsidRDefault="000C2ED5">
      <w:pPr>
        <w:spacing w:line="21" w:lineRule="exact"/>
        <w:rPr>
          <w:sz w:val="20"/>
          <w:szCs w:val="20"/>
        </w:rPr>
      </w:pPr>
    </w:p>
    <w:p w:rsidR="000C2ED5" w:rsidRDefault="00485212">
      <w:pPr>
        <w:spacing w:line="474" w:lineRule="auto"/>
        <w:ind w:left="720" w:right="226" w:hanging="719"/>
        <w:rPr>
          <w:sz w:val="20"/>
          <w:szCs w:val="20"/>
        </w:rPr>
      </w:pPr>
      <w:r>
        <w:rPr>
          <w:rFonts w:eastAsia="Times New Roman"/>
          <w:sz w:val="24"/>
          <w:szCs w:val="24"/>
        </w:rPr>
        <w:t xml:space="preserve">*McGrain, P. N. (2006). </w:t>
      </w:r>
      <w:r>
        <w:rPr>
          <w:rFonts w:eastAsia="Times New Roman"/>
          <w:i/>
          <w:iCs/>
          <w:sz w:val="24"/>
          <w:szCs w:val="24"/>
        </w:rPr>
        <w:t>An examination of therapeutic engagement in a prison-based drug</w:t>
      </w:r>
      <w:r>
        <w:rPr>
          <w:rFonts w:eastAsia="Times New Roman"/>
          <w:sz w:val="24"/>
          <w:szCs w:val="24"/>
        </w:rPr>
        <w:t xml:space="preserve"> </w:t>
      </w:r>
      <w:r>
        <w:rPr>
          <w:rFonts w:eastAsia="Times New Roman"/>
          <w:i/>
          <w:iCs/>
          <w:sz w:val="24"/>
          <w:szCs w:val="24"/>
        </w:rPr>
        <w:t xml:space="preserve">treatment therapeutic community. </w:t>
      </w:r>
      <w:r>
        <w:rPr>
          <w:rFonts w:eastAsia="Times New Roman"/>
          <w:sz w:val="24"/>
          <w:szCs w:val="24"/>
        </w:rPr>
        <w:t>Unpublsihed Doctoral Dissertation, Temple</w:t>
      </w:r>
      <w:r>
        <w:rPr>
          <w:rFonts w:eastAsia="Times New Roman"/>
          <w:i/>
          <w:iCs/>
          <w:sz w:val="24"/>
          <w:szCs w:val="24"/>
        </w:rPr>
        <w:t xml:space="preserve"> </w:t>
      </w:r>
      <w:r>
        <w:rPr>
          <w:rFonts w:eastAsia="Times New Roman"/>
          <w:sz w:val="24"/>
          <w:szCs w:val="24"/>
        </w:rPr>
        <w:t>University.</w:t>
      </w:r>
    </w:p>
    <w:p w:rsidR="000C2ED5" w:rsidRDefault="000C2ED5">
      <w:pPr>
        <w:spacing w:line="200" w:lineRule="exact"/>
        <w:rPr>
          <w:sz w:val="20"/>
          <w:szCs w:val="20"/>
        </w:rPr>
      </w:pPr>
    </w:p>
    <w:p w:rsidR="000C2ED5" w:rsidRDefault="000C2ED5">
      <w:pPr>
        <w:spacing w:line="272" w:lineRule="exact"/>
        <w:rPr>
          <w:sz w:val="20"/>
          <w:szCs w:val="20"/>
        </w:rPr>
      </w:pPr>
    </w:p>
    <w:p w:rsidR="000C2ED5" w:rsidRDefault="00485212">
      <w:pPr>
        <w:ind w:right="6"/>
        <w:jc w:val="right"/>
        <w:rPr>
          <w:sz w:val="20"/>
          <w:szCs w:val="20"/>
        </w:rPr>
      </w:pPr>
      <w:r>
        <w:rPr>
          <w:rFonts w:eastAsia="Times New Roman"/>
        </w:rPr>
        <w:t>38</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39" w:name="page40"/>
      <w:bookmarkEnd w:id="39"/>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63" w:lineRule="exact"/>
        <w:rPr>
          <w:sz w:val="20"/>
          <w:szCs w:val="20"/>
        </w:rPr>
      </w:pPr>
    </w:p>
    <w:p w:rsidR="000C2ED5" w:rsidRDefault="00485212">
      <w:pPr>
        <w:rPr>
          <w:sz w:val="20"/>
          <w:szCs w:val="20"/>
        </w:rPr>
      </w:pPr>
      <w:r>
        <w:rPr>
          <w:rFonts w:eastAsia="Times New Roman"/>
          <w:sz w:val="24"/>
          <w:szCs w:val="24"/>
        </w:rPr>
        <w:t xml:space="preserve">McMurran, M. (2002). </w:t>
      </w:r>
      <w:r>
        <w:rPr>
          <w:rFonts w:eastAsia="Times New Roman"/>
          <w:i/>
          <w:iCs/>
          <w:sz w:val="24"/>
          <w:szCs w:val="24"/>
        </w:rPr>
        <w:t>Motivating offenders to change: A guide to enhancing engagement in</w:t>
      </w:r>
    </w:p>
    <w:p w:rsidR="000C2ED5" w:rsidRDefault="000C2ED5">
      <w:pPr>
        <w:spacing w:line="276" w:lineRule="exact"/>
        <w:rPr>
          <w:sz w:val="20"/>
          <w:szCs w:val="20"/>
        </w:rPr>
      </w:pPr>
    </w:p>
    <w:p w:rsidR="000C2ED5" w:rsidRDefault="00485212">
      <w:pPr>
        <w:ind w:left="720"/>
        <w:rPr>
          <w:sz w:val="20"/>
          <w:szCs w:val="20"/>
        </w:rPr>
      </w:pPr>
      <w:r>
        <w:rPr>
          <w:rFonts w:eastAsia="Times New Roman"/>
          <w:i/>
          <w:iCs/>
          <w:sz w:val="24"/>
          <w:szCs w:val="24"/>
        </w:rPr>
        <w:t>therapy</w:t>
      </w:r>
      <w:r>
        <w:rPr>
          <w:rFonts w:eastAsia="Times New Roman"/>
          <w:sz w:val="24"/>
          <w:szCs w:val="24"/>
        </w:rPr>
        <w:t>. England: John Wiley and Sons Ltd.</w:t>
      </w:r>
    </w:p>
    <w:p w:rsidR="000C2ED5" w:rsidRDefault="000C2ED5">
      <w:pPr>
        <w:spacing w:line="200" w:lineRule="exact"/>
        <w:rPr>
          <w:sz w:val="20"/>
          <w:szCs w:val="20"/>
        </w:rPr>
      </w:pPr>
    </w:p>
    <w:p w:rsidR="000C2ED5" w:rsidRDefault="000C2ED5">
      <w:pPr>
        <w:spacing w:line="328" w:lineRule="exact"/>
        <w:rPr>
          <w:sz w:val="20"/>
          <w:szCs w:val="20"/>
        </w:rPr>
      </w:pPr>
    </w:p>
    <w:p w:rsidR="000C2ED5" w:rsidRDefault="00485212">
      <w:pPr>
        <w:spacing w:line="469" w:lineRule="auto"/>
        <w:ind w:left="720" w:right="46" w:hanging="719"/>
        <w:rPr>
          <w:sz w:val="20"/>
          <w:szCs w:val="20"/>
        </w:rPr>
      </w:pPr>
      <w:r>
        <w:rPr>
          <w:rFonts w:eastAsia="Times New Roman"/>
          <w:sz w:val="24"/>
          <w:szCs w:val="24"/>
        </w:rPr>
        <w:t xml:space="preserve">McMurran, M. (2009). Motivational Interviewing with offenders: A systematic review. </w:t>
      </w:r>
      <w:r>
        <w:rPr>
          <w:rFonts w:eastAsia="Times New Roman"/>
          <w:i/>
          <w:iCs/>
          <w:sz w:val="24"/>
          <w:szCs w:val="24"/>
        </w:rPr>
        <w:t>Legal</w:t>
      </w:r>
      <w:r>
        <w:rPr>
          <w:rFonts w:eastAsia="Times New Roman"/>
          <w:sz w:val="24"/>
          <w:szCs w:val="24"/>
        </w:rPr>
        <w:t xml:space="preserve"> </w:t>
      </w:r>
      <w:r>
        <w:rPr>
          <w:rFonts w:eastAsia="Times New Roman"/>
          <w:i/>
          <w:iCs/>
          <w:sz w:val="24"/>
          <w:szCs w:val="24"/>
        </w:rPr>
        <w:t>and Criminological Psycholog</w:t>
      </w:r>
      <w:r>
        <w:rPr>
          <w:rFonts w:eastAsia="Times New Roman"/>
          <w:sz w:val="24"/>
          <w:szCs w:val="24"/>
        </w:rPr>
        <w:t>y,</w:t>
      </w:r>
      <w:r>
        <w:rPr>
          <w:rFonts w:eastAsia="Times New Roman"/>
          <w:i/>
          <w:iCs/>
          <w:sz w:val="24"/>
          <w:szCs w:val="24"/>
        </w:rPr>
        <w:t xml:space="preserve"> 14</w:t>
      </w:r>
      <w:r>
        <w:rPr>
          <w:rFonts w:eastAsia="Times New Roman"/>
          <w:sz w:val="24"/>
          <w:szCs w:val="24"/>
        </w:rPr>
        <w:t>, 83-100.</w:t>
      </w:r>
    </w:p>
    <w:p w:rsidR="000C2ED5" w:rsidRDefault="000C2ED5">
      <w:pPr>
        <w:spacing w:line="265" w:lineRule="exact"/>
        <w:rPr>
          <w:sz w:val="20"/>
          <w:szCs w:val="20"/>
        </w:rPr>
      </w:pPr>
    </w:p>
    <w:p w:rsidR="000C2ED5" w:rsidRDefault="00485212">
      <w:pPr>
        <w:spacing w:line="474" w:lineRule="auto"/>
        <w:ind w:left="720" w:right="346" w:hanging="719"/>
        <w:jc w:val="both"/>
        <w:rPr>
          <w:sz w:val="20"/>
          <w:szCs w:val="20"/>
        </w:rPr>
      </w:pPr>
      <w:r>
        <w:rPr>
          <w:rFonts w:eastAsia="Times New Roman"/>
          <w:sz w:val="24"/>
          <w:szCs w:val="24"/>
        </w:rPr>
        <w:t xml:space="preserve">McMurran, M. (2010). Goal-focused interventions with offenders. In A. Day, S. Casey, T. Ward, K. Howells, &amp; J. Vess (Eds.), </w:t>
      </w:r>
      <w:r>
        <w:rPr>
          <w:rFonts w:eastAsia="Times New Roman"/>
          <w:i/>
          <w:iCs/>
          <w:sz w:val="24"/>
          <w:szCs w:val="24"/>
        </w:rPr>
        <w:t>Transition to Better Lives. Offender readiness</w:t>
      </w:r>
      <w:r>
        <w:rPr>
          <w:rFonts w:eastAsia="Times New Roman"/>
          <w:sz w:val="24"/>
          <w:szCs w:val="24"/>
        </w:rPr>
        <w:t xml:space="preserve"> </w:t>
      </w:r>
      <w:r>
        <w:rPr>
          <w:rFonts w:eastAsia="Times New Roman"/>
          <w:i/>
          <w:iCs/>
          <w:sz w:val="24"/>
          <w:szCs w:val="24"/>
        </w:rPr>
        <w:t xml:space="preserve">and rehabiliation </w:t>
      </w:r>
      <w:r>
        <w:rPr>
          <w:rFonts w:eastAsia="Times New Roman"/>
          <w:sz w:val="24"/>
          <w:szCs w:val="24"/>
        </w:rPr>
        <w:t>(pp. 180-213). UK: Willan Publishing.</w:t>
      </w:r>
    </w:p>
    <w:p w:rsidR="000C2ED5" w:rsidRDefault="000C2ED5">
      <w:pPr>
        <w:spacing w:line="261" w:lineRule="exact"/>
        <w:rPr>
          <w:sz w:val="20"/>
          <w:szCs w:val="20"/>
        </w:rPr>
      </w:pPr>
    </w:p>
    <w:p w:rsidR="000C2ED5" w:rsidRDefault="00485212">
      <w:pPr>
        <w:spacing w:line="474" w:lineRule="auto"/>
        <w:ind w:left="720" w:right="266" w:hanging="719"/>
        <w:rPr>
          <w:sz w:val="20"/>
          <w:szCs w:val="20"/>
        </w:rPr>
      </w:pPr>
      <w:r>
        <w:rPr>
          <w:rFonts w:eastAsia="Times New Roman"/>
          <w:sz w:val="24"/>
          <w:szCs w:val="24"/>
        </w:rPr>
        <w:t xml:space="preserve">*McMurran, M. &amp;McCulloch, A. (2007). Why don’t offenders complete treatment? Prisoners' reasons for non-completion of a cognitive skills programme. </w:t>
      </w:r>
      <w:r>
        <w:rPr>
          <w:rFonts w:eastAsia="Times New Roman"/>
          <w:i/>
          <w:iCs/>
          <w:sz w:val="24"/>
          <w:szCs w:val="24"/>
        </w:rPr>
        <w:t>Psychology,</w:t>
      </w:r>
      <w:r>
        <w:rPr>
          <w:rFonts w:eastAsia="Times New Roman"/>
          <w:sz w:val="24"/>
          <w:szCs w:val="24"/>
        </w:rPr>
        <w:t xml:space="preserve"> </w:t>
      </w:r>
      <w:r>
        <w:rPr>
          <w:rFonts w:eastAsia="Times New Roman"/>
          <w:i/>
          <w:iCs/>
          <w:sz w:val="24"/>
          <w:szCs w:val="24"/>
        </w:rPr>
        <w:t xml:space="preserve">Crime &amp; Law, 13, </w:t>
      </w:r>
      <w:r>
        <w:rPr>
          <w:rFonts w:eastAsia="Times New Roman"/>
          <w:sz w:val="24"/>
          <w:szCs w:val="24"/>
        </w:rPr>
        <w:t>345-354.</w:t>
      </w:r>
    </w:p>
    <w:p w:rsidR="000C2ED5" w:rsidRDefault="000C2ED5">
      <w:pPr>
        <w:spacing w:line="261" w:lineRule="exact"/>
        <w:rPr>
          <w:sz w:val="20"/>
          <w:szCs w:val="20"/>
        </w:rPr>
      </w:pPr>
    </w:p>
    <w:p w:rsidR="000C2ED5" w:rsidRDefault="00485212">
      <w:pPr>
        <w:spacing w:line="474" w:lineRule="auto"/>
        <w:ind w:left="720" w:right="26" w:hanging="719"/>
        <w:rPr>
          <w:sz w:val="20"/>
          <w:szCs w:val="20"/>
        </w:rPr>
      </w:pPr>
      <w:r>
        <w:rPr>
          <w:rFonts w:eastAsia="Times New Roman"/>
          <w:sz w:val="24"/>
          <w:szCs w:val="24"/>
        </w:rPr>
        <w:t>McMurran, M., Huband, N., &amp; Overton, E. (2010). Non-completion of per</w:t>
      </w:r>
      <w:r>
        <w:rPr>
          <w:rFonts w:eastAsia="Times New Roman"/>
          <w:sz w:val="24"/>
          <w:szCs w:val="24"/>
        </w:rPr>
        <w:t xml:space="preserve">sonality disorder treatments: A systematic review of correlates, consequnces and interventions. </w:t>
      </w:r>
      <w:r>
        <w:rPr>
          <w:rFonts w:eastAsia="Times New Roman"/>
          <w:i/>
          <w:iCs/>
          <w:sz w:val="24"/>
          <w:szCs w:val="24"/>
        </w:rPr>
        <w:t>Clinical</w:t>
      </w:r>
      <w:r>
        <w:rPr>
          <w:rFonts w:eastAsia="Times New Roman"/>
          <w:sz w:val="24"/>
          <w:szCs w:val="24"/>
        </w:rPr>
        <w:t xml:space="preserve"> </w:t>
      </w:r>
      <w:r>
        <w:rPr>
          <w:rFonts w:eastAsia="Times New Roman"/>
          <w:i/>
          <w:iCs/>
          <w:sz w:val="24"/>
          <w:szCs w:val="24"/>
        </w:rPr>
        <w:t xml:space="preserve">Psychology Review, 30, </w:t>
      </w:r>
      <w:r>
        <w:rPr>
          <w:rFonts w:eastAsia="Times New Roman"/>
          <w:sz w:val="24"/>
          <w:szCs w:val="24"/>
        </w:rPr>
        <w:t>277-287.</w:t>
      </w:r>
    </w:p>
    <w:p w:rsidR="000C2ED5" w:rsidRDefault="000C2ED5">
      <w:pPr>
        <w:spacing w:line="261" w:lineRule="exact"/>
        <w:rPr>
          <w:sz w:val="20"/>
          <w:szCs w:val="20"/>
        </w:rPr>
      </w:pPr>
    </w:p>
    <w:p w:rsidR="000C2ED5" w:rsidRDefault="00485212">
      <w:pPr>
        <w:spacing w:line="469" w:lineRule="auto"/>
        <w:ind w:left="720" w:right="326" w:hanging="719"/>
        <w:rPr>
          <w:sz w:val="20"/>
          <w:szCs w:val="20"/>
        </w:rPr>
      </w:pPr>
      <w:r>
        <w:rPr>
          <w:rFonts w:eastAsia="Times New Roman"/>
          <w:sz w:val="24"/>
          <w:szCs w:val="24"/>
        </w:rPr>
        <w:t>McMurran, M., &amp; Theodosi, E. (2007). Is treatment non-completion associated with increased reconviction over no treatm</w:t>
      </w:r>
      <w:r>
        <w:rPr>
          <w:rFonts w:eastAsia="Times New Roman"/>
          <w:sz w:val="24"/>
          <w:szCs w:val="24"/>
        </w:rPr>
        <w:t xml:space="preserve">ent? </w:t>
      </w:r>
      <w:r>
        <w:rPr>
          <w:rFonts w:eastAsia="Times New Roman"/>
          <w:i/>
          <w:iCs/>
          <w:sz w:val="24"/>
          <w:szCs w:val="24"/>
        </w:rPr>
        <w:t>Psychology, Crime &amp; Law, 13</w:t>
      </w:r>
      <w:r>
        <w:rPr>
          <w:rFonts w:eastAsia="Times New Roman"/>
          <w:sz w:val="24"/>
          <w:szCs w:val="24"/>
        </w:rPr>
        <w:t>, 333-343.</w:t>
      </w:r>
    </w:p>
    <w:p w:rsidR="000C2ED5" w:rsidRDefault="000C2ED5">
      <w:pPr>
        <w:spacing w:line="265" w:lineRule="exact"/>
        <w:rPr>
          <w:sz w:val="20"/>
          <w:szCs w:val="20"/>
        </w:rPr>
      </w:pPr>
    </w:p>
    <w:p w:rsidR="000C2ED5" w:rsidRDefault="00485212">
      <w:pPr>
        <w:spacing w:line="475" w:lineRule="auto"/>
        <w:ind w:left="720" w:right="66" w:hanging="719"/>
        <w:rPr>
          <w:sz w:val="20"/>
          <w:szCs w:val="20"/>
        </w:rPr>
      </w:pPr>
      <w:r>
        <w:rPr>
          <w:rFonts w:eastAsia="Times New Roman"/>
          <w:sz w:val="24"/>
          <w:szCs w:val="24"/>
        </w:rPr>
        <w:t xml:space="preserve">McMurran, M., Huband, N., &amp; Duggan, C. (2008). A comparison of treatment completers and non-completers of an in-patient treatment programme for male personality-disordered offenders. </w:t>
      </w:r>
      <w:r>
        <w:rPr>
          <w:rFonts w:eastAsia="Times New Roman"/>
          <w:i/>
          <w:iCs/>
          <w:sz w:val="24"/>
          <w:szCs w:val="24"/>
        </w:rPr>
        <w:t>Psychology and Psychotherapy:</w:t>
      </w:r>
      <w:r>
        <w:rPr>
          <w:rFonts w:eastAsia="Times New Roman"/>
          <w:i/>
          <w:iCs/>
          <w:sz w:val="24"/>
          <w:szCs w:val="24"/>
        </w:rPr>
        <w:t xml:space="preserve"> Theory, Research and Practice</w:t>
      </w:r>
      <w:r>
        <w:rPr>
          <w:rFonts w:eastAsia="Times New Roman"/>
          <w:sz w:val="24"/>
          <w:szCs w:val="24"/>
        </w:rPr>
        <w:t xml:space="preserve"> </w:t>
      </w:r>
      <w:r>
        <w:rPr>
          <w:rFonts w:eastAsia="Times New Roman"/>
          <w:i/>
          <w:iCs/>
          <w:sz w:val="24"/>
          <w:szCs w:val="24"/>
        </w:rPr>
        <w:t>81</w:t>
      </w:r>
      <w:r>
        <w:rPr>
          <w:rFonts w:eastAsia="Times New Roman"/>
          <w:sz w:val="24"/>
          <w:szCs w:val="24"/>
        </w:rPr>
        <w:t>, 193-198.</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63" w:lineRule="exact"/>
        <w:rPr>
          <w:sz w:val="20"/>
          <w:szCs w:val="20"/>
        </w:rPr>
      </w:pPr>
    </w:p>
    <w:p w:rsidR="000C2ED5" w:rsidRDefault="00485212">
      <w:pPr>
        <w:ind w:right="6"/>
        <w:jc w:val="right"/>
        <w:rPr>
          <w:sz w:val="20"/>
          <w:szCs w:val="20"/>
        </w:rPr>
      </w:pPr>
      <w:r>
        <w:rPr>
          <w:rFonts w:eastAsia="Times New Roman"/>
        </w:rPr>
        <w:t>39</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40" w:name="page41"/>
      <w:bookmarkEnd w:id="40"/>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4" w:lineRule="auto"/>
        <w:ind w:left="720" w:right="6" w:hanging="719"/>
        <w:rPr>
          <w:sz w:val="20"/>
          <w:szCs w:val="20"/>
        </w:rPr>
      </w:pPr>
      <w:r>
        <w:rPr>
          <w:rFonts w:eastAsia="Times New Roman"/>
          <w:sz w:val="24"/>
          <w:szCs w:val="24"/>
        </w:rPr>
        <w:t xml:space="preserve">Meier, P.S., Barrowclough, C. &amp; Donmall, M.C. (2005). The role of the therapeutic alliance in the treatment of substance misuse: a critical review of the literature. </w:t>
      </w:r>
      <w:r>
        <w:rPr>
          <w:rFonts w:eastAsia="Times New Roman"/>
          <w:i/>
          <w:iCs/>
          <w:sz w:val="24"/>
          <w:szCs w:val="24"/>
        </w:rPr>
        <w:t>Addiction, 100</w:t>
      </w:r>
      <w:r>
        <w:rPr>
          <w:rFonts w:eastAsia="Times New Roman"/>
          <w:sz w:val="24"/>
          <w:szCs w:val="24"/>
        </w:rPr>
        <w:t>, 304-316.</w:t>
      </w:r>
    </w:p>
    <w:p w:rsidR="000C2ED5" w:rsidRDefault="000C2ED5">
      <w:pPr>
        <w:spacing w:line="261" w:lineRule="exact"/>
        <w:rPr>
          <w:sz w:val="20"/>
          <w:szCs w:val="20"/>
        </w:rPr>
      </w:pPr>
    </w:p>
    <w:p w:rsidR="000C2ED5" w:rsidRDefault="00485212">
      <w:pPr>
        <w:spacing w:line="469" w:lineRule="auto"/>
        <w:ind w:left="720" w:right="786" w:hanging="719"/>
        <w:rPr>
          <w:sz w:val="20"/>
          <w:szCs w:val="20"/>
        </w:rPr>
      </w:pPr>
      <w:r>
        <w:rPr>
          <w:rFonts w:eastAsia="Times New Roman"/>
          <w:sz w:val="24"/>
          <w:szCs w:val="24"/>
        </w:rPr>
        <w:t>Norcross, J. C., Krebs, P. M., &amp; Prochaska, J. O. (2011). Stages</w:t>
      </w:r>
      <w:r>
        <w:rPr>
          <w:rFonts w:eastAsia="Times New Roman"/>
          <w:sz w:val="24"/>
          <w:szCs w:val="24"/>
        </w:rPr>
        <w:t xml:space="preserve"> of change. </w:t>
      </w:r>
      <w:r>
        <w:rPr>
          <w:rFonts w:eastAsia="Times New Roman"/>
          <w:i/>
          <w:iCs/>
          <w:sz w:val="24"/>
          <w:szCs w:val="24"/>
        </w:rPr>
        <w:t>Journal of</w:t>
      </w:r>
      <w:r>
        <w:rPr>
          <w:rFonts w:eastAsia="Times New Roman"/>
          <w:sz w:val="24"/>
          <w:szCs w:val="24"/>
        </w:rPr>
        <w:t xml:space="preserve"> </w:t>
      </w:r>
      <w:r>
        <w:rPr>
          <w:rFonts w:eastAsia="Times New Roman"/>
          <w:i/>
          <w:iCs/>
          <w:sz w:val="24"/>
          <w:szCs w:val="24"/>
        </w:rPr>
        <w:t xml:space="preserve">Clinical Psychology: In Session 67, </w:t>
      </w:r>
      <w:r>
        <w:rPr>
          <w:rFonts w:eastAsia="Times New Roman"/>
          <w:sz w:val="24"/>
          <w:szCs w:val="24"/>
        </w:rPr>
        <w:t>143-154.</w:t>
      </w:r>
    </w:p>
    <w:p w:rsidR="000C2ED5" w:rsidRDefault="000C2ED5">
      <w:pPr>
        <w:spacing w:line="265" w:lineRule="exact"/>
        <w:rPr>
          <w:sz w:val="20"/>
          <w:szCs w:val="20"/>
        </w:rPr>
      </w:pPr>
    </w:p>
    <w:p w:rsidR="000C2ED5" w:rsidRDefault="00485212">
      <w:pPr>
        <w:spacing w:line="477" w:lineRule="auto"/>
        <w:ind w:left="700" w:right="66" w:hanging="707"/>
        <w:rPr>
          <w:sz w:val="20"/>
          <w:szCs w:val="20"/>
        </w:rPr>
      </w:pPr>
      <w:r>
        <w:rPr>
          <w:rFonts w:eastAsia="Times New Roman"/>
          <w:sz w:val="24"/>
          <w:szCs w:val="24"/>
        </w:rPr>
        <w:t xml:space="preserve">O’Leary, P., Day, A., Foster, G. &amp; Chung, D. (2009). Resistant or ready? The challenges of male readiness for offender programs. In Day, A., O’Leary, P., Chung, D. &amp; Justo, D. (eds). </w:t>
      </w:r>
      <w:r>
        <w:rPr>
          <w:rFonts w:eastAsia="Times New Roman"/>
          <w:i/>
          <w:iCs/>
          <w:sz w:val="24"/>
          <w:szCs w:val="24"/>
        </w:rPr>
        <w:t>Inte</w:t>
      </w:r>
      <w:r>
        <w:rPr>
          <w:rFonts w:eastAsia="Times New Roman"/>
          <w:i/>
          <w:iCs/>
          <w:sz w:val="24"/>
          <w:szCs w:val="24"/>
        </w:rPr>
        <w:t>grated responses to domestic violence: Research and practice experiences</w:t>
      </w:r>
      <w:r>
        <w:rPr>
          <w:rFonts w:eastAsia="Times New Roman"/>
          <w:sz w:val="24"/>
          <w:szCs w:val="24"/>
        </w:rPr>
        <w:t xml:space="preserve"> </w:t>
      </w:r>
      <w:r>
        <w:rPr>
          <w:rFonts w:eastAsia="Times New Roman"/>
          <w:i/>
          <w:iCs/>
          <w:sz w:val="24"/>
          <w:szCs w:val="24"/>
        </w:rPr>
        <w:t xml:space="preserve">in working with men. </w:t>
      </w:r>
      <w:r>
        <w:rPr>
          <w:rFonts w:eastAsia="Times New Roman"/>
          <w:sz w:val="24"/>
          <w:szCs w:val="24"/>
        </w:rPr>
        <w:t>Annandale, NSW: Federation Press.</w:t>
      </w:r>
    </w:p>
    <w:p w:rsidR="000C2ED5" w:rsidRDefault="000C2ED5">
      <w:pPr>
        <w:spacing w:line="214" w:lineRule="exact"/>
        <w:rPr>
          <w:sz w:val="20"/>
          <w:szCs w:val="20"/>
        </w:rPr>
      </w:pPr>
    </w:p>
    <w:p w:rsidR="000C2ED5" w:rsidRDefault="00485212">
      <w:pPr>
        <w:spacing w:line="474" w:lineRule="auto"/>
        <w:ind w:left="720" w:right="366" w:hanging="719"/>
        <w:rPr>
          <w:sz w:val="20"/>
          <w:szCs w:val="20"/>
        </w:rPr>
      </w:pPr>
      <w:r>
        <w:rPr>
          <w:rFonts w:eastAsia="Times New Roman"/>
          <w:sz w:val="24"/>
          <w:szCs w:val="24"/>
        </w:rPr>
        <w:t>Olver, M. E. &amp; Wong, S. (2009). Therapeutic responses of psychopathic sexual offenders: Treatment attrition, therapeutic change</w:t>
      </w:r>
      <w:r>
        <w:rPr>
          <w:rFonts w:eastAsia="Times New Roman"/>
          <w:sz w:val="24"/>
          <w:szCs w:val="24"/>
        </w:rPr>
        <w:t xml:space="preserve">, and long term recidivism. </w:t>
      </w:r>
      <w:r>
        <w:rPr>
          <w:rFonts w:eastAsia="Times New Roman"/>
          <w:i/>
          <w:iCs/>
          <w:sz w:val="24"/>
          <w:szCs w:val="24"/>
        </w:rPr>
        <w:t>Journal of</w:t>
      </w:r>
      <w:r>
        <w:rPr>
          <w:rFonts w:eastAsia="Times New Roman"/>
          <w:sz w:val="24"/>
          <w:szCs w:val="24"/>
        </w:rPr>
        <w:t xml:space="preserve"> </w:t>
      </w:r>
      <w:r>
        <w:rPr>
          <w:rFonts w:eastAsia="Times New Roman"/>
          <w:i/>
          <w:iCs/>
          <w:sz w:val="24"/>
          <w:szCs w:val="24"/>
        </w:rPr>
        <w:t>Consulting and Clinical Psychology 77</w:t>
      </w:r>
      <w:r>
        <w:rPr>
          <w:rFonts w:eastAsia="Times New Roman"/>
          <w:sz w:val="24"/>
          <w:szCs w:val="24"/>
        </w:rPr>
        <w:t>, 333-346.</w:t>
      </w:r>
    </w:p>
    <w:p w:rsidR="000C2ED5" w:rsidRDefault="000C2ED5">
      <w:pPr>
        <w:spacing w:line="261" w:lineRule="exact"/>
        <w:rPr>
          <w:sz w:val="20"/>
          <w:szCs w:val="20"/>
        </w:rPr>
      </w:pPr>
    </w:p>
    <w:p w:rsidR="000C2ED5" w:rsidRDefault="00485212">
      <w:pPr>
        <w:spacing w:line="469" w:lineRule="auto"/>
        <w:ind w:left="720" w:right="126" w:hanging="719"/>
        <w:rPr>
          <w:sz w:val="20"/>
          <w:szCs w:val="20"/>
        </w:rPr>
      </w:pPr>
      <w:r>
        <w:rPr>
          <w:rFonts w:eastAsia="Times New Roman"/>
          <w:sz w:val="24"/>
          <w:szCs w:val="24"/>
        </w:rPr>
        <w:t xml:space="preserve">Ryan, R. M. &amp; Deci, E. L. (2000). Self-determination theory and the faciliatation of intrinsic motivation, social development and well-being. </w:t>
      </w:r>
      <w:r>
        <w:rPr>
          <w:rFonts w:eastAsia="Times New Roman"/>
          <w:i/>
          <w:iCs/>
          <w:sz w:val="24"/>
          <w:szCs w:val="24"/>
        </w:rPr>
        <w:t>American Psychologist, 55,</w:t>
      </w:r>
      <w:r>
        <w:rPr>
          <w:rFonts w:eastAsia="Times New Roman"/>
          <w:sz w:val="24"/>
          <w:szCs w:val="24"/>
        </w:rPr>
        <w:t xml:space="preserve"> 69-78.</w:t>
      </w:r>
    </w:p>
    <w:p w:rsidR="000C2ED5" w:rsidRDefault="000C2ED5">
      <w:pPr>
        <w:spacing w:line="266" w:lineRule="exact"/>
        <w:rPr>
          <w:sz w:val="20"/>
          <w:szCs w:val="20"/>
        </w:rPr>
      </w:pPr>
    </w:p>
    <w:p w:rsidR="000C2ED5" w:rsidRDefault="00485212">
      <w:pPr>
        <w:spacing w:line="476" w:lineRule="auto"/>
        <w:ind w:left="700" w:right="186" w:hanging="707"/>
        <w:rPr>
          <w:sz w:val="20"/>
          <w:szCs w:val="20"/>
        </w:rPr>
      </w:pPr>
      <w:r>
        <w:rPr>
          <w:rFonts w:eastAsia="Times New Roman"/>
          <w:sz w:val="24"/>
          <w:szCs w:val="24"/>
        </w:rPr>
        <w:t xml:space="preserve">Pace, R., Pluye, P., Bartlett, G., Macaulay, A.C., Salsberg, J., Jagosh, J. &amp; Seller. R. (2012). Testing the reliability and efficiency of the pilot Mixed Methods Appraisal Tool (MMAT) for systematic mixed studies review. </w:t>
      </w:r>
      <w:r>
        <w:rPr>
          <w:rFonts w:eastAsia="Times New Roman"/>
          <w:i/>
          <w:iCs/>
          <w:sz w:val="24"/>
          <w:szCs w:val="24"/>
        </w:rPr>
        <w:t xml:space="preserve">International Journal of </w:t>
      </w:r>
      <w:r>
        <w:rPr>
          <w:rFonts w:eastAsia="Times New Roman"/>
          <w:i/>
          <w:iCs/>
          <w:sz w:val="24"/>
          <w:szCs w:val="24"/>
        </w:rPr>
        <w:t>Nursing</w:t>
      </w:r>
      <w:r>
        <w:rPr>
          <w:rFonts w:eastAsia="Times New Roman"/>
          <w:sz w:val="24"/>
          <w:szCs w:val="24"/>
        </w:rPr>
        <w:t xml:space="preserve"> </w:t>
      </w:r>
      <w:r>
        <w:rPr>
          <w:rFonts w:eastAsia="Times New Roman"/>
          <w:i/>
          <w:iCs/>
          <w:sz w:val="24"/>
          <w:szCs w:val="24"/>
        </w:rPr>
        <w:t>Studies, 49</w:t>
      </w:r>
      <w:r>
        <w:rPr>
          <w:rFonts w:eastAsia="Times New Roman"/>
          <w:sz w:val="24"/>
          <w:szCs w:val="24"/>
        </w:rPr>
        <w:t>, 47-53.</w:t>
      </w:r>
    </w:p>
    <w:p w:rsidR="000C2ED5" w:rsidRDefault="000C2ED5">
      <w:pPr>
        <w:spacing w:line="19" w:lineRule="exact"/>
        <w:rPr>
          <w:sz w:val="20"/>
          <w:szCs w:val="20"/>
        </w:rPr>
      </w:pPr>
    </w:p>
    <w:p w:rsidR="000C2ED5" w:rsidRDefault="00485212">
      <w:pPr>
        <w:spacing w:line="476" w:lineRule="auto"/>
        <w:ind w:left="720" w:right="466" w:hanging="719"/>
        <w:rPr>
          <w:sz w:val="20"/>
          <w:szCs w:val="20"/>
        </w:rPr>
      </w:pPr>
      <w:r>
        <w:rPr>
          <w:rFonts w:eastAsia="Times New Roman"/>
          <w:sz w:val="24"/>
          <w:szCs w:val="24"/>
        </w:rPr>
        <w:t>Pluye, P., Gagnon, M.P., Griffiths, F. &amp; Johnson-Lafleur, J. (2009). A scoring system for appraising mixed methods research, and concomitantly appraising qualitative, quantitative and mixed methods primary studies in mixed stud</w:t>
      </w:r>
      <w:r>
        <w:rPr>
          <w:rFonts w:eastAsia="Times New Roman"/>
          <w:sz w:val="24"/>
          <w:szCs w:val="24"/>
        </w:rPr>
        <w:t xml:space="preserve">ies reviews. </w:t>
      </w:r>
      <w:r>
        <w:rPr>
          <w:rFonts w:eastAsia="Times New Roman"/>
          <w:i/>
          <w:iCs/>
          <w:sz w:val="24"/>
          <w:szCs w:val="24"/>
        </w:rPr>
        <w:t>International Journal of Nursing Studies, 46</w:t>
      </w:r>
      <w:r>
        <w:rPr>
          <w:rFonts w:eastAsia="Times New Roman"/>
          <w:sz w:val="24"/>
          <w:szCs w:val="24"/>
        </w:rPr>
        <w:t>, 529-46</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90" w:lineRule="exact"/>
        <w:rPr>
          <w:sz w:val="20"/>
          <w:szCs w:val="20"/>
        </w:rPr>
      </w:pPr>
    </w:p>
    <w:p w:rsidR="000C2ED5" w:rsidRDefault="00485212">
      <w:pPr>
        <w:ind w:right="6"/>
        <w:jc w:val="right"/>
        <w:rPr>
          <w:sz w:val="20"/>
          <w:szCs w:val="20"/>
        </w:rPr>
      </w:pPr>
      <w:r>
        <w:rPr>
          <w:rFonts w:eastAsia="Times New Roman"/>
        </w:rPr>
        <w:t>40</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41" w:name="page42"/>
      <w:bookmarkEnd w:id="41"/>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8" w:lineRule="exact"/>
        <w:rPr>
          <w:sz w:val="20"/>
          <w:szCs w:val="20"/>
        </w:rPr>
      </w:pPr>
    </w:p>
    <w:p w:rsidR="000C2ED5" w:rsidRDefault="00485212">
      <w:pPr>
        <w:spacing w:line="476" w:lineRule="auto"/>
        <w:ind w:left="720" w:right="166" w:hanging="719"/>
        <w:rPr>
          <w:sz w:val="20"/>
          <w:szCs w:val="20"/>
        </w:rPr>
      </w:pPr>
      <w:r>
        <w:rPr>
          <w:rFonts w:eastAsia="Times New Roman"/>
          <w:sz w:val="24"/>
          <w:szCs w:val="24"/>
        </w:rPr>
        <w:t>Pluye, P., Robert, E., Cargo, M., Bartlett, G., O’Cathain, A., Griffiths, F., Boardman, F., Gagnon, M.P.,</w:t>
      </w:r>
      <w:r>
        <w:rPr>
          <w:rFonts w:eastAsia="Times New Roman"/>
          <w:sz w:val="24"/>
          <w:szCs w:val="24"/>
        </w:rPr>
        <w:t xml:space="preserve"> &amp; Rousseau, M.C. (2011). </w:t>
      </w:r>
      <w:r>
        <w:rPr>
          <w:rFonts w:eastAsia="Times New Roman"/>
          <w:i/>
          <w:iCs/>
          <w:sz w:val="24"/>
          <w:szCs w:val="24"/>
        </w:rPr>
        <w:t>Proposal: A mixed methods appraisal tool</w:t>
      </w:r>
      <w:r>
        <w:rPr>
          <w:rFonts w:eastAsia="Times New Roman"/>
          <w:sz w:val="24"/>
          <w:szCs w:val="24"/>
        </w:rPr>
        <w:t xml:space="preserve"> </w:t>
      </w:r>
      <w:r>
        <w:rPr>
          <w:rFonts w:eastAsia="Times New Roman"/>
          <w:i/>
          <w:iCs/>
          <w:sz w:val="24"/>
          <w:szCs w:val="24"/>
        </w:rPr>
        <w:t xml:space="preserve">for systematic mixed studies reviews. </w:t>
      </w:r>
      <w:r>
        <w:rPr>
          <w:rFonts w:eastAsia="Times New Roman"/>
          <w:sz w:val="24"/>
          <w:szCs w:val="24"/>
        </w:rPr>
        <w:t>Retrieved September 2, 2013, from</w:t>
      </w:r>
      <w:r>
        <w:rPr>
          <w:rFonts w:eastAsia="Times New Roman"/>
          <w:i/>
          <w:iCs/>
          <w:sz w:val="24"/>
          <w:szCs w:val="24"/>
        </w:rPr>
        <w:t xml:space="preserve"> </w:t>
      </w:r>
      <w:r>
        <w:rPr>
          <w:rFonts w:eastAsia="Times New Roman"/>
          <w:sz w:val="24"/>
          <w:szCs w:val="24"/>
        </w:rPr>
        <w:t>http://mixedmethodsappraisaltoolpublic.pbworks.com.</w:t>
      </w:r>
    </w:p>
    <w:p w:rsidR="000C2ED5" w:rsidRDefault="000C2ED5">
      <w:pPr>
        <w:spacing w:line="19" w:lineRule="exact"/>
        <w:rPr>
          <w:sz w:val="20"/>
          <w:szCs w:val="20"/>
        </w:rPr>
      </w:pPr>
    </w:p>
    <w:p w:rsidR="000C2ED5" w:rsidRDefault="00485212">
      <w:pPr>
        <w:spacing w:line="474" w:lineRule="auto"/>
        <w:ind w:left="720" w:right="46" w:hanging="719"/>
        <w:rPr>
          <w:sz w:val="20"/>
          <w:szCs w:val="20"/>
        </w:rPr>
      </w:pPr>
      <w:r>
        <w:rPr>
          <w:rFonts w:eastAsia="Times New Roman"/>
          <w:sz w:val="24"/>
          <w:szCs w:val="24"/>
        </w:rPr>
        <w:t>*Polaschek, D.L.L. (2010). Treatment non-completion in high-risk</w:t>
      </w:r>
      <w:r>
        <w:rPr>
          <w:rFonts w:eastAsia="Times New Roman"/>
          <w:sz w:val="24"/>
          <w:szCs w:val="24"/>
        </w:rPr>
        <w:t xml:space="preserve"> violent offenders: looking beyond criminal risk and criminogenic needs. </w:t>
      </w:r>
      <w:r>
        <w:rPr>
          <w:rFonts w:eastAsia="Times New Roman"/>
          <w:i/>
          <w:iCs/>
          <w:sz w:val="24"/>
          <w:szCs w:val="24"/>
        </w:rPr>
        <w:t>Psychology, Crime and Law, 16,</w:t>
      </w:r>
      <w:r>
        <w:rPr>
          <w:rFonts w:eastAsia="Times New Roman"/>
          <w:sz w:val="24"/>
          <w:szCs w:val="24"/>
        </w:rPr>
        <w:t xml:space="preserve"> 525-540.</w:t>
      </w:r>
    </w:p>
    <w:p w:rsidR="000C2ED5" w:rsidRDefault="000C2ED5">
      <w:pPr>
        <w:spacing w:line="200" w:lineRule="exact"/>
        <w:rPr>
          <w:sz w:val="20"/>
          <w:szCs w:val="20"/>
        </w:rPr>
      </w:pPr>
    </w:p>
    <w:p w:rsidR="000C2ED5" w:rsidRDefault="000C2ED5">
      <w:pPr>
        <w:spacing w:line="328" w:lineRule="exact"/>
        <w:rPr>
          <w:sz w:val="20"/>
          <w:szCs w:val="20"/>
        </w:rPr>
      </w:pPr>
    </w:p>
    <w:p w:rsidR="000C2ED5" w:rsidRDefault="00485212">
      <w:pPr>
        <w:spacing w:line="474" w:lineRule="auto"/>
        <w:ind w:left="720" w:right="586" w:hanging="719"/>
        <w:rPr>
          <w:sz w:val="20"/>
          <w:szCs w:val="20"/>
        </w:rPr>
      </w:pPr>
      <w:r>
        <w:rPr>
          <w:rFonts w:eastAsia="Times New Roman"/>
          <w:sz w:val="24"/>
          <w:szCs w:val="24"/>
        </w:rPr>
        <w:t xml:space="preserve">Polaschek, D. L. L. (2012). An appraisal of the risk–need–responsivity (RNR) model of offender rehabilitation and its application in correctional treatment. </w:t>
      </w:r>
      <w:r>
        <w:rPr>
          <w:rFonts w:eastAsia="Times New Roman"/>
          <w:i/>
          <w:iCs/>
          <w:sz w:val="24"/>
          <w:szCs w:val="24"/>
        </w:rPr>
        <w:t>Legal and</w:t>
      </w:r>
      <w:r>
        <w:rPr>
          <w:rFonts w:eastAsia="Times New Roman"/>
          <w:sz w:val="24"/>
          <w:szCs w:val="24"/>
        </w:rPr>
        <w:t xml:space="preserve"> </w:t>
      </w:r>
      <w:r>
        <w:rPr>
          <w:rFonts w:eastAsia="Times New Roman"/>
          <w:i/>
          <w:iCs/>
          <w:sz w:val="24"/>
          <w:szCs w:val="24"/>
        </w:rPr>
        <w:t>Criminological Psychology, 1</w:t>
      </w:r>
      <w:r>
        <w:rPr>
          <w:rFonts w:eastAsia="Times New Roman"/>
          <w:sz w:val="24"/>
          <w:szCs w:val="24"/>
        </w:rPr>
        <w:t>7, 1-17.</w:t>
      </w:r>
    </w:p>
    <w:p w:rsidR="000C2ED5" w:rsidRDefault="000C2ED5">
      <w:pPr>
        <w:spacing w:line="21" w:lineRule="exact"/>
        <w:rPr>
          <w:sz w:val="20"/>
          <w:szCs w:val="20"/>
        </w:rPr>
      </w:pPr>
    </w:p>
    <w:p w:rsidR="000C2ED5" w:rsidRDefault="00485212">
      <w:pPr>
        <w:spacing w:line="474" w:lineRule="auto"/>
        <w:ind w:left="720" w:right="186" w:hanging="719"/>
        <w:rPr>
          <w:sz w:val="20"/>
          <w:szCs w:val="20"/>
        </w:rPr>
      </w:pPr>
      <w:r>
        <w:rPr>
          <w:rFonts w:eastAsia="Times New Roman"/>
          <w:sz w:val="24"/>
          <w:szCs w:val="24"/>
        </w:rPr>
        <w:t>Prochaska, J. O. &amp; DiClemente, C. C. (1983). Stages</w:t>
      </w:r>
      <w:r>
        <w:rPr>
          <w:rFonts w:eastAsia="Times New Roman"/>
          <w:sz w:val="24"/>
          <w:szCs w:val="24"/>
        </w:rPr>
        <w:t xml:space="preserve"> and process of self-change in smoking toward an integrative model of change. </w:t>
      </w:r>
      <w:r>
        <w:rPr>
          <w:rFonts w:eastAsia="Times New Roman"/>
          <w:i/>
          <w:iCs/>
          <w:sz w:val="24"/>
          <w:szCs w:val="24"/>
        </w:rPr>
        <w:t>Journal of Consulting and Clinical</w:t>
      </w:r>
      <w:r>
        <w:rPr>
          <w:rFonts w:eastAsia="Times New Roman"/>
          <w:sz w:val="24"/>
          <w:szCs w:val="24"/>
        </w:rPr>
        <w:t xml:space="preserve"> </w:t>
      </w:r>
      <w:r>
        <w:rPr>
          <w:rFonts w:eastAsia="Times New Roman"/>
          <w:i/>
          <w:iCs/>
          <w:sz w:val="24"/>
          <w:szCs w:val="24"/>
        </w:rPr>
        <w:t xml:space="preserve">Psychology, 5, </w:t>
      </w:r>
      <w:r>
        <w:rPr>
          <w:rFonts w:eastAsia="Times New Roman"/>
          <w:sz w:val="24"/>
          <w:szCs w:val="24"/>
        </w:rPr>
        <w:t>390-395.</w:t>
      </w:r>
    </w:p>
    <w:p w:rsidR="000C2ED5" w:rsidRDefault="000C2ED5">
      <w:pPr>
        <w:spacing w:line="21" w:lineRule="exact"/>
        <w:rPr>
          <w:sz w:val="20"/>
          <w:szCs w:val="20"/>
        </w:rPr>
      </w:pPr>
    </w:p>
    <w:p w:rsidR="000C2ED5" w:rsidRDefault="00485212">
      <w:pPr>
        <w:spacing w:line="474" w:lineRule="auto"/>
        <w:ind w:left="720" w:right="26" w:hanging="719"/>
        <w:jc w:val="both"/>
        <w:rPr>
          <w:sz w:val="20"/>
          <w:szCs w:val="20"/>
        </w:rPr>
      </w:pPr>
      <w:r>
        <w:rPr>
          <w:rFonts w:eastAsia="Times New Roman"/>
          <w:sz w:val="24"/>
          <w:szCs w:val="24"/>
        </w:rPr>
        <w:t>Polascheck, D.L.L.&amp; Ross, E. (2010). Do early therapeutci allinace, motivation, and stages of change predict therapy c</w:t>
      </w:r>
      <w:r>
        <w:rPr>
          <w:rFonts w:eastAsia="Times New Roman"/>
          <w:sz w:val="24"/>
          <w:szCs w:val="24"/>
        </w:rPr>
        <w:t xml:space="preserve">hange for high-risk, psychopathic violent prisoners? </w:t>
      </w:r>
      <w:r>
        <w:rPr>
          <w:rFonts w:eastAsia="Times New Roman"/>
          <w:i/>
          <w:iCs/>
          <w:sz w:val="24"/>
          <w:szCs w:val="24"/>
        </w:rPr>
        <w:t>Criminal</w:t>
      </w:r>
      <w:r>
        <w:rPr>
          <w:rFonts w:eastAsia="Times New Roman"/>
          <w:sz w:val="24"/>
          <w:szCs w:val="24"/>
        </w:rPr>
        <w:t xml:space="preserve"> </w:t>
      </w:r>
      <w:r>
        <w:rPr>
          <w:rFonts w:eastAsia="Times New Roman"/>
          <w:i/>
          <w:iCs/>
          <w:sz w:val="24"/>
          <w:szCs w:val="24"/>
        </w:rPr>
        <w:t>Behaviour and Mental Health, 20</w:t>
      </w:r>
      <w:r>
        <w:rPr>
          <w:rFonts w:eastAsia="Times New Roman"/>
          <w:sz w:val="24"/>
          <w:szCs w:val="24"/>
        </w:rPr>
        <w:t>, 100-111.</w:t>
      </w:r>
    </w:p>
    <w:p w:rsidR="000C2ED5" w:rsidRDefault="000C2ED5">
      <w:pPr>
        <w:spacing w:line="21" w:lineRule="exact"/>
        <w:rPr>
          <w:sz w:val="20"/>
          <w:szCs w:val="20"/>
        </w:rPr>
      </w:pPr>
    </w:p>
    <w:p w:rsidR="000C2ED5" w:rsidRDefault="00485212">
      <w:pPr>
        <w:spacing w:line="498" w:lineRule="auto"/>
        <w:ind w:left="720" w:right="86" w:hanging="719"/>
        <w:rPr>
          <w:sz w:val="20"/>
          <w:szCs w:val="20"/>
        </w:rPr>
      </w:pPr>
      <w:r>
        <w:rPr>
          <w:rFonts w:eastAsia="Times New Roman"/>
          <w:sz w:val="23"/>
          <w:szCs w:val="23"/>
        </w:rPr>
        <w:t xml:space="preserve">*Sainsbury, L., Krishnan, G., &amp; Evans, C. (2004). Motivating factors for male forensic patients with personality disorder. </w:t>
      </w:r>
      <w:r>
        <w:rPr>
          <w:rFonts w:eastAsia="Times New Roman"/>
          <w:i/>
          <w:iCs/>
          <w:sz w:val="23"/>
          <w:szCs w:val="23"/>
        </w:rPr>
        <w:t>Criminal Behaviour and Menta</w:t>
      </w:r>
      <w:r>
        <w:rPr>
          <w:rFonts w:eastAsia="Times New Roman"/>
          <w:i/>
          <w:iCs/>
          <w:sz w:val="23"/>
          <w:szCs w:val="23"/>
        </w:rPr>
        <w:t>l Health, 14</w:t>
      </w:r>
      <w:r>
        <w:rPr>
          <w:rFonts w:eastAsia="Times New Roman"/>
          <w:sz w:val="23"/>
          <w:szCs w:val="23"/>
        </w:rPr>
        <w:t>, 29-38.</w:t>
      </w:r>
    </w:p>
    <w:p w:rsidR="000C2ED5" w:rsidRDefault="000C2ED5">
      <w:pPr>
        <w:spacing w:line="4" w:lineRule="exact"/>
        <w:rPr>
          <w:sz w:val="20"/>
          <w:szCs w:val="20"/>
        </w:rPr>
      </w:pPr>
    </w:p>
    <w:p w:rsidR="000C2ED5" w:rsidRDefault="00485212">
      <w:pPr>
        <w:spacing w:line="474" w:lineRule="auto"/>
        <w:ind w:left="720" w:right="66" w:hanging="719"/>
        <w:rPr>
          <w:sz w:val="20"/>
          <w:szCs w:val="20"/>
        </w:rPr>
      </w:pPr>
      <w:r>
        <w:rPr>
          <w:rFonts w:eastAsia="Times New Roman"/>
          <w:sz w:val="24"/>
          <w:szCs w:val="24"/>
        </w:rPr>
        <w:t>*Sheldon, K., Howells, K., &amp; Patel, G. (2010). An empirical evaluation of reasons for non-completion of treatment in a dangerous and severe personality disorder unit</w:t>
      </w:r>
      <w:r>
        <w:rPr>
          <w:rFonts w:eastAsia="Times New Roman"/>
          <w:i/>
          <w:iCs/>
          <w:sz w:val="24"/>
          <w:szCs w:val="24"/>
        </w:rPr>
        <w:t>. Criminal</w:t>
      </w:r>
      <w:r>
        <w:rPr>
          <w:rFonts w:eastAsia="Times New Roman"/>
          <w:sz w:val="24"/>
          <w:szCs w:val="24"/>
        </w:rPr>
        <w:t xml:space="preserve"> </w:t>
      </w:r>
      <w:r>
        <w:rPr>
          <w:rFonts w:eastAsia="Times New Roman"/>
          <w:i/>
          <w:iCs/>
          <w:sz w:val="24"/>
          <w:szCs w:val="24"/>
        </w:rPr>
        <w:t>Behaviour and Mental Health, 20</w:t>
      </w:r>
      <w:r>
        <w:rPr>
          <w:rFonts w:eastAsia="Times New Roman"/>
          <w:sz w:val="24"/>
          <w:szCs w:val="24"/>
        </w:rPr>
        <w:t>, 129-143.</w:t>
      </w:r>
    </w:p>
    <w:p w:rsidR="000C2ED5" w:rsidRDefault="000C2ED5">
      <w:pPr>
        <w:spacing w:line="21" w:lineRule="exact"/>
        <w:rPr>
          <w:sz w:val="20"/>
          <w:szCs w:val="20"/>
        </w:rPr>
      </w:pPr>
    </w:p>
    <w:p w:rsidR="000C2ED5" w:rsidRDefault="00485212">
      <w:pPr>
        <w:spacing w:line="474" w:lineRule="auto"/>
        <w:ind w:left="720" w:right="626" w:hanging="719"/>
        <w:jc w:val="both"/>
        <w:rPr>
          <w:sz w:val="20"/>
          <w:szCs w:val="20"/>
        </w:rPr>
      </w:pPr>
      <w:r>
        <w:rPr>
          <w:rFonts w:eastAsia="Times New Roman"/>
          <w:sz w:val="24"/>
          <w:szCs w:val="24"/>
        </w:rPr>
        <w:t xml:space="preserve">*Strauss, S.M. </w:t>
      </w:r>
      <w:r>
        <w:rPr>
          <w:rFonts w:eastAsia="Times New Roman"/>
          <w:sz w:val="24"/>
          <w:szCs w:val="24"/>
        </w:rPr>
        <w:t xml:space="preserve">&amp; Falkin, G.P. (2000). The relationship between the quality of drug user treatment of program completion: Understadning the percpetions of women in a prison-based program. </w:t>
      </w:r>
      <w:r>
        <w:rPr>
          <w:rFonts w:eastAsia="Times New Roman"/>
          <w:i/>
          <w:iCs/>
          <w:sz w:val="24"/>
          <w:szCs w:val="24"/>
        </w:rPr>
        <w:t>Substance Use &amp; Misuse, 35</w:t>
      </w:r>
      <w:r>
        <w:rPr>
          <w:rFonts w:eastAsia="Times New Roman"/>
          <w:sz w:val="24"/>
          <w:szCs w:val="24"/>
        </w:rPr>
        <w:t>, 2127-2159.</w:t>
      </w:r>
    </w:p>
    <w:p w:rsidR="000C2ED5" w:rsidRDefault="000C2ED5">
      <w:pPr>
        <w:spacing w:line="200" w:lineRule="exact"/>
        <w:rPr>
          <w:sz w:val="20"/>
          <w:szCs w:val="20"/>
        </w:rPr>
      </w:pPr>
    </w:p>
    <w:p w:rsidR="000C2ED5" w:rsidRDefault="000C2ED5">
      <w:pPr>
        <w:spacing w:line="243" w:lineRule="exact"/>
        <w:rPr>
          <w:sz w:val="20"/>
          <w:szCs w:val="20"/>
        </w:rPr>
      </w:pPr>
    </w:p>
    <w:p w:rsidR="000C2ED5" w:rsidRDefault="00485212">
      <w:pPr>
        <w:ind w:right="6"/>
        <w:jc w:val="right"/>
        <w:rPr>
          <w:sz w:val="20"/>
          <w:szCs w:val="20"/>
        </w:rPr>
      </w:pPr>
      <w:r>
        <w:rPr>
          <w:rFonts w:eastAsia="Times New Roman"/>
        </w:rPr>
        <w:t>41</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42" w:name="page43"/>
      <w:bookmarkEnd w:id="42"/>
      <w:r>
        <w:rPr>
          <w:rFonts w:eastAsia="Times New Roman"/>
          <w:sz w:val="24"/>
          <w:szCs w:val="24"/>
        </w:rPr>
        <w:lastRenderedPageBreak/>
        <w:t xml:space="preserve">Treatment Engagement </w:t>
      </w:r>
      <w:r>
        <w:rPr>
          <w:rFonts w:eastAsia="Times New Roman"/>
          <w:sz w:val="24"/>
          <w:szCs w:val="24"/>
        </w:rPr>
        <w:t>from the Perspective of the Offender</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21" w:lineRule="exact"/>
        <w:rPr>
          <w:sz w:val="20"/>
          <w:szCs w:val="20"/>
        </w:rPr>
      </w:pPr>
    </w:p>
    <w:p w:rsidR="000C2ED5" w:rsidRDefault="00485212">
      <w:pPr>
        <w:spacing w:line="474" w:lineRule="auto"/>
        <w:ind w:left="720" w:right="386" w:hanging="719"/>
        <w:jc w:val="both"/>
        <w:rPr>
          <w:sz w:val="20"/>
          <w:szCs w:val="20"/>
        </w:rPr>
      </w:pPr>
      <w:r>
        <w:rPr>
          <w:rFonts w:eastAsia="Times New Roman"/>
          <w:sz w:val="24"/>
          <w:szCs w:val="24"/>
        </w:rPr>
        <w:t xml:space="preserve">*Tetley, A., Jinks, M., Huband, N., Howells, K., &amp; McMurran, M. (2012). Barriers to and facilitators of treatment engagement for clients with personality disorder: a Delphi survey. </w:t>
      </w:r>
      <w:r>
        <w:rPr>
          <w:rFonts w:eastAsia="Times New Roman"/>
          <w:i/>
          <w:iCs/>
          <w:sz w:val="24"/>
          <w:szCs w:val="24"/>
        </w:rPr>
        <w:t>Personality and Mental Health, 6,</w:t>
      </w:r>
      <w:r>
        <w:rPr>
          <w:rFonts w:eastAsia="Times New Roman"/>
          <w:sz w:val="24"/>
          <w:szCs w:val="24"/>
        </w:rPr>
        <w:t xml:space="preserve"> 97-110.</w:t>
      </w:r>
    </w:p>
    <w:p w:rsidR="000C2ED5" w:rsidRDefault="000C2ED5">
      <w:pPr>
        <w:spacing w:line="261" w:lineRule="exact"/>
        <w:rPr>
          <w:sz w:val="20"/>
          <w:szCs w:val="20"/>
        </w:rPr>
      </w:pPr>
    </w:p>
    <w:p w:rsidR="000C2ED5" w:rsidRDefault="00485212">
      <w:pPr>
        <w:spacing w:line="474" w:lineRule="auto"/>
        <w:ind w:left="720" w:right="106" w:hanging="719"/>
        <w:rPr>
          <w:sz w:val="20"/>
          <w:szCs w:val="20"/>
        </w:rPr>
      </w:pPr>
      <w:r>
        <w:rPr>
          <w:rFonts w:eastAsia="Times New Roman"/>
          <w:sz w:val="24"/>
          <w:szCs w:val="24"/>
        </w:rPr>
        <w:t xml:space="preserve">Tetley, A., Jinks, M., Huband, N. &amp; Howells, K. (2011). A systematic review of measures of therapeutci engagement in psychosocial and psychological treatment. </w:t>
      </w:r>
      <w:r>
        <w:rPr>
          <w:rFonts w:eastAsia="Times New Roman"/>
          <w:i/>
          <w:iCs/>
          <w:sz w:val="24"/>
          <w:szCs w:val="24"/>
        </w:rPr>
        <w:t>Journal of</w:t>
      </w:r>
      <w:r>
        <w:rPr>
          <w:rFonts w:eastAsia="Times New Roman"/>
          <w:sz w:val="24"/>
          <w:szCs w:val="24"/>
        </w:rPr>
        <w:t xml:space="preserve"> </w:t>
      </w:r>
      <w:r>
        <w:rPr>
          <w:rFonts w:eastAsia="Times New Roman"/>
          <w:i/>
          <w:iCs/>
          <w:sz w:val="24"/>
          <w:szCs w:val="24"/>
        </w:rPr>
        <w:t>Clinical Psychology, 67</w:t>
      </w:r>
      <w:r>
        <w:rPr>
          <w:rFonts w:eastAsia="Times New Roman"/>
          <w:sz w:val="24"/>
          <w:szCs w:val="24"/>
        </w:rPr>
        <w:t>, 927-941.</w:t>
      </w:r>
    </w:p>
    <w:p w:rsidR="000C2ED5" w:rsidRDefault="000C2ED5">
      <w:pPr>
        <w:spacing w:line="261" w:lineRule="exact"/>
        <w:rPr>
          <w:sz w:val="20"/>
          <w:szCs w:val="20"/>
        </w:rPr>
      </w:pPr>
    </w:p>
    <w:p w:rsidR="000C2ED5" w:rsidRDefault="00485212">
      <w:pPr>
        <w:spacing w:line="474" w:lineRule="auto"/>
        <w:ind w:left="720" w:right="206" w:hanging="719"/>
        <w:jc w:val="both"/>
        <w:rPr>
          <w:sz w:val="20"/>
          <w:szCs w:val="20"/>
        </w:rPr>
      </w:pPr>
      <w:r>
        <w:rPr>
          <w:rFonts w:eastAsia="Times New Roman"/>
          <w:sz w:val="24"/>
          <w:szCs w:val="24"/>
        </w:rPr>
        <w:t>Totman, J., Hundt, G. L., Wearn, E., Paul</w:t>
      </w:r>
      <w:r>
        <w:rPr>
          <w:rFonts w:eastAsia="Times New Roman"/>
          <w:sz w:val="24"/>
          <w:szCs w:val="24"/>
        </w:rPr>
        <w:t xml:space="preserve">, M., &amp; Johnson, S. (2011). Factors affecting staff moral on inpatient mental health wards in England: a qualitative investigation. </w:t>
      </w:r>
      <w:r>
        <w:rPr>
          <w:rFonts w:eastAsia="Times New Roman"/>
          <w:i/>
          <w:iCs/>
          <w:sz w:val="24"/>
          <w:szCs w:val="24"/>
        </w:rPr>
        <w:t>BMC</w:t>
      </w:r>
      <w:r>
        <w:rPr>
          <w:rFonts w:eastAsia="Times New Roman"/>
          <w:sz w:val="24"/>
          <w:szCs w:val="24"/>
        </w:rPr>
        <w:t xml:space="preserve"> </w:t>
      </w:r>
      <w:r>
        <w:rPr>
          <w:rFonts w:eastAsia="Times New Roman"/>
          <w:i/>
          <w:iCs/>
          <w:sz w:val="24"/>
          <w:szCs w:val="24"/>
        </w:rPr>
        <w:t xml:space="preserve">Psychiatry, 11, </w:t>
      </w:r>
      <w:r>
        <w:rPr>
          <w:rFonts w:eastAsia="Times New Roman"/>
          <w:sz w:val="24"/>
          <w:szCs w:val="24"/>
        </w:rPr>
        <w:t>1-10.</w:t>
      </w:r>
    </w:p>
    <w:p w:rsidR="000C2ED5" w:rsidRDefault="000C2ED5">
      <w:pPr>
        <w:spacing w:line="21" w:lineRule="exact"/>
        <w:rPr>
          <w:sz w:val="20"/>
          <w:szCs w:val="20"/>
        </w:rPr>
      </w:pPr>
    </w:p>
    <w:p w:rsidR="000C2ED5" w:rsidRDefault="00485212">
      <w:pPr>
        <w:spacing w:line="469" w:lineRule="auto"/>
        <w:ind w:left="720" w:right="386" w:hanging="719"/>
        <w:rPr>
          <w:sz w:val="20"/>
          <w:szCs w:val="20"/>
        </w:rPr>
      </w:pPr>
      <w:r>
        <w:rPr>
          <w:rFonts w:eastAsia="Times New Roman"/>
          <w:sz w:val="24"/>
          <w:szCs w:val="24"/>
        </w:rPr>
        <w:t xml:space="preserve">Ward, T., Day, A., Howells, K., &amp; Birgden, A. (2004). The mulitfactor offender readiness model. </w:t>
      </w:r>
      <w:r>
        <w:rPr>
          <w:rFonts w:eastAsia="Times New Roman"/>
          <w:i/>
          <w:iCs/>
          <w:sz w:val="24"/>
          <w:szCs w:val="24"/>
        </w:rPr>
        <w:t>A</w:t>
      </w:r>
      <w:r>
        <w:rPr>
          <w:rFonts w:eastAsia="Times New Roman"/>
          <w:i/>
          <w:iCs/>
          <w:sz w:val="24"/>
          <w:szCs w:val="24"/>
        </w:rPr>
        <w:t>ggression and Violent Behavior, 9</w:t>
      </w:r>
      <w:r>
        <w:rPr>
          <w:rFonts w:eastAsia="Times New Roman"/>
          <w:sz w:val="24"/>
          <w:szCs w:val="24"/>
        </w:rPr>
        <w:t>, 645-673.</w:t>
      </w:r>
    </w:p>
    <w:p w:rsidR="000C2ED5" w:rsidRDefault="000C2ED5">
      <w:pPr>
        <w:spacing w:line="25" w:lineRule="exact"/>
        <w:rPr>
          <w:sz w:val="20"/>
          <w:szCs w:val="20"/>
        </w:rPr>
      </w:pPr>
    </w:p>
    <w:p w:rsidR="000C2ED5" w:rsidRDefault="00485212">
      <w:pPr>
        <w:spacing w:line="474" w:lineRule="auto"/>
        <w:ind w:left="720" w:right="146" w:hanging="719"/>
        <w:jc w:val="both"/>
        <w:rPr>
          <w:sz w:val="20"/>
          <w:szCs w:val="20"/>
        </w:rPr>
      </w:pPr>
      <w:r>
        <w:rPr>
          <w:rFonts w:eastAsia="Times New Roman"/>
          <w:sz w:val="24"/>
          <w:szCs w:val="24"/>
        </w:rPr>
        <w:t xml:space="preserve">Webb, D. &amp; McMurran, M. (2009). A comparison of women who continue and discontinue treatment for borderline persoanlity disorder. </w:t>
      </w:r>
      <w:r>
        <w:rPr>
          <w:rFonts w:eastAsia="Times New Roman"/>
          <w:i/>
          <w:iCs/>
          <w:sz w:val="24"/>
          <w:szCs w:val="24"/>
        </w:rPr>
        <w:t>Personality and Mental Health, 3,</w:t>
      </w:r>
      <w:r>
        <w:rPr>
          <w:rFonts w:eastAsia="Times New Roman"/>
          <w:sz w:val="24"/>
          <w:szCs w:val="24"/>
        </w:rPr>
        <w:t xml:space="preserve"> 142-149.</w:t>
      </w:r>
    </w:p>
    <w:p w:rsidR="000C2ED5" w:rsidRDefault="000C2ED5">
      <w:pPr>
        <w:spacing w:line="21" w:lineRule="exact"/>
        <w:rPr>
          <w:sz w:val="20"/>
          <w:szCs w:val="20"/>
        </w:rPr>
      </w:pPr>
    </w:p>
    <w:p w:rsidR="000C2ED5" w:rsidRDefault="00485212">
      <w:pPr>
        <w:spacing w:line="469" w:lineRule="auto"/>
        <w:ind w:left="720" w:right="266" w:hanging="719"/>
        <w:rPr>
          <w:sz w:val="20"/>
          <w:szCs w:val="20"/>
        </w:rPr>
      </w:pPr>
      <w:r>
        <w:rPr>
          <w:rFonts w:eastAsia="Times New Roman"/>
          <w:sz w:val="24"/>
          <w:szCs w:val="24"/>
        </w:rPr>
        <w:t xml:space="preserve">Wormith, J. S. &amp; Olver, M. E. (2002). Offender treatment attrition and its relationship with risk, responsivity, and recidivism. </w:t>
      </w:r>
      <w:r>
        <w:rPr>
          <w:rFonts w:eastAsia="Times New Roman"/>
          <w:i/>
          <w:iCs/>
          <w:sz w:val="24"/>
          <w:szCs w:val="24"/>
        </w:rPr>
        <w:t>Criminal Justice and Behavior, 29,</w:t>
      </w:r>
      <w:r>
        <w:rPr>
          <w:rFonts w:eastAsia="Times New Roman"/>
          <w:sz w:val="24"/>
          <w:szCs w:val="24"/>
        </w:rPr>
        <w:t xml:space="preserve"> 447-471.</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36" w:lineRule="exact"/>
        <w:rPr>
          <w:sz w:val="20"/>
          <w:szCs w:val="20"/>
        </w:rPr>
      </w:pPr>
    </w:p>
    <w:p w:rsidR="000C2ED5" w:rsidRDefault="00485212">
      <w:pPr>
        <w:ind w:right="6"/>
        <w:jc w:val="right"/>
        <w:rPr>
          <w:sz w:val="20"/>
          <w:szCs w:val="20"/>
        </w:rPr>
      </w:pPr>
      <w:r>
        <w:rPr>
          <w:rFonts w:eastAsia="Times New Roman"/>
        </w:rPr>
        <w:t>42</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43" w:name="page44"/>
      <w:bookmarkEnd w:id="43"/>
      <w:r>
        <w:rPr>
          <w:rFonts w:eastAsia="Times New Roman"/>
          <w:sz w:val="24"/>
          <w:szCs w:val="24"/>
        </w:rPr>
        <w:lastRenderedPageBreak/>
        <w:t>Treatment Engagement from the Perspective</w:t>
      </w:r>
      <w:r>
        <w:rPr>
          <w:rFonts w:eastAsia="Times New Roman"/>
          <w:sz w:val="24"/>
          <w:szCs w:val="24"/>
        </w:rPr>
        <w:t xml:space="preserve"> of the Offender</w:t>
      </w:r>
    </w:p>
    <w:p w:rsidR="000C2ED5" w:rsidRDefault="000C2ED5">
      <w:pPr>
        <w:spacing w:line="200" w:lineRule="exact"/>
        <w:rPr>
          <w:sz w:val="20"/>
          <w:szCs w:val="20"/>
        </w:rPr>
      </w:pPr>
    </w:p>
    <w:p w:rsidR="000C2ED5" w:rsidRDefault="000C2ED5">
      <w:pPr>
        <w:spacing w:line="261" w:lineRule="exact"/>
        <w:rPr>
          <w:sz w:val="20"/>
          <w:szCs w:val="20"/>
        </w:rPr>
      </w:pPr>
    </w:p>
    <w:p w:rsidR="000C2ED5" w:rsidRDefault="00485212">
      <w:pPr>
        <w:ind w:right="6"/>
        <w:jc w:val="center"/>
        <w:rPr>
          <w:sz w:val="20"/>
          <w:szCs w:val="20"/>
        </w:rPr>
      </w:pPr>
      <w:r>
        <w:rPr>
          <w:rFonts w:eastAsia="Times New Roman"/>
          <w:b/>
          <w:bCs/>
          <w:sz w:val="24"/>
          <w:szCs w:val="24"/>
        </w:rPr>
        <w:t>Endnotes</w:t>
      </w:r>
    </w:p>
    <w:p w:rsidR="000C2ED5" w:rsidRDefault="000C2ED5">
      <w:pPr>
        <w:spacing w:line="302" w:lineRule="exact"/>
        <w:rPr>
          <w:sz w:val="20"/>
          <w:szCs w:val="20"/>
        </w:rPr>
      </w:pPr>
    </w:p>
    <w:p w:rsidR="000C2ED5" w:rsidRDefault="00485212">
      <w:pPr>
        <w:numPr>
          <w:ilvl w:val="0"/>
          <w:numId w:val="9"/>
        </w:numPr>
        <w:tabs>
          <w:tab w:val="left" w:pos="842"/>
        </w:tabs>
        <w:spacing w:line="358" w:lineRule="auto"/>
        <w:ind w:right="266" w:firstLine="720"/>
        <w:rPr>
          <w:rFonts w:eastAsia="Times New Roman"/>
          <w:sz w:val="32"/>
          <w:szCs w:val="32"/>
          <w:vertAlign w:val="superscript"/>
        </w:rPr>
      </w:pPr>
      <w:r>
        <w:rPr>
          <w:rFonts w:eastAsia="Times New Roman"/>
        </w:rPr>
        <w:t>Based on the British Pound to U.S. Dollar conversation rate (£1=$1.61) as reported on the 25</w:t>
      </w:r>
      <w:r>
        <w:rPr>
          <w:rFonts w:eastAsia="Times New Roman"/>
          <w:sz w:val="27"/>
          <w:szCs w:val="27"/>
          <w:vertAlign w:val="superscript"/>
        </w:rPr>
        <w:t>th</w:t>
      </w:r>
      <w:r>
        <w:rPr>
          <w:rFonts w:eastAsia="Times New Roman"/>
        </w:rPr>
        <w:t xml:space="preserve"> October 2014.</w:t>
      </w:r>
    </w:p>
    <w:p w:rsidR="000C2ED5" w:rsidRDefault="00485212">
      <w:pPr>
        <w:numPr>
          <w:ilvl w:val="0"/>
          <w:numId w:val="9"/>
        </w:numPr>
        <w:tabs>
          <w:tab w:val="left" w:pos="820"/>
        </w:tabs>
        <w:ind w:left="820" w:hanging="100"/>
        <w:rPr>
          <w:rFonts w:eastAsia="Times New Roman"/>
          <w:sz w:val="28"/>
          <w:szCs w:val="28"/>
          <w:vertAlign w:val="superscript"/>
        </w:rPr>
      </w:pPr>
      <w:r>
        <w:rPr>
          <w:rFonts w:eastAsia="Times New Roman"/>
        </w:rPr>
        <w:t>It should be noted that this study was split into two phases. These means are taken from</w:t>
      </w:r>
    </w:p>
    <w:p w:rsidR="000C2ED5" w:rsidRDefault="000C2ED5">
      <w:pPr>
        <w:spacing w:line="265" w:lineRule="exact"/>
        <w:rPr>
          <w:sz w:val="20"/>
          <w:szCs w:val="20"/>
        </w:rPr>
      </w:pPr>
    </w:p>
    <w:p w:rsidR="000C2ED5" w:rsidRDefault="00485212">
      <w:pPr>
        <w:spacing w:line="476" w:lineRule="auto"/>
        <w:ind w:right="146"/>
        <w:rPr>
          <w:sz w:val="20"/>
          <w:szCs w:val="20"/>
        </w:rPr>
      </w:pPr>
      <w:r>
        <w:rPr>
          <w:rFonts w:eastAsia="Times New Roman"/>
        </w:rPr>
        <w:t>phase 2, the “main phase” of</w:t>
      </w:r>
      <w:r>
        <w:rPr>
          <w:rFonts w:eastAsia="Times New Roman"/>
        </w:rPr>
        <w:t xml:space="preserve"> the study (p.6). In this phase participants were split into three groups, those who had admitted their offence and had accepted a place on a treatment programme (2.1, SD=2.6), those who had admitted their offence but refused a treatment place (3.3, SD=5.1</w:t>
      </w:r>
      <w:r>
        <w:rPr>
          <w:rFonts w:eastAsia="Times New Roman"/>
        </w:rPr>
        <w:t>) and those who denied their offence and refused a treatment place (3.2, SD=3.4).</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50" w:lineRule="exact"/>
        <w:rPr>
          <w:sz w:val="20"/>
          <w:szCs w:val="20"/>
        </w:rPr>
      </w:pPr>
    </w:p>
    <w:p w:rsidR="000C2ED5" w:rsidRDefault="00485212">
      <w:pPr>
        <w:ind w:right="6"/>
        <w:jc w:val="right"/>
        <w:rPr>
          <w:sz w:val="20"/>
          <w:szCs w:val="20"/>
        </w:rPr>
      </w:pPr>
      <w:r>
        <w:rPr>
          <w:rFonts w:eastAsia="Times New Roman"/>
        </w:rPr>
        <w:t>43</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rPr>
          <w:sz w:val="20"/>
          <w:szCs w:val="20"/>
        </w:rPr>
      </w:pPr>
      <w:bookmarkStart w:id="44" w:name="page45"/>
      <w:bookmarkEnd w:id="44"/>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56" w:lineRule="exact"/>
        <w:rPr>
          <w:sz w:val="20"/>
          <w:szCs w:val="20"/>
        </w:rPr>
      </w:pPr>
    </w:p>
    <w:p w:rsidR="000C2ED5" w:rsidRDefault="00485212">
      <w:pPr>
        <w:rPr>
          <w:sz w:val="20"/>
          <w:szCs w:val="20"/>
        </w:rPr>
      </w:pPr>
      <w:r>
        <w:rPr>
          <w:rFonts w:eastAsia="Times New Roman"/>
          <w:sz w:val="24"/>
          <w:szCs w:val="24"/>
        </w:rPr>
        <w:t xml:space="preserve">Treatment Engagement from the Perspective </w:t>
      </w:r>
      <w:r>
        <w:rPr>
          <w:rFonts w:eastAsia="Times New Roman"/>
          <w:sz w:val="24"/>
          <w:szCs w:val="24"/>
        </w:rPr>
        <w:t>of the Offender: Reasons for Non-Completion</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and Completion of Treatment: A Systematic Review</w:t>
      </w:r>
    </w:p>
    <w:p w:rsidR="000C2ED5" w:rsidRDefault="000C2ED5">
      <w:pPr>
        <w:spacing w:line="276" w:lineRule="exact"/>
        <w:rPr>
          <w:sz w:val="20"/>
          <w:szCs w:val="20"/>
        </w:rPr>
      </w:pPr>
    </w:p>
    <w:p w:rsidR="000C2ED5" w:rsidRDefault="00485212">
      <w:pPr>
        <w:rPr>
          <w:sz w:val="20"/>
          <w:szCs w:val="20"/>
        </w:rPr>
      </w:pPr>
      <w:r>
        <w:rPr>
          <w:rFonts w:eastAsia="Times New Roman"/>
          <w:sz w:val="24"/>
          <w:szCs w:val="24"/>
        </w:rPr>
        <w:t>TABLES</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8" w:lineRule="exact"/>
        <w:rPr>
          <w:sz w:val="20"/>
          <w:szCs w:val="20"/>
        </w:rPr>
      </w:pPr>
    </w:p>
    <w:p w:rsidR="000C2ED5" w:rsidRDefault="00485212">
      <w:pPr>
        <w:ind w:right="6"/>
        <w:jc w:val="right"/>
        <w:rPr>
          <w:sz w:val="20"/>
          <w:szCs w:val="20"/>
        </w:rPr>
      </w:pPr>
      <w:r>
        <w:rPr>
          <w:rFonts w:eastAsia="Times New Roman"/>
        </w:rPr>
        <w:t>44</w:t>
      </w:r>
    </w:p>
    <w:p w:rsidR="000C2ED5" w:rsidRDefault="000C2ED5">
      <w:pPr>
        <w:sectPr w:rsidR="000C2ED5">
          <w:pgSz w:w="11900" w:h="16838"/>
          <w:pgMar w:top="698" w:right="1440" w:bottom="403" w:left="1440" w:header="0" w:footer="0" w:gutter="0"/>
          <w:cols w:space="720" w:equalWidth="0">
            <w:col w:w="9026"/>
          </w:cols>
        </w:sectPr>
      </w:pPr>
    </w:p>
    <w:p w:rsidR="000C2ED5" w:rsidRDefault="00485212">
      <w:pPr>
        <w:ind w:left="560"/>
        <w:rPr>
          <w:sz w:val="20"/>
          <w:szCs w:val="20"/>
        </w:rPr>
      </w:pPr>
      <w:bookmarkStart w:id="45" w:name="page46"/>
      <w:bookmarkEnd w:id="45"/>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350" w:lineRule="exact"/>
        <w:rPr>
          <w:sz w:val="20"/>
          <w:szCs w:val="20"/>
        </w:rPr>
      </w:pPr>
    </w:p>
    <w:p w:rsidR="000C2ED5" w:rsidRDefault="00485212">
      <w:pPr>
        <w:ind w:left="180"/>
        <w:rPr>
          <w:sz w:val="20"/>
          <w:szCs w:val="20"/>
        </w:rPr>
      </w:pPr>
      <w:r>
        <w:rPr>
          <w:rFonts w:eastAsia="Times New Roman"/>
        </w:rPr>
        <w:t>Table 1.</w:t>
      </w:r>
    </w:p>
    <w:p w:rsidR="000C2ED5" w:rsidRDefault="000C2ED5">
      <w:pPr>
        <w:spacing w:line="237" w:lineRule="exact"/>
        <w:rPr>
          <w:sz w:val="20"/>
          <w:szCs w:val="20"/>
        </w:rPr>
      </w:pPr>
    </w:p>
    <w:p w:rsidR="000C2ED5" w:rsidRDefault="00485212">
      <w:pPr>
        <w:ind w:left="240"/>
        <w:rPr>
          <w:sz w:val="20"/>
          <w:szCs w:val="20"/>
        </w:rPr>
      </w:pPr>
      <w:r>
        <w:rPr>
          <w:rFonts w:eastAsia="Times New Roman"/>
          <w:i/>
          <w:iCs/>
        </w:rPr>
        <w:t>Internal &amp; External Factors of the MORM as taken from Ward et al. (2004).</w:t>
      </w:r>
    </w:p>
    <w:p w:rsidR="000C2ED5" w:rsidRDefault="000C2ED5">
      <w:pPr>
        <w:spacing w:line="17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900"/>
        <w:gridCol w:w="12360"/>
        <w:gridCol w:w="800"/>
      </w:tblGrid>
      <w:tr w:rsidR="000C2ED5">
        <w:trPr>
          <w:trHeight w:val="239"/>
        </w:trPr>
        <w:tc>
          <w:tcPr>
            <w:tcW w:w="1900" w:type="dxa"/>
            <w:tcBorders>
              <w:top w:val="single" w:sz="8" w:space="0" w:color="auto"/>
            </w:tcBorders>
            <w:vAlign w:val="bottom"/>
          </w:tcPr>
          <w:p w:rsidR="000C2ED5" w:rsidRDefault="00485212">
            <w:pPr>
              <w:ind w:left="120"/>
              <w:rPr>
                <w:sz w:val="20"/>
                <w:szCs w:val="20"/>
              </w:rPr>
            </w:pPr>
            <w:r>
              <w:rPr>
                <w:rFonts w:eastAsia="Times New Roman"/>
                <w:b/>
                <w:bCs/>
                <w:sz w:val="20"/>
                <w:szCs w:val="20"/>
              </w:rPr>
              <w:t>Readiness Factor</w:t>
            </w:r>
          </w:p>
        </w:tc>
        <w:tc>
          <w:tcPr>
            <w:tcW w:w="12360" w:type="dxa"/>
            <w:tcBorders>
              <w:top w:val="single" w:sz="8" w:space="0" w:color="auto"/>
            </w:tcBorders>
            <w:vAlign w:val="bottom"/>
          </w:tcPr>
          <w:p w:rsidR="000C2ED5" w:rsidRDefault="00485212">
            <w:pPr>
              <w:ind w:left="320"/>
              <w:rPr>
                <w:sz w:val="20"/>
                <w:szCs w:val="20"/>
              </w:rPr>
            </w:pPr>
            <w:r>
              <w:rPr>
                <w:rFonts w:eastAsia="Times New Roman"/>
                <w:b/>
                <w:bCs/>
                <w:sz w:val="20"/>
                <w:szCs w:val="20"/>
              </w:rPr>
              <w:t>Description</w:t>
            </w:r>
          </w:p>
        </w:tc>
        <w:tc>
          <w:tcPr>
            <w:tcW w:w="800" w:type="dxa"/>
            <w:tcBorders>
              <w:top w:val="single" w:sz="8" w:space="0" w:color="auto"/>
            </w:tcBorders>
            <w:vAlign w:val="bottom"/>
          </w:tcPr>
          <w:p w:rsidR="000C2ED5" w:rsidRDefault="000C2ED5">
            <w:pPr>
              <w:rPr>
                <w:sz w:val="20"/>
                <w:szCs w:val="20"/>
              </w:rPr>
            </w:pPr>
          </w:p>
        </w:tc>
      </w:tr>
      <w:tr w:rsidR="000C2ED5">
        <w:trPr>
          <w:trHeight w:val="232"/>
        </w:trPr>
        <w:tc>
          <w:tcPr>
            <w:tcW w:w="1900" w:type="dxa"/>
            <w:tcBorders>
              <w:bottom w:val="single" w:sz="8" w:space="0" w:color="auto"/>
            </w:tcBorders>
            <w:vAlign w:val="bottom"/>
          </w:tcPr>
          <w:p w:rsidR="000C2ED5" w:rsidRDefault="000C2ED5">
            <w:pPr>
              <w:rPr>
                <w:sz w:val="20"/>
                <w:szCs w:val="20"/>
              </w:rPr>
            </w:pPr>
          </w:p>
        </w:tc>
        <w:tc>
          <w:tcPr>
            <w:tcW w:w="12360" w:type="dxa"/>
            <w:tcBorders>
              <w:bottom w:val="single" w:sz="8" w:space="0" w:color="auto"/>
            </w:tcBorders>
            <w:vAlign w:val="bottom"/>
          </w:tcPr>
          <w:p w:rsidR="000C2ED5" w:rsidRDefault="000C2ED5">
            <w:pPr>
              <w:rPr>
                <w:sz w:val="20"/>
                <w:szCs w:val="20"/>
              </w:rPr>
            </w:pPr>
          </w:p>
        </w:tc>
        <w:tc>
          <w:tcPr>
            <w:tcW w:w="800" w:type="dxa"/>
            <w:tcBorders>
              <w:bottom w:val="single" w:sz="8" w:space="0" w:color="auto"/>
            </w:tcBorders>
            <w:vAlign w:val="bottom"/>
          </w:tcPr>
          <w:p w:rsidR="000C2ED5" w:rsidRDefault="000C2ED5">
            <w:pPr>
              <w:rPr>
                <w:sz w:val="20"/>
                <w:szCs w:val="20"/>
              </w:rPr>
            </w:pPr>
          </w:p>
        </w:tc>
      </w:tr>
      <w:tr w:rsidR="000C2ED5">
        <w:trPr>
          <w:trHeight w:val="216"/>
        </w:trPr>
        <w:tc>
          <w:tcPr>
            <w:tcW w:w="1900" w:type="dxa"/>
            <w:vAlign w:val="bottom"/>
          </w:tcPr>
          <w:p w:rsidR="000C2ED5" w:rsidRDefault="00485212">
            <w:pPr>
              <w:spacing w:line="216" w:lineRule="exact"/>
              <w:ind w:left="120"/>
              <w:rPr>
                <w:sz w:val="20"/>
                <w:szCs w:val="20"/>
              </w:rPr>
            </w:pPr>
            <w:r>
              <w:rPr>
                <w:rFonts w:eastAsia="Times New Roman"/>
                <w:b/>
                <w:bCs/>
                <w:sz w:val="20"/>
                <w:szCs w:val="20"/>
              </w:rPr>
              <w:t>Internal Factors:</w:t>
            </w:r>
          </w:p>
        </w:tc>
        <w:tc>
          <w:tcPr>
            <w:tcW w:w="12360" w:type="dxa"/>
            <w:vAlign w:val="bottom"/>
          </w:tcPr>
          <w:p w:rsidR="000C2ED5" w:rsidRDefault="000C2ED5">
            <w:pPr>
              <w:rPr>
                <w:sz w:val="18"/>
                <w:szCs w:val="18"/>
              </w:rPr>
            </w:pPr>
          </w:p>
        </w:tc>
        <w:tc>
          <w:tcPr>
            <w:tcW w:w="800" w:type="dxa"/>
            <w:vAlign w:val="bottom"/>
          </w:tcPr>
          <w:p w:rsidR="000C2ED5" w:rsidRDefault="000C2ED5">
            <w:pPr>
              <w:rPr>
                <w:sz w:val="18"/>
                <w:szCs w:val="18"/>
              </w:rPr>
            </w:pPr>
          </w:p>
        </w:tc>
      </w:tr>
      <w:tr w:rsidR="000C2ED5">
        <w:trPr>
          <w:trHeight w:val="456"/>
        </w:trPr>
        <w:tc>
          <w:tcPr>
            <w:tcW w:w="1900" w:type="dxa"/>
            <w:vAlign w:val="bottom"/>
          </w:tcPr>
          <w:p w:rsidR="000C2ED5" w:rsidRDefault="00485212">
            <w:pPr>
              <w:ind w:left="120"/>
              <w:rPr>
                <w:sz w:val="20"/>
                <w:szCs w:val="20"/>
              </w:rPr>
            </w:pPr>
            <w:r>
              <w:rPr>
                <w:rFonts w:eastAsia="Times New Roman"/>
                <w:sz w:val="20"/>
                <w:szCs w:val="20"/>
              </w:rPr>
              <w:t>Cognitive Factors</w:t>
            </w:r>
          </w:p>
        </w:tc>
        <w:tc>
          <w:tcPr>
            <w:tcW w:w="13160" w:type="dxa"/>
            <w:gridSpan w:val="2"/>
            <w:vAlign w:val="bottom"/>
          </w:tcPr>
          <w:p w:rsidR="000C2ED5" w:rsidRDefault="00485212">
            <w:pPr>
              <w:ind w:left="320"/>
              <w:rPr>
                <w:sz w:val="20"/>
                <w:szCs w:val="20"/>
              </w:rPr>
            </w:pPr>
            <w:r>
              <w:rPr>
                <w:rFonts w:eastAsia="Times New Roman"/>
                <w:b/>
                <w:bCs/>
                <w:sz w:val="20"/>
                <w:szCs w:val="20"/>
              </w:rPr>
              <w:t>Self-efficacy</w:t>
            </w:r>
            <w:r>
              <w:rPr>
                <w:rFonts w:eastAsia="Times New Roman"/>
                <w:sz w:val="20"/>
                <w:szCs w:val="20"/>
              </w:rPr>
              <w:t>: refers to an individual’s perception of his/her own ability to successfully pursue, perform</w:t>
            </w:r>
            <w:r>
              <w:rPr>
                <w:rFonts w:eastAsia="Times New Roman"/>
                <w:sz w:val="20"/>
                <w:szCs w:val="20"/>
              </w:rPr>
              <w:t xml:space="preserve"> and change their offending beha</w:t>
            </w:r>
            <w:r>
              <w:rPr>
                <w:rFonts w:eastAsia="Times New Roman"/>
                <w:b/>
                <w:bCs/>
                <w:sz w:val="20"/>
                <w:szCs w:val="20"/>
              </w:rPr>
              <w:t xml:space="preserve"> </w:t>
            </w:r>
            <w:r>
              <w:rPr>
                <w:rFonts w:eastAsia="Times New Roman"/>
                <w:sz w:val="20"/>
                <w:szCs w:val="20"/>
              </w:rPr>
              <w:t>viours through</w:t>
            </w:r>
          </w:p>
        </w:tc>
      </w:tr>
      <w:tr w:rsidR="000C2ED5">
        <w:trPr>
          <w:trHeight w:val="461"/>
        </w:trPr>
        <w:tc>
          <w:tcPr>
            <w:tcW w:w="1900" w:type="dxa"/>
            <w:vAlign w:val="bottom"/>
          </w:tcPr>
          <w:p w:rsidR="000C2ED5" w:rsidRDefault="000C2ED5">
            <w:pPr>
              <w:rPr>
                <w:sz w:val="24"/>
                <w:szCs w:val="24"/>
              </w:rPr>
            </w:pPr>
          </w:p>
        </w:tc>
        <w:tc>
          <w:tcPr>
            <w:tcW w:w="12360" w:type="dxa"/>
            <w:vAlign w:val="bottom"/>
          </w:tcPr>
          <w:p w:rsidR="000C2ED5" w:rsidRDefault="00485212">
            <w:pPr>
              <w:ind w:left="320"/>
              <w:rPr>
                <w:sz w:val="20"/>
                <w:szCs w:val="20"/>
              </w:rPr>
            </w:pPr>
            <w:r>
              <w:rPr>
                <w:rFonts w:eastAsia="Times New Roman"/>
                <w:sz w:val="20"/>
                <w:szCs w:val="20"/>
              </w:rPr>
              <w:t>participation in treatment. Clients who perceive themselves as unable to engage in the process of treatment and unable to develop and implement new</w:t>
            </w:r>
          </w:p>
        </w:tc>
        <w:tc>
          <w:tcPr>
            <w:tcW w:w="800" w:type="dxa"/>
            <w:vAlign w:val="bottom"/>
          </w:tcPr>
          <w:p w:rsidR="000C2ED5" w:rsidRDefault="000C2ED5">
            <w:pPr>
              <w:rPr>
                <w:sz w:val="24"/>
                <w:szCs w:val="24"/>
              </w:rPr>
            </w:pPr>
          </w:p>
        </w:tc>
      </w:tr>
      <w:tr w:rsidR="000C2ED5">
        <w:trPr>
          <w:trHeight w:val="458"/>
        </w:trPr>
        <w:tc>
          <w:tcPr>
            <w:tcW w:w="1900" w:type="dxa"/>
            <w:vAlign w:val="bottom"/>
          </w:tcPr>
          <w:p w:rsidR="000C2ED5" w:rsidRDefault="000C2ED5">
            <w:pPr>
              <w:rPr>
                <w:sz w:val="24"/>
                <w:szCs w:val="24"/>
              </w:rPr>
            </w:pPr>
          </w:p>
        </w:tc>
        <w:tc>
          <w:tcPr>
            <w:tcW w:w="12360" w:type="dxa"/>
            <w:vAlign w:val="bottom"/>
          </w:tcPr>
          <w:p w:rsidR="000C2ED5" w:rsidRDefault="00485212">
            <w:pPr>
              <w:ind w:left="320"/>
              <w:rPr>
                <w:sz w:val="20"/>
                <w:szCs w:val="20"/>
              </w:rPr>
            </w:pPr>
            <w:r>
              <w:rPr>
                <w:rFonts w:eastAsia="Times New Roman"/>
                <w:sz w:val="20"/>
                <w:szCs w:val="20"/>
              </w:rPr>
              <w:t>prosocial skills, are unlikely to engage in rehabilitat</w:t>
            </w:r>
            <w:r>
              <w:rPr>
                <w:rFonts w:eastAsia="Times New Roman"/>
                <w:sz w:val="20"/>
                <w:szCs w:val="20"/>
              </w:rPr>
              <w:t>ion.</w:t>
            </w:r>
          </w:p>
        </w:tc>
        <w:tc>
          <w:tcPr>
            <w:tcW w:w="800" w:type="dxa"/>
            <w:vAlign w:val="bottom"/>
          </w:tcPr>
          <w:p w:rsidR="000C2ED5" w:rsidRDefault="000C2ED5">
            <w:pPr>
              <w:rPr>
                <w:sz w:val="24"/>
                <w:szCs w:val="24"/>
              </w:rPr>
            </w:pPr>
          </w:p>
        </w:tc>
      </w:tr>
      <w:tr w:rsidR="000C2ED5">
        <w:trPr>
          <w:trHeight w:val="461"/>
        </w:trPr>
        <w:tc>
          <w:tcPr>
            <w:tcW w:w="1900" w:type="dxa"/>
            <w:vAlign w:val="bottom"/>
          </w:tcPr>
          <w:p w:rsidR="000C2ED5" w:rsidRDefault="000C2ED5">
            <w:pPr>
              <w:rPr>
                <w:sz w:val="24"/>
                <w:szCs w:val="24"/>
              </w:rPr>
            </w:pPr>
          </w:p>
        </w:tc>
        <w:tc>
          <w:tcPr>
            <w:tcW w:w="13160" w:type="dxa"/>
            <w:gridSpan w:val="2"/>
            <w:vAlign w:val="bottom"/>
          </w:tcPr>
          <w:p w:rsidR="000C2ED5" w:rsidRDefault="00485212">
            <w:pPr>
              <w:ind w:left="320"/>
              <w:rPr>
                <w:sz w:val="20"/>
                <w:szCs w:val="20"/>
              </w:rPr>
            </w:pPr>
            <w:r>
              <w:rPr>
                <w:rFonts w:eastAsia="Times New Roman"/>
                <w:b/>
                <w:bCs/>
                <w:sz w:val="20"/>
                <w:szCs w:val="20"/>
              </w:rPr>
              <w:t>Attitudes &amp; Beliefs</w:t>
            </w:r>
            <w:r>
              <w:rPr>
                <w:rFonts w:eastAsia="Times New Roman"/>
                <w:sz w:val="20"/>
                <w:szCs w:val="20"/>
              </w:rPr>
              <w:t>: Refers to an individual’s attitudes and beliefs regarding treatment and potential outcomes that are likely to influence engagement,</w:t>
            </w:r>
          </w:p>
        </w:tc>
      </w:tr>
      <w:tr w:rsidR="000C2ED5">
        <w:trPr>
          <w:trHeight w:val="461"/>
        </w:trPr>
        <w:tc>
          <w:tcPr>
            <w:tcW w:w="1900" w:type="dxa"/>
            <w:vAlign w:val="bottom"/>
          </w:tcPr>
          <w:p w:rsidR="000C2ED5" w:rsidRDefault="000C2ED5">
            <w:pPr>
              <w:rPr>
                <w:sz w:val="24"/>
                <w:szCs w:val="24"/>
              </w:rPr>
            </w:pPr>
          </w:p>
        </w:tc>
        <w:tc>
          <w:tcPr>
            <w:tcW w:w="13160" w:type="dxa"/>
            <w:gridSpan w:val="2"/>
            <w:vAlign w:val="bottom"/>
          </w:tcPr>
          <w:p w:rsidR="000C2ED5" w:rsidRDefault="00485212">
            <w:pPr>
              <w:ind w:left="320"/>
              <w:rPr>
                <w:sz w:val="20"/>
                <w:szCs w:val="20"/>
              </w:rPr>
            </w:pPr>
            <w:r>
              <w:rPr>
                <w:rFonts w:eastAsia="Times New Roman"/>
                <w:sz w:val="20"/>
                <w:szCs w:val="20"/>
              </w:rPr>
              <w:t>particularly if the benefits are perceived to outweigh the associated costs of participation.</w:t>
            </w:r>
            <w:r>
              <w:rPr>
                <w:rFonts w:eastAsia="Times New Roman"/>
                <w:sz w:val="20"/>
                <w:szCs w:val="20"/>
              </w:rPr>
              <w:t xml:space="preserve">  It also refers to an individual’s attitude/beliefs towards the therapists</w:t>
            </w:r>
          </w:p>
        </w:tc>
      </w:tr>
      <w:tr w:rsidR="000C2ED5">
        <w:trPr>
          <w:trHeight w:val="458"/>
        </w:trPr>
        <w:tc>
          <w:tcPr>
            <w:tcW w:w="1900" w:type="dxa"/>
            <w:vAlign w:val="bottom"/>
          </w:tcPr>
          <w:p w:rsidR="000C2ED5" w:rsidRDefault="000C2ED5">
            <w:pPr>
              <w:rPr>
                <w:sz w:val="24"/>
                <w:szCs w:val="24"/>
              </w:rPr>
            </w:pPr>
          </w:p>
        </w:tc>
        <w:tc>
          <w:tcPr>
            <w:tcW w:w="12360" w:type="dxa"/>
            <w:vAlign w:val="bottom"/>
          </w:tcPr>
          <w:p w:rsidR="000C2ED5" w:rsidRDefault="00485212">
            <w:pPr>
              <w:ind w:left="320"/>
              <w:rPr>
                <w:sz w:val="20"/>
                <w:szCs w:val="20"/>
              </w:rPr>
            </w:pPr>
            <w:r>
              <w:rPr>
                <w:rFonts w:eastAsia="Times New Roman"/>
                <w:sz w:val="20"/>
                <w:szCs w:val="20"/>
              </w:rPr>
              <w:t>and/or their offending behaviour.</w:t>
            </w:r>
          </w:p>
        </w:tc>
        <w:tc>
          <w:tcPr>
            <w:tcW w:w="800" w:type="dxa"/>
            <w:vAlign w:val="bottom"/>
          </w:tcPr>
          <w:p w:rsidR="000C2ED5" w:rsidRDefault="000C2ED5">
            <w:pPr>
              <w:rPr>
                <w:sz w:val="24"/>
                <w:szCs w:val="24"/>
              </w:rPr>
            </w:pPr>
          </w:p>
        </w:tc>
      </w:tr>
      <w:tr w:rsidR="000C2ED5">
        <w:trPr>
          <w:trHeight w:val="922"/>
        </w:trPr>
        <w:tc>
          <w:tcPr>
            <w:tcW w:w="1900" w:type="dxa"/>
            <w:vAlign w:val="bottom"/>
          </w:tcPr>
          <w:p w:rsidR="000C2ED5" w:rsidRDefault="00485212">
            <w:pPr>
              <w:ind w:left="120"/>
              <w:rPr>
                <w:sz w:val="20"/>
                <w:szCs w:val="20"/>
              </w:rPr>
            </w:pPr>
            <w:r>
              <w:rPr>
                <w:rFonts w:eastAsia="Times New Roman"/>
                <w:sz w:val="20"/>
                <w:szCs w:val="20"/>
              </w:rPr>
              <w:t>Affective Factors</w:t>
            </w:r>
          </w:p>
        </w:tc>
        <w:tc>
          <w:tcPr>
            <w:tcW w:w="12360" w:type="dxa"/>
            <w:vAlign w:val="bottom"/>
          </w:tcPr>
          <w:p w:rsidR="000C2ED5" w:rsidRDefault="00485212">
            <w:pPr>
              <w:ind w:left="320"/>
              <w:rPr>
                <w:sz w:val="20"/>
                <w:szCs w:val="20"/>
              </w:rPr>
            </w:pPr>
            <w:r>
              <w:rPr>
                <w:rFonts w:eastAsia="Times New Roman"/>
                <w:b/>
                <w:bCs/>
                <w:sz w:val="20"/>
                <w:szCs w:val="20"/>
              </w:rPr>
              <w:t>Emotional dysregulation</w:t>
            </w:r>
            <w:r>
              <w:rPr>
                <w:rFonts w:eastAsia="Times New Roman"/>
                <w:sz w:val="20"/>
                <w:szCs w:val="20"/>
              </w:rPr>
              <w:t>: A lack of</w:t>
            </w:r>
            <w:r>
              <w:rPr>
                <w:rFonts w:eastAsia="Times New Roman"/>
                <w:b/>
                <w:bCs/>
                <w:sz w:val="20"/>
                <w:szCs w:val="20"/>
              </w:rPr>
              <w:t xml:space="preserve"> </w:t>
            </w:r>
            <w:r>
              <w:rPr>
                <w:rFonts w:eastAsia="Times New Roman"/>
                <w:sz w:val="20"/>
                <w:szCs w:val="20"/>
              </w:rPr>
              <w:t>control over one’s emotions is likely to hinder treatment readiness due to heightened fee</w:t>
            </w:r>
            <w:r>
              <w:rPr>
                <w:rFonts w:eastAsia="Times New Roman"/>
                <w:sz w:val="20"/>
                <w:szCs w:val="20"/>
              </w:rPr>
              <w:t>lings of hostility and</w:t>
            </w:r>
          </w:p>
        </w:tc>
        <w:tc>
          <w:tcPr>
            <w:tcW w:w="800" w:type="dxa"/>
            <w:vAlign w:val="bottom"/>
          </w:tcPr>
          <w:p w:rsidR="000C2ED5" w:rsidRDefault="000C2ED5">
            <w:pPr>
              <w:rPr>
                <w:sz w:val="24"/>
                <w:szCs w:val="24"/>
              </w:rPr>
            </w:pPr>
          </w:p>
        </w:tc>
      </w:tr>
      <w:tr w:rsidR="000C2ED5">
        <w:trPr>
          <w:trHeight w:val="458"/>
        </w:trPr>
        <w:tc>
          <w:tcPr>
            <w:tcW w:w="1900" w:type="dxa"/>
            <w:vAlign w:val="bottom"/>
          </w:tcPr>
          <w:p w:rsidR="000C2ED5" w:rsidRDefault="000C2ED5">
            <w:pPr>
              <w:rPr>
                <w:sz w:val="24"/>
                <w:szCs w:val="24"/>
              </w:rPr>
            </w:pPr>
          </w:p>
        </w:tc>
        <w:tc>
          <w:tcPr>
            <w:tcW w:w="13160" w:type="dxa"/>
            <w:gridSpan w:val="2"/>
            <w:vAlign w:val="bottom"/>
          </w:tcPr>
          <w:p w:rsidR="000C2ED5" w:rsidRDefault="00485212">
            <w:pPr>
              <w:ind w:left="320"/>
              <w:rPr>
                <w:sz w:val="20"/>
                <w:szCs w:val="20"/>
              </w:rPr>
            </w:pPr>
            <w:r>
              <w:rPr>
                <w:rFonts w:eastAsia="Times New Roman"/>
                <w:sz w:val="20"/>
                <w:szCs w:val="20"/>
              </w:rPr>
              <w:t>physiological arousal however the experience of what is termed generalised distress can positively influence treatment readiness as the distress acts as a</w:t>
            </w:r>
          </w:p>
        </w:tc>
      </w:tr>
      <w:tr w:rsidR="000C2ED5">
        <w:trPr>
          <w:trHeight w:val="461"/>
        </w:trPr>
        <w:tc>
          <w:tcPr>
            <w:tcW w:w="1900" w:type="dxa"/>
            <w:vAlign w:val="bottom"/>
          </w:tcPr>
          <w:p w:rsidR="000C2ED5" w:rsidRDefault="000C2ED5">
            <w:pPr>
              <w:rPr>
                <w:sz w:val="24"/>
                <w:szCs w:val="24"/>
              </w:rPr>
            </w:pPr>
          </w:p>
        </w:tc>
        <w:tc>
          <w:tcPr>
            <w:tcW w:w="13160" w:type="dxa"/>
            <w:gridSpan w:val="2"/>
            <w:vAlign w:val="bottom"/>
          </w:tcPr>
          <w:p w:rsidR="000C2ED5" w:rsidRDefault="00485212">
            <w:pPr>
              <w:ind w:left="320"/>
              <w:rPr>
                <w:sz w:val="20"/>
                <w:szCs w:val="20"/>
              </w:rPr>
            </w:pPr>
            <w:r>
              <w:rPr>
                <w:rFonts w:eastAsia="Times New Roman"/>
                <w:sz w:val="20"/>
                <w:szCs w:val="20"/>
              </w:rPr>
              <w:t xml:space="preserve">precursor to the contemplation of behaviour change. As many treatment </w:t>
            </w:r>
            <w:r>
              <w:rPr>
                <w:rFonts w:eastAsia="Times New Roman"/>
                <w:sz w:val="20"/>
                <w:szCs w:val="20"/>
              </w:rPr>
              <w:t>programmes rely on an individual’s ability to be able to experience, express and</w:t>
            </w:r>
          </w:p>
        </w:tc>
      </w:tr>
      <w:tr w:rsidR="000C2ED5">
        <w:trPr>
          <w:trHeight w:val="461"/>
        </w:trPr>
        <w:tc>
          <w:tcPr>
            <w:tcW w:w="1900" w:type="dxa"/>
            <w:vAlign w:val="bottom"/>
          </w:tcPr>
          <w:p w:rsidR="000C2ED5" w:rsidRDefault="000C2ED5">
            <w:pPr>
              <w:rPr>
                <w:sz w:val="24"/>
                <w:szCs w:val="24"/>
              </w:rPr>
            </w:pPr>
          </w:p>
        </w:tc>
        <w:tc>
          <w:tcPr>
            <w:tcW w:w="12360" w:type="dxa"/>
            <w:vAlign w:val="bottom"/>
          </w:tcPr>
          <w:p w:rsidR="000C2ED5" w:rsidRDefault="00485212">
            <w:pPr>
              <w:ind w:left="320"/>
              <w:rPr>
                <w:sz w:val="20"/>
                <w:szCs w:val="20"/>
              </w:rPr>
            </w:pPr>
            <w:r>
              <w:rPr>
                <w:rFonts w:eastAsia="Times New Roman"/>
                <w:sz w:val="20"/>
                <w:szCs w:val="20"/>
              </w:rPr>
              <w:t>reflect on various emotional states is considered to aid treatment readiness.</w:t>
            </w:r>
          </w:p>
        </w:tc>
        <w:tc>
          <w:tcPr>
            <w:tcW w:w="800" w:type="dxa"/>
            <w:vAlign w:val="bottom"/>
          </w:tcPr>
          <w:p w:rsidR="000C2ED5" w:rsidRDefault="000C2ED5">
            <w:pPr>
              <w:rPr>
                <w:sz w:val="24"/>
                <w:szCs w:val="24"/>
              </w:rPr>
            </w:pPr>
          </w:p>
        </w:tc>
      </w:tr>
      <w:tr w:rsidR="000C2ED5">
        <w:trPr>
          <w:trHeight w:val="458"/>
        </w:trPr>
        <w:tc>
          <w:tcPr>
            <w:tcW w:w="1900" w:type="dxa"/>
            <w:vAlign w:val="bottom"/>
          </w:tcPr>
          <w:p w:rsidR="000C2ED5" w:rsidRDefault="000C2ED5">
            <w:pPr>
              <w:rPr>
                <w:sz w:val="24"/>
                <w:szCs w:val="24"/>
              </w:rPr>
            </w:pPr>
          </w:p>
        </w:tc>
        <w:tc>
          <w:tcPr>
            <w:tcW w:w="13160" w:type="dxa"/>
            <w:gridSpan w:val="2"/>
            <w:vAlign w:val="bottom"/>
          </w:tcPr>
          <w:p w:rsidR="000C2ED5" w:rsidRDefault="00485212">
            <w:pPr>
              <w:ind w:left="320"/>
              <w:rPr>
                <w:sz w:val="20"/>
                <w:szCs w:val="20"/>
              </w:rPr>
            </w:pPr>
            <w:r>
              <w:rPr>
                <w:rFonts w:eastAsia="Times New Roman"/>
                <w:b/>
                <w:bCs/>
                <w:sz w:val="20"/>
                <w:szCs w:val="20"/>
              </w:rPr>
              <w:t xml:space="preserve">Guilt &amp; Shame: </w:t>
            </w:r>
            <w:r>
              <w:rPr>
                <w:rFonts w:eastAsia="Times New Roman"/>
                <w:sz w:val="20"/>
                <w:szCs w:val="20"/>
              </w:rPr>
              <w:t xml:space="preserve">Feelings of guilt are considered to aid treatment readiness whereas feelings </w:t>
            </w:r>
            <w:r>
              <w:rPr>
                <w:rFonts w:eastAsia="Times New Roman"/>
                <w:sz w:val="20"/>
                <w:szCs w:val="20"/>
              </w:rPr>
              <w:t>of shame are considered to hinder treatment readiness. Whether</w:t>
            </w:r>
          </w:p>
        </w:tc>
      </w:tr>
      <w:tr w:rsidR="000C2ED5">
        <w:trPr>
          <w:trHeight w:val="461"/>
        </w:trPr>
        <w:tc>
          <w:tcPr>
            <w:tcW w:w="1900" w:type="dxa"/>
            <w:vAlign w:val="bottom"/>
          </w:tcPr>
          <w:p w:rsidR="000C2ED5" w:rsidRDefault="000C2ED5">
            <w:pPr>
              <w:rPr>
                <w:sz w:val="24"/>
                <w:szCs w:val="24"/>
              </w:rPr>
            </w:pPr>
          </w:p>
        </w:tc>
        <w:tc>
          <w:tcPr>
            <w:tcW w:w="13160" w:type="dxa"/>
            <w:gridSpan w:val="2"/>
            <w:vAlign w:val="bottom"/>
          </w:tcPr>
          <w:p w:rsidR="000C2ED5" w:rsidRDefault="00485212">
            <w:pPr>
              <w:ind w:left="320"/>
              <w:rPr>
                <w:sz w:val="20"/>
                <w:szCs w:val="20"/>
              </w:rPr>
            </w:pPr>
            <w:r>
              <w:rPr>
                <w:rFonts w:eastAsia="Times New Roman"/>
                <w:sz w:val="20"/>
                <w:szCs w:val="20"/>
              </w:rPr>
              <w:t>the individual experiences feelings of guilt or shame is dependent on their emotional reaction to both their offence and their subsequent label of an offender.</w:t>
            </w:r>
          </w:p>
        </w:tc>
      </w:tr>
      <w:tr w:rsidR="000C2ED5">
        <w:trPr>
          <w:trHeight w:val="461"/>
        </w:trPr>
        <w:tc>
          <w:tcPr>
            <w:tcW w:w="1900" w:type="dxa"/>
            <w:vAlign w:val="bottom"/>
          </w:tcPr>
          <w:p w:rsidR="000C2ED5" w:rsidRDefault="000C2ED5">
            <w:pPr>
              <w:rPr>
                <w:sz w:val="24"/>
                <w:szCs w:val="24"/>
              </w:rPr>
            </w:pPr>
          </w:p>
        </w:tc>
        <w:tc>
          <w:tcPr>
            <w:tcW w:w="13160" w:type="dxa"/>
            <w:gridSpan w:val="2"/>
            <w:vAlign w:val="bottom"/>
          </w:tcPr>
          <w:p w:rsidR="000C2ED5" w:rsidRDefault="00485212">
            <w:pPr>
              <w:ind w:left="320"/>
              <w:rPr>
                <w:sz w:val="20"/>
                <w:szCs w:val="20"/>
              </w:rPr>
            </w:pPr>
            <w:r>
              <w:rPr>
                <w:rFonts w:eastAsia="Times New Roman"/>
                <w:sz w:val="20"/>
                <w:szCs w:val="20"/>
              </w:rPr>
              <w:t>Feelings of shame are thought</w:t>
            </w:r>
            <w:r>
              <w:rPr>
                <w:rFonts w:eastAsia="Times New Roman"/>
                <w:sz w:val="20"/>
                <w:szCs w:val="20"/>
              </w:rPr>
              <w:t xml:space="preserve"> to evoke the perception that one is inferior, incompetent and overall a bad person which in turn is amplified by the heightening</w:t>
            </w:r>
          </w:p>
        </w:tc>
      </w:tr>
      <w:tr w:rsidR="000C2ED5">
        <w:trPr>
          <w:trHeight w:val="458"/>
        </w:trPr>
        <w:tc>
          <w:tcPr>
            <w:tcW w:w="1900" w:type="dxa"/>
            <w:vAlign w:val="bottom"/>
          </w:tcPr>
          <w:p w:rsidR="000C2ED5" w:rsidRDefault="000C2ED5">
            <w:pPr>
              <w:rPr>
                <w:sz w:val="24"/>
                <w:szCs w:val="24"/>
              </w:rPr>
            </w:pPr>
          </w:p>
        </w:tc>
        <w:tc>
          <w:tcPr>
            <w:tcW w:w="13160" w:type="dxa"/>
            <w:gridSpan w:val="2"/>
            <w:vAlign w:val="bottom"/>
          </w:tcPr>
          <w:p w:rsidR="000C2ED5" w:rsidRDefault="00485212">
            <w:pPr>
              <w:ind w:left="320"/>
              <w:rPr>
                <w:sz w:val="20"/>
                <w:szCs w:val="20"/>
              </w:rPr>
            </w:pPr>
            <w:r>
              <w:rPr>
                <w:rFonts w:eastAsia="Times New Roman"/>
                <w:sz w:val="20"/>
                <w:szCs w:val="20"/>
              </w:rPr>
              <w:t>perception of being negatively judged by others. Such feelings of shame are likely to evoke behaviours of avoidance, whereas</w:t>
            </w:r>
            <w:r>
              <w:rPr>
                <w:rFonts w:eastAsia="Times New Roman"/>
                <w:sz w:val="20"/>
                <w:szCs w:val="20"/>
              </w:rPr>
              <w:t xml:space="preserve"> feelings of guilt are likely to</w:t>
            </w:r>
          </w:p>
        </w:tc>
      </w:tr>
      <w:tr w:rsidR="000C2ED5">
        <w:trPr>
          <w:trHeight w:val="461"/>
        </w:trPr>
        <w:tc>
          <w:tcPr>
            <w:tcW w:w="1900" w:type="dxa"/>
            <w:vAlign w:val="bottom"/>
          </w:tcPr>
          <w:p w:rsidR="000C2ED5" w:rsidRDefault="000C2ED5">
            <w:pPr>
              <w:rPr>
                <w:sz w:val="24"/>
                <w:szCs w:val="24"/>
              </w:rPr>
            </w:pPr>
          </w:p>
        </w:tc>
        <w:tc>
          <w:tcPr>
            <w:tcW w:w="13160" w:type="dxa"/>
            <w:gridSpan w:val="2"/>
            <w:vAlign w:val="bottom"/>
          </w:tcPr>
          <w:p w:rsidR="000C2ED5" w:rsidRDefault="00485212">
            <w:pPr>
              <w:ind w:left="320"/>
              <w:rPr>
                <w:sz w:val="20"/>
                <w:szCs w:val="20"/>
              </w:rPr>
            </w:pPr>
            <w:r>
              <w:rPr>
                <w:rFonts w:eastAsia="Times New Roman"/>
                <w:sz w:val="20"/>
                <w:szCs w:val="20"/>
              </w:rPr>
              <w:t>result in confession and amendment. As a result, feelings of guilt are associated with a motivation to engage in emotional disclosure during treatment unlike</w:t>
            </w:r>
          </w:p>
        </w:tc>
      </w:tr>
      <w:tr w:rsidR="000C2ED5">
        <w:trPr>
          <w:trHeight w:val="458"/>
        </w:trPr>
        <w:tc>
          <w:tcPr>
            <w:tcW w:w="1900" w:type="dxa"/>
            <w:vAlign w:val="bottom"/>
          </w:tcPr>
          <w:p w:rsidR="000C2ED5" w:rsidRDefault="000C2ED5">
            <w:pPr>
              <w:rPr>
                <w:sz w:val="24"/>
                <w:szCs w:val="24"/>
              </w:rPr>
            </w:pPr>
          </w:p>
        </w:tc>
        <w:tc>
          <w:tcPr>
            <w:tcW w:w="12360" w:type="dxa"/>
            <w:vAlign w:val="bottom"/>
          </w:tcPr>
          <w:p w:rsidR="000C2ED5" w:rsidRDefault="00485212">
            <w:pPr>
              <w:ind w:left="320"/>
              <w:rPr>
                <w:sz w:val="20"/>
                <w:szCs w:val="20"/>
              </w:rPr>
            </w:pPr>
            <w:r>
              <w:rPr>
                <w:rFonts w:eastAsia="Times New Roman"/>
                <w:sz w:val="20"/>
                <w:szCs w:val="20"/>
              </w:rPr>
              <w:t>that of shame.</w:t>
            </w:r>
          </w:p>
        </w:tc>
        <w:tc>
          <w:tcPr>
            <w:tcW w:w="800" w:type="dxa"/>
            <w:vAlign w:val="bottom"/>
          </w:tcPr>
          <w:p w:rsidR="000C2ED5" w:rsidRDefault="00485212">
            <w:pPr>
              <w:ind w:right="430"/>
              <w:jc w:val="right"/>
              <w:rPr>
                <w:sz w:val="20"/>
                <w:szCs w:val="20"/>
              </w:rPr>
            </w:pPr>
            <w:r>
              <w:rPr>
                <w:rFonts w:eastAsia="Times New Roman"/>
              </w:rPr>
              <w:t>45</w:t>
            </w:r>
          </w:p>
        </w:tc>
      </w:tr>
    </w:tbl>
    <w:p w:rsidR="000C2ED5" w:rsidRDefault="000C2ED5">
      <w:pPr>
        <w:sectPr w:rsidR="000C2ED5">
          <w:pgSz w:w="16840" w:h="11906" w:orient="landscape"/>
          <w:pgMar w:top="698" w:right="898" w:bottom="359" w:left="880" w:header="0" w:footer="0" w:gutter="0"/>
          <w:cols w:space="720" w:equalWidth="0">
            <w:col w:w="15060"/>
          </w:cols>
        </w:sectPr>
      </w:pPr>
    </w:p>
    <w:p w:rsidR="000C2ED5" w:rsidRDefault="00485212">
      <w:pPr>
        <w:ind w:left="440"/>
        <w:rPr>
          <w:sz w:val="20"/>
          <w:szCs w:val="20"/>
        </w:rPr>
      </w:pPr>
      <w:bookmarkStart w:id="46" w:name="page47"/>
      <w:bookmarkEnd w:id="46"/>
      <w:r>
        <w:rPr>
          <w:rFonts w:eastAsia="Times New Roman"/>
          <w:sz w:val="23"/>
          <w:szCs w:val="23"/>
        </w:rPr>
        <w:lastRenderedPageBreak/>
        <w:t xml:space="preserve">Treatment </w:t>
      </w:r>
      <w:r>
        <w:rPr>
          <w:rFonts w:eastAsia="Times New Roman"/>
          <w:sz w:val="23"/>
          <w:szCs w:val="23"/>
        </w:rPr>
        <w:t>Engagement from the Perspective of the Offender</w:t>
      </w:r>
    </w:p>
    <w:p w:rsidR="000C2ED5" w:rsidRDefault="000C2ED5">
      <w:pPr>
        <w:sectPr w:rsidR="000C2ED5">
          <w:pgSz w:w="16840" w:h="11906" w:orient="landscape"/>
          <w:pgMar w:top="709" w:right="1058" w:bottom="403" w:left="1000" w:header="0" w:footer="0" w:gutter="0"/>
          <w:cols w:space="720" w:equalWidth="0">
            <w:col w:w="14780"/>
          </w:cols>
        </w:sect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19" w:lineRule="exact"/>
        <w:rPr>
          <w:sz w:val="20"/>
          <w:szCs w:val="20"/>
        </w:rPr>
      </w:pPr>
    </w:p>
    <w:p w:rsidR="000C2ED5" w:rsidRDefault="00485212">
      <w:pPr>
        <w:rPr>
          <w:sz w:val="20"/>
          <w:szCs w:val="20"/>
        </w:rPr>
      </w:pPr>
      <w:r>
        <w:rPr>
          <w:rFonts w:eastAsia="Times New Roman"/>
          <w:sz w:val="20"/>
          <w:szCs w:val="20"/>
        </w:rPr>
        <w:t>Behavioural Factors</w:t>
      </w:r>
    </w:p>
    <w:p w:rsidR="000C2ED5" w:rsidRDefault="00485212">
      <w:pPr>
        <w:spacing w:line="20" w:lineRule="exact"/>
        <w:rPr>
          <w:sz w:val="20"/>
          <w:szCs w:val="20"/>
        </w:rPr>
      </w:pPr>
      <w:r>
        <w:rPr>
          <w:sz w:val="20"/>
          <w:szCs w:val="20"/>
        </w:rPr>
        <w:br w:type="column"/>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10" w:lineRule="exact"/>
        <w:rPr>
          <w:sz w:val="20"/>
          <w:szCs w:val="20"/>
        </w:rPr>
      </w:pPr>
    </w:p>
    <w:p w:rsidR="000C2ED5" w:rsidRDefault="00485212">
      <w:pPr>
        <w:spacing w:line="476" w:lineRule="auto"/>
        <w:ind w:right="200"/>
        <w:rPr>
          <w:sz w:val="20"/>
          <w:szCs w:val="20"/>
        </w:rPr>
      </w:pPr>
      <w:r>
        <w:rPr>
          <w:rFonts w:eastAsia="Times New Roman"/>
          <w:b/>
          <w:bCs/>
          <w:sz w:val="20"/>
          <w:szCs w:val="20"/>
        </w:rPr>
        <w:t xml:space="preserve">Behavioural/Cognitive Skills: </w:t>
      </w:r>
      <w:r>
        <w:rPr>
          <w:rFonts w:eastAsia="Times New Roman"/>
          <w:sz w:val="20"/>
          <w:szCs w:val="20"/>
        </w:rPr>
        <w:t>An ability to recognise offending behaviour as a problem, actively seeking for help for such a problem as well as possessing</w:t>
      </w:r>
      <w:r>
        <w:rPr>
          <w:rFonts w:eastAsia="Times New Roman"/>
          <w:b/>
          <w:bCs/>
          <w:sz w:val="20"/>
          <w:szCs w:val="20"/>
        </w:rPr>
        <w:t xml:space="preserve"> </w:t>
      </w:r>
      <w:r>
        <w:rPr>
          <w:rFonts w:eastAsia="Times New Roman"/>
          <w:sz w:val="20"/>
          <w:szCs w:val="20"/>
        </w:rPr>
        <w:t>the necessary skills and competencies to engage in treatment is considered necessary for treatment engagement. Individuals with a mental disorder or an intellectual disability may face additional challenges as the symptoms of mental illness/intellectual d</w:t>
      </w:r>
      <w:r>
        <w:rPr>
          <w:rFonts w:eastAsia="Times New Roman"/>
          <w:sz w:val="20"/>
          <w:szCs w:val="20"/>
        </w:rPr>
        <w:t>isorder may hinder some of the skills necessary for engagement in treatment.</w:t>
      </w:r>
    </w:p>
    <w:p w:rsidR="000C2ED5" w:rsidRDefault="000C2ED5">
      <w:pPr>
        <w:spacing w:line="200" w:lineRule="exact"/>
        <w:rPr>
          <w:sz w:val="20"/>
          <w:szCs w:val="20"/>
        </w:rPr>
      </w:pPr>
    </w:p>
    <w:p w:rsidR="000C2ED5" w:rsidRDefault="000C2ED5">
      <w:pPr>
        <w:sectPr w:rsidR="000C2ED5">
          <w:type w:val="continuous"/>
          <w:pgSz w:w="16840" w:h="11906" w:orient="landscape"/>
          <w:pgMar w:top="709" w:right="1058" w:bottom="403" w:left="1000" w:header="0" w:footer="0" w:gutter="0"/>
          <w:cols w:num="2" w:space="720" w:equalWidth="0">
            <w:col w:w="1620" w:space="480"/>
            <w:col w:w="12680"/>
          </w:cols>
        </w:sectPr>
      </w:pPr>
    </w:p>
    <w:p w:rsidR="000C2ED5" w:rsidRDefault="000C2ED5">
      <w:pPr>
        <w:spacing w:line="275" w:lineRule="exact"/>
        <w:rPr>
          <w:sz w:val="20"/>
          <w:szCs w:val="20"/>
        </w:rPr>
      </w:pPr>
    </w:p>
    <w:p w:rsidR="000C2ED5" w:rsidRDefault="00485212">
      <w:pPr>
        <w:rPr>
          <w:sz w:val="20"/>
          <w:szCs w:val="20"/>
        </w:rPr>
      </w:pPr>
      <w:r>
        <w:rPr>
          <w:rFonts w:eastAsia="Times New Roman"/>
          <w:sz w:val="19"/>
          <w:szCs w:val="19"/>
        </w:rPr>
        <w:t>Volitional Factors</w:t>
      </w:r>
    </w:p>
    <w:p w:rsidR="000C2ED5" w:rsidRDefault="00485212">
      <w:pPr>
        <w:spacing w:line="20" w:lineRule="exact"/>
        <w:rPr>
          <w:sz w:val="20"/>
          <w:szCs w:val="20"/>
        </w:rPr>
      </w:pPr>
      <w:r>
        <w:rPr>
          <w:sz w:val="20"/>
          <w:szCs w:val="20"/>
        </w:rPr>
        <w:br w:type="column"/>
      </w:r>
    </w:p>
    <w:p w:rsidR="000C2ED5" w:rsidRDefault="000C2ED5">
      <w:pPr>
        <w:spacing w:line="255" w:lineRule="exact"/>
        <w:rPr>
          <w:sz w:val="20"/>
          <w:szCs w:val="20"/>
        </w:rPr>
      </w:pPr>
    </w:p>
    <w:p w:rsidR="000C2ED5" w:rsidRDefault="00485212">
      <w:pPr>
        <w:spacing w:line="477" w:lineRule="auto"/>
        <w:ind w:right="100"/>
        <w:rPr>
          <w:sz w:val="20"/>
          <w:szCs w:val="20"/>
        </w:rPr>
      </w:pPr>
      <w:r>
        <w:rPr>
          <w:rFonts w:eastAsia="Times New Roman"/>
          <w:b/>
          <w:bCs/>
          <w:sz w:val="20"/>
          <w:szCs w:val="20"/>
        </w:rPr>
        <w:t>Internal Motivation</w:t>
      </w:r>
      <w:r>
        <w:rPr>
          <w:rFonts w:eastAsia="Times New Roman"/>
          <w:sz w:val="20"/>
          <w:szCs w:val="20"/>
        </w:rPr>
        <w:t>: Refers to an intrinsic motivation to change one’s behaviour and involves the formulation of pro-social</w:t>
      </w:r>
      <w:r>
        <w:rPr>
          <w:rFonts w:eastAsia="Times New Roman"/>
          <w:sz w:val="20"/>
          <w:szCs w:val="20"/>
        </w:rPr>
        <w:t xml:space="preserve"> goals which the individual</w:t>
      </w:r>
      <w:r>
        <w:rPr>
          <w:rFonts w:eastAsia="Times New Roman"/>
          <w:b/>
          <w:bCs/>
          <w:sz w:val="20"/>
          <w:szCs w:val="20"/>
        </w:rPr>
        <w:t xml:space="preserve"> </w:t>
      </w:r>
      <w:r>
        <w:rPr>
          <w:rFonts w:eastAsia="Times New Roman"/>
          <w:sz w:val="20"/>
          <w:szCs w:val="20"/>
        </w:rPr>
        <w:t>intends to pursue. The extent to which an individual perceives they have an element of choice over his/her goals and the subsequent control to pursue them is proposed to increase internal motivation. Incongruence between the goa</w:t>
      </w:r>
      <w:r>
        <w:rPr>
          <w:rFonts w:eastAsia="Times New Roman"/>
          <w:sz w:val="20"/>
          <w:szCs w:val="20"/>
        </w:rPr>
        <w:t xml:space="preserve">ls of the client and that of the treatment programme being offered is considered to decrease internal motivation and prevent engagement in treatment. If a client perceives themselves an unable to effectively pursue a set goal, his/her motivation to engage </w:t>
      </w:r>
      <w:r>
        <w:rPr>
          <w:rFonts w:eastAsia="Times New Roman"/>
          <w:sz w:val="20"/>
          <w:szCs w:val="20"/>
        </w:rPr>
        <w:t>in treatment decreases.</w:t>
      </w:r>
    </w:p>
    <w:p w:rsidR="000C2ED5" w:rsidRDefault="000C2ED5">
      <w:pPr>
        <w:spacing w:line="200" w:lineRule="exact"/>
        <w:rPr>
          <w:sz w:val="20"/>
          <w:szCs w:val="20"/>
        </w:rPr>
      </w:pPr>
    </w:p>
    <w:p w:rsidR="000C2ED5" w:rsidRDefault="000C2ED5">
      <w:pPr>
        <w:sectPr w:rsidR="000C2ED5">
          <w:type w:val="continuous"/>
          <w:pgSz w:w="16840" w:h="11906" w:orient="landscape"/>
          <w:pgMar w:top="709" w:right="1058" w:bottom="403" w:left="1000" w:header="0" w:footer="0" w:gutter="0"/>
          <w:cols w:num="2" w:space="720" w:equalWidth="0">
            <w:col w:w="1440" w:space="660"/>
            <w:col w:w="12680"/>
          </w:cols>
        </w:sectPr>
      </w:pPr>
    </w:p>
    <w:p w:rsidR="000C2ED5" w:rsidRDefault="000C2ED5">
      <w:pPr>
        <w:spacing w:line="275" w:lineRule="exact"/>
        <w:rPr>
          <w:sz w:val="20"/>
          <w:szCs w:val="20"/>
        </w:rPr>
      </w:pPr>
    </w:p>
    <w:p w:rsidR="000C2ED5" w:rsidRDefault="00485212">
      <w:pPr>
        <w:rPr>
          <w:sz w:val="20"/>
          <w:szCs w:val="20"/>
        </w:rPr>
      </w:pPr>
      <w:r>
        <w:rPr>
          <w:rFonts w:eastAsia="Times New Roman"/>
          <w:sz w:val="19"/>
          <w:szCs w:val="19"/>
        </w:rPr>
        <w:t>Identity Factors</w:t>
      </w:r>
    </w:p>
    <w:p w:rsidR="000C2ED5" w:rsidRDefault="00485212">
      <w:pPr>
        <w:spacing w:line="20" w:lineRule="exact"/>
        <w:rPr>
          <w:sz w:val="20"/>
          <w:szCs w:val="20"/>
        </w:rPr>
      </w:pPr>
      <w:r>
        <w:rPr>
          <w:sz w:val="20"/>
          <w:szCs w:val="20"/>
        </w:rPr>
        <w:br w:type="column"/>
      </w:r>
    </w:p>
    <w:p w:rsidR="000C2ED5" w:rsidRDefault="000C2ED5">
      <w:pPr>
        <w:spacing w:line="255" w:lineRule="exact"/>
        <w:rPr>
          <w:sz w:val="20"/>
          <w:szCs w:val="20"/>
        </w:rPr>
      </w:pPr>
    </w:p>
    <w:p w:rsidR="000C2ED5" w:rsidRDefault="00485212">
      <w:pPr>
        <w:spacing w:line="476" w:lineRule="auto"/>
        <w:rPr>
          <w:sz w:val="20"/>
          <w:szCs w:val="20"/>
        </w:rPr>
      </w:pPr>
      <w:r>
        <w:rPr>
          <w:rFonts w:eastAsia="Times New Roman"/>
          <w:sz w:val="20"/>
          <w:szCs w:val="20"/>
        </w:rPr>
        <w:t xml:space="preserve">This factor encapsulates an individual’s values and beliefs about themselves as a person which is influenced by their age, gender, culture, class etc. This factor suggests that </w:t>
      </w:r>
      <w:r>
        <w:rPr>
          <w:rFonts w:eastAsia="Times New Roman"/>
          <w:sz w:val="20"/>
          <w:szCs w:val="20"/>
        </w:rPr>
        <w:t>in order for an individual to effectively engage in treatment they must be open to changing their behaviour in the direction of the treatment being offered, for example a pro-social lifestyle void of criminal activity. Clients need to embrace the notion of</w:t>
      </w:r>
      <w:r>
        <w:rPr>
          <w:rFonts w:eastAsia="Times New Roman"/>
          <w:sz w:val="20"/>
          <w:szCs w:val="20"/>
        </w:rPr>
        <w:t xml:space="preserve"> developing a new identify which promotes an offence-free lifestyle.</w:t>
      </w:r>
    </w:p>
    <w:p w:rsidR="000C2ED5" w:rsidRDefault="000C2ED5">
      <w:pPr>
        <w:spacing w:line="200" w:lineRule="exact"/>
        <w:rPr>
          <w:sz w:val="20"/>
          <w:szCs w:val="20"/>
        </w:rPr>
      </w:pPr>
    </w:p>
    <w:p w:rsidR="000C2ED5" w:rsidRDefault="000C2ED5">
      <w:pPr>
        <w:sectPr w:rsidR="000C2ED5">
          <w:type w:val="continuous"/>
          <w:pgSz w:w="16840" w:h="11906" w:orient="landscape"/>
          <w:pgMar w:top="709" w:right="1058" w:bottom="403" w:left="1000" w:header="0" w:footer="0" w:gutter="0"/>
          <w:cols w:num="2" w:space="720" w:equalWidth="0">
            <w:col w:w="1380" w:space="720"/>
            <w:col w:w="12680"/>
          </w:cols>
        </w:sectPr>
      </w:pPr>
    </w:p>
    <w:p w:rsidR="000C2ED5" w:rsidRDefault="000C2ED5">
      <w:pPr>
        <w:spacing w:line="280" w:lineRule="exact"/>
        <w:rPr>
          <w:sz w:val="20"/>
          <w:szCs w:val="20"/>
        </w:rPr>
      </w:pPr>
    </w:p>
    <w:p w:rsidR="000C2ED5" w:rsidRDefault="00485212">
      <w:pPr>
        <w:rPr>
          <w:sz w:val="20"/>
          <w:szCs w:val="20"/>
        </w:rPr>
      </w:pPr>
      <w:r>
        <w:rPr>
          <w:rFonts w:eastAsia="Times New Roman"/>
          <w:b/>
          <w:bCs/>
          <w:sz w:val="19"/>
          <w:szCs w:val="19"/>
        </w:rPr>
        <w:t>External Factors:</w:t>
      </w:r>
    </w:p>
    <w:p w:rsidR="000C2ED5" w:rsidRDefault="000C2ED5">
      <w:pPr>
        <w:sectPr w:rsidR="000C2ED5">
          <w:type w:val="continuous"/>
          <w:pgSz w:w="16840" w:h="11906" w:orient="landscape"/>
          <w:pgMar w:top="709" w:right="1058" w:bottom="403" w:left="1000" w:header="0" w:footer="0" w:gutter="0"/>
          <w:cols w:space="720" w:equalWidth="0">
            <w:col w:w="14780"/>
          </w:cols>
        </w:sectPr>
      </w:pPr>
    </w:p>
    <w:p w:rsidR="000C2ED5" w:rsidRDefault="000C2ED5">
      <w:pPr>
        <w:spacing w:line="227" w:lineRule="exact"/>
        <w:rPr>
          <w:sz w:val="20"/>
          <w:szCs w:val="20"/>
        </w:rPr>
      </w:pPr>
    </w:p>
    <w:p w:rsidR="000C2ED5" w:rsidRDefault="00485212">
      <w:pPr>
        <w:rPr>
          <w:sz w:val="20"/>
          <w:szCs w:val="20"/>
        </w:rPr>
      </w:pPr>
      <w:r>
        <w:rPr>
          <w:rFonts w:eastAsia="Times New Roman"/>
          <w:sz w:val="20"/>
          <w:szCs w:val="20"/>
        </w:rPr>
        <w:t>Circumstance Factors</w:t>
      </w:r>
    </w:p>
    <w:p w:rsidR="000C2ED5" w:rsidRDefault="00485212">
      <w:pPr>
        <w:spacing w:line="20" w:lineRule="exact"/>
        <w:rPr>
          <w:sz w:val="20"/>
          <w:szCs w:val="20"/>
        </w:rPr>
      </w:pPr>
      <w:r>
        <w:rPr>
          <w:sz w:val="20"/>
          <w:szCs w:val="20"/>
        </w:rPr>
        <w:br w:type="column"/>
      </w:r>
    </w:p>
    <w:p w:rsidR="000C2ED5" w:rsidRDefault="000C2ED5">
      <w:pPr>
        <w:spacing w:line="207" w:lineRule="exact"/>
        <w:rPr>
          <w:sz w:val="20"/>
          <w:szCs w:val="20"/>
        </w:rPr>
      </w:pPr>
    </w:p>
    <w:p w:rsidR="000C2ED5" w:rsidRDefault="00485212">
      <w:pPr>
        <w:rPr>
          <w:sz w:val="20"/>
          <w:szCs w:val="20"/>
        </w:rPr>
      </w:pPr>
      <w:r>
        <w:rPr>
          <w:rFonts w:eastAsia="Times New Roman"/>
          <w:sz w:val="20"/>
          <w:szCs w:val="20"/>
        </w:rPr>
        <w:t>This refers to the extent to which an individual’s personal circumstances are able to</w:t>
      </w:r>
      <w:r>
        <w:rPr>
          <w:rFonts w:eastAsia="Times New Roman"/>
          <w:sz w:val="20"/>
          <w:szCs w:val="20"/>
        </w:rPr>
        <w:t xml:space="preserve"> assist their engagement in treatment. This factor is heavily influenced by</w:t>
      </w:r>
    </w:p>
    <w:p w:rsidR="000C2ED5" w:rsidRDefault="000C2ED5">
      <w:pPr>
        <w:spacing w:line="200" w:lineRule="exact"/>
        <w:rPr>
          <w:sz w:val="20"/>
          <w:szCs w:val="20"/>
        </w:rPr>
      </w:pPr>
    </w:p>
    <w:p w:rsidR="000C2ED5" w:rsidRDefault="000C2ED5">
      <w:pPr>
        <w:sectPr w:rsidR="000C2ED5">
          <w:type w:val="continuous"/>
          <w:pgSz w:w="16840" w:h="11906" w:orient="landscape"/>
          <w:pgMar w:top="709" w:right="1058" w:bottom="403" w:left="1000" w:header="0" w:footer="0" w:gutter="0"/>
          <w:cols w:num="2" w:space="720" w:equalWidth="0">
            <w:col w:w="1740" w:space="360"/>
            <w:col w:w="12680"/>
          </w:cols>
        </w:sectPr>
      </w:pPr>
    </w:p>
    <w:p w:rsidR="000C2ED5" w:rsidRDefault="000C2ED5">
      <w:pPr>
        <w:spacing w:line="200" w:lineRule="exact"/>
        <w:rPr>
          <w:sz w:val="20"/>
          <w:szCs w:val="20"/>
        </w:rPr>
      </w:pPr>
    </w:p>
    <w:p w:rsidR="000C2ED5" w:rsidRDefault="000C2ED5">
      <w:pPr>
        <w:spacing w:line="342" w:lineRule="exact"/>
        <w:rPr>
          <w:sz w:val="20"/>
          <w:szCs w:val="20"/>
        </w:rPr>
      </w:pPr>
    </w:p>
    <w:p w:rsidR="000C2ED5" w:rsidRDefault="00485212">
      <w:pPr>
        <w:ind w:left="14180"/>
        <w:rPr>
          <w:sz w:val="20"/>
          <w:szCs w:val="20"/>
        </w:rPr>
      </w:pPr>
      <w:r>
        <w:rPr>
          <w:rFonts w:eastAsia="Times New Roman"/>
        </w:rPr>
        <w:t>46</w:t>
      </w:r>
    </w:p>
    <w:p w:rsidR="000C2ED5" w:rsidRDefault="000C2ED5">
      <w:pPr>
        <w:sectPr w:rsidR="000C2ED5">
          <w:type w:val="continuous"/>
          <w:pgSz w:w="16840" w:h="11906" w:orient="landscape"/>
          <w:pgMar w:top="709" w:right="1058" w:bottom="403" w:left="1000" w:header="0" w:footer="0" w:gutter="0"/>
          <w:cols w:space="720" w:equalWidth="0">
            <w:col w:w="14780"/>
          </w:cols>
        </w:sectPr>
      </w:pPr>
    </w:p>
    <w:p w:rsidR="000C2ED5" w:rsidRDefault="00485212">
      <w:pPr>
        <w:ind w:left="440"/>
        <w:rPr>
          <w:sz w:val="20"/>
          <w:szCs w:val="20"/>
        </w:rPr>
      </w:pPr>
      <w:bookmarkStart w:id="47" w:name="page48"/>
      <w:bookmarkEnd w:id="47"/>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9" w:lineRule="exact"/>
        <w:rPr>
          <w:sz w:val="20"/>
          <w:szCs w:val="20"/>
        </w:rPr>
      </w:pPr>
    </w:p>
    <w:p w:rsidR="000C2ED5" w:rsidRDefault="00485212">
      <w:pPr>
        <w:spacing w:line="469" w:lineRule="auto"/>
        <w:ind w:left="2100" w:right="260"/>
        <w:rPr>
          <w:sz w:val="20"/>
          <w:szCs w:val="20"/>
        </w:rPr>
      </w:pPr>
      <w:r>
        <w:rPr>
          <w:rFonts w:eastAsia="Times New Roman"/>
          <w:sz w:val="20"/>
          <w:szCs w:val="20"/>
        </w:rPr>
        <w:t xml:space="preserve">the extent to which treatment is voluntary or mandatory </w:t>
      </w:r>
      <w:r>
        <w:rPr>
          <w:rFonts w:eastAsia="Times New Roman"/>
          <w:sz w:val="20"/>
          <w:szCs w:val="20"/>
        </w:rPr>
        <w:t>as a lack of choice over the decision to engage in treatment is likely to impair engagement. Even if voluntary, the level of perceived coercion to enter treatment from the environment around them is also likely to result in a lack of engagement.</w:t>
      </w:r>
    </w:p>
    <w:p w:rsidR="000C2ED5" w:rsidRDefault="000C2ED5">
      <w:pPr>
        <w:sectPr w:rsidR="000C2ED5">
          <w:pgSz w:w="16840" w:h="11906" w:orient="landscape"/>
          <w:pgMar w:top="698" w:right="1078" w:bottom="403" w:left="1000" w:header="0" w:footer="0" w:gutter="0"/>
          <w:cols w:space="720" w:equalWidth="0">
            <w:col w:w="14760"/>
          </w:cols>
        </w:sectPr>
      </w:pPr>
    </w:p>
    <w:p w:rsidR="000C2ED5" w:rsidRDefault="000C2ED5">
      <w:pPr>
        <w:spacing w:line="200" w:lineRule="exact"/>
        <w:rPr>
          <w:sz w:val="20"/>
          <w:szCs w:val="20"/>
        </w:rPr>
      </w:pPr>
    </w:p>
    <w:p w:rsidR="000C2ED5" w:rsidRDefault="000C2ED5">
      <w:pPr>
        <w:spacing w:line="281" w:lineRule="exact"/>
        <w:rPr>
          <w:sz w:val="20"/>
          <w:szCs w:val="20"/>
        </w:rPr>
      </w:pPr>
    </w:p>
    <w:p w:rsidR="000C2ED5" w:rsidRDefault="00485212">
      <w:pPr>
        <w:rPr>
          <w:sz w:val="20"/>
          <w:szCs w:val="20"/>
        </w:rPr>
      </w:pPr>
      <w:r>
        <w:rPr>
          <w:rFonts w:eastAsia="Times New Roman"/>
          <w:sz w:val="19"/>
          <w:szCs w:val="19"/>
        </w:rPr>
        <w:t>Location Factors</w:t>
      </w:r>
    </w:p>
    <w:p w:rsidR="000C2ED5" w:rsidRDefault="00485212">
      <w:pPr>
        <w:spacing w:line="20" w:lineRule="exact"/>
        <w:rPr>
          <w:sz w:val="20"/>
          <w:szCs w:val="20"/>
        </w:rPr>
      </w:pPr>
      <w:r>
        <w:rPr>
          <w:sz w:val="20"/>
          <w:szCs w:val="20"/>
        </w:rPr>
        <w:br w:type="column"/>
      </w:r>
    </w:p>
    <w:p w:rsidR="000C2ED5" w:rsidRDefault="000C2ED5">
      <w:pPr>
        <w:spacing w:line="200" w:lineRule="exact"/>
        <w:rPr>
          <w:sz w:val="20"/>
          <w:szCs w:val="20"/>
        </w:rPr>
      </w:pPr>
    </w:p>
    <w:p w:rsidR="000C2ED5" w:rsidRDefault="000C2ED5">
      <w:pPr>
        <w:spacing w:line="261" w:lineRule="exact"/>
        <w:rPr>
          <w:sz w:val="20"/>
          <w:szCs w:val="20"/>
        </w:rPr>
      </w:pPr>
    </w:p>
    <w:p w:rsidR="000C2ED5" w:rsidRDefault="00485212">
      <w:pPr>
        <w:spacing w:line="476" w:lineRule="auto"/>
        <w:ind w:right="40"/>
        <w:rPr>
          <w:sz w:val="20"/>
          <w:szCs w:val="20"/>
        </w:rPr>
      </w:pPr>
      <w:r>
        <w:rPr>
          <w:rFonts w:eastAsia="Times New Roman"/>
          <w:sz w:val="20"/>
          <w:szCs w:val="20"/>
        </w:rPr>
        <w:t xml:space="preserve">An offender’s location, for example hospital, prison or the community, will impact upon treatment readiness this is likely to affect whether the skills acquired through treatment can be implemented in a </w:t>
      </w:r>
      <w:r>
        <w:rPr>
          <w:rFonts w:eastAsia="Times New Roman"/>
          <w:sz w:val="20"/>
          <w:szCs w:val="20"/>
        </w:rPr>
        <w:t>meaningful way. Furthermore, an individual’s location in relation to their family will also influence treatment readiness if his/her family is considered to be a valuable support network. The more distant his/her family is, the less contact there will be w</w:t>
      </w:r>
      <w:r>
        <w:rPr>
          <w:rFonts w:eastAsia="Times New Roman"/>
          <w:sz w:val="20"/>
          <w:szCs w:val="20"/>
        </w:rPr>
        <w:t>ith this support network than what would be considered optimal.</w:t>
      </w:r>
    </w:p>
    <w:p w:rsidR="000C2ED5" w:rsidRDefault="000C2ED5">
      <w:pPr>
        <w:spacing w:line="200" w:lineRule="exact"/>
        <w:rPr>
          <w:sz w:val="20"/>
          <w:szCs w:val="20"/>
        </w:rPr>
      </w:pPr>
    </w:p>
    <w:p w:rsidR="000C2ED5" w:rsidRDefault="000C2ED5">
      <w:pPr>
        <w:sectPr w:rsidR="000C2ED5">
          <w:type w:val="continuous"/>
          <w:pgSz w:w="16840" w:h="11906" w:orient="landscape"/>
          <w:pgMar w:top="698" w:right="1078" w:bottom="403" w:left="1000" w:header="0" w:footer="0" w:gutter="0"/>
          <w:cols w:num="2" w:space="720" w:equalWidth="0">
            <w:col w:w="1380" w:space="720"/>
            <w:col w:w="12660"/>
          </w:cols>
        </w:sectPr>
      </w:pPr>
    </w:p>
    <w:p w:rsidR="000C2ED5" w:rsidRDefault="000C2ED5">
      <w:pPr>
        <w:spacing w:line="264" w:lineRule="exact"/>
        <w:rPr>
          <w:sz w:val="20"/>
          <w:szCs w:val="20"/>
        </w:rPr>
      </w:pPr>
    </w:p>
    <w:p w:rsidR="000C2ED5" w:rsidRDefault="00485212">
      <w:pPr>
        <w:rPr>
          <w:sz w:val="20"/>
          <w:szCs w:val="20"/>
        </w:rPr>
      </w:pPr>
      <w:r>
        <w:rPr>
          <w:rFonts w:eastAsia="Times New Roman"/>
          <w:sz w:val="20"/>
          <w:szCs w:val="20"/>
        </w:rPr>
        <w:t>Opportunity Factors</w:t>
      </w:r>
    </w:p>
    <w:p w:rsidR="000C2ED5" w:rsidRDefault="00485212">
      <w:pPr>
        <w:spacing w:line="20" w:lineRule="exact"/>
        <w:rPr>
          <w:sz w:val="20"/>
          <w:szCs w:val="20"/>
        </w:rPr>
      </w:pPr>
      <w:r>
        <w:rPr>
          <w:sz w:val="20"/>
          <w:szCs w:val="20"/>
        </w:rPr>
        <w:br w:type="column"/>
      </w:r>
    </w:p>
    <w:p w:rsidR="000C2ED5" w:rsidRDefault="000C2ED5">
      <w:pPr>
        <w:spacing w:line="255" w:lineRule="exact"/>
        <w:rPr>
          <w:sz w:val="20"/>
          <w:szCs w:val="20"/>
        </w:rPr>
      </w:pPr>
    </w:p>
    <w:p w:rsidR="000C2ED5" w:rsidRDefault="00485212">
      <w:pPr>
        <w:rPr>
          <w:sz w:val="20"/>
          <w:szCs w:val="20"/>
        </w:rPr>
      </w:pPr>
      <w:r>
        <w:rPr>
          <w:rFonts w:eastAsia="Times New Roman"/>
          <w:b/>
          <w:bCs/>
          <w:sz w:val="19"/>
          <w:szCs w:val="19"/>
        </w:rPr>
        <w:t xml:space="preserve">Availability: </w:t>
      </w:r>
      <w:r>
        <w:rPr>
          <w:rFonts w:eastAsia="Times New Roman"/>
          <w:sz w:val="19"/>
          <w:szCs w:val="19"/>
        </w:rPr>
        <w:t>This refers to the availability of treatment programmes and one-to-one therapy within an individual’s current environment</w:t>
      </w:r>
      <w:r>
        <w:rPr>
          <w:rFonts w:eastAsia="Times New Roman"/>
          <w:sz w:val="19"/>
          <w:szCs w:val="19"/>
        </w:rPr>
        <w:t>. A client may possess</w:t>
      </w:r>
    </w:p>
    <w:p w:rsidR="000C2ED5" w:rsidRDefault="000C2ED5">
      <w:pPr>
        <w:spacing w:line="231" w:lineRule="exact"/>
        <w:rPr>
          <w:sz w:val="20"/>
          <w:szCs w:val="20"/>
        </w:rPr>
      </w:pPr>
    </w:p>
    <w:p w:rsidR="000C2ED5" w:rsidRDefault="00485212">
      <w:pPr>
        <w:rPr>
          <w:sz w:val="20"/>
          <w:szCs w:val="20"/>
        </w:rPr>
      </w:pPr>
      <w:r>
        <w:rPr>
          <w:rFonts w:eastAsia="Times New Roman"/>
          <w:sz w:val="20"/>
          <w:szCs w:val="20"/>
        </w:rPr>
        <w:t>the motivation to engage in treatment however a lack of suitable programmes means they are unable to work towards rehabilitation.</w:t>
      </w:r>
    </w:p>
    <w:p w:rsidR="000C2ED5" w:rsidRDefault="000C2ED5">
      <w:pPr>
        <w:spacing w:line="231" w:lineRule="exact"/>
        <w:rPr>
          <w:sz w:val="20"/>
          <w:szCs w:val="20"/>
        </w:rPr>
      </w:pPr>
    </w:p>
    <w:p w:rsidR="000C2ED5" w:rsidRDefault="00485212">
      <w:pPr>
        <w:rPr>
          <w:sz w:val="20"/>
          <w:szCs w:val="20"/>
        </w:rPr>
      </w:pPr>
      <w:r>
        <w:rPr>
          <w:rFonts w:eastAsia="Times New Roman"/>
          <w:b/>
          <w:bCs/>
          <w:sz w:val="20"/>
          <w:szCs w:val="20"/>
        </w:rPr>
        <w:t>Environment</w:t>
      </w:r>
      <w:r>
        <w:rPr>
          <w:rFonts w:eastAsia="Times New Roman"/>
          <w:sz w:val="20"/>
          <w:szCs w:val="20"/>
        </w:rPr>
        <w:t>: The lack of a non-threatening therapeutic environment can negatively impact upon any pos</w:t>
      </w:r>
      <w:r>
        <w:rPr>
          <w:rFonts w:eastAsia="Times New Roman"/>
          <w:sz w:val="20"/>
          <w:szCs w:val="20"/>
        </w:rPr>
        <w:t>itive progress made within treatment. A violent</w:t>
      </w:r>
    </w:p>
    <w:p w:rsidR="000C2ED5" w:rsidRDefault="000C2ED5">
      <w:pPr>
        <w:spacing w:line="229" w:lineRule="exact"/>
        <w:rPr>
          <w:sz w:val="20"/>
          <w:szCs w:val="20"/>
        </w:rPr>
      </w:pPr>
    </w:p>
    <w:p w:rsidR="000C2ED5" w:rsidRDefault="00485212">
      <w:pPr>
        <w:rPr>
          <w:sz w:val="20"/>
          <w:szCs w:val="20"/>
        </w:rPr>
      </w:pPr>
      <w:r>
        <w:rPr>
          <w:rFonts w:eastAsia="Times New Roman"/>
          <w:sz w:val="20"/>
          <w:szCs w:val="20"/>
        </w:rPr>
        <w:t>offender learning to manage their anger through anger management treatment, maybe unable to implement the skills learnt due to an overly provocative</w:t>
      </w:r>
    </w:p>
    <w:p w:rsidR="000C2ED5" w:rsidRDefault="000C2ED5">
      <w:pPr>
        <w:spacing w:line="231" w:lineRule="exact"/>
        <w:rPr>
          <w:sz w:val="20"/>
          <w:szCs w:val="20"/>
        </w:rPr>
      </w:pPr>
    </w:p>
    <w:p w:rsidR="000C2ED5" w:rsidRDefault="00485212">
      <w:pPr>
        <w:rPr>
          <w:sz w:val="20"/>
          <w:szCs w:val="20"/>
        </w:rPr>
      </w:pPr>
      <w:r>
        <w:rPr>
          <w:rFonts w:eastAsia="Times New Roman"/>
          <w:sz w:val="20"/>
          <w:szCs w:val="20"/>
        </w:rPr>
        <w:t>environment, characterised by anger and violence.</w:t>
      </w:r>
    </w:p>
    <w:p w:rsidR="000C2ED5" w:rsidRDefault="000C2ED5">
      <w:pPr>
        <w:spacing w:line="228" w:lineRule="exact"/>
        <w:rPr>
          <w:sz w:val="20"/>
          <w:szCs w:val="20"/>
        </w:rPr>
      </w:pPr>
    </w:p>
    <w:p w:rsidR="000C2ED5" w:rsidRDefault="00485212">
      <w:pPr>
        <w:rPr>
          <w:sz w:val="20"/>
          <w:szCs w:val="20"/>
        </w:rPr>
      </w:pPr>
      <w:r>
        <w:rPr>
          <w:rFonts w:eastAsia="Times New Roman"/>
          <w:b/>
          <w:bCs/>
          <w:sz w:val="20"/>
          <w:szCs w:val="20"/>
        </w:rPr>
        <w:t xml:space="preserve">Sentence: </w:t>
      </w:r>
      <w:r>
        <w:rPr>
          <w:rFonts w:eastAsia="Times New Roman"/>
          <w:sz w:val="20"/>
          <w:szCs w:val="20"/>
        </w:rPr>
        <w:t>An offender’s sentence may influence treatment readiness. For example, those nearing the end of his/her sentence may not have</w:t>
      </w:r>
      <w:r>
        <w:rPr>
          <w:rFonts w:eastAsia="Times New Roman"/>
          <w:b/>
          <w:bCs/>
          <w:sz w:val="20"/>
          <w:szCs w:val="20"/>
        </w:rPr>
        <w:t xml:space="preserve"> </w:t>
      </w:r>
      <w:r>
        <w:rPr>
          <w:rFonts w:eastAsia="Times New Roman"/>
          <w:sz w:val="20"/>
          <w:szCs w:val="20"/>
        </w:rPr>
        <w:t>enough time to</w:t>
      </w:r>
    </w:p>
    <w:p w:rsidR="000C2ED5" w:rsidRDefault="000C2ED5">
      <w:pPr>
        <w:spacing w:line="231" w:lineRule="exact"/>
        <w:rPr>
          <w:sz w:val="20"/>
          <w:szCs w:val="20"/>
        </w:rPr>
      </w:pPr>
    </w:p>
    <w:p w:rsidR="000C2ED5" w:rsidRDefault="00485212">
      <w:pPr>
        <w:rPr>
          <w:sz w:val="20"/>
          <w:szCs w:val="20"/>
        </w:rPr>
      </w:pPr>
      <w:r>
        <w:rPr>
          <w:rFonts w:eastAsia="Times New Roman"/>
          <w:sz w:val="20"/>
          <w:szCs w:val="20"/>
        </w:rPr>
        <w:t>complete a treatment programme before their release and so may not be offered the opportunity to engage.</w:t>
      </w:r>
      <w:r>
        <w:rPr>
          <w:rFonts w:eastAsia="Times New Roman"/>
          <w:sz w:val="20"/>
          <w:szCs w:val="20"/>
        </w:rPr>
        <w:t xml:space="preserve">  Those individuals serving particularly long</w:t>
      </w:r>
    </w:p>
    <w:p w:rsidR="000C2ED5" w:rsidRDefault="000C2ED5">
      <w:pPr>
        <w:spacing w:line="231" w:lineRule="exact"/>
        <w:rPr>
          <w:sz w:val="20"/>
          <w:szCs w:val="20"/>
        </w:rPr>
      </w:pPr>
    </w:p>
    <w:p w:rsidR="000C2ED5" w:rsidRDefault="00485212">
      <w:pPr>
        <w:rPr>
          <w:sz w:val="20"/>
          <w:szCs w:val="20"/>
        </w:rPr>
      </w:pPr>
      <w:r>
        <w:rPr>
          <w:rFonts w:eastAsia="Times New Roman"/>
          <w:sz w:val="20"/>
          <w:szCs w:val="20"/>
        </w:rPr>
        <w:t>sentences may not perceive an urgency to pursue treatment straight away.</w:t>
      </w:r>
    </w:p>
    <w:p w:rsidR="000C2ED5" w:rsidRDefault="000C2ED5">
      <w:pPr>
        <w:spacing w:line="200" w:lineRule="exact"/>
        <w:rPr>
          <w:sz w:val="20"/>
          <w:szCs w:val="20"/>
        </w:rPr>
      </w:pPr>
    </w:p>
    <w:p w:rsidR="000C2ED5" w:rsidRDefault="000C2ED5">
      <w:pPr>
        <w:sectPr w:rsidR="000C2ED5">
          <w:type w:val="continuous"/>
          <w:pgSz w:w="16840" w:h="11906" w:orient="landscape"/>
          <w:pgMar w:top="698" w:right="1078" w:bottom="403" w:left="1000" w:header="0" w:footer="0" w:gutter="0"/>
          <w:cols w:num="2" w:space="720" w:equalWidth="0">
            <w:col w:w="1620" w:space="480"/>
            <w:col w:w="12660"/>
          </w:cols>
        </w:sectPr>
      </w:pPr>
    </w:p>
    <w:p w:rsidR="000C2ED5" w:rsidRDefault="000C2ED5">
      <w:pPr>
        <w:spacing w:line="200" w:lineRule="exact"/>
        <w:rPr>
          <w:sz w:val="20"/>
          <w:szCs w:val="20"/>
        </w:rPr>
      </w:pPr>
    </w:p>
    <w:p w:rsidR="000C2ED5" w:rsidRDefault="000C2ED5">
      <w:pPr>
        <w:spacing w:line="301" w:lineRule="exact"/>
        <w:rPr>
          <w:sz w:val="20"/>
          <w:szCs w:val="20"/>
        </w:rPr>
      </w:pPr>
    </w:p>
    <w:p w:rsidR="000C2ED5" w:rsidRDefault="00485212">
      <w:pPr>
        <w:rPr>
          <w:sz w:val="20"/>
          <w:szCs w:val="20"/>
        </w:rPr>
      </w:pPr>
      <w:r>
        <w:rPr>
          <w:rFonts w:eastAsia="Times New Roman"/>
          <w:sz w:val="19"/>
          <w:szCs w:val="19"/>
        </w:rPr>
        <w:t>Resource Factors</w:t>
      </w:r>
    </w:p>
    <w:p w:rsidR="000C2ED5" w:rsidRDefault="00485212">
      <w:pPr>
        <w:spacing w:line="20" w:lineRule="exact"/>
        <w:rPr>
          <w:sz w:val="20"/>
          <w:szCs w:val="20"/>
        </w:rPr>
      </w:pPr>
      <w:r>
        <w:rPr>
          <w:sz w:val="20"/>
          <w:szCs w:val="20"/>
        </w:rPr>
        <w:br w:type="column"/>
      </w:r>
    </w:p>
    <w:p w:rsidR="000C2ED5" w:rsidRDefault="000C2ED5">
      <w:pPr>
        <w:spacing w:line="200" w:lineRule="exact"/>
        <w:rPr>
          <w:sz w:val="20"/>
          <w:szCs w:val="20"/>
        </w:rPr>
      </w:pPr>
    </w:p>
    <w:p w:rsidR="000C2ED5" w:rsidRDefault="000C2ED5">
      <w:pPr>
        <w:spacing w:line="281" w:lineRule="exact"/>
        <w:rPr>
          <w:sz w:val="20"/>
          <w:szCs w:val="20"/>
        </w:rPr>
      </w:pPr>
    </w:p>
    <w:p w:rsidR="000C2ED5" w:rsidRDefault="00485212">
      <w:pPr>
        <w:spacing w:line="469" w:lineRule="auto"/>
        <w:ind w:right="220"/>
        <w:rPr>
          <w:sz w:val="20"/>
          <w:szCs w:val="20"/>
        </w:rPr>
      </w:pPr>
      <w:r>
        <w:rPr>
          <w:rFonts w:eastAsia="Times New Roman"/>
          <w:sz w:val="20"/>
          <w:szCs w:val="20"/>
        </w:rPr>
        <w:t>Resources refer to the capacity of the environment to effectively facilitate a t</w:t>
      </w:r>
      <w:r>
        <w:rPr>
          <w:rFonts w:eastAsia="Times New Roman"/>
          <w:sz w:val="20"/>
          <w:szCs w:val="20"/>
        </w:rPr>
        <w:t>reatment programme/individual sessions with trained members of staff and the necessary materials required for optimal treatment. It also refers to the number of spaces available for treatment in relation to the number of individuals</w:t>
      </w:r>
    </w:p>
    <w:p w:rsidR="000C2ED5" w:rsidRDefault="000C2ED5">
      <w:pPr>
        <w:spacing w:line="200" w:lineRule="exact"/>
        <w:rPr>
          <w:sz w:val="20"/>
          <w:szCs w:val="20"/>
        </w:rPr>
      </w:pPr>
    </w:p>
    <w:p w:rsidR="000C2ED5" w:rsidRDefault="000C2ED5">
      <w:pPr>
        <w:sectPr w:rsidR="000C2ED5">
          <w:type w:val="continuous"/>
          <w:pgSz w:w="16840" w:h="11906" w:orient="landscape"/>
          <w:pgMar w:top="698" w:right="1078" w:bottom="403" w:left="1000" w:header="0" w:footer="0" w:gutter="0"/>
          <w:cols w:num="2" w:space="720" w:equalWidth="0">
            <w:col w:w="1380" w:space="720"/>
            <w:col w:w="12660"/>
          </w:cols>
        </w:sectPr>
      </w:pPr>
    </w:p>
    <w:p w:rsidR="000C2ED5" w:rsidRDefault="000C2ED5">
      <w:pPr>
        <w:spacing w:line="323" w:lineRule="exact"/>
        <w:rPr>
          <w:sz w:val="20"/>
          <w:szCs w:val="20"/>
        </w:rPr>
      </w:pPr>
    </w:p>
    <w:p w:rsidR="000C2ED5" w:rsidRDefault="00485212">
      <w:pPr>
        <w:ind w:left="14180"/>
        <w:rPr>
          <w:sz w:val="20"/>
          <w:szCs w:val="20"/>
        </w:rPr>
      </w:pPr>
      <w:r>
        <w:rPr>
          <w:rFonts w:eastAsia="Times New Roman"/>
        </w:rPr>
        <w:t>47</w:t>
      </w:r>
    </w:p>
    <w:p w:rsidR="000C2ED5" w:rsidRDefault="000C2ED5">
      <w:pPr>
        <w:sectPr w:rsidR="000C2ED5">
          <w:type w:val="continuous"/>
          <w:pgSz w:w="16840" w:h="11906" w:orient="landscape"/>
          <w:pgMar w:top="698" w:right="1078" w:bottom="403" w:left="1000" w:header="0" w:footer="0" w:gutter="0"/>
          <w:cols w:space="720" w:equalWidth="0">
            <w:col w:w="14760"/>
          </w:cols>
        </w:sectPr>
      </w:pPr>
    </w:p>
    <w:p w:rsidR="000C2ED5" w:rsidRDefault="00485212">
      <w:pPr>
        <w:ind w:left="560"/>
        <w:rPr>
          <w:sz w:val="20"/>
          <w:szCs w:val="20"/>
        </w:rPr>
      </w:pPr>
      <w:bookmarkStart w:id="48" w:name="page49"/>
      <w:bookmarkEnd w:id="48"/>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69" w:lineRule="exact"/>
        <w:rPr>
          <w:sz w:val="20"/>
          <w:szCs w:val="20"/>
        </w:rPr>
      </w:pPr>
    </w:p>
    <w:p w:rsidR="000C2ED5" w:rsidRDefault="00485212">
      <w:pPr>
        <w:spacing w:line="469" w:lineRule="auto"/>
        <w:ind w:left="2220" w:right="260"/>
        <w:rPr>
          <w:sz w:val="20"/>
          <w:szCs w:val="20"/>
        </w:rPr>
      </w:pPr>
      <w:r>
        <w:rPr>
          <w:rFonts w:eastAsia="Times New Roman"/>
          <w:sz w:val="20"/>
          <w:szCs w:val="20"/>
        </w:rPr>
        <w:t xml:space="preserve">requiring treatment. An individual may be internally ready to engage in treatment, however if the treatment programme is already full </w:t>
      </w:r>
      <w:r>
        <w:rPr>
          <w:rFonts w:eastAsia="Times New Roman"/>
          <w:sz w:val="20"/>
          <w:szCs w:val="20"/>
        </w:rPr>
        <w:t>or is offering less than optimal treatment, then this is likely to prevent/influence engagement.</w:t>
      </w:r>
    </w:p>
    <w:p w:rsidR="000C2ED5" w:rsidRDefault="000C2ED5">
      <w:pPr>
        <w:spacing w:line="200" w:lineRule="exact"/>
        <w:rPr>
          <w:sz w:val="20"/>
          <w:szCs w:val="20"/>
        </w:rPr>
      </w:pPr>
    </w:p>
    <w:p w:rsidR="000C2ED5" w:rsidRDefault="000C2ED5">
      <w:pPr>
        <w:spacing w:line="27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960"/>
        <w:gridCol w:w="13100"/>
      </w:tblGrid>
      <w:tr w:rsidR="000C2ED5">
        <w:trPr>
          <w:trHeight w:val="230"/>
        </w:trPr>
        <w:tc>
          <w:tcPr>
            <w:tcW w:w="1960" w:type="dxa"/>
            <w:vAlign w:val="bottom"/>
          </w:tcPr>
          <w:p w:rsidR="000C2ED5" w:rsidRDefault="00485212">
            <w:pPr>
              <w:ind w:left="120"/>
              <w:rPr>
                <w:sz w:val="20"/>
                <w:szCs w:val="20"/>
              </w:rPr>
            </w:pPr>
            <w:r>
              <w:rPr>
                <w:rFonts w:eastAsia="Times New Roman"/>
                <w:sz w:val="20"/>
                <w:szCs w:val="20"/>
              </w:rPr>
              <w:t>Support Factors</w:t>
            </w:r>
          </w:p>
        </w:tc>
        <w:tc>
          <w:tcPr>
            <w:tcW w:w="13100" w:type="dxa"/>
            <w:vAlign w:val="bottom"/>
          </w:tcPr>
          <w:p w:rsidR="000C2ED5" w:rsidRDefault="00485212">
            <w:pPr>
              <w:ind w:left="260"/>
              <w:rPr>
                <w:sz w:val="20"/>
                <w:szCs w:val="20"/>
              </w:rPr>
            </w:pPr>
            <w:r>
              <w:rPr>
                <w:rFonts w:eastAsia="Times New Roman"/>
                <w:sz w:val="20"/>
                <w:szCs w:val="20"/>
              </w:rPr>
              <w:t xml:space="preserve">Refers to the extent to which the client is provided with, and subsequently perceives they are supported, predominantly by staff. Motivation </w:t>
            </w:r>
            <w:r>
              <w:rPr>
                <w:rFonts w:eastAsia="Times New Roman"/>
                <w:sz w:val="20"/>
                <w:szCs w:val="20"/>
              </w:rPr>
              <w:t>to engage and</w:t>
            </w:r>
          </w:p>
        </w:tc>
      </w:tr>
      <w:tr w:rsidR="000C2ED5">
        <w:trPr>
          <w:trHeight w:val="461"/>
        </w:trPr>
        <w:tc>
          <w:tcPr>
            <w:tcW w:w="1960" w:type="dxa"/>
            <w:vAlign w:val="bottom"/>
          </w:tcPr>
          <w:p w:rsidR="000C2ED5" w:rsidRDefault="000C2ED5">
            <w:pPr>
              <w:rPr>
                <w:sz w:val="24"/>
                <w:szCs w:val="24"/>
              </w:rPr>
            </w:pPr>
          </w:p>
        </w:tc>
        <w:tc>
          <w:tcPr>
            <w:tcW w:w="13100" w:type="dxa"/>
            <w:vAlign w:val="bottom"/>
          </w:tcPr>
          <w:p w:rsidR="000C2ED5" w:rsidRDefault="00485212">
            <w:pPr>
              <w:ind w:left="260"/>
              <w:rPr>
                <w:sz w:val="20"/>
                <w:szCs w:val="20"/>
              </w:rPr>
            </w:pPr>
            <w:r>
              <w:rPr>
                <w:rFonts w:eastAsia="Times New Roman"/>
                <w:sz w:val="20"/>
                <w:szCs w:val="20"/>
              </w:rPr>
              <w:t>complete treatment is thought to be heavily influenced by the support of staff to succeed in rehabilitation.</w:t>
            </w:r>
          </w:p>
        </w:tc>
      </w:tr>
      <w:tr w:rsidR="000C2ED5">
        <w:trPr>
          <w:trHeight w:val="920"/>
        </w:trPr>
        <w:tc>
          <w:tcPr>
            <w:tcW w:w="1960" w:type="dxa"/>
            <w:vAlign w:val="bottom"/>
          </w:tcPr>
          <w:p w:rsidR="000C2ED5" w:rsidRDefault="00485212">
            <w:pPr>
              <w:ind w:left="120"/>
              <w:rPr>
                <w:sz w:val="20"/>
                <w:szCs w:val="20"/>
              </w:rPr>
            </w:pPr>
            <w:r>
              <w:rPr>
                <w:rFonts w:eastAsia="Times New Roman"/>
                <w:sz w:val="20"/>
                <w:szCs w:val="20"/>
              </w:rPr>
              <w:t>Programme/Timing</w:t>
            </w:r>
          </w:p>
        </w:tc>
        <w:tc>
          <w:tcPr>
            <w:tcW w:w="13100" w:type="dxa"/>
            <w:vAlign w:val="bottom"/>
          </w:tcPr>
          <w:p w:rsidR="000C2ED5" w:rsidRDefault="00485212">
            <w:pPr>
              <w:ind w:left="260"/>
              <w:rPr>
                <w:sz w:val="20"/>
                <w:szCs w:val="20"/>
              </w:rPr>
            </w:pPr>
            <w:r>
              <w:rPr>
                <w:rFonts w:eastAsia="Times New Roman"/>
                <w:sz w:val="20"/>
                <w:szCs w:val="20"/>
              </w:rPr>
              <w:t xml:space="preserve">This refers to the extent to which an individual perceives a particular type of treatment as relevant to their </w:t>
            </w:r>
            <w:r>
              <w:rPr>
                <w:rFonts w:eastAsia="Times New Roman"/>
                <w:sz w:val="20"/>
                <w:szCs w:val="20"/>
              </w:rPr>
              <w:t>needs and necessary to achieve rehabilitation. While</w:t>
            </w:r>
          </w:p>
        </w:tc>
      </w:tr>
      <w:tr w:rsidR="000C2ED5">
        <w:trPr>
          <w:trHeight w:val="461"/>
        </w:trPr>
        <w:tc>
          <w:tcPr>
            <w:tcW w:w="1960" w:type="dxa"/>
            <w:vAlign w:val="bottom"/>
          </w:tcPr>
          <w:p w:rsidR="000C2ED5" w:rsidRDefault="00485212">
            <w:pPr>
              <w:ind w:left="120"/>
              <w:rPr>
                <w:sz w:val="20"/>
                <w:szCs w:val="20"/>
              </w:rPr>
            </w:pPr>
            <w:r>
              <w:rPr>
                <w:rFonts w:eastAsia="Times New Roman"/>
                <w:sz w:val="20"/>
                <w:szCs w:val="20"/>
              </w:rPr>
              <w:t>Factors</w:t>
            </w:r>
          </w:p>
        </w:tc>
        <w:tc>
          <w:tcPr>
            <w:tcW w:w="13100" w:type="dxa"/>
            <w:vAlign w:val="bottom"/>
          </w:tcPr>
          <w:p w:rsidR="000C2ED5" w:rsidRDefault="00485212">
            <w:pPr>
              <w:ind w:left="260"/>
              <w:rPr>
                <w:sz w:val="20"/>
                <w:szCs w:val="20"/>
              </w:rPr>
            </w:pPr>
            <w:r>
              <w:rPr>
                <w:rFonts w:eastAsia="Times New Roman"/>
                <w:sz w:val="20"/>
                <w:szCs w:val="20"/>
              </w:rPr>
              <w:t>the client may have a positive appraisal of the treatment, his/she may not be ready to pursue engagement straight away.  The occurrence of a negative event,</w:t>
            </w:r>
          </w:p>
        </w:tc>
      </w:tr>
      <w:tr w:rsidR="000C2ED5">
        <w:trPr>
          <w:trHeight w:val="458"/>
        </w:trPr>
        <w:tc>
          <w:tcPr>
            <w:tcW w:w="1960" w:type="dxa"/>
            <w:vAlign w:val="bottom"/>
          </w:tcPr>
          <w:p w:rsidR="000C2ED5" w:rsidRDefault="000C2ED5">
            <w:pPr>
              <w:rPr>
                <w:sz w:val="24"/>
                <w:szCs w:val="24"/>
              </w:rPr>
            </w:pPr>
          </w:p>
        </w:tc>
        <w:tc>
          <w:tcPr>
            <w:tcW w:w="13100" w:type="dxa"/>
            <w:vAlign w:val="bottom"/>
          </w:tcPr>
          <w:p w:rsidR="000C2ED5" w:rsidRDefault="00485212">
            <w:pPr>
              <w:ind w:left="260"/>
              <w:rPr>
                <w:sz w:val="20"/>
                <w:szCs w:val="20"/>
              </w:rPr>
            </w:pPr>
            <w:r>
              <w:rPr>
                <w:rFonts w:eastAsia="Times New Roman"/>
                <w:sz w:val="20"/>
                <w:szCs w:val="20"/>
              </w:rPr>
              <w:t>external to the individual, which c</w:t>
            </w:r>
            <w:r>
              <w:rPr>
                <w:rFonts w:eastAsia="Times New Roman"/>
                <w:sz w:val="20"/>
                <w:szCs w:val="20"/>
              </w:rPr>
              <w:t>auses them to contemplate the urgency of change, persuades him/her to partake in treatment sooner rather than later.</w:t>
            </w:r>
          </w:p>
        </w:tc>
      </w:tr>
      <w:tr w:rsidR="000C2ED5">
        <w:trPr>
          <w:trHeight w:val="239"/>
        </w:trPr>
        <w:tc>
          <w:tcPr>
            <w:tcW w:w="1960" w:type="dxa"/>
            <w:tcBorders>
              <w:bottom w:val="single" w:sz="8" w:space="0" w:color="auto"/>
            </w:tcBorders>
            <w:vAlign w:val="bottom"/>
          </w:tcPr>
          <w:p w:rsidR="000C2ED5" w:rsidRDefault="000C2ED5">
            <w:pPr>
              <w:rPr>
                <w:sz w:val="20"/>
                <w:szCs w:val="20"/>
              </w:rPr>
            </w:pPr>
          </w:p>
        </w:tc>
        <w:tc>
          <w:tcPr>
            <w:tcW w:w="13100" w:type="dxa"/>
            <w:tcBorders>
              <w:bottom w:val="single" w:sz="8" w:space="0" w:color="auto"/>
            </w:tcBorders>
            <w:vAlign w:val="bottom"/>
          </w:tcPr>
          <w:p w:rsidR="000C2ED5" w:rsidRDefault="000C2ED5">
            <w:pPr>
              <w:rPr>
                <w:sz w:val="20"/>
                <w:szCs w:val="20"/>
              </w:rPr>
            </w:pPr>
          </w:p>
        </w:tc>
      </w:tr>
    </w:tbl>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96" w:lineRule="exact"/>
        <w:rPr>
          <w:sz w:val="20"/>
          <w:szCs w:val="20"/>
        </w:rPr>
      </w:pPr>
    </w:p>
    <w:p w:rsidR="000C2ED5" w:rsidRDefault="00485212">
      <w:pPr>
        <w:ind w:left="14300"/>
        <w:rPr>
          <w:sz w:val="20"/>
          <w:szCs w:val="20"/>
        </w:rPr>
      </w:pPr>
      <w:r>
        <w:rPr>
          <w:rFonts w:eastAsia="Times New Roman"/>
        </w:rPr>
        <w:t>48</w:t>
      </w:r>
    </w:p>
    <w:p w:rsidR="000C2ED5" w:rsidRDefault="000C2ED5">
      <w:pPr>
        <w:sectPr w:rsidR="000C2ED5">
          <w:pgSz w:w="16840" w:h="11906" w:orient="landscape"/>
          <w:pgMar w:top="698" w:right="898" w:bottom="403" w:left="880" w:header="0" w:footer="0" w:gutter="0"/>
          <w:cols w:space="720" w:equalWidth="0">
            <w:col w:w="15060"/>
          </w:cols>
        </w:sectPr>
      </w:pPr>
    </w:p>
    <w:p w:rsidR="000C2ED5" w:rsidRDefault="00485212">
      <w:pPr>
        <w:ind w:left="1100"/>
        <w:rPr>
          <w:sz w:val="20"/>
          <w:szCs w:val="20"/>
        </w:rPr>
      </w:pPr>
      <w:bookmarkStart w:id="49" w:name="page50"/>
      <w:bookmarkEnd w:id="49"/>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56" w:lineRule="exact"/>
        <w:rPr>
          <w:sz w:val="20"/>
          <w:szCs w:val="20"/>
        </w:rPr>
      </w:pPr>
    </w:p>
    <w:p w:rsidR="000C2ED5" w:rsidRDefault="00485212">
      <w:pPr>
        <w:ind w:left="1100"/>
        <w:rPr>
          <w:sz w:val="20"/>
          <w:szCs w:val="20"/>
        </w:rPr>
      </w:pPr>
      <w:r>
        <w:rPr>
          <w:rFonts w:eastAsia="Times New Roman"/>
          <w:sz w:val="24"/>
          <w:szCs w:val="24"/>
        </w:rPr>
        <w:t>Table 2.</w:t>
      </w:r>
    </w:p>
    <w:p w:rsidR="000C2ED5" w:rsidRDefault="000C2ED5">
      <w:pPr>
        <w:spacing w:line="278" w:lineRule="exact"/>
        <w:rPr>
          <w:sz w:val="20"/>
          <w:szCs w:val="20"/>
        </w:rPr>
      </w:pPr>
    </w:p>
    <w:p w:rsidR="000C2ED5" w:rsidRDefault="00485212">
      <w:pPr>
        <w:ind w:left="1100"/>
        <w:rPr>
          <w:sz w:val="20"/>
          <w:szCs w:val="20"/>
        </w:rPr>
      </w:pPr>
      <w:r>
        <w:rPr>
          <w:rFonts w:eastAsia="Times New Roman"/>
          <w:i/>
          <w:iCs/>
          <w:sz w:val="24"/>
          <w:szCs w:val="24"/>
        </w:rPr>
        <w:t xml:space="preserve">Summary of </w:t>
      </w:r>
      <w:r>
        <w:rPr>
          <w:rFonts w:eastAsia="Times New Roman"/>
          <w:i/>
          <w:iCs/>
          <w:sz w:val="24"/>
          <w:szCs w:val="24"/>
        </w:rPr>
        <w:t>Included Studies (n=13)</w:t>
      </w:r>
    </w:p>
    <w:p w:rsidR="000C2ED5" w:rsidRDefault="000C2ED5">
      <w:pPr>
        <w:spacing w:line="200" w:lineRule="exact"/>
        <w:rPr>
          <w:sz w:val="20"/>
          <w:szCs w:val="20"/>
        </w:rPr>
      </w:pPr>
    </w:p>
    <w:p w:rsidR="000C2ED5" w:rsidRDefault="000C2ED5">
      <w:pPr>
        <w:spacing w:line="26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100"/>
        <w:gridCol w:w="1160"/>
        <w:gridCol w:w="1400"/>
        <w:gridCol w:w="2120"/>
        <w:gridCol w:w="2020"/>
        <w:gridCol w:w="1680"/>
        <w:gridCol w:w="5460"/>
        <w:gridCol w:w="1220"/>
      </w:tblGrid>
      <w:tr w:rsidR="000C2ED5">
        <w:trPr>
          <w:trHeight w:val="236"/>
        </w:trPr>
        <w:tc>
          <w:tcPr>
            <w:tcW w:w="1100" w:type="dxa"/>
            <w:tcBorders>
              <w:top w:val="single" w:sz="8" w:space="0" w:color="auto"/>
            </w:tcBorders>
            <w:vAlign w:val="bottom"/>
          </w:tcPr>
          <w:p w:rsidR="000C2ED5" w:rsidRDefault="00485212">
            <w:pPr>
              <w:jc w:val="center"/>
              <w:rPr>
                <w:sz w:val="20"/>
                <w:szCs w:val="20"/>
              </w:rPr>
            </w:pPr>
            <w:r>
              <w:rPr>
                <w:rFonts w:eastAsia="Times New Roman"/>
                <w:b/>
                <w:bCs/>
                <w:sz w:val="20"/>
                <w:szCs w:val="20"/>
              </w:rPr>
              <w:t>Author &amp;</w:t>
            </w:r>
          </w:p>
        </w:tc>
        <w:tc>
          <w:tcPr>
            <w:tcW w:w="116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400" w:type="dxa"/>
            <w:tcBorders>
              <w:top w:val="single" w:sz="8" w:space="0" w:color="auto"/>
            </w:tcBorders>
            <w:vAlign w:val="bottom"/>
          </w:tcPr>
          <w:p w:rsidR="000C2ED5" w:rsidRDefault="00485212">
            <w:pPr>
              <w:jc w:val="center"/>
              <w:rPr>
                <w:sz w:val="20"/>
                <w:szCs w:val="20"/>
              </w:rPr>
            </w:pPr>
            <w:r>
              <w:rPr>
                <w:rFonts w:eastAsia="Times New Roman"/>
                <w:b/>
                <w:bCs/>
                <w:w w:val="98"/>
                <w:sz w:val="20"/>
                <w:szCs w:val="20"/>
              </w:rPr>
              <w:t>Treatment</w:t>
            </w:r>
          </w:p>
        </w:tc>
        <w:tc>
          <w:tcPr>
            <w:tcW w:w="2120" w:type="dxa"/>
            <w:tcBorders>
              <w:top w:val="single" w:sz="8" w:space="0" w:color="auto"/>
            </w:tcBorders>
            <w:vAlign w:val="bottom"/>
          </w:tcPr>
          <w:p w:rsidR="000C2ED5" w:rsidRDefault="00485212">
            <w:pPr>
              <w:ind w:left="40"/>
              <w:jc w:val="center"/>
              <w:rPr>
                <w:sz w:val="20"/>
                <w:szCs w:val="20"/>
              </w:rPr>
            </w:pPr>
            <w:r>
              <w:rPr>
                <w:rFonts w:eastAsia="Times New Roman"/>
                <w:b/>
                <w:bCs/>
                <w:w w:val="99"/>
                <w:sz w:val="20"/>
                <w:szCs w:val="20"/>
              </w:rPr>
              <w:t>Definition of non-</w:t>
            </w:r>
          </w:p>
        </w:tc>
        <w:tc>
          <w:tcPr>
            <w:tcW w:w="2020" w:type="dxa"/>
            <w:tcBorders>
              <w:top w:val="single" w:sz="8" w:space="0" w:color="auto"/>
            </w:tcBorders>
            <w:vAlign w:val="bottom"/>
          </w:tcPr>
          <w:p w:rsidR="000C2ED5" w:rsidRDefault="00485212">
            <w:pPr>
              <w:ind w:left="300"/>
              <w:rPr>
                <w:sz w:val="20"/>
                <w:szCs w:val="20"/>
              </w:rPr>
            </w:pPr>
            <w:r>
              <w:rPr>
                <w:rFonts w:eastAsia="Times New Roman"/>
                <w:b/>
                <w:bCs/>
                <w:sz w:val="20"/>
                <w:szCs w:val="20"/>
              </w:rPr>
              <w:t>Research Question</w:t>
            </w:r>
          </w:p>
        </w:tc>
        <w:tc>
          <w:tcPr>
            <w:tcW w:w="1680" w:type="dxa"/>
            <w:tcBorders>
              <w:top w:val="single" w:sz="8" w:space="0" w:color="auto"/>
            </w:tcBorders>
            <w:vAlign w:val="bottom"/>
          </w:tcPr>
          <w:p w:rsidR="000C2ED5" w:rsidRDefault="00485212">
            <w:pPr>
              <w:ind w:left="400"/>
              <w:rPr>
                <w:sz w:val="20"/>
                <w:szCs w:val="20"/>
              </w:rPr>
            </w:pPr>
            <w:r>
              <w:rPr>
                <w:rFonts w:eastAsia="Times New Roman"/>
                <w:b/>
                <w:bCs/>
                <w:sz w:val="20"/>
                <w:szCs w:val="20"/>
              </w:rPr>
              <w:t>Sample Size</w:t>
            </w:r>
          </w:p>
        </w:tc>
        <w:tc>
          <w:tcPr>
            <w:tcW w:w="5460" w:type="dxa"/>
            <w:tcBorders>
              <w:top w:val="single" w:sz="8" w:space="0" w:color="auto"/>
            </w:tcBorders>
            <w:vAlign w:val="bottom"/>
          </w:tcPr>
          <w:p w:rsidR="000C2ED5" w:rsidRDefault="00485212">
            <w:pPr>
              <w:ind w:left="2160"/>
              <w:rPr>
                <w:sz w:val="20"/>
                <w:szCs w:val="20"/>
              </w:rPr>
            </w:pPr>
            <w:r>
              <w:rPr>
                <w:rFonts w:eastAsia="Times New Roman"/>
                <w:b/>
                <w:bCs/>
                <w:sz w:val="20"/>
                <w:szCs w:val="20"/>
              </w:rPr>
              <w:t>Main Findings</w:t>
            </w:r>
          </w:p>
        </w:tc>
        <w:tc>
          <w:tcPr>
            <w:tcW w:w="12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Quality</w:t>
            </w:r>
          </w:p>
        </w:tc>
      </w:tr>
      <w:tr w:rsidR="000C2ED5">
        <w:trPr>
          <w:trHeight w:val="461"/>
        </w:trPr>
        <w:tc>
          <w:tcPr>
            <w:tcW w:w="1100" w:type="dxa"/>
            <w:vAlign w:val="bottom"/>
          </w:tcPr>
          <w:p w:rsidR="000C2ED5" w:rsidRDefault="00485212">
            <w:pPr>
              <w:jc w:val="center"/>
              <w:rPr>
                <w:sz w:val="20"/>
                <w:szCs w:val="20"/>
              </w:rPr>
            </w:pPr>
            <w:r>
              <w:rPr>
                <w:rFonts w:eastAsia="Times New Roman"/>
                <w:b/>
                <w:bCs/>
                <w:w w:val="99"/>
                <w:sz w:val="20"/>
                <w:szCs w:val="20"/>
              </w:rPr>
              <w:t>Date</w:t>
            </w:r>
          </w:p>
        </w:tc>
        <w:tc>
          <w:tcPr>
            <w:tcW w:w="1160" w:type="dxa"/>
            <w:vAlign w:val="bottom"/>
          </w:tcPr>
          <w:p w:rsidR="000C2ED5" w:rsidRDefault="00485212">
            <w:pPr>
              <w:jc w:val="center"/>
              <w:rPr>
                <w:sz w:val="20"/>
                <w:szCs w:val="20"/>
              </w:rPr>
            </w:pPr>
            <w:r>
              <w:rPr>
                <w:rFonts w:eastAsia="Times New Roman"/>
                <w:b/>
                <w:bCs/>
                <w:w w:val="96"/>
                <w:sz w:val="20"/>
                <w:szCs w:val="20"/>
              </w:rPr>
              <w:t>Design</w:t>
            </w:r>
          </w:p>
        </w:tc>
        <w:tc>
          <w:tcPr>
            <w:tcW w:w="1400" w:type="dxa"/>
            <w:vAlign w:val="bottom"/>
          </w:tcPr>
          <w:p w:rsidR="000C2ED5" w:rsidRDefault="00485212">
            <w:pPr>
              <w:jc w:val="center"/>
              <w:rPr>
                <w:sz w:val="20"/>
                <w:szCs w:val="20"/>
              </w:rPr>
            </w:pPr>
            <w:r>
              <w:rPr>
                <w:rFonts w:eastAsia="Times New Roman"/>
                <w:b/>
                <w:bCs/>
                <w:w w:val="96"/>
                <w:sz w:val="20"/>
                <w:szCs w:val="20"/>
              </w:rPr>
              <w:t>Type</w:t>
            </w:r>
          </w:p>
        </w:tc>
        <w:tc>
          <w:tcPr>
            <w:tcW w:w="2120" w:type="dxa"/>
            <w:vAlign w:val="bottom"/>
          </w:tcPr>
          <w:p w:rsidR="000C2ED5" w:rsidRDefault="00485212">
            <w:pPr>
              <w:ind w:left="40"/>
              <w:jc w:val="center"/>
              <w:rPr>
                <w:sz w:val="20"/>
                <w:szCs w:val="20"/>
              </w:rPr>
            </w:pPr>
            <w:r>
              <w:rPr>
                <w:rFonts w:eastAsia="Times New Roman"/>
                <w:b/>
                <w:bCs/>
                <w:w w:val="97"/>
                <w:sz w:val="20"/>
                <w:szCs w:val="20"/>
              </w:rPr>
              <w:t>completion/</w:t>
            </w: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Assessment</w:t>
            </w: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485212">
            <w:pPr>
              <w:ind w:left="40"/>
              <w:jc w:val="center"/>
              <w:rPr>
                <w:sz w:val="20"/>
                <w:szCs w:val="20"/>
              </w:rPr>
            </w:pPr>
            <w:r>
              <w:rPr>
                <w:rFonts w:eastAsia="Times New Roman"/>
                <w:b/>
                <w:bCs/>
                <w:w w:val="99"/>
                <w:sz w:val="20"/>
                <w:szCs w:val="20"/>
              </w:rPr>
              <w:t>Engagement</w:t>
            </w: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score</w:t>
            </w:r>
          </w:p>
        </w:tc>
      </w:tr>
      <w:tr w:rsidR="000C2ED5">
        <w:trPr>
          <w:trHeight w:val="232"/>
        </w:trPr>
        <w:tc>
          <w:tcPr>
            <w:tcW w:w="1100" w:type="dxa"/>
            <w:tcBorders>
              <w:bottom w:val="single" w:sz="8" w:space="0" w:color="auto"/>
            </w:tcBorders>
            <w:vAlign w:val="bottom"/>
          </w:tcPr>
          <w:p w:rsidR="000C2ED5" w:rsidRDefault="000C2ED5">
            <w:pPr>
              <w:rPr>
                <w:sz w:val="20"/>
                <w:szCs w:val="20"/>
              </w:rPr>
            </w:pPr>
          </w:p>
        </w:tc>
        <w:tc>
          <w:tcPr>
            <w:tcW w:w="1160" w:type="dxa"/>
            <w:tcBorders>
              <w:bottom w:val="single" w:sz="8" w:space="0" w:color="auto"/>
            </w:tcBorders>
            <w:vAlign w:val="bottom"/>
          </w:tcPr>
          <w:p w:rsidR="000C2ED5" w:rsidRDefault="000C2ED5">
            <w:pPr>
              <w:rPr>
                <w:sz w:val="20"/>
                <w:szCs w:val="20"/>
              </w:rPr>
            </w:pPr>
          </w:p>
        </w:tc>
        <w:tc>
          <w:tcPr>
            <w:tcW w:w="1400" w:type="dxa"/>
            <w:tcBorders>
              <w:bottom w:val="single" w:sz="8" w:space="0" w:color="auto"/>
            </w:tcBorders>
            <w:vAlign w:val="bottom"/>
          </w:tcPr>
          <w:p w:rsidR="000C2ED5" w:rsidRDefault="000C2ED5">
            <w:pPr>
              <w:rPr>
                <w:sz w:val="20"/>
                <w:szCs w:val="20"/>
              </w:rPr>
            </w:pPr>
          </w:p>
        </w:tc>
        <w:tc>
          <w:tcPr>
            <w:tcW w:w="2120" w:type="dxa"/>
            <w:tcBorders>
              <w:bottom w:val="single" w:sz="8" w:space="0" w:color="auto"/>
            </w:tcBorders>
            <w:vAlign w:val="bottom"/>
          </w:tcPr>
          <w:p w:rsidR="000C2ED5" w:rsidRDefault="000C2ED5">
            <w:pPr>
              <w:rPr>
                <w:sz w:val="20"/>
                <w:szCs w:val="20"/>
              </w:rPr>
            </w:pPr>
          </w:p>
        </w:tc>
        <w:tc>
          <w:tcPr>
            <w:tcW w:w="2020" w:type="dxa"/>
            <w:tcBorders>
              <w:bottom w:val="single" w:sz="8" w:space="0" w:color="auto"/>
            </w:tcBorders>
            <w:vAlign w:val="bottom"/>
          </w:tcPr>
          <w:p w:rsidR="000C2ED5" w:rsidRDefault="000C2ED5">
            <w:pPr>
              <w:rPr>
                <w:sz w:val="20"/>
                <w:szCs w:val="20"/>
              </w:rPr>
            </w:pPr>
          </w:p>
        </w:tc>
        <w:tc>
          <w:tcPr>
            <w:tcW w:w="1680" w:type="dxa"/>
            <w:tcBorders>
              <w:bottom w:val="single" w:sz="8" w:space="0" w:color="auto"/>
            </w:tcBorders>
            <w:vAlign w:val="bottom"/>
          </w:tcPr>
          <w:p w:rsidR="000C2ED5" w:rsidRDefault="000C2ED5">
            <w:pPr>
              <w:rPr>
                <w:sz w:val="20"/>
                <w:szCs w:val="20"/>
              </w:rPr>
            </w:pPr>
          </w:p>
        </w:tc>
        <w:tc>
          <w:tcPr>
            <w:tcW w:w="5460" w:type="dxa"/>
            <w:tcBorders>
              <w:bottom w:val="single" w:sz="8" w:space="0" w:color="auto"/>
            </w:tcBorders>
            <w:vAlign w:val="bottom"/>
          </w:tcPr>
          <w:p w:rsidR="000C2ED5" w:rsidRDefault="000C2ED5">
            <w:pPr>
              <w:rPr>
                <w:sz w:val="20"/>
                <w:szCs w:val="20"/>
              </w:rPr>
            </w:pPr>
          </w:p>
        </w:tc>
        <w:tc>
          <w:tcPr>
            <w:tcW w:w="1220" w:type="dxa"/>
            <w:tcBorders>
              <w:bottom w:val="single" w:sz="8" w:space="0" w:color="auto"/>
            </w:tcBorders>
            <w:vAlign w:val="bottom"/>
          </w:tcPr>
          <w:p w:rsidR="000C2ED5" w:rsidRDefault="000C2ED5">
            <w:pPr>
              <w:rPr>
                <w:sz w:val="20"/>
                <w:szCs w:val="20"/>
              </w:rPr>
            </w:pPr>
          </w:p>
        </w:tc>
      </w:tr>
      <w:tr w:rsidR="000C2ED5">
        <w:trPr>
          <w:trHeight w:val="214"/>
        </w:trPr>
        <w:tc>
          <w:tcPr>
            <w:tcW w:w="1100" w:type="dxa"/>
            <w:vAlign w:val="bottom"/>
          </w:tcPr>
          <w:p w:rsidR="000C2ED5" w:rsidRDefault="00485212">
            <w:pPr>
              <w:spacing w:line="214" w:lineRule="exact"/>
              <w:jc w:val="center"/>
              <w:rPr>
                <w:sz w:val="20"/>
                <w:szCs w:val="20"/>
              </w:rPr>
            </w:pPr>
            <w:r>
              <w:rPr>
                <w:rFonts w:eastAsia="Times New Roman"/>
                <w:sz w:val="20"/>
                <w:szCs w:val="20"/>
              </w:rPr>
              <w:t>Breckon et</w:t>
            </w:r>
          </w:p>
        </w:tc>
        <w:tc>
          <w:tcPr>
            <w:tcW w:w="1160" w:type="dxa"/>
            <w:vAlign w:val="bottom"/>
          </w:tcPr>
          <w:p w:rsidR="000C2ED5" w:rsidRDefault="00485212">
            <w:pPr>
              <w:spacing w:line="214" w:lineRule="exact"/>
              <w:ind w:left="120"/>
              <w:rPr>
                <w:sz w:val="20"/>
                <w:szCs w:val="20"/>
              </w:rPr>
            </w:pPr>
            <w:r>
              <w:rPr>
                <w:rFonts w:eastAsia="Times New Roman"/>
                <w:sz w:val="20"/>
                <w:szCs w:val="20"/>
              </w:rPr>
              <w:t>Qualitative</w:t>
            </w:r>
          </w:p>
        </w:tc>
        <w:tc>
          <w:tcPr>
            <w:tcW w:w="1400" w:type="dxa"/>
            <w:vAlign w:val="bottom"/>
          </w:tcPr>
          <w:p w:rsidR="000C2ED5" w:rsidRDefault="00485212">
            <w:pPr>
              <w:spacing w:line="214" w:lineRule="exact"/>
              <w:jc w:val="center"/>
              <w:rPr>
                <w:sz w:val="20"/>
                <w:szCs w:val="20"/>
              </w:rPr>
            </w:pPr>
            <w:r>
              <w:rPr>
                <w:rFonts w:eastAsia="Times New Roman"/>
                <w:w w:val="99"/>
                <w:sz w:val="20"/>
                <w:szCs w:val="20"/>
              </w:rPr>
              <w:t>Psychological</w:t>
            </w:r>
          </w:p>
        </w:tc>
        <w:tc>
          <w:tcPr>
            <w:tcW w:w="2120" w:type="dxa"/>
            <w:vAlign w:val="bottom"/>
          </w:tcPr>
          <w:p w:rsidR="000C2ED5" w:rsidRDefault="00485212">
            <w:pPr>
              <w:spacing w:line="214" w:lineRule="exact"/>
              <w:ind w:left="100"/>
              <w:rPr>
                <w:sz w:val="20"/>
                <w:szCs w:val="20"/>
              </w:rPr>
            </w:pPr>
            <w:r>
              <w:rPr>
                <w:rFonts w:eastAsia="Times New Roman"/>
                <w:sz w:val="20"/>
                <w:szCs w:val="20"/>
              </w:rPr>
              <w:t>None stated.</w:t>
            </w:r>
          </w:p>
        </w:tc>
        <w:tc>
          <w:tcPr>
            <w:tcW w:w="2020" w:type="dxa"/>
            <w:vAlign w:val="bottom"/>
          </w:tcPr>
          <w:p w:rsidR="000C2ED5" w:rsidRDefault="00485212">
            <w:pPr>
              <w:spacing w:line="214" w:lineRule="exact"/>
              <w:ind w:left="240"/>
              <w:rPr>
                <w:sz w:val="20"/>
                <w:szCs w:val="20"/>
              </w:rPr>
            </w:pPr>
            <w:r>
              <w:rPr>
                <w:rFonts w:eastAsia="Times New Roman"/>
                <w:sz w:val="20"/>
                <w:szCs w:val="20"/>
              </w:rPr>
              <w:t>Factors associated</w:t>
            </w:r>
          </w:p>
        </w:tc>
        <w:tc>
          <w:tcPr>
            <w:tcW w:w="1680" w:type="dxa"/>
            <w:vAlign w:val="bottom"/>
          </w:tcPr>
          <w:p w:rsidR="000C2ED5" w:rsidRDefault="00485212">
            <w:pPr>
              <w:spacing w:line="214" w:lineRule="exact"/>
              <w:ind w:left="140"/>
              <w:rPr>
                <w:sz w:val="20"/>
                <w:szCs w:val="20"/>
              </w:rPr>
            </w:pPr>
            <w:r>
              <w:rPr>
                <w:rFonts w:eastAsia="Times New Roman"/>
                <w:sz w:val="20"/>
                <w:szCs w:val="20"/>
              </w:rPr>
              <w:t>6 male forensic</w:t>
            </w:r>
          </w:p>
        </w:tc>
        <w:tc>
          <w:tcPr>
            <w:tcW w:w="5460" w:type="dxa"/>
            <w:vAlign w:val="bottom"/>
          </w:tcPr>
          <w:p w:rsidR="000C2ED5" w:rsidRDefault="00485212">
            <w:pPr>
              <w:spacing w:line="214" w:lineRule="exact"/>
              <w:ind w:left="240"/>
              <w:rPr>
                <w:sz w:val="20"/>
                <w:szCs w:val="20"/>
              </w:rPr>
            </w:pPr>
            <w:r>
              <w:rPr>
                <w:rFonts w:eastAsia="Times New Roman"/>
                <w:sz w:val="20"/>
                <w:szCs w:val="20"/>
              </w:rPr>
              <w:t>Factors that were identified as contributing to treatment</w:t>
            </w:r>
          </w:p>
        </w:tc>
        <w:tc>
          <w:tcPr>
            <w:tcW w:w="1220" w:type="dxa"/>
            <w:vAlign w:val="bottom"/>
          </w:tcPr>
          <w:p w:rsidR="000C2ED5" w:rsidRDefault="00485212">
            <w:pPr>
              <w:spacing w:line="214" w:lineRule="exact"/>
              <w:jc w:val="center"/>
              <w:rPr>
                <w:sz w:val="20"/>
                <w:szCs w:val="20"/>
              </w:rPr>
            </w:pPr>
            <w:r>
              <w:rPr>
                <w:rFonts w:eastAsia="Times New Roman"/>
                <w:sz w:val="20"/>
                <w:szCs w:val="20"/>
              </w:rPr>
              <w:t>75%</w:t>
            </w:r>
          </w:p>
        </w:tc>
      </w:tr>
      <w:tr w:rsidR="000C2ED5">
        <w:trPr>
          <w:trHeight w:val="458"/>
        </w:trPr>
        <w:tc>
          <w:tcPr>
            <w:tcW w:w="1100" w:type="dxa"/>
            <w:vAlign w:val="bottom"/>
          </w:tcPr>
          <w:p w:rsidR="000C2ED5" w:rsidRDefault="00485212">
            <w:pPr>
              <w:ind w:left="100"/>
              <w:rPr>
                <w:sz w:val="20"/>
                <w:szCs w:val="20"/>
              </w:rPr>
            </w:pPr>
            <w:r>
              <w:rPr>
                <w:rFonts w:eastAsia="Times New Roman"/>
                <w:sz w:val="20"/>
                <w:szCs w:val="20"/>
              </w:rPr>
              <w:t>al. (2013)</w:t>
            </w:r>
          </w:p>
        </w:tc>
        <w:tc>
          <w:tcPr>
            <w:tcW w:w="1160" w:type="dxa"/>
            <w:vAlign w:val="bottom"/>
          </w:tcPr>
          <w:p w:rsidR="000C2ED5" w:rsidRDefault="000C2ED5">
            <w:pPr>
              <w:rPr>
                <w:sz w:val="24"/>
                <w:szCs w:val="24"/>
              </w:rPr>
            </w:pPr>
          </w:p>
        </w:tc>
        <w:tc>
          <w:tcPr>
            <w:tcW w:w="1400" w:type="dxa"/>
            <w:vAlign w:val="bottom"/>
          </w:tcPr>
          <w:p w:rsidR="000C2ED5" w:rsidRDefault="00485212">
            <w:pPr>
              <w:ind w:left="180"/>
              <w:rPr>
                <w:sz w:val="20"/>
                <w:szCs w:val="20"/>
              </w:rPr>
            </w:pPr>
            <w:r>
              <w:rPr>
                <w:rFonts w:eastAsia="Times New Roman"/>
                <w:sz w:val="20"/>
                <w:szCs w:val="20"/>
              </w:rPr>
              <w:t>Intervention</w:t>
            </w:r>
          </w:p>
        </w:tc>
        <w:tc>
          <w:tcPr>
            <w:tcW w:w="212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with readiness to</w:t>
            </w:r>
          </w:p>
        </w:tc>
        <w:tc>
          <w:tcPr>
            <w:tcW w:w="1680" w:type="dxa"/>
            <w:vAlign w:val="bottom"/>
          </w:tcPr>
          <w:p w:rsidR="000C2ED5" w:rsidRDefault="00485212">
            <w:pPr>
              <w:ind w:left="140"/>
              <w:rPr>
                <w:sz w:val="20"/>
                <w:szCs w:val="20"/>
              </w:rPr>
            </w:pPr>
            <w:r>
              <w:rPr>
                <w:rFonts w:eastAsia="Times New Roman"/>
                <w:sz w:val="20"/>
                <w:szCs w:val="20"/>
              </w:rPr>
              <w:t>inpatients &amp; 6</w:t>
            </w:r>
          </w:p>
        </w:tc>
        <w:tc>
          <w:tcPr>
            <w:tcW w:w="5460" w:type="dxa"/>
            <w:vAlign w:val="bottom"/>
          </w:tcPr>
          <w:p w:rsidR="000C2ED5" w:rsidRDefault="00485212">
            <w:pPr>
              <w:ind w:left="240"/>
              <w:rPr>
                <w:sz w:val="20"/>
                <w:szCs w:val="20"/>
              </w:rPr>
            </w:pPr>
            <w:r>
              <w:rPr>
                <w:rFonts w:eastAsia="Times New Roman"/>
                <w:sz w:val="20"/>
                <w:szCs w:val="20"/>
              </w:rPr>
              <w:t>readiness</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engage in treatment.</w:t>
            </w:r>
          </w:p>
        </w:tc>
        <w:tc>
          <w:tcPr>
            <w:tcW w:w="1680" w:type="dxa"/>
            <w:vAlign w:val="bottom"/>
          </w:tcPr>
          <w:p w:rsidR="000C2ED5" w:rsidRDefault="00485212">
            <w:pPr>
              <w:ind w:left="140"/>
              <w:rPr>
                <w:sz w:val="20"/>
                <w:szCs w:val="20"/>
              </w:rPr>
            </w:pPr>
            <w:r>
              <w:rPr>
                <w:rFonts w:eastAsia="Times New Roman"/>
                <w:sz w:val="20"/>
                <w:szCs w:val="20"/>
              </w:rPr>
              <w:t>professionals</w:t>
            </w:r>
          </w:p>
        </w:tc>
        <w:tc>
          <w:tcPr>
            <w:tcW w:w="5460" w:type="dxa"/>
            <w:vAlign w:val="bottom"/>
          </w:tcPr>
          <w:p w:rsidR="000C2ED5" w:rsidRDefault="00485212">
            <w:pPr>
              <w:ind w:left="240"/>
              <w:rPr>
                <w:sz w:val="20"/>
                <w:szCs w:val="20"/>
              </w:rPr>
            </w:pPr>
            <w:r>
              <w:rPr>
                <w:rFonts w:eastAsia="Times New Roman"/>
                <w:i/>
                <w:iCs/>
                <w:sz w:val="20"/>
                <w:szCs w:val="20"/>
              </w:rPr>
              <w:t xml:space="preserve">Internal Factors: </w:t>
            </w:r>
            <w:r>
              <w:rPr>
                <w:rFonts w:eastAsia="Times New Roman"/>
                <w:sz w:val="20"/>
                <w:szCs w:val="20"/>
              </w:rPr>
              <w:t xml:space="preserve">Acceptance of help, liking </w:t>
            </w:r>
            <w:r>
              <w:rPr>
                <w:rFonts w:eastAsia="Times New Roman"/>
                <w:sz w:val="20"/>
                <w:szCs w:val="20"/>
              </w:rPr>
              <w:t>yourself/enhanced</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self-image, having attained a sense of purpose/belonging, being</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in a good place emotionally, stability of mental health and</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impact of intellectual disability, complying with the rules of the</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 xml:space="preserve">environment, </w:t>
            </w:r>
            <w:r>
              <w:rPr>
                <w:rFonts w:eastAsia="Times New Roman"/>
                <w:sz w:val="20"/>
                <w:szCs w:val="20"/>
              </w:rPr>
              <w:t>feeling safe within the residing environment,</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realising change is needed and willingness to discuss offending</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i/>
                <w:iCs/>
                <w:sz w:val="20"/>
                <w:szCs w:val="20"/>
              </w:rPr>
              <w:t xml:space="preserve">External Factors: </w:t>
            </w:r>
            <w:r>
              <w:rPr>
                <w:rFonts w:eastAsia="Times New Roman"/>
                <w:sz w:val="20"/>
                <w:szCs w:val="20"/>
              </w:rPr>
              <w:t>Reassurances about progress via visual</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representations, behavioural rewards, verbal reinforcement</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from staff, availability of therapy and resources,</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stability/predictability of the environment/staff, development of</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therapeutic relationships with staff.</w:t>
            </w:r>
          </w:p>
        </w:tc>
        <w:tc>
          <w:tcPr>
            <w:tcW w:w="1220" w:type="dxa"/>
            <w:vAlign w:val="bottom"/>
          </w:tcPr>
          <w:p w:rsidR="000C2ED5" w:rsidRDefault="000C2ED5">
            <w:pPr>
              <w:rPr>
                <w:sz w:val="24"/>
                <w:szCs w:val="24"/>
              </w:rPr>
            </w:pPr>
          </w:p>
        </w:tc>
      </w:tr>
    </w:tbl>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400" w:lineRule="exact"/>
        <w:rPr>
          <w:sz w:val="20"/>
          <w:szCs w:val="20"/>
        </w:rPr>
      </w:pPr>
    </w:p>
    <w:p w:rsidR="000C2ED5" w:rsidRDefault="00485212">
      <w:pPr>
        <w:ind w:left="14840"/>
        <w:rPr>
          <w:sz w:val="20"/>
          <w:szCs w:val="20"/>
        </w:rPr>
      </w:pPr>
      <w:r>
        <w:rPr>
          <w:rFonts w:eastAsia="Times New Roman"/>
        </w:rPr>
        <w:t>49</w:t>
      </w:r>
    </w:p>
    <w:p w:rsidR="000C2ED5" w:rsidRDefault="000C2ED5">
      <w:pPr>
        <w:sectPr w:rsidR="000C2ED5">
          <w:pgSz w:w="16840" w:h="11906" w:orient="landscape"/>
          <w:pgMar w:top="698" w:right="338" w:bottom="403" w:left="340" w:header="0" w:footer="0" w:gutter="0"/>
          <w:cols w:space="720" w:equalWidth="0">
            <w:col w:w="16160"/>
          </w:cols>
        </w:sectPr>
      </w:pPr>
    </w:p>
    <w:p w:rsidR="000C2ED5" w:rsidRDefault="00485212">
      <w:pPr>
        <w:ind w:left="1100"/>
        <w:rPr>
          <w:sz w:val="20"/>
          <w:szCs w:val="20"/>
        </w:rPr>
      </w:pPr>
      <w:bookmarkStart w:id="50" w:name="page51"/>
      <w:bookmarkEnd w:id="50"/>
      <w:r>
        <w:rPr>
          <w:rFonts w:eastAsia="Times New Roman"/>
          <w:sz w:val="24"/>
          <w:szCs w:val="24"/>
        </w:rPr>
        <w:lastRenderedPageBreak/>
        <w:t xml:space="preserve">Treatment Engagement from the Perspective of the </w:t>
      </w:r>
      <w:r>
        <w:rPr>
          <w:rFonts w:eastAsia="Times New Roman"/>
          <w:sz w:val="24"/>
          <w:szCs w:val="24"/>
        </w:rPr>
        <w:t>Offender</w:t>
      </w:r>
    </w:p>
    <w:p w:rsidR="000C2ED5" w:rsidRDefault="000C2ED5">
      <w:pPr>
        <w:spacing w:line="200" w:lineRule="exact"/>
        <w:rPr>
          <w:sz w:val="20"/>
          <w:szCs w:val="20"/>
        </w:rPr>
      </w:pPr>
    </w:p>
    <w:p w:rsidR="000C2ED5" w:rsidRDefault="000C2ED5">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100"/>
        <w:gridCol w:w="1160"/>
        <w:gridCol w:w="1340"/>
        <w:gridCol w:w="2260"/>
        <w:gridCol w:w="1960"/>
        <w:gridCol w:w="1740"/>
        <w:gridCol w:w="5340"/>
        <w:gridCol w:w="1260"/>
      </w:tblGrid>
      <w:tr w:rsidR="000C2ED5">
        <w:trPr>
          <w:trHeight w:val="236"/>
        </w:trPr>
        <w:tc>
          <w:tcPr>
            <w:tcW w:w="1100" w:type="dxa"/>
            <w:tcBorders>
              <w:top w:val="single" w:sz="8" w:space="0" w:color="auto"/>
            </w:tcBorders>
            <w:vAlign w:val="bottom"/>
          </w:tcPr>
          <w:p w:rsidR="000C2ED5" w:rsidRDefault="00485212">
            <w:pPr>
              <w:ind w:left="140"/>
              <w:rPr>
                <w:sz w:val="20"/>
                <w:szCs w:val="20"/>
              </w:rPr>
            </w:pPr>
            <w:r>
              <w:rPr>
                <w:rFonts w:eastAsia="Times New Roman"/>
                <w:b/>
                <w:bCs/>
                <w:sz w:val="20"/>
                <w:szCs w:val="20"/>
              </w:rPr>
              <w:t>Author &amp;</w:t>
            </w:r>
          </w:p>
        </w:tc>
        <w:tc>
          <w:tcPr>
            <w:tcW w:w="116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340" w:type="dxa"/>
            <w:tcBorders>
              <w:top w:val="single" w:sz="8" w:space="0" w:color="auto"/>
            </w:tcBorders>
            <w:vAlign w:val="bottom"/>
          </w:tcPr>
          <w:p w:rsidR="000C2ED5" w:rsidRDefault="00485212">
            <w:pPr>
              <w:ind w:left="280"/>
              <w:rPr>
                <w:sz w:val="20"/>
                <w:szCs w:val="20"/>
              </w:rPr>
            </w:pPr>
            <w:r>
              <w:rPr>
                <w:rFonts w:eastAsia="Times New Roman"/>
                <w:b/>
                <w:bCs/>
                <w:sz w:val="20"/>
                <w:szCs w:val="20"/>
              </w:rPr>
              <w:t>Treatment</w:t>
            </w:r>
          </w:p>
        </w:tc>
        <w:tc>
          <w:tcPr>
            <w:tcW w:w="2260" w:type="dxa"/>
            <w:tcBorders>
              <w:top w:val="single" w:sz="8" w:space="0" w:color="auto"/>
            </w:tcBorders>
            <w:vAlign w:val="bottom"/>
          </w:tcPr>
          <w:p w:rsidR="000C2ED5" w:rsidRDefault="00485212">
            <w:pPr>
              <w:ind w:left="20"/>
              <w:jc w:val="center"/>
              <w:rPr>
                <w:sz w:val="20"/>
                <w:szCs w:val="20"/>
              </w:rPr>
            </w:pPr>
            <w:r>
              <w:rPr>
                <w:rFonts w:eastAsia="Times New Roman"/>
                <w:b/>
                <w:bCs/>
                <w:w w:val="99"/>
                <w:sz w:val="20"/>
                <w:szCs w:val="20"/>
              </w:rPr>
              <w:t>Definition of non-</w:t>
            </w:r>
          </w:p>
        </w:tc>
        <w:tc>
          <w:tcPr>
            <w:tcW w:w="1960" w:type="dxa"/>
            <w:tcBorders>
              <w:top w:val="single" w:sz="8" w:space="0" w:color="auto"/>
            </w:tcBorders>
            <w:vAlign w:val="bottom"/>
          </w:tcPr>
          <w:p w:rsidR="000C2ED5" w:rsidRDefault="00485212">
            <w:pPr>
              <w:ind w:left="220"/>
              <w:rPr>
                <w:sz w:val="20"/>
                <w:szCs w:val="20"/>
              </w:rPr>
            </w:pPr>
            <w:r>
              <w:rPr>
                <w:rFonts w:eastAsia="Times New Roman"/>
                <w:b/>
                <w:bCs/>
                <w:sz w:val="20"/>
                <w:szCs w:val="20"/>
              </w:rPr>
              <w:t>Research Question</w:t>
            </w:r>
          </w:p>
        </w:tc>
        <w:tc>
          <w:tcPr>
            <w:tcW w:w="1740" w:type="dxa"/>
            <w:tcBorders>
              <w:top w:val="single" w:sz="8" w:space="0" w:color="auto"/>
            </w:tcBorders>
            <w:vAlign w:val="bottom"/>
          </w:tcPr>
          <w:p w:rsidR="000C2ED5" w:rsidRDefault="00485212">
            <w:pPr>
              <w:ind w:left="380"/>
              <w:rPr>
                <w:sz w:val="20"/>
                <w:szCs w:val="20"/>
              </w:rPr>
            </w:pPr>
            <w:r>
              <w:rPr>
                <w:rFonts w:eastAsia="Times New Roman"/>
                <w:b/>
                <w:bCs/>
                <w:sz w:val="20"/>
                <w:szCs w:val="20"/>
              </w:rPr>
              <w:t>Sample Size</w:t>
            </w:r>
          </w:p>
        </w:tc>
        <w:tc>
          <w:tcPr>
            <w:tcW w:w="5340" w:type="dxa"/>
            <w:tcBorders>
              <w:top w:val="single" w:sz="8" w:space="0" w:color="auto"/>
            </w:tcBorders>
            <w:vAlign w:val="bottom"/>
          </w:tcPr>
          <w:p w:rsidR="000C2ED5" w:rsidRDefault="00485212">
            <w:pPr>
              <w:ind w:left="2080"/>
              <w:rPr>
                <w:sz w:val="20"/>
                <w:szCs w:val="20"/>
              </w:rPr>
            </w:pPr>
            <w:r>
              <w:rPr>
                <w:rFonts w:eastAsia="Times New Roman"/>
                <w:b/>
                <w:bCs/>
                <w:sz w:val="20"/>
                <w:szCs w:val="20"/>
              </w:rPr>
              <w:t>Main Findings</w:t>
            </w:r>
          </w:p>
        </w:tc>
        <w:tc>
          <w:tcPr>
            <w:tcW w:w="126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Quality</w:t>
            </w:r>
          </w:p>
        </w:tc>
      </w:tr>
      <w:tr w:rsidR="000C2ED5">
        <w:trPr>
          <w:trHeight w:val="461"/>
        </w:trPr>
        <w:tc>
          <w:tcPr>
            <w:tcW w:w="1100" w:type="dxa"/>
            <w:vAlign w:val="bottom"/>
          </w:tcPr>
          <w:p w:rsidR="000C2ED5" w:rsidRDefault="00485212">
            <w:pPr>
              <w:ind w:left="360"/>
              <w:rPr>
                <w:sz w:val="20"/>
                <w:szCs w:val="20"/>
              </w:rPr>
            </w:pPr>
            <w:r>
              <w:rPr>
                <w:rFonts w:eastAsia="Times New Roman"/>
                <w:b/>
                <w:bCs/>
                <w:sz w:val="20"/>
                <w:szCs w:val="20"/>
              </w:rPr>
              <w:t>Date</w:t>
            </w:r>
          </w:p>
        </w:tc>
        <w:tc>
          <w:tcPr>
            <w:tcW w:w="1160" w:type="dxa"/>
            <w:vAlign w:val="bottom"/>
          </w:tcPr>
          <w:p w:rsidR="000C2ED5" w:rsidRDefault="00485212">
            <w:pPr>
              <w:jc w:val="center"/>
              <w:rPr>
                <w:sz w:val="20"/>
                <w:szCs w:val="20"/>
              </w:rPr>
            </w:pPr>
            <w:r>
              <w:rPr>
                <w:rFonts w:eastAsia="Times New Roman"/>
                <w:b/>
                <w:bCs/>
                <w:w w:val="96"/>
                <w:sz w:val="20"/>
                <w:szCs w:val="20"/>
              </w:rPr>
              <w:t>Design</w:t>
            </w:r>
          </w:p>
        </w:tc>
        <w:tc>
          <w:tcPr>
            <w:tcW w:w="1340" w:type="dxa"/>
            <w:vAlign w:val="bottom"/>
          </w:tcPr>
          <w:p w:rsidR="000C2ED5" w:rsidRDefault="00485212">
            <w:pPr>
              <w:ind w:left="520"/>
              <w:rPr>
                <w:sz w:val="20"/>
                <w:szCs w:val="20"/>
              </w:rPr>
            </w:pPr>
            <w:r>
              <w:rPr>
                <w:rFonts w:eastAsia="Times New Roman"/>
                <w:b/>
                <w:bCs/>
                <w:sz w:val="20"/>
                <w:szCs w:val="20"/>
              </w:rPr>
              <w:t>Type</w:t>
            </w:r>
          </w:p>
        </w:tc>
        <w:tc>
          <w:tcPr>
            <w:tcW w:w="2260" w:type="dxa"/>
            <w:vAlign w:val="bottom"/>
          </w:tcPr>
          <w:p w:rsidR="000C2ED5" w:rsidRDefault="00485212">
            <w:pPr>
              <w:ind w:left="20"/>
              <w:jc w:val="center"/>
              <w:rPr>
                <w:sz w:val="20"/>
                <w:szCs w:val="20"/>
              </w:rPr>
            </w:pPr>
            <w:r>
              <w:rPr>
                <w:rFonts w:eastAsia="Times New Roman"/>
                <w:b/>
                <w:bCs/>
                <w:w w:val="97"/>
                <w:sz w:val="20"/>
                <w:szCs w:val="20"/>
              </w:rPr>
              <w:t>completion/</w:t>
            </w:r>
          </w:p>
        </w:tc>
        <w:tc>
          <w:tcPr>
            <w:tcW w:w="1960" w:type="dxa"/>
            <w:vAlign w:val="bottom"/>
          </w:tcPr>
          <w:p w:rsidR="000C2ED5" w:rsidRDefault="000C2ED5">
            <w:pPr>
              <w:rPr>
                <w:sz w:val="24"/>
                <w:szCs w:val="24"/>
              </w:rPr>
            </w:pPr>
          </w:p>
        </w:tc>
        <w:tc>
          <w:tcPr>
            <w:tcW w:w="1740" w:type="dxa"/>
            <w:vAlign w:val="bottom"/>
          </w:tcPr>
          <w:p w:rsidR="000C2ED5" w:rsidRDefault="000C2ED5">
            <w:pPr>
              <w:rPr>
                <w:sz w:val="24"/>
                <w:szCs w:val="24"/>
              </w:rPr>
            </w:pPr>
          </w:p>
        </w:tc>
        <w:tc>
          <w:tcPr>
            <w:tcW w:w="5340" w:type="dxa"/>
            <w:vAlign w:val="bottom"/>
          </w:tcPr>
          <w:p w:rsidR="000C2ED5" w:rsidRDefault="000C2ED5">
            <w:pPr>
              <w:rPr>
                <w:sz w:val="24"/>
                <w:szCs w:val="24"/>
              </w:rPr>
            </w:pPr>
          </w:p>
        </w:tc>
        <w:tc>
          <w:tcPr>
            <w:tcW w:w="1260" w:type="dxa"/>
            <w:vAlign w:val="bottom"/>
          </w:tcPr>
          <w:p w:rsidR="000C2ED5" w:rsidRDefault="00485212">
            <w:pPr>
              <w:jc w:val="center"/>
              <w:rPr>
                <w:sz w:val="20"/>
                <w:szCs w:val="20"/>
              </w:rPr>
            </w:pPr>
            <w:r>
              <w:rPr>
                <w:rFonts w:eastAsia="Times New Roman"/>
                <w:b/>
                <w:bCs/>
                <w:sz w:val="20"/>
                <w:szCs w:val="20"/>
              </w:rPr>
              <w:t>Assessment</w:t>
            </w:r>
          </w:p>
        </w:tc>
      </w:tr>
      <w:tr w:rsidR="000C2ED5">
        <w:trPr>
          <w:trHeight w:val="458"/>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260" w:type="dxa"/>
            <w:vAlign w:val="bottom"/>
          </w:tcPr>
          <w:p w:rsidR="000C2ED5" w:rsidRDefault="00485212">
            <w:pPr>
              <w:ind w:left="20"/>
              <w:jc w:val="center"/>
              <w:rPr>
                <w:sz w:val="20"/>
                <w:szCs w:val="20"/>
              </w:rPr>
            </w:pPr>
            <w:r>
              <w:rPr>
                <w:rFonts w:eastAsia="Times New Roman"/>
                <w:b/>
                <w:bCs/>
                <w:w w:val="99"/>
                <w:sz w:val="20"/>
                <w:szCs w:val="20"/>
              </w:rPr>
              <w:t>Engagement</w:t>
            </w:r>
          </w:p>
        </w:tc>
        <w:tc>
          <w:tcPr>
            <w:tcW w:w="1960" w:type="dxa"/>
            <w:vAlign w:val="bottom"/>
          </w:tcPr>
          <w:p w:rsidR="000C2ED5" w:rsidRDefault="000C2ED5">
            <w:pPr>
              <w:rPr>
                <w:sz w:val="24"/>
                <w:szCs w:val="24"/>
              </w:rPr>
            </w:pPr>
          </w:p>
        </w:tc>
        <w:tc>
          <w:tcPr>
            <w:tcW w:w="1740" w:type="dxa"/>
            <w:vAlign w:val="bottom"/>
          </w:tcPr>
          <w:p w:rsidR="000C2ED5" w:rsidRDefault="000C2ED5">
            <w:pPr>
              <w:rPr>
                <w:sz w:val="24"/>
                <w:szCs w:val="24"/>
              </w:rPr>
            </w:pPr>
          </w:p>
        </w:tc>
        <w:tc>
          <w:tcPr>
            <w:tcW w:w="5340" w:type="dxa"/>
            <w:vAlign w:val="bottom"/>
          </w:tcPr>
          <w:p w:rsidR="000C2ED5" w:rsidRDefault="000C2ED5">
            <w:pPr>
              <w:rPr>
                <w:sz w:val="24"/>
                <w:szCs w:val="24"/>
              </w:rPr>
            </w:pPr>
          </w:p>
        </w:tc>
        <w:tc>
          <w:tcPr>
            <w:tcW w:w="1260" w:type="dxa"/>
            <w:vAlign w:val="bottom"/>
          </w:tcPr>
          <w:p w:rsidR="000C2ED5" w:rsidRDefault="00485212">
            <w:pPr>
              <w:jc w:val="center"/>
              <w:rPr>
                <w:sz w:val="20"/>
                <w:szCs w:val="20"/>
              </w:rPr>
            </w:pPr>
            <w:r>
              <w:rPr>
                <w:rFonts w:eastAsia="Times New Roman"/>
                <w:b/>
                <w:bCs/>
                <w:sz w:val="20"/>
                <w:szCs w:val="20"/>
              </w:rPr>
              <w:t>score</w:t>
            </w:r>
          </w:p>
        </w:tc>
      </w:tr>
      <w:tr w:rsidR="000C2ED5">
        <w:trPr>
          <w:trHeight w:val="234"/>
        </w:trPr>
        <w:tc>
          <w:tcPr>
            <w:tcW w:w="1100" w:type="dxa"/>
            <w:tcBorders>
              <w:bottom w:val="single" w:sz="8" w:space="0" w:color="auto"/>
            </w:tcBorders>
            <w:vAlign w:val="bottom"/>
          </w:tcPr>
          <w:p w:rsidR="000C2ED5" w:rsidRDefault="000C2ED5">
            <w:pPr>
              <w:rPr>
                <w:sz w:val="20"/>
                <w:szCs w:val="20"/>
              </w:rPr>
            </w:pPr>
          </w:p>
        </w:tc>
        <w:tc>
          <w:tcPr>
            <w:tcW w:w="1160" w:type="dxa"/>
            <w:tcBorders>
              <w:bottom w:val="single" w:sz="8" w:space="0" w:color="auto"/>
            </w:tcBorders>
            <w:vAlign w:val="bottom"/>
          </w:tcPr>
          <w:p w:rsidR="000C2ED5" w:rsidRDefault="000C2ED5">
            <w:pPr>
              <w:rPr>
                <w:sz w:val="20"/>
                <w:szCs w:val="20"/>
              </w:rPr>
            </w:pPr>
          </w:p>
        </w:tc>
        <w:tc>
          <w:tcPr>
            <w:tcW w:w="1340" w:type="dxa"/>
            <w:tcBorders>
              <w:bottom w:val="single" w:sz="8" w:space="0" w:color="auto"/>
            </w:tcBorders>
            <w:vAlign w:val="bottom"/>
          </w:tcPr>
          <w:p w:rsidR="000C2ED5" w:rsidRDefault="000C2ED5">
            <w:pPr>
              <w:rPr>
                <w:sz w:val="20"/>
                <w:szCs w:val="20"/>
              </w:rPr>
            </w:pPr>
          </w:p>
        </w:tc>
        <w:tc>
          <w:tcPr>
            <w:tcW w:w="2260" w:type="dxa"/>
            <w:tcBorders>
              <w:bottom w:val="single" w:sz="8" w:space="0" w:color="auto"/>
            </w:tcBorders>
            <w:vAlign w:val="bottom"/>
          </w:tcPr>
          <w:p w:rsidR="000C2ED5" w:rsidRDefault="000C2ED5">
            <w:pPr>
              <w:rPr>
                <w:sz w:val="20"/>
                <w:szCs w:val="20"/>
              </w:rPr>
            </w:pPr>
          </w:p>
        </w:tc>
        <w:tc>
          <w:tcPr>
            <w:tcW w:w="1960" w:type="dxa"/>
            <w:tcBorders>
              <w:bottom w:val="single" w:sz="8" w:space="0" w:color="auto"/>
            </w:tcBorders>
            <w:vAlign w:val="bottom"/>
          </w:tcPr>
          <w:p w:rsidR="000C2ED5" w:rsidRDefault="000C2ED5">
            <w:pPr>
              <w:rPr>
                <w:sz w:val="20"/>
                <w:szCs w:val="20"/>
              </w:rPr>
            </w:pPr>
          </w:p>
        </w:tc>
        <w:tc>
          <w:tcPr>
            <w:tcW w:w="1740" w:type="dxa"/>
            <w:tcBorders>
              <w:bottom w:val="single" w:sz="8" w:space="0" w:color="auto"/>
            </w:tcBorders>
            <w:vAlign w:val="bottom"/>
          </w:tcPr>
          <w:p w:rsidR="000C2ED5" w:rsidRDefault="000C2ED5">
            <w:pPr>
              <w:rPr>
                <w:sz w:val="20"/>
                <w:szCs w:val="20"/>
              </w:rPr>
            </w:pPr>
          </w:p>
        </w:tc>
        <w:tc>
          <w:tcPr>
            <w:tcW w:w="5340" w:type="dxa"/>
            <w:tcBorders>
              <w:bottom w:val="single" w:sz="8" w:space="0" w:color="auto"/>
            </w:tcBorders>
            <w:vAlign w:val="bottom"/>
          </w:tcPr>
          <w:p w:rsidR="000C2ED5" w:rsidRDefault="000C2ED5">
            <w:pPr>
              <w:rPr>
                <w:sz w:val="20"/>
                <w:szCs w:val="20"/>
              </w:rPr>
            </w:pPr>
          </w:p>
        </w:tc>
        <w:tc>
          <w:tcPr>
            <w:tcW w:w="1260" w:type="dxa"/>
            <w:tcBorders>
              <w:bottom w:val="single" w:sz="8" w:space="0" w:color="auto"/>
            </w:tcBorders>
            <w:vAlign w:val="bottom"/>
          </w:tcPr>
          <w:p w:rsidR="000C2ED5" w:rsidRDefault="000C2ED5">
            <w:pPr>
              <w:rPr>
                <w:sz w:val="20"/>
                <w:szCs w:val="20"/>
              </w:rPr>
            </w:pPr>
          </w:p>
        </w:tc>
      </w:tr>
      <w:tr w:rsidR="000C2ED5">
        <w:trPr>
          <w:trHeight w:val="749"/>
        </w:trPr>
        <w:tc>
          <w:tcPr>
            <w:tcW w:w="1100" w:type="dxa"/>
            <w:vAlign w:val="bottom"/>
          </w:tcPr>
          <w:p w:rsidR="000C2ED5" w:rsidRDefault="00485212">
            <w:pPr>
              <w:ind w:left="100"/>
              <w:rPr>
                <w:sz w:val="20"/>
                <w:szCs w:val="20"/>
              </w:rPr>
            </w:pPr>
            <w:r>
              <w:rPr>
                <w:rFonts w:eastAsia="Times New Roman"/>
                <w:sz w:val="20"/>
                <w:szCs w:val="20"/>
              </w:rPr>
              <w:t>Drapeau et</w:t>
            </w:r>
          </w:p>
        </w:tc>
        <w:tc>
          <w:tcPr>
            <w:tcW w:w="1160" w:type="dxa"/>
            <w:vAlign w:val="bottom"/>
          </w:tcPr>
          <w:p w:rsidR="000C2ED5" w:rsidRDefault="00485212">
            <w:pPr>
              <w:ind w:left="120"/>
              <w:rPr>
                <w:sz w:val="20"/>
                <w:szCs w:val="20"/>
              </w:rPr>
            </w:pPr>
            <w:r>
              <w:rPr>
                <w:rFonts w:eastAsia="Times New Roman"/>
                <w:sz w:val="20"/>
                <w:szCs w:val="20"/>
              </w:rPr>
              <w:t>Qualitative</w:t>
            </w:r>
          </w:p>
        </w:tc>
        <w:tc>
          <w:tcPr>
            <w:tcW w:w="1340" w:type="dxa"/>
            <w:vAlign w:val="bottom"/>
          </w:tcPr>
          <w:p w:rsidR="000C2ED5" w:rsidRDefault="00485212">
            <w:pPr>
              <w:ind w:left="180"/>
              <w:rPr>
                <w:sz w:val="20"/>
                <w:szCs w:val="20"/>
              </w:rPr>
            </w:pPr>
            <w:r>
              <w:rPr>
                <w:rFonts w:eastAsia="Times New Roman"/>
                <w:sz w:val="20"/>
                <w:szCs w:val="20"/>
              </w:rPr>
              <w:t>Sexual</w:t>
            </w:r>
          </w:p>
        </w:tc>
        <w:tc>
          <w:tcPr>
            <w:tcW w:w="2260" w:type="dxa"/>
            <w:vAlign w:val="bottom"/>
          </w:tcPr>
          <w:p w:rsidR="000C2ED5" w:rsidRDefault="00485212">
            <w:pPr>
              <w:ind w:left="160"/>
              <w:rPr>
                <w:sz w:val="20"/>
                <w:szCs w:val="20"/>
              </w:rPr>
            </w:pPr>
            <w:r>
              <w:rPr>
                <w:rFonts w:eastAsia="Times New Roman"/>
                <w:sz w:val="20"/>
                <w:szCs w:val="20"/>
              </w:rPr>
              <w:t>None stated.</w:t>
            </w:r>
          </w:p>
        </w:tc>
        <w:tc>
          <w:tcPr>
            <w:tcW w:w="1960" w:type="dxa"/>
            <w:vAlign w:val="bottom"/>
          </w:tcPr>
          <w:p w:rsidR="000C2ED5" w:rsidRDefault="00485212">
            <w:pPr>
              <w:ind w:left="160"/>
              <w:rPr>
                <w:sz w:val="20"/>
                <w:szCs w:val="20"/>
              </w:rPr>
            </w:pPr>
            <w:r>
              <w:rPr>
                <w:rFonts w:eastAsia="Times New Roman"/>
                <w:sz w:val="20"/>
                <w:szCs w:val="20"/>
              </w:rPr>
              <w:t>Factors which</w:t>
            </w:r>
          </w:p>
        </w:tc>
        <w:tc>
          <w:tcPr>
            <w:tcW w:w="1740" w:type="dxa"/>
            <w:vAlign w:val="bottom"/>
          </w:tcPr>
          <w:p w:rsidR="000C2ED5" w:rsidRDefault="00485212">
            <w:pPr>
              <w:ind w:left="120"/>
              <w:rPr>
                <w:sz w:val="20"/>
                <w:szCs w:val="20"/>
              </w:rPr>
            </w:pPr>
            <w:r>
              <w:rPr>
                <w:rFonts w:eastAsia="Times New Roman"/>
                <w:sz w:val="20"/>
                <w:szCs w:val="20"/>
              </w:rPr>
              <w:t xml:space="preserve">15 male </w:t>
            </w:r>
            <w:r>
              <w:rPr>
                <w:rFonts w:eastAsia="Times New Roman"/>
                <w:sz w:val="20"/>
                <w:szCs w:val="20"/>
              </w:rPr>
              <w:t>prisoners</w:t>
            </w:r>
          </w:p>
        </w:tc>
        <w:tc>
          <w:tcPr>
            <w:tcW w:w="5340" w:type="dxa"/>
            <w:vAlign w:val="bottom"/>
          </w:tcPr>
          <w:p w:rsidR="000C2ED5" w:rsidRDefault="00485212">
            <w:pPr>
              <w:ind w:left="160"/>
              <w:rPr>
                <w:sz w:val="20"/>
                <w:szCs w:val="20"/>
              </w:rPr>
            </w:pPr>
            <w:r>
              <w:rPr>
                <w:rFonts w:eastAsia="Times New Roman"/>
                <w:sz w:val="20"/>
                <w:szCs w:val="20"/>
              </w:rPr>
              <w:t>Three superordinate motives for treatment were identified: a</w:t>
            </w:r>
          </w:p>
        </w:tc>
        <w:tc>
          <w:tcPr>
            <w:tcW w:w="1260" w:type="dxa"/>
            <w:vAlign w:val="bottom"/>
          </w:tcPr>
          <w:p w:rsidR="000C2ED5" w:rsidRDefault="00485212">
            <w:pPr>
              <w:jc w:val="center"/>
              <w:rPr>
                <w:sz w:val="20"/>
                <w:szCs w:val="20"/>
              </w:rPr>
            </w:pPr>
            <w:r>
              <w:rPr>
                <w:rFonts w:eastAsia="Times New Roman"/>
                <w:sz w:val="20"/>
                <w:szCs w:val="20"/>
              </w:rPr>
              <w:t>75%</w:t>
            </w:r>
          </w:p>
        </w:tc>
      </w:tr>
      <w:tr w:rsidR="000C2ED5">
        <w:trPr>
          <w:trHeight w:val="461"/>
        </w:trPr>
        <w:tc>
          <w:tcPr>
            <w:tcW w:w="1100" w:type="dxa"/>
            <w:vAlign w:val="bottom"/>
          </w:tcPr>
          <w:p w:rsidR="000C2ED5" w:rsidRDefault="00485212">
            <w:pPr>
              <w:ind w:left="100"/>
              <w:rPr>
                <w:sz w:val="20"/>
                <w:szCs w:val="20"/>
              </w:rPr>
            </w:pPr>
            <w:r>
              <w:rPr>
                <w:rFonts w:eastAsia="Times New Roman"/>
                <w:sz w:val="20"/>
                <w:szCs w:val="20"/>
              </w:rPr>
              <w:t>al. (2005)</w:t>
            </w:r>
          </w:p>
        </w:tc>
        <w:tc>
          <w:tcPr>
            <w:tcW w:w="1160" w:type="dxa"/>
            <w:vAlign w:val="bottom"/>
          </w:tcPr>
          <w:p w:rsidR="000C2ED5" w:rsidRDefault="000C2ED5">
            <w:pPr>
              <w:rPr>
                <w:sz w:val="24"/>
                <w:szCs w:val="24"/>
              </w:rPr>
            </w:pPr>
          </w:p>
        </w:tc>
        <w:tc>
          <w:tcPr>
            <w:tcW w:w="1340" w:type="dxa"/>
            <w:vAlign w:val="bottom"/>
          </w:tcPr>
          <w:p w:rsidR="000C2ED5" w:rsidRDefault="00485212">
            <w:pPr>
              <w:ind w:left="180"/>
              <w:rPr>
                <w:sz w:val="20"/>
                <w:szCs w:val="20"/>
              </w:rPr>
            </w:pPr>
            <w:r>
              <w:rPr>
                <w:rFonts w:eastAsia="Times New Roman"/>
                <w:sz w:val="20"/>
                <w:szCs w:val="20"/>
              </w:rPr>
              <w:t>Offender</w:t>
            </w:r>
          </w:p>
        </w:tc>
        <w:tc>
          <w:tcPr>
            <w:tcW w:w="2260" w:type="dxa"/>
            <w:vAlign w:val="bottom"/>
          </w:tcPr>
          <w:p w:rsidR="000C2ED5" w:rsidRDefault="000C2ED5">
            <w:pPr>
              <w:rPr>
                <w:sz w:val="24"/>
                <w:szCs w:val="24"/>
              </w:rPr>
            </w:pPr>
          </w:p>
        </w:tc>
        <w:tc>
          <w:tcPr>
            <w:tcW w:w="1960" w:type="dxa"/>
            <w:vAlign w:val="bottom"/>
          </w:tcPr>
          <w:p w:rsidR="000C2ED5" w:rsidRDefault="00485212">
            <w:pPr>
              <w:ind w:left="160"/>
              <w:rPr>
                <w:sz w:val="20"/>
                <w:szCs w:val="20"/>
              </w:rPr>
            </w:pPr>
            <w:r>
              <w:rPr>
                <w:rFonts w:eastAsia="Times New Roman"/>
                <w:sz w:val="20"/>
                <w:szCs w:val="20"/>
              </w:rPr>
              <w:t>influence</w:t>
            </w:r>
          </w:p>
        </w:tc>
        <w:tc>
          <w:tcPr>
            <w:tcW w:w="1740" w:type="dxa"/>
            <w:vAlign w:val="bottom"/>
          </w:tcPr>
          <w:p w:rsidR="000C2ED5" w:rsidRDefault="000C2ED5">
            <w:pPr>
              <w:rPr>
                <w:sz w:val="24"/>
                <w:szCs w:val="24"/>
              </w:rPr>
            </w:pPr>
          </w:p>
        </w:tc>
        <w:tc>
          <w:tcPr>
            <w:tcW w:w="5340" w:type="dxa"/>
            <w:vAlign w:val="bottom"/>
          </w:tcPr>
          <w:p w:rsidR="000C2ED5" w:rsidRDefault="00485212">
            <w:pPr>
              <w:ind w:left="160"/>
              <w:rPr>
                <w:sz w:val="20"/>
                <w:szCs w:val="20"/>
              </w:rPr>
            </w:pPr>
            <w:r>
              <w:rPr>
                <w:rFonts w:eastAsia="Times New Roman"/>
                <w:sz w:val="20"/>
                <w:szCs w:val="20"/>
              </w:rPr>
              <w:t>desire to (a) recover their freedom, (b) have a sense of mastery</w:t>
            </w:r>
          </w:p>
        </w:tc>
        <w:tc>
          <w:tcPr>
            <w:tcW w:w="126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485212">
            <w:pPr>
              <w:ind w:left="180"/>
              <w:rPr>
                <w:sz w:val="20"/>
                <w:szCs w:val="20"/>
              </w:rPr>
            </w:pPr>
            <w:r>
              <w:rPr>
                <w:rFonts w:eastAsia="Times New Roman"/>
                <w:sz w:val="20"/>
                <w:szCs w:val="20"/>
              </w:rPr>
              <w:t>Treatment</w:t>
            </w:r>
          </w:p>
        </w:tc>
        <w:tc>
          <w:tcPr>
            <w:tcW w:w="2260" w:type="dxa"/>
            <w:vAlign w:val="bottom"/>
          </w:tcPr>
          <w:p w:rsidR="000C2ED5" w:rsidRDefault="000C2ED5">
            <w:pPr>
              <w:rPr>
                <w:sz w:val="24"/>
                <w:szCs w:val="24"/>
              </w:rPr>
            </w:pPr>
          </w:p>
        </w:tc>
        <w:tc>
          <w:tcPr>
            <w:tcW w:w="1960" w:type="dxa"/>
            <w:vAlign w:val="bottom"/>
          </w:tcPr>
          <w:p w:rsidR="000C2ED5" w:rsidRDefault="00485212">
            <w:pPr>
              <w:ind w:left="160"/>
              <w:rPr>
                <w:sz w:val="20"/>
                <w:szCs w:val="20"/>
              </w:rPr>
            </w:pPr>
            <w:r>
              <w:rPr>
                <w:rFonts w:eastAsia="Times New Roman"/>
                <w:sz w:val="20"/>
                <w:szCs w:val="20"/>
              </w:rPr>
              <w:t>participation and/or</w:t>
            </w:r>
          </w:p>
        </w:tc>
        <w:tc>
          <w:tcPr>
            <w:tcW w:w="1740" w:type="dxa"/>
            <w:vAlign w:val="bottom"/>
          </w:tcPr>
          <w:p w:rsidR="000C2ED5" w:rsidRDefault="000C2ED5">
            <w:pPr>
              <w:rPr>
                <w:sz w:val="24"/>
                <w:szCs w:val="24"/>
              </w:rPr>
            </w:pPr>
          </w:p>
        </w:tc>
        <w:tc>
          <w:tcPr>
            <w:tcW w:w="5340" w:type="dxa"/>
            <w:vAlign w:val="bottom"/>
          </w:tcPr>
          <w:p w:rsidR="000C2ED5" w:rsidRDefault="00485212">
            <w:pPr>
              <w:ind w:left="160"/>
              <w:rPr>
                <w:sz w:val="20"/>
                <w:szCs w:val="20"/>
              </w:rPr>
            </w:pPr>
            <w:r>
              <w:rPr>
                <w:rFonts w:eastAsia="Times New Roman"/>
                <w:sz w:val="20"/>
                <w:szCs w:val="20"/>
              </w:rPr>
              <w:t xml:space="preserve">and (c) avoid criticism/rejection and be </w:t>
            </w:r>
            <w:r>
              <w:rPr>
                <w:rFonts w:eastAsia="Times New Roman"/>
                <w:sz w:val="20"/>
                <w:szCs w:val="20"/>
              </w:rPr>
              <w:t>accepted. These</w:t>
            </w:r>
          </w:p>
        </w:tc>
        <w:tc>
          <w:tcPr>
            <w:tcW w:w="126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260" w:type="dxa"/>
            <w:vAlign w:val="bottom"/>
          </w:tcPr>
          <w:p w:rsidR="000C2ED5" w:rsidRDefault="000C2ED5">
            <w:pPr>
              <w:rPr>
                <w:sz w:val="24"/>
                <w:szCs w:val="24"/>
              </w:rPr>
            </w:pPr>
          </w:p>
        </w:tc>
        <w:tc>
          <w:tcPr>
            <w:tcW w:w="1960" w:type="dxa"/>
            <w:vAlign w:val="bottom"/>
          </w:tcPr>
          <w:p w:rsidR="000C2ED5" w:rsidRDefault="00485212">
            <w:pPr>
              <w:ind w:left="160"/>
              <w:rPr>
                <w:sz w:val="20"/>
                <w:szCs w:val="20"/>
              </w:rPr>
            </w:pPr>
            <w:r>
              <w:rPr>
                <w:rFonts w:eastAsia="Times New Roman"/>
                <w:sz w:val="20"/>
                <w:szCs w:val="20"/>
              </w:rPr>
              <w:t>avoidance of therapy</w:t>
            </w:r>
          </w:p>
        </w:tc>
        <w:tc>
          <w:tcPr>
            <w:tcW w:w="1740" w:type="dxa"/>
            <w:vAlign w:val="bottom"/>
          </w:tcPr>
          <w:p w:rsidR="000C2ED5" w:rsidRDefault="000C2ED5">
            <w:pPr>
              <w:rPr>
                <w:sz w:val="24"/>
                <w:szCs w:val="24"/>
              </w:rPr>
            </w:pPr>
          </w:p>
        </w:tc>
        <w:tc>
          <w:tcPr>
            <w:tcW w:w="5340" w:type="dxa"/>
            <w:vAlign w:val="bottom"/>
          </w:tcPr>
          <w:p w:rsidR="000C2ED5" w:rsidRDefault="00485212">
            <w:pPr>
              <w:ind w:left="160"/>
              <w:rPr>
                <w:sz w:val="20"/>
                <w:szCs w:val="20"/>
              </w:rPr>
            </w:pPr>
            <w:r>
              <w:rPr>
                <w:rFonts w:eastAsia="Times New Roman"/>
                <w:sz w:val="20"/>
                <w:szCs w:val="20"/>
              </w:rPr>
              <w:t>motives were also found to be related to the avoidance of</w:t>
            </w:r>
          </w:p>
        </w:tc>
        <w:tc>
          <w:tcPr>
            <w:tcW w:w="126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260" w:type="dxa"/>
            <w:vAlign w:val="bottom"/>
          </w:tcPr>
          <w:p w:rsidR="000C2ED5" w:rsidRDefault="000C2ED5">
            <w:pPr>
              <w:rPr>
                <w:sz w:val="24"/>
                <w:szCs w:val="24"/>
              </w:rPr>
            </w:pPr>
          </w:p>
        </w:tc>
        <w:tc>
          <w:tcPr>
            <w:tcW w:w="1960" w:type="dxa"/>
            <w:vAlign w:val="bottom"/>
          </w:tcPr>
          <w:p w:rsidR="000C2ED5" w:rsidRDefault="000C2ED5">
            <w:pPr>
              <w:rPr>
                <w:sz w:val="24"/>
                <w:szCs w:val="24"/>
              </w:rPr>
            </w:pPr>
          </w:p>
        </w:tc>
        <w:tc>
          <w:tcPr>
            <w:tcW w:w="1740" w:type="dxa"/>
            <w:vAlign w:val="bottom"/>
          </w:tcPr>
          <w:p w:rsidR="000C2ED5" w:rsidRDefault="000C2ED5">
            <w:pPr>
              <w:rPr>
                <w:sz w:val="24"/>
                <w:szCs w:val="24"/>
              </w:rPr>
            </w:pPr>
          </w:p>
        </w:tc>
        <w:tc>
          <w:tcPr>
            <w:tcW w:w="5340" w:type="dxa"/>
            <w:vAlign w:val="bottom"/>
          </w:tcPr>
          <w:p w:rsidR="000C2ED5" w:rsidRDefault="00485212">
            <w:pPr>
              <w:ind w:left="160"/>
              <w:rPr>
                <w:sz w:val="20"/>
                <w:szCs w:val="20"/>
              </w:rPr>
            </w:pPr>
            <w:r>
              <w:rPr>
                <w:rFonts w:eastAsia="Times New Roman"/>
                <w:sz w:val="20"/>
                <w:szCs w:val="20"/>
              </w:rPr>
              <w:t>treatment.</w:t>
            </w:r>
          </w:p>
        </w:tc>
        <w:tc>
          <w:tcPr>
            <w:tcW w:w="1260" w:type="dxa"/>
            <w:vAlign w:val="bottom"/>
          </w:tcPr>
          <w:p w:rsidR="000C2ED5" w:rsidRDefault="000C2ED5">
            <w:pPr>
              <w:rPr>
                <w:sz w:val="24"/>
                <w:szCs w:val="24"/>
              </w:rPr>
            </w:pPr>
          </w:p>
        </w:tc>
      </w:tr>
      <w:tr w:rsidR="000C2ED5">
        <w:trPr>
          <w:trHeight w:val="919"/>
        </w:trPr>
        <w:tc>
          <w:tcPr>
            <w:tcW w:w="1100" w:type="dxa"/>
            <w:vAlign w:val="bottom"/>
          </w:tcPr>
          <w:p w:rsidR="000C2ED5" w:rsidRDefault="00485212">
            <w:pPr>
              <w:ind w:left="100"/>
              <w:rPr>
                <w:sz w:val="20"/>
                <w:szCs w:val="20"/>
              </w:rPr>
            </w:pPr>
            <w:r>
              <w:rPr>
                <w:rFonts w:eastAsia="Times New Roman"/>
                <w:sz w:val="20"/>
                <w:szCs w:val="20"/>
              </w:rPr>
              <w:t>Long et al.</w:t>
            </w:r>
          </w:p>
        </w:tc>
        <w:tc>
          <w:tcPr>
            <w:tcW w:w="1160" w:type="dxa"/>
            <w:vAlign w:val="bottom"/>
          </w:tcPr>
          <w:p w:rsidR="000C2ED5" w:rsidRDefault="00485212">
            <w:pPr>
              <w:ind w:left="120"/>
              <w:rPr>
                <w:sz w:val="20"/>
                <w:szCs w:val="20"/>
              </w:rPr>
            </w:pPr>
            <w:r>
              <w:rPr>
                <w:rFonts w:eastAsia="Times New Roman"/>
                <w:sz w:val="20"/>
                <w:szCs w:val="20"/>
              </w:rPr>
              <w:t>Mixed-</w:t>
            </w:r>
          </w:p>
        </w:tc>
        <w:tc>
          <w:tcPr>
            <w:tcW w:w="1340" w:type="dxa"/>
            <w:vAlign w:val="bottom"/>
          </w:tcPr>
          <w:p w:rsidR="000C2ED5" w:rsidRDefault="00485212">
            <w:pPr>
              <w:ind w:left="180"/>
              <w:rPr>
                <w:sz w:val="20"/>
                <w:szCs w:val="20"/>
              </w:rPr>
            </w:pPr>
            <w:r>
              <w:rPr>
                <w:rFonts w:eastAsia="Times New Roman"/>
                <w:sz w:val="20"/>
                <w:szCs w:val="20"/>
              </w:rPr>
              <w:t>All care-</w:t>
            </w:r>
          </w:p>
        </w:tc>
        <w:tc>
          <w:tcPr>
            <w:tcW w:w="2260" w:type="dxa"/>
            <w:vAlign w:val="bottom"/>
          </w:tcPr>
          <w:p w:rsidR="000C2ED5" w:rsidRDefault="00485212">
            <w:pPr>
              <w:ind w:left="160"/>
              <w:rPr>
                <w:sz w:val="20"/>
                <w:szCs w:val="20"/>
              </w:rPr>
            </w:pPr>
            <w:r>
              <w:rPr>
                <w:rFonts w:eastAsia="Times New Roman"/>
                <w:sz w:val="20"/>
                <w:szCs w:val="20"/>
              </w:rPr>
              <w:t>Non-attendance. Also</w:t>
            </w:r>
          </w:p>
        </w:tc>
        <w:tc>
          <w:tcPr>
            <w:tcW w:w="1960" w:type="dxa"/>
            <w:vAlign w:val="bottom"/>
          </w:tcPr>
          <w:p w:rsidR="000C2ED5" w:rsidRDefault="00485212">
            <w:pPr>
              <w:ind w:left="160"/>
              <w:rPr>
                <w:sz w:val="20"/>
                <w:szCs w:val="20"/>
              </w:rPr>
            </w:pPr>
            <w:r>
              <w:rPr>
                <w:rFonts w:eastAsia="Times New Roman"/>
                <w:sz w:val="20"/>
                <w:szCs w:val="20"/>
              </w:rPr>
              <w:t>Reasons for</w:t>
            </w:r>
          </w:p>
        </w:tc>
        <w:tc>
          <w:tcPr>
            <w:tcW w:w="1740" w:type="dxa"/>
            <w:vAlign w:val="bottom"/>
          </w:tcPr>
          <w:p w:rsidR="000C2ED5" w:rsidRDefault="00485212">
            <w:pPr>
              <w:ind w:left="120"/>
              <w:rPr>
                <w:sz w:val="20"/>
                <w:szCs w:val="20"/>
              </w:rPr>
            </w:pPr>
            <w:r>
              <w:rPr>
                <w:rFonts w:eastAsia="Times New Roman"/>
                <w:sz w:val="20"/>
                <w:szCs w:val="20"/>
              </w:rPr>
              <w:t>63 female forensic</w:t>
            </w:r>
          </w:p>
        </w:tc>
        <w:tc>
          <w:tcPr>
            <w:tcW w:w="5340" w:type="dxa"/>
            <w:vAlign w:val="bottom"/>
          </w:tcPr>
          <w:p w:rsidR="000C2ED5" w:rsidRDefault="00485212">
            <w:pPr>
              <w:ind w:left="160"/>
              <w:rPr>
                <w:sz w:val="20"/>
                <w:szCs w:val="20"/>
              </w:rPr>
            </w:pPr>
            <w:r>
              <w:rPr>
                <w:rFonts w:eastAsia="Times New Roman"/>
                <w:i/>
                <w:iCs/>
                <w:sz w:val="20"/>
                <w:szCs w:val="20"/>
              </w:rPr>
              <w:t xml:space="preserve">Internal Factors: </w:t>
            </w:r>
            <w:r>
              <w:rPr>
                <w:rFonts w:eastAsia="Times New Roman"/>
                <w:sz w:val="20"/>
                <w:szCs w:val="20"/>
              </w:rPr>
              <w:t xml:space="preserve">Cognitive factors (i.e. negative </w:t>
            </w:r>
            <w:r>
              <w:rPr>
                <w:rFonts w:eastAsia="Times New Roman"/>
                <w:sz w:val="20"/>
                <w:szCs w:val="20"/>
              </w:rPr>
              <w:t>appraisal of</w:t>
            </w:r>
          </w:p>
        </w:tc>
        <w:tc>
          <w:tcPr>
            <w:tcW w:w="1260" w:type="dxa"/>
            <w:vAlign w:val="bottom"/>
          </w:tcPr>
          <w:p w:rsidR="000C2ED5" w:rsidRDefault="00485212">
            <w:pPr>
              <w:jc w:val="center"/>
              <w:rPr>
                <w:sz w:val="20"/>
                <w:szCs w:val="20"/>
              </w:rPr>
            </w:pPr>
            <w:r>
              <w:rPr>
                <w:rFonts w:eastAsia="Times New Roman"/>
                <w:sz w:val="20"/>
                <w:szCs w:val="20"/>
              </w:rPr>
              <w:t>75%</w:t>
            </w:r>
          </w:p>
        </w:tc>
      </w:tr>
      <w:tr w:rsidR="000C2ED5">
        <w:trPr>
          <w:trHeight w:val="461"/>
        </w:trPr>
        <w:tc>
          <w:tcPr>
            <w:tcW w:w="1100" w:type="dxa"/>
            <w:vAlign w:val="bottom"/>
          </w:tcPr>
          <w:p w:rsidR="000C2ED5" w:rsidRDefault="00485212">
            <w:pPr>
              <w:ind w:left="100"/>
              <w:rPr>
                <w:sz w:val="20"/>
                <w:szCs w:val="20"/>
              </w:rPr>
            </w:pPr>
            <w:r>
              <w:rPr>
                <w:rFonts w:eastAsia="Times New Roman"/>
                <w:sz w:val="20"/>
                <w:szCs w:val="20"/>
              </w:rPr>
              <w:t>(2012)</w:t>
            </w:r>
          </w:p>
        </w:tc>
        <w:tc>
          <w:tcPr>
            <w:tcW w:w="1160" w:type="dxa"/>
            <w:vAlign w:val="bottom"/>
          </w:tcPr>
          <w:p w:rsidR="000C2ED5" w:rsidRDefault="00485212">
            <w:pPr>
              <w:ind w:left="120"/>
              <w:rPr>
                <w:sz w:val="20"/>
                <w:szCs w:val="20"/>
              </w:rPr>
            </w:pPr>
            <w:r>
              <w:rPr>
                <w:rFonts w:eastAsia="Times New Roman"/>
                <w:sz w:val="20"/>
                <w:szCs w:val="20"/>
              </w:rPr>
              <w:t>methods</w:t>
            </w:r>
          </w:p>
        </w:tc>
        <w:tc>
          <w:tcPr>
            <w:tcW w:w="1340" w:type="dxa"/>
            <w:vAlign w:val="bottom"/>
          </w:tcPr>
          <w:p w:rsidR="000C2ED5" w:rsidRDefault="00485212">
            <w:pPr>
              <w:ind w:left="180"/>
              <w:rPr>
                <w:sz w:val="20"/>
                <w:szCs w:val="20"/>
              </w:rPr>
            </w:pPr>
            <w:r>
              <w:rPr>
                <w:rFonts w:eastAsia="Times New Roman"/>
                <w:sz w:val="20"/>
                <w:szCs w:val="20"/>
              </w:rPr>
              <w:t>planned</w:t>
            </w:r>
          </w:p>
        </w:tc>
        <w:tc>
          <w:tcPr>
            <w:tcW w:w="2260" w:type="dxa"/>
            <w:vAlign w:val="bottom"/>
          </w:tcPr>
          <w:p w:rsidR="000C2ED5" w:rsidRDefault="00485212">
            <w:pPr>
              <w:ind w:left="160"/>
              <w:rPr>
                <w:sz w:val="20"/>
                <w:szCs w:val="20"/>
              </w:rPr>
            </w:pPr>
            <w:r>
              <w:rPr>
                <w:rFonts w:eastAsia="Times New Roman"/>
                <w:sz w:val="20"/>
                <w:szCs w:val="20"/>
              </w:rPr>
              <w:t>included sessions which</w:t>
            </w:r>
          </w:p>
        </w:tc>
        <w:tc>
          <w:tcPr>
            <w:tcW w:w="1960" w:type="dxa"/>
            <w:vAlign w:val="bottom"/>
          </w:tcPr>
          <w:p w:rsidR="000C2ED5" w:rsidRDefault="00485212">
            <w:pPr>
              <w:ind w:left="160"/>
              <w:rPr>
                <w:sz w:val="20"/>
                <w:szCs w:val="20"/>
              </w:rPr>
            </w:pPr>
            <w:r>
              <w:rPr>
                <w:rFonts w:eastAsia="Times New Roman"/>
                <w:sz w:val="20"/>
                <w:szCs w:val="20"/>
              </w:rPr>
              <w:t>treatment non-</w:t>
            </w:r>
          </w:p>
        </w:tc>
        <w:tc>
          <w:tcPr>
            <w:tcW w:w="1740" w:type="dxa"/>
            <w:vAlign w:val="bottom"/>
          </w:tcPr>
          <w:p w:rsidR="000C2ED5" w:rsidRDefault="00485212">
            <w:pPr>
              <w:ind w:left="120"/>
              <w:rPr>
                <w:sz w:val="20"/>
                <w:szCs w:val="20"/>
              </w:rPr>
            </w:pPr>
            <w:r>
              <w:rPr>
                <w:rFonts w:eastAsia="Times New Roman"/>
                <w:sz w:val="20"/>
                <w:szCs w:val="20"/>
              </w:rPr>
              <w:t>inpatients</w:t>
            </w:r>
          </w:p>
        </w:tc>
        <w:tc>
          <w:tcPr>
            <w:tcW w:w="5340" w:type="dxa"/>
            <w:vAlign w:val="bottom"/>
          </w:tcPr>
          <w:p w:rsidR="000C2ED5" w:rsidRDefault="00485212">
            <w:pPr>
              <w:ind w:left="160"/>
              <w:rPr>
                <w:sz w:val="20"/>
                <w:szCs w:val="20"/>
              </w:rPr>
            </w:pPr>
            <w:r>
              <w:rPr>
                <w:rFonts w:eastAsia="Times New Roman"/>
                <w:sz w:val="20"/>
                <w:szCs w:val="20"/>
              </w:rPr>
              <w:t>treatment/self-efficacy) were common reasons for non-</w:t>
            </w:r>
          </w:p>
        </w:tc>
        <w:tc>
          <w:tcPr>
            <w:tcW w:w="126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485212">
            <w:pPr>
              <w:ind w:left="180"/>
              <w:rPr>
                <w:sz w:val="20"/>
                <w:szCs w:val="20"/>
              </w:rPr>
            </w:pPr>
            <w:r>
              <w:rPr>
                <w:rFonts w:eastAsia="Times New Roman"/>
                <w:sz w:val="20"/>
                <w:szCs w:val="20"/>
              </w:rPr>
              <w:t>treatment.</w:t>
            </w:r>
          </w:p>
        </w:tc>
        <w:tc>
          <w:tcPr>
            <w:tcW w:w="2260" w:type="dxa"/>
            <w:vAlign w:val="bottom"/>
          </w:tcPr>
          <w:p w:rsidR="000C2ED5" w:rsidRDefault="00485212">
            <w:pPr>
              <w:ind w:left="160"/>
              <w:rPr>
                <w:sz w:val="20"/>
                <w:szCs w:val="20"/>
              </w:rPr>
            </w:pPr>
            <w:r>
              <w:rPr>
                <w:rFonts w:eastAsia="Times New Roman"/>
                <w:sz w:val="20"/>
                <w:szCs w:val="20"/>
              </w:rPr>
              <w:t>the participant attended</w:t>
            </w:r>
          </w:p>
        </w:tc>
        <w:tc>
          <w:tcPr>
            <w:tcW w:w="1960" w:type="dxa"/>
            <w:vAlign w:val="bottom"/>
          </w:tcPr>
          <w:p w:rsidR="000C2ED5" w:rsidRDefault="00485212">
            <w:pPr>
              <w:ind w:left="160"/>
              <w:rPr>
                <w:sz w:val="20"/>
                <w:szCs w:val="20"/>
              </w:rPr>
            </w:pPr>
            <w:r>
              <w:rPr>
                <w:rFonts w:eastAsia="Times New Roman"/>
                <w:sz w:val="20"/>
                <w:szCs w:val="20"/>
              </w:rPr>
              <w:t>attendance.</w:t>
            </w:r>
          </w:p>
        </w:tc>
        <w:tc>
          <w:tcPr>
            <w:tcW w:w="1740" w:type="dxa"/>
            <w:vAlign w:val="bottom"/>
          </w:tcPr>
          <w:p w:rsidR="000C2ED5" w:rsidRDefault="000C2ED5">
            <w:pPr>
              <w:rPr>
                <w:sz w:val="24"/>
                <w:szCs w:val="24"/>
              </w:rPr>
            </w:pPr>
          </w:p>
        </w:tc>
        <w:tc>
          <w:tcPr>
            <w:tcW w:w="5340" w:type="dxa"/>
            <w:vAlign w:val="bottom"/>
          </w:tcPr>
          <w:p w:rsidR="000C2ED5" w:rsidRDefault="00485212">
            <w:pPr>
              <w:ind w:left="160"/>
              <w:rPr>
                <w:sz w:val="20"/>
                <w:szCs w:val="20"/>
              </w:rPr>
            </w:pPr>
            <w:r>
              <w:rPr>
                <w:rFonts w:eastAsia="Times New Roman"/>
                <w:sz w:val="20"/>
                <w:szCs w:val="20"/>
              </w:rPr>
              <w:t>attendance. Affective and volitional factors were also</w:t>
            </w:r>
          </w:p>
        </w:tc>
        <w:tc>
          <w:tcPr>
            <w:tcW w:w="126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260" w:type="dxa"/>
            <w:vAlign w:val="bottom"/>
          </w:tcPr>
          <w:p w:rsidR="000C2ED5" w:rsidRDefault="00485212">
            <w:pPr>
              <w:ind w:left="160"/>
              <w:rPr>
                <w:sz w:val="20"/>
                <w:szCs w:val="20"/>
              </w:rPr>
            </w:pPr>
            <w:r>
              <w:rPr>
                <w:rFonts w:eastAsia="Times New Roman"/>
                <w:sz w:val="20"/>
                <w:szCs w:val="20"/>
              </w:rPr>
              <w:t>but failed to engage.</w:t>
            </w:r>
          </w:p>
        </w:tc>
        <w:tc>
          <w:tcPr>
            <w:tcW w:w="1960" w:type="dxa"/>
            <w:vAlign w:val="bottom"/>
          </w:tcPr>
          <w:p w:rsidR="000C2ED5" w:rsidRDefault="00485212">
            <w:pPr>
              <w:ind w:left="160"/>
              <w:rPr>
                <w:sz w:val="20"/>
                <w:szCs w:val="20"/>
              </w:rPr>
            </w:pPr>
            <w:r>
              <w:rPr>
                <w:rFonts w:eastAsia="Times New Roman"/>
                <w:sz w:val="20"/>
                <w:szCs w:val="20"/>
              </w:rPr>
              <w:t>Perceived</w:t>
            </w:r>
          </w:p>
        </w:tc>
        <w:tc>
          <w:tcPr>
            <w:tcW w:w="1740" w:type="dxa"/>
            <w:vAlign w:val="bottom"/>
          </w:tcPr>
          <w:p w:rsidR="000C2ED5" w:rsidRDefault="000C2ED5">
            <w:pPr>
              <w:rPr>
                <w:sz w:val="24"/>
                <w:szCs w:val="24"/>
              </w:rPr>
            </w:pPr>
          </w:p>
        </w:tc>
        <w:tc>
          <w:tcPr>
            <w:tcW w:w="5340" w:type="dxa"/>
            <w:vAlign w:val="bottom"/>
          </w:tcPr>
          <w:p w:rsidR="000C2ED5" w:rsidRDefault="00485212">
            <w:pPr>
              <w:ind w:left="160"/>
              <w:rPr>
                <w:sz w:val="20"/>
                <w:szCs w:val="20"/>
              </w:rPr>
            </w:pPr>
            <w:r>
              <w:rPr>
                <w:rFonts w:eastAsia="Times New Roman"/>
                <w:sz w:val="20"/>
                <w:szCs w:val="20"/>
              </w:rPr>
              <w:t>identified.</w:t>
            </w:r>
          </w:p>
        </w:tc>
        <w:tc>
          <w:tcPr>
            <w:tcW w:w="126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260" w:type="dxa"/>
            <w:vAlign w:val="bottom"/>
          </w:tcPr>
          <w:p w:rsidR="000C2ED5" w:rsidRDefault="000C2ED5">
            <w:pPr>
              <w:rPr>
                <w:sz w:val="24"/>
                <w:szCs w:val="24"/>
              </w:rPr>
            </w:pPr>
          </w:p>
        </w:tc>
        <w:tc>
          <w:tcPr>
            <w:tcW w:w="1960" w:type="dxa"/>
            <w:vAlign w:val="bottom"/>
          </w:tcPr>
          <w:p w:rsidR="000C2ED5" w:rsidRDefault="00485212">
            <w:pPr>
              <w:ind w:left="160"/>
              <w:rPr>
                <w:sz w:val="20"/>
                <w:szCs w:val="20"/>
              </w:rPr>
            </w:pPr>
            <w:r>
              <w:rPr>
                <w:rFonts w:eastAsia="Times New Roman"/>
                <w:sz w:val="20"/>
                <w:szCs w:val="20"/>
              </w:rPr>
              <w:t>importance of</w:t>
            </w:r>
          </w:p>
        </w:tc>
        <w:tc>
          <w:tcPr>
            <w:tcW w:w="1740" w:type="dxa"/>
            <w:vAlign w:val="bottom"/>
          </w:tcPr>
          <w:p w:rsidR="000C2ED5" w:rsidRDefault="000C2ED5">
            <w:pPr>
              <w:rPr>
                <w:sz w:val="24"/>
                <w:szCs w:val="24"/>
              </w:rPr>
            </w:pPr>
          </w:p>
        </w:tc>
        <w:tc>
          <w:tcPr>
            <w:tcW w:w="5340" w:type="dxa"/>
            <w:vAlign w:val="bottom"/>
          </w:tcPr>
          <w:p w:rsidR="000C2ED5" w:rsidRDefault="00485212">
            <w:pPr>
              <w:ind w:left="160"/>
              <w:rPr>
                <w:sz w:val="20"/>
                <w:szCs w:val="20"/>
              </w:rPr>
            </w:pPr>
            <w:r>
              <w:rPr>
                <w:rFonts w:eastAsia="Times New Roman"/>
                <w:i/>
                <w:iCs/>
                <w:sz w:val="20"/>
                <w:szCs w:val="20"/>
              </w:rPr>
              <w:t xml:space="preserve">External Factors: </w:t>
            </w:r>
            <w:r>
              <w:rPr>
                <w:rFonts w:eastAsia="Times New Roman"/>
                <w:sz w:val="20"/>
                <w:szCs w:val="20"/>
              </w:rPr>
              <w:t>Reasons for non-completion reflected the</w:t>
            </w:r>
          </w:p>
        </w:tc>
        <w:tc>
          <w:tcPr>
            <w:tcW w:w="126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260" w:type="dxa"/>
            <w:vAlign w:val="bottom"/>
          </w:tcPr>
          <w:p w:rsidR="000C2ED5" w:rsidRDefault="000C2ED5">
            <w:pPr>
              <w:rPr>
                <w:sz w:val="24"/>
                <w:szCs w:val="24"/>
              </w:rPr>
            </w:pPr>
          </w:p>
        </w:tc>
        <w:tc>
          <w:tcPr>
            <w:tcW w:w="1960" w:type="dxa"/>
            <w:vAlign w:val="bottom"/>
          </w:tcPr>
          <w:p w:rsidR="000C2ED5" w:rsidRDefault="00485212">
            <w:pPr>
              <w:ind w:left="160"/>
              <w:rPr>
                <w:sz w:val="20"/>
                <w:szCs w:val="20"/>
              </w:rPr>
            </w:pPr>
            <w:r>
              <w:rPr>
                <w:rFonts w:eastAsia="Times New Roman"/>
                <w:sz w:val="20"/>
                <w:szCs w:val="20"/>
              </w:rPr>
              <w:t>attending sessions</w:t>
            </w:r>
          </w:p>
        </w:tc>
        <w:tc>
          <w:tcPr>
            <w:tcW w:w="1740" w:type="dxa"/>
            <w:vAlign w:val="bottom"/>
          </w:tcPr>
          <w:p w:rsidR="000C2ED5" w:rsidRDefault="000C2ED5">
            <w:pPr>
              <w:rPr>
                <w:sz w:val="24"/>
                <w:szCs w:val="24"/>
              </w:rPr>
            </w:pPr>
          </w:p>
        </w:tc>
        <w:tc>
          <w:tcPr>
            <w:tcW w:w="5340" w:type="dxa"/>
            <w:vAlign w:val="bottom"/>
          </w:tcPr>
          <w:p w:rsidR="000C2ED5" w:rsidRDefault="00485212">
            <w:pPr>
              <w:ind w:left="160"/>
              <w:rPr>
                <w:sz w:val="20"/>
                <w:szCs w:val="20"/>
              </w:rPr>
            </w:pPr>
            <w:r>
              <w:rPr>
                <w:rFonts w:eastAsia="Times New Roman"/>
                <w:sz w:val="20"/>
                <w:szCs w:val="20"/>
              </w:rPr>
              <w:t>participants’ circumstances at the time of treatment and</w:t>
            </w:r>
          </w:p>
        </w:tc>
        <w:tc>
          <w:tcPr>
            <w:tcW w:w="126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260" w:type="dxa"/>
            <w:vAlign w:val="bottom"/>
          </w:tcPr>
          <w:p w:rsidR="000C2ED5" w:rsidRDefault="000C2ED5">
            <w:pPr>
              <w:rPr>
                <w:sz w:val="24"/>
                <w:szCs w:val="24"/>
              </w:rPr>
            </w:pPr>
          </w:p>
        </w:tc>
        <w:tc>
          <w:tcPr>
            <w:tcW w:w="1960" w:type="dxa"/>
            <w:vAlign w:val="bottom"/>
          </w:tcPr>
          <w:p w:rsidR="000C2ED5" w:rsidRDefault="00485212">
            <w:pPr>
              <w:ind w:left="160"/>
              <w:rPr>
                <w:sz w:val="20"/>
                <w:szCs w:val="20"/>
              </w:rPr>
            </w:pPr>
            <w:r>
              <w:rPr>
                <w:rFonts w:eastAsia="Times New Roman"/>
                <w:sz w:val="20"/>
                <w:szCs w:val="20"/>
              </w:rPr>
              <w:t>missed and</w:t>
            </w:r>
          </w:p>
        </w:tc>
        <w:tc>
          <w:tcPr>
            <w:tcW w:w="1740" w:type="dxa"/>
            <w:vAlign w:val="bottom"/>
          </w:tcPr>
          <w:p w:rsidR="000C2ED5" w:rsidRDefault="000C2ED5">
            <w:pPr>
              <w:rPr>
                <w:sz w:val="24"/>
                <w:szCs w:val="24"/>
              </w:rPr>
            </w:pPr>
          </w:p>
        </w:tc>
        <w:tc>
          <w:tcPr>
            <w:tcW w:w="5340" w:type="dxa"/>
            <w:vAlign w:val="bottom"/>
          </w:tcPr>
          <w:p w:rsidR="000C2ED5" w:rsidRDefault="00485212">
            <w:pPr>
              <w:ind w:left="160"/>
              <w:rPr>
                <w:sz w:val="20"/>
                <w:szCs w:val="20"/>
              </w:rPr>
            </w:pPr>
            <w:r>
              <w:rPr>
                <w:rFonts w:eastAsia="Times New Roman"/>
                <w:sz w:val="20"/>
                <w:szCs w:val="20"/>
              </w:rPr>
              <w:t xml:space="preserve">frequently included medical </w:t>
            </w:r>
            <w:r>
              <w:rPr>
                <w:rFonts w:eastAsia="Times New Roman"/>
                <w:sz w:val="20"/>
                <w:szCs w:val="20"/>
              </w:rPr>
              <w:t>reasons, e.g. illness/attendance at</w:t>
            </w:r>
          </w:p>
        </w:tc>
        <w:tc>
          <w:tcPr>
            <w:tcW w:w="126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260" w:type="dxa"/>
            <w:vAlign w:val="bottom"/>
          </w:tcPr>
          <w:p w:rsidR="000C2ED5" w:rsidRDefault="000C2ED5">
            <w:pPr>
              <w:rPr>
                <w:sz w:val="24"/>
                <w:szCs w:val="24"/>
              </w:rPr>
            </w:pPr>
          </w:p>
        </w:tc>
        <w:tc>
          <w:tcPr>
            <w:tcW w:w="1960" w:type="dxa"/>
            <w:vAlign w:val="bottom"/>
          </w:tcPr>
          <w:p w:rsidR="000C2ED5" w:rsidRDefault="00485212">
            <w:pPr>
              <w:ind w:left="160"/>
              <w:rPr>
                <w:sz w:val="20"/>
                <w:szCs w:val="20"/>
              </w:rPr>
            </w:pPr>
            <w:r>
              <w:rPr>
                <w:rFonts w:eastAsia="Times New Roman"/>
                <w:sz w:val="20"/>
                <w:szCs w:val="20"/>
              </w:rPr>
              <w:t>relevance to</w:t>
            </w:r>
          </w:p>
        </w:tc>
        <w:tc>
          <w:tcPr>
            <w:tcW w:w="1740" w:type="dxa"/>
            <w:vAlign w:val="bottom"/>
          </w:tcPr>
          <w:p w:rsidR="000C2ED5" w:rsidRDefault="000C2ED5">
            <w:pPr>
              <w:rPr>
                <w:sz w:val="24"/>
                <w:szCs w:val="24"/>
              </w:rPr>
            </w:pPr>
          </w:p>
        </w:tc>
        <w:tc>
          <w:tcPr>
            <w:tcW w:w="5340" w:type="dxa"/>
            <w:vAlign w:val="bottom"/>
          </w:tcPr>
          <w:p w:rsidR="000C2ED5" w:rsidRDefault="00485212">
            <w:pPr>
              <w:ind w:left="160"/>
              <w:rPr>
                <w:sz w:val="20"/>
                <w:szCs w:val="20"/>
              </w:rPr>
            </w:pPr>
            <w:r>
              <w:rPr>
                <w:rFonts w:eastAsia="Times New Roman"/>
                <w:sz w:val="20"/>
                <w:szCs w:val="20"/>
              </w:rPr>
              <w:t>medical appointments at time of session.</w:t>
            </w:r>
          </w:p>
        </w:tc>
        <w:tc>
          <w:tcPr>
            <w:tcW w:w="126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6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260" w:type="dxa"/>
            <w:vAlign w:val="bottom"/>
          </w:tcPr>
          <w:p w:rsidR="000C2ED5" w:rsidRDefault="000C2ED5">
            <w:pPr>
              <w:rPr>
                <w:sz w:val="24"/>
                <w:szCs w:val="24"/>
              </w:rPr>
            </w:pPr>
          </w:p>
        </w:tc>
        <w:tc>
          <w:tcPr>
            <w:tcW w:w="1960" w:type="dxa"/>
            <w:vAlign w:val="bottom"/>
          </w:tcPr>
          <w:p w:rsidR="000C2ED5" w:rsidRDefault="00485212">
            <w:pPr>
              <w:ind w:left="160"/>
              <w:rPr>
                <w:sz w:val="20"/>
                <w:szCs w:val="20"/>
              </w:rPr>
            </w:pPr>
            <w:r>
              <w:rPr>
                <w:rFonts w:eastAsia="Times New Roman"/>
                <w:sz w:val="20"/>
                <w:szCs w:val="20"/>
              </w:rPr>
              <w:t>recovery.</w:t>
            </w:r>
          </w:p>
        </w:tc>
        <w:tc>
          <w:tcPr>
            <w:tcW w:w="1740" w:type="dxa"/>
            <w:vAlign w:val="bottom"/>
          </w:tcPr>
          <w:p w:rsidR="000C2ED5" w:rsidRDefault="000C2ED5">
            <w:pPr>
              <w:rPr>
                <w:sz w:val="24"/>
                <w:szCs w:val="24"/>
              </w:rPr>
            </w:pPr>
          </w:p>
        </w:tc>
        <w:tc>
          <w:tcPr>
            <w:tcW w:w="5340" w:type="dxa"/>
            <w:vAlign w:val="bottom"/>
          </w:tcPr>
          <w:p w:rsidR="000C2ED5" w:rsidRDefault="000C2ED5">
            <w:pPr>
              <w:rPr>
                <w:sz w:val="24"/>
                <w:szCs w:val="24"/>
              </w:rPr>
            </w:pPr>
          </w:p>
        </w:tc>
        <w:tc>
          <w:tcPr>
            <w:tcW w:w="1260" w:type="dxa"/>
            <w:vAlign w:val="bottom"/>
          </w:tcPr>
          <w:p w:rsidR="000C2ED5" w:rsidRDefault="000C2ED5">
            <w:pPr>
              <w:rPr>
                <w:sz w:val="24"/>
                <w:szCs w:val="24"/>
              </w:rPr>
            </w:pPr>
          </w:p>
        </w:tc>
      </w:tr>
    </w:tbl>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46" w:lineRule="exact"/>
        <w:rPr>
          <w:sz w:val="20"/>
          <w:szCs w:val="20"/>
        </w:rPr>
      </w:pPr>
    </w:p>
    <w:p w:rsidR="000C2ED5" w:rsidRDefault="00485212">
      <w:pPr>
        <w:ind w:left="14840"/>
        <w:rPr>
          <w:sz w:val="20"/>
          <w:szCs w:val="20"/>
        </w:rPr>
      </w:pPr>
      <w:r>
        <w:rPr>
          <w:rFonts w:eastAsia="Times New Roman"/>
        </w:rPr>
        <w:t>50</w:t>
      </w:r>
    </w:p>
    <w:p w:rsidR="000C2ED5" w:rsidRDefault="000C2ED5">
      <w:pPr>
        <w:sectPr w:rsidR="000C2ED5">
          <w:pgSz w:w="16840" w:h="11906" w:orient="landscape"/>
          <w:pgMar w:top="698" w:right="338" w:bottom="403" w:left="340" w:header="0" w:footer="0" w:gutter="0"/>
          <w:cols w:space="720" w:equalWidth="0">
            <w:col w:w="16160"/>
          </w:cols>
        </w:sectPr>
      </w:pPr>
    </w:p>
    <w:p w:rsidR="000C2ED5" w:rsidRDefault="00485212">
      <w:pPr>
        <w:ind w:left="1100"/>
        <w:rPr>
          <w:sz w:val="20"/>
          <w:szCs w:val="20"/>
        </w:rPr>
      </w:pPr>
      <w:bookmarkStart w:id="51" w:name="page52"/>
      <w:bookmarkEnd w:id="51"/>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0"/>
        <w:gridCol w:w="1080"/>
        <w:gridCol w:w="1460"/>
        <w:gridCol w:w="2060"/>
        <w:gridCol w:w="2140"/>
        <w:gridCol w:w="2500"/>
        <w:gridCol w:w="3540"/>
        <w:gridCol w:w="2180"/>
      </w:tblGrid>
      <w:tr w:rsidR="000C2ED5">
        <w:trPr>
          <w:trHeight w:val="236"/>
        </w:trPr>
        <w:tc>
          <w:tcPr>
            <w:tcW w:w="1200" w:type="dxa"/>
            <w:tcBorders>
              <w:top w:val="single" w:sz="8" w:space="0" w:color="auto"/>
            </w:tcBorders>
            <w:vAlign w:val="bottom"/>
          </w:tcPr>
          <w:p w:rsidR="000C2ED5" w:rsidRDefault="00485212">
            <w:pPr>
              <w:jc w:val="center"/>
              <w:rPr>
                <w:sz w:val="20"/>
                <w:szCs w:val="20"/>
              </w:rPr>
            </w:pPr>
            <w:r>
              <w:rPr>
                <w:rFonts w:eastAsia="Times New Roman"/>
                <w:b/>
                <w:bCs/>
                <w:sz w:val="20"/>
                <w:szCs w:val="20"/>
              </w:rPr>
              <w:t>Author &amp;</w:t>
            </w:r>
          </w:p>
        </w:tc>
        <w:tc>
          <w:tcPr>
            <w:tcW w:w="108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460" w:type="dxa"/>
            <w:tcBorders>
              <w:top w:val="single" w:sz="8" w:space="0" w:color="auto"/>
            </w:tcBorders>
            <w:vAlign w:val="bottom"/>
          </w:tcPr>
          <w:p w:rsidR="000C2ED5" w:rsidRDefault="00485212">
            <w:pPr>
              <w:jc w:val="center"/>
              <w:rPr>
                <w:sz w:val="20"/>
                <w:szCs w:val="20"/>
              </w:rPr>
            </w:pPr>
            <w:r>
              <w:rPr>
                <w:rFonts w:eastAsia="Times New Roman"/>
                <w:b/>
                <w:bCs/>
                <w:w w:val="98"/>
                <w:sz w:val="20"/>
                <w:szCs w:val="20"/>
              </w:rPr>
              <w:t>Treatment</w:t>
            </w:r>
          </w:p>
        </w:tc>
        <w:tc>
          <w:tcPr>
            <w:tcW w:w="206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Definition of non-</w:t>
            </w:r>
          </w:p>
        </w:tc>
        <w:tc>
          <w:tcPr>
            <w:tcW w:w="2140" w:type="dxa"/>
            <w:tcBorders>
              <w:top w:val="single" w:sz="8" w:space="0" w:color="auto"/>
            </w:tcBorders>
            <w:vAlign w:val="bottom"/>
          </w:tcPr>
          <w:p w:rsidR="000C2ED5" w:rsidRDefault="00485212">
            <w:pPr>
              <w:ind w:left="280"/>
              <w:rPr>
                <w:sz w:val="20"/>
                <w:szCs w:val="20"/>
              </w:rPr>
            </w:pPr>
            <w:r>
              <w:rPr>
                <w:rFonts w:eastAsia="Times New Roman"/>
                <w:b/>
                <w:bCs/>
                <w:sz w:val="20"/>
                <w:szCs w:val="20"/>
              </w:rPr>
              <w:t>Research Question</w:t>
            </w:r>
          </w:p>
        </w:tc>
        <w:tc>
          <w:tcPr>
            <w:tcW w:w="2500" w:type="dxa"/>
            <w:tcBorders>
              <w:top w:val="single" w:sz="8" w:space="0" w:color="auto"/>
            </w:tcBorders>
            <w:vAlign w:val="bottom"/>
          </w:tcPr>
          <w:p w:rsidR="000C2ED5" w:rsidRDefault="00485212">
            <w:pPr>
              <w:ind w:left="260"/>
              <w:rPr>
                <w:sz w:val="20"/>
                <w:szCs w:val="20"/>
              </w:rPr>
            </w:pPr>
            <w:r>
              <w:rPr>
                <w:rFonts w:eastAsia="Times New Roman"/>
                <w:b/>
                <w:bCs/>
                <w:sz w:val="20"/>
                <w:szCs w:val="20"/>
              </w:rPr>
              <w:t>Sample Size</w:t>
            </w:r>
          </w:p>
        </w:tc>
        <w:tc>
          <w:tcPr>
            <w:tcW w:w="3540" w:type="dxa"/>
            <w:tcBorders>
              <w:top w:val="single" w:sz="8" w:space="0" w:color="auto"/>
            </w:tcBorders>
            <w:vAlign w:val="bottom"/>
          </w:tcPr>
          <w:p w:rsidR="000C2ED5" w:rsidRDefault="00485212">
            <w:pPr>
              <w:ind w:left="1200"/>
              <w:rPr>
                <w:sz w:val="20"/>
                <w:szCs w:val="20"/>
              </w:rPr>
            </w:pPr>
            <w:r>
              <w:rPr>
                <w:rFonts w:eastAsia="Times New Roman"/>
                <w:b/>
                <w:bCs/>
                <w:sz w:val="20"/>
                <w:szCs w:val="20"/>
              </w:rPr>
              <w:t>Main Findings</w:t>
            </w:r>
          </w:p>
        </w:tc>
        <w:tc>
          <w:tcPr>
            <w:tcW w:w="2180" w:type="dxa"/>
            <w:tcBorders>
              <w:top w:val="single" w:sz="8" w:space="0" w:color="auto"/>
            </w:tcBorders>
            <w:vAlign w:val="bottom"/>
          </w:tcPr>
          <w:p w:rsidR="000C2ED5" w:rsidRDefault="00485212">
            <w:pPr>
              <w:ind w:left="880"/>
              <w:jc w:val="center"/>
              <w:rPr>
                <w:sz w:val="20"/>
                <w:szCs w:val="20"/>
              </w:rPr>
            </w:pPr>
            <w:r>
              <w:rPr>
                <w:rFonts w:eastAsia="Times New Roman"/>
                <w:b/>
                <w:bCs/>
                <w:w w:val="99"/>
                <w:sz w:val="20"/>
                <w:szCs w:val="20"/>
              </w:rPr>
              <w:t>Quality</w:t>
            </w:r>
          </w:p>
        </w:tc>
      </w:tr>
      <w:tr w:rsidR="000C2ED5">
        <w:trPr>
          <w:trHeight w:val="461"/>
        </w:trPr>
        <w:tc>
          <w:tcPr>
            <w:tcW w:w="1200" w:type="dxa"/>
            <w:vAlign w:val="bottom"/>
          </w:tcPr>
          <w:p w:rsidR="000C2ED5" w:rsidRDefault="00485212">
            <w:pPr>
              <w:jc w:val="center"/>
              <w:rPr>
                <w:sz w:val="20"/>
                <w:szCs w:val="20"/>
              </w:rPr>
            </w:pPr>
            <w:r>
              <w:rPr>
                <w:rFonts w:eastAsia="Times New Roman"/>
                <w:b/>
                <w:bCs/>
                <w:w w:val="99"/>
                <w:sz w:val="20"/>
                <w:szCs w:val="20"/>
              </w:rPr>
              <w:t>Date</w:t>
            </w:r>
          </w:p>
        </w:tc>
        <w:tc>
          <w:tcPr>
            <w:tcW w:w="1080" w:type="dxa"/>
            <w:vAlign w:val="bottom"/>
          </w:tcPr>
          <w:p w:rsidR="000C2ED5" w:rsidRDefault="00485212">
            <w:pPr>
              <w:jc w:val="center"/>
              <w:rPr>
                <w:sz w:val="20"/>
                <w:szCs w:val="20"/>
              </w:rPr>
            </w:pPr>
            <w:r>
              <w:rPr>
                <w:rFonts w:eastAsia="Times New Roman"/>
                <w:b/>
                <w:bCs/>
                <w:w w:val="96"/>
                <w:sz w:val="20"/>
                <w:szCs w:val="20"/>
              </w:rPr>
              <w:t>Design</w:t>
            </w:r>
          </w:p>
        </w:tc>
        <w:tc>
          <w:tcPr>
            <w:tcW w:w="1460" w:type="dxa"/>
            <w:vAlign w:val="bottom"/>
          </w:tcPr>
          <w:p w:rsidR="000C2ED5" w:rsidRDefault="00485212">
            <w:pPr>
              <w:jc w:val="center"/>
              <w:rPr>
                <w:sz w:val="20"/>
                <w:szCs w:val="20"/>
              </w:rPr>
            </w:pPr>
            <w:r>
              <w:rPr>
                <w:rFonts w:eastAsia="Times New Roman"/>
                <w:b/>
                <w:bCs/>
                <w:w w:val="96"/>
                <w:sz w:val="20"/>
                <w:szCs w:val="20"/>
              </w:rPr>
              <w:t>Type</w:t>
            </w:r>
          </w:p>
        </w:tc>
        <w:tc>
          <w:tcPr>
            <w:tcW w:w="2060" w:type="dxa"/>
            <w:vAlign w:val="bottom"/>
          </w:tcPr>
          <w:p w:rsidR="000C2ED5" w:rsidRDefault="00485212">
            <w:pPr>
              <w:jc w:val="center"/>
              <w:rPr>
                <w:sz w:val="20"/>
                <w:szCs w:val="20"/>
              </w:rPr>
            </w:pPr>
            <w:r>
              <w:rPr>
                <w:rFonts w:eastAsia="Times New Roman"/>
                <w:b/>
                <w:bCs/>
                <w:w w:val="97"/>
                <w:sz w:val="20"/>
                <w:szCs w:val="20"/>
              </w:rPr>
              <w:t>completion/</w:t>
            </w:r>
          </w:p>
        </w:tc>
        <w:tc>
          <w:tcPr>
            <w:tcW w:w="2140" w:type="dxa"/>
            <w:vAlign w:val="bottom"/>
          </w:tcPr>
          <w:p w:rsidR="000C2ED5" w:rsidRDefault="000C2ED5">
            <w:pPr>
              <w:rPr>
                <w:sz w:val="24"/>
                <w:szCs w:val="24"/>
              </w:rPr>
            </w:pPr>
          </w:p>
        </w:tc>
        <w:tc>
          <w:tcPr>
            <w:tcW w:w="2500" w:type="dxa"/>
            <w:vAlign w:val="bottom"/>
          </w:tcPr>
          <w:p w:rsidR="000C2ED5" w:rsidRDefault="000C2ED5">
            <w:pPr>
              <w:rPr>
                <w:sz w:val="24"/>
                <w:szCs w:val="24"/>
              </w:rPr>
            </w:pPr>
          </w:p>
        </w:tc>
        <w:tc>
          <w:tcPr>
            <w:tcW w:w="3540" w:type="dxa"/>
            <w:vAlign w:val="bottom"/>
          </w:tcPr>
          <w:p w:rsidR="000C2ED5" w:rsidRDefault="000C2ED5">
            <w:pPr>
              <w:rPr>
                <w:sz w:val="24"/>
                <w:szCs w:val="24"/>
              </w:rPr>
            </w:pPr>
          </w:p>
        </w:tc>
        <w:tc>
          <w:tcPr>
            <w:tcW w:w="2180" w:type="dxa"/>
            <w:vAlign w:val="bottom"/>
          </w:tcPr>
          <w:p w:rsidR="000C2ED5" w:rsidRDefault="00485212">
            <w:pPr>
              <w:ind w:left="860"/>
              <w:jc w:val="center"/>
              <w:rPr>
                <w:sz w:val="20"/>
                <w:szCs w:val="20"/>
              </w:rPr>
            </w:pPr>
            <w:r>
              <w:rPr>
                <w:rFonts w:eastAsia="Times New Roman"/>
                <w:b/>
                <w:bCs/>
                <w:sz w:val="20"/>
                <w:szCs w:val="20"/>
              </w:rPr>
              <w:t>Assessment</w:t>
            </w:r>
          </w:p>
        </w:tc>
      </w:tr>
      <w:tr w:rsidR="000C2ED5">
        <w:trPr>
          <w:trHeight w:val="458"/>
        </w:trPr>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60" w:type="dxa"/>
            <w:vAlign w:val="bottom"/>
          </w:tcPr>
          <w:p w:rsidR="000C2ED5" w:rsidRDefault="00485212">
            <w:pPr>
              <w:jc w:val="center"/>
              <w:rPr>
                <w:sz w:val="20"/>
                <w:szCs w:val="20"/>
              </w:rPr>
            </w:pPr>
            <w:r>
              <w:rPr>
                <w:rFonts w:eastAsia="Times New Roman"/>
                <w:b/>
                <w:bCs/>
                <w:w w:val="99"/>
                <w:sz w:val="20"/>
                <w:szCs w:val="20"/>
              </w:rPr>
              <w:t>Engagement</w:t>
            </w:r>
          </w:p>
        </w:tc>
        <w:tc>
          <w:tcPr>
            <w:tcW w:w="2140" w:type="dxa"/>
            <w:vAlign w:val="bottom"/>
          </w:tcPr>
          <w:p w:rsidR="000C2ED5" w:rsidRDefault="000C2ED5">
            <w:pPr>
              <w:rPr>
                <w:sz w:val="24"/>
                <w:szCs w:val="24"/>
              </w:rPr>
            </w:pPr>
          </w:p>
        </w:tc>
        <w:tc>
          <w:tcPr>
            <w:tcW w:w="2500" w:type="dxa"/>
            <w:vAlign w:val="bottom"/>
          </w:tcPr>
          <w:p w:rsidR="000C2ED5" w:rsidRDefault="000C2ED5">
            <w:pPr>
              <w:rPr>
                <w:sz w:val="24"/>
                <w:szCs w:val="24"/>
              </w:rPr>
            </w:pPr>
          </w:p>
        </w:tc>
        <w:tc>
          <w:tcPr>
            <w:tcW w:w="3540" w:type="dxa"/>
            <w:vAlign w:val="bottom"/>
          </w:tcPr>
          <w:p w:rsidR="000C2ED5" w:rsidRDefault="000C2ED5">
            <w:pPr>
              <w:rPr>
                <w:sz w:val="24"/>
                <w:szCs w:val="24"/>
              </w:rPr>
            </w:pPr>
          </w:p>
        </w:tc>
        <w:tc>
          <w:tcPr>
            <w:tcW w:w="2180" w:type="dxa"/>
            <w:vAlign w:val="bottom"/>
          </w:tcPr>
          <w:p w:rsidR="000C2ED5" w:rsidRDefault="00485212">
            <w:pPr>
              <w:ind w:left="860"/>
              <w:jc w:val="center"/>
              <w:rPr>
                <w:sz w:val="20"/>
                <w:szCs w:val="20"/>
              </w:rPr>
            </w:pPr>
            <w:r>
              <w:rPr>
                <w:rFonts w:eastAsia="Times New Roman"/>
                <w:b/>
                <w:bCs/>
                <w:sz w:val="20"/>
                <w:szCs w:val="20"/>
              </w:rPr>
              <w:t>score</w:t>
            </w:r>
          </w:p>
        </w:tc>
      </w:tr>
      <w:tr w:rsidR="000C2ED5">
        <w:trPr>
          <w:trHeight w:val="234"/>
        </w:trPr>
        <w:tc>
          <w:tcPr>
            <w:tcW w:w="1200" w:type="dxa"/>
            <w:tcBorders>
              <w:bottom w:val="single" w:sz="8" w:space="0" w:color="auto"/>
            </w:tcBorders>
            <w:vAlign w:val="bottom"/>
          </w:tcPr>
          <w:p w:rsidR="000C2ED5" w:rsidRDefault="000C2ED5">
            <w:pPr>
              <w:rPr>
                <w:sz w:val="20"/>
                <w:szCs w:val="20"/>
              </w:rPr>
            </w:pPr>
          </w:p>
        </w:tc>
        <w:tc>
          <w:tcPr>
            <w:tcW w:w="1080" w:type="dxa"/>
            <w:tcBorders>
              <w:bottom w:val="single" w:sz="8" w:space="0" w:color="auto"/>
            </w:tcBorders>
            <w:vAlign w:val="bottom"/>
          </w:tcPr>
          <w:p w:rsidR="000C2ED5" w:rsidRDefault="000C2ED5">
            <w:pPr>
              <w:rPr>
                <w:sz w:val="20"/>
                <w:szCs w:val="20"/>
              </w:rPr>
            </w:pPr>
          </w:p>
        </w:tc>
        <w:tc>
          <w:tcPr>
            <w:tcW w:w="1460" w:type="dxa"/>
            <w:tcBorders>
              <w:bottom w:val="single" w:sz="8" w:space="0" w:color="auto"/>
            </w:tcBorders>
            <w:vAlign w:val="bottom"/>
          </w:tcPr>
          <w:p w:rsidR="000C2ED5" w:rsidRDefault="000C2ED5">
            <w:pPr>
              <w:rPr>
                <w:sz w:val="20"/>
                <w:szCs w:val="20"/>
              </w:rPr>
            </w:pPr>
          </w:p>
        </w:tc>
        <w:tc>
          <w:tcPr>
            <w:tcW w:w="2060" w:type="dxa"/>
            <w:tcBorders>
              <w:bottom w:val="single" w:sz="8" w:space="0" w:color="auto"/>
            </w:tcBorders>
            <w:vAlign w:val="bottom"/>
          </w:tcPr>
          <w:p w:rsidR="000C2ED5" w:rsidRDefault="000C2ED5">
            <w:pPr>
              <w:rPr>
                <w:sz w:val="20"/>
                <w:szCs w:val="20"/>
              </w:rPr>
            </w:pPr>
          </w:p>
        </w:tc>
        <w:tc>
          <w:tcPr>
            <w:tcW w:w="2140" w:type="dxa"/>
            <w:tcBorders>
              <w:bottom w:val="single" w:sz="8" w:space="0" w:color="auto"/>
            </w:tcBorders>
            <w:vAlign w:val="bottom"/>
          </w:tcPr>
          <w:p w:rsidR="000C2ED5" w:rsidRDefault="000C2ED5">
            <w:pPr>
              <w:rPr>
                <w:sz w:val="20"/>
                <w:szCs w:val="20"/>
              </w:rPr>
            </w:pPr>
          </w:p>
        </w:tc>
        <w:tc>
          <w:tcPr>
            <w:tcW w:w="2500" w:type="dxa"/>
            <w:tcBorders>
              <w:bottom w:val="single" w:sz="8" w:space="0" w:color="auto"/>
            </w:tcBorders>
            <w:vAlign w:val="bottom"/>
          </w:tcPr>
          <w:p w:rsidR="000C2ED5" w:rsidRDefault="000C2ED5">
            <w:pPr>
              <w:rPr>
                <w:sz w:val="20"/>
                <w:szCs w:val="20"/>
              </w:rPr>
            </w:pPr>
          </w:p>
        </w:tc>
        <w:tc>
          <w:tcPr>
            <w:tcW w:w="3540" w:type="dxa"/>
            <w:tcBorders>
              <w:bottom w:val="single" w:sz="8" w:space="0" w:color="auto"/>
            </w:tcBorders>
            <w:vAlign w:val="bottom"/>
          </w:tcPr>
          <w:p w:rsidR="000C2ED5" w:rsidRDefault="000C2ED5">
            <w:pPr>
              <w:rPr>
                <w:sz w:val="20"/>
                <w:szCs w:val="20"/>
              </w:rPr>
            </w:pPr>
          </w:p>
        </w:tc>
        <w:tc>
          <w:tcPr>
            <w:tcW w:w="2180" w:type="dxa"/>
            <w:tcBorders>
              <w:bottom w:val="single" w:sz="8" w:space="0" w:color="auto"/>
            </w:tcBorders>
            <w:vAlign w:val="bottom"/>
          </w:tcPr>
          <w:p w:rsidR="000C2ED5" w:rsidRDefault="000C2ED5">
            <w:pPr>
              <w:rPr>
                <w:sz w:val="20"/>
                <w:szCs w:val="20"/>
              </w:rPr>
            </w:pPr>
          </w:p>
        </w:tc>
      </w:tr>
    </w:tbl>
    <w:p w:rsidR="000C2ED5" w:rsidRDefault="000C2ED5">
      <w:pPr>
        <w:spacing w:line="200" w:lineRule="exact"/>
        <w:rPr>
          <w:sz w:val="20"/>
          <w:szCs w:val="20"/>
        </w:rPr>
      </w:pPr>
    </w:p>
    <w:p w:rsidR="000C2ED5" w:rsidRDefault="000C2ED5">
      <w:pPr>
        <w:sectPr w:rsidR="000C2ED5">
          <w:pgSz w:w="16840" w:h="11906" w:orient="landscape"/>
          <w:pgMar w:top="698" w:right="338" w:bottom="403" w:left="340" w:header="0" w:footer="0" w:gutter="0"/>
          <w:cols w:space="720" w:equalWidth="0">
            <w:col w:w="16160"/>
          </w:cols>
        </w:sectPr>
      </w:pPr>
    </w:p>
    <w:p w:rsidR="000C2ED5" w:rsidRDefault="000C2ED5">
      <w:pPr>
        <w:spacing w:line="330"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960"/>
        <w:gridCol w:w="1100"/>
        <w:gridCol w:w="1480"/>
        <w:gridCol w:w="2260"/>
        <w:gridCol w:w="1860"/>
        <w:gridCol w:w="840"/>
        <w:gridCol w:w="860"/>
      </w:tblGrid>
      <w:tr w:rsidR="000C2ED5">
        <w:trPr>
          <w:trHeight w:val="230"/>
        </w:trPr>
        <w:tc>
          <w:tcPr>
            <w:tcW w:w="960" w:type="dxa"/>
            <w:vAlign w:val="bottom"/>
          </w:tcPr>
          <w:p w:rsidR="000C2ED5" w:rsidRDefault="00485212">
            <w:pPr>
              <w:rPr>
                <w:sz w:val="20"/>
                <w:szCs w:val="20"/>
              </w:rPr>
            </w:pPr>
            <w:r>
              <w:rPr>
                <w:rFonts w:eastAsia="Times New Roman"/>
                <w:sz w:val="20"/>
                <w:szCs w:val="20"/>
              </w:rPr>
              <w:t>Mann et</w:t>
            </w:r>
          </w:p>
        </w:tc>
        <w:tc>
          <w:tcPr>
            <w:tcW w:w="1100" w:type="dxa"/>
            <w:vAlign w:val="bottom"/>
          </w:tcPr>
          <w:p w:rsidR="000C2ED5" w:rsidRDefault="00485212">
            <w:pPr>
              <w:ind w:left="160"/>
              <w:rPr>
                <w:sz w:val="20"/>
                <w:szCs w:val="20"/>
              </w:rPr>
            </w:pPr>
            <w:r>
              <w:rPr>
                <w:rFonts w:eastAsia="Times New Roman"/>
                <w:sz w:val="20"/>
                <w:szCs w:val="20"/>
              </w:rPr>
              <w:t>Mixed-</w:t>
            </w:r>
          </w:p>
        </w:tc>
        <w:tc>
          <w:tcPr>
            <w:tcW w:w="1480" w:type="dxa"/>
            <w:vAlign w:val="bottom"/>
          </w:tcPr>
          <w:p w:rsidR="000C2ED5" w:rsidRDefault="00485212">
            <w:pPr>
              <w:ind w:left="280"/>
              <w:rPr>
                <w:sz w:val="20"/>
                <w:szCs w:val="20"/>
              </w:rPr>
            </w:pPr>
            <w:r>
              <w:rPr>
                <w:rFonts w:eastAsia="Times New Roman"/>
                <w:sz w:val="20"/>
                <w:szCs w:val="20"/>
              </w:rPr>
              <w:t>Sex Offender</w:t>
            </w:r>
          </w:p>
        </w:tc>
        <w:tc>
          <w:tcPr>
            <w:tcW w:w="2260" w:type="dxa"/>
            <w:vAlign w:val="bottom"/>
          </w:tcPr>
          <w:p w:rsidR="000C2ED5" w:rsidRDefault="00485212">
            <w:pPr>
              <w:ind w:left="120"/>
              <w:rPr>
                <w:sz w:val="20"/>
                <w:szCs w:val="20"/>
              </w:rPr>
            </w:pPr>
            <w:r>
              <w:rPr>
                <w:rFonts w:eastAsia="Times New Roman"/>
                <w:i/>
                <w:iCs/>
                <w:sz w:val="20"/>
                <w:szCs w:val="20"/>
              </w:rPr>
              <w:t>Treatment accepters</w:t>
            </w:r>
            <w:r>
              <w:rPr>
                <w:rFonts w:eastAsia="Times New Roman"/>
                <w:sz w:val="20"/>
                <w:szCs w:val="20"/>
              </w:rPr>
              <w:t>:</w:t>
            </w:r>
          </w:p>
        </w:tc>
        <w:tc>
          <w:tcPr>
            <w:tcW w:w="1860" w:type="dxa"/>
            <w:vAlign w:val="bottom"/>
          </w:tcPr>
          <w:p w:rsidR="000C2ED5" w:rsidRDefault="00485212">
            <w:pPr>
              <w:ind w:left="120"/>
              <w:rPr>
                <w:sz w:val="20"/>
                <w:szCs w:val="20"/>
              </w:rPr>
            </w:pPr>
            <w:r>
              <w:rPr>
                <w:rFonts w:eastAsia="Times New Roman"/>
                <w:sz w:val="20"/>
                <w:szCs w:val="20"/>
              </w:rPr>
              <w:t>Factors associated</w:t>
            </w:r>
          </w:p>
        </w:tc>
        <w:tc>
          <w:tcPr>
            <w:tcW w:w="1700" w:type="dxa"/>
            <w:gridSpan w:val="2"/>
            <w:vAlign w:val="bottom"/>
          </w:tcPr>
          <w:p w:rsidR="000C2ED5" w:rsidRDefault="00485212">
            <w:pPr>
              <w:ind w:left="180"/>
              <w:rPr>
                <w:sz w:val="20"/>
                <w:szCs w:val="20"/>
              </w:rPr>
            </w:pPr>
            <w:r>
              <w:rPr>
                <w:rFonts w:eastAsia="Times New Roman"/>
                <w:w w:val="98"/>
                <w:sz w:val="20"/>
                <w:szCs w:val="20"/>
              </w:rPr>
              <w:t>121 male prisoners</w:t>
            </w:r>
          </w:p>
        </w:tc>
      </w:tr>
      <w:tr w:rsidR="000C2ED5">
        <w:trPr>
          <w:trHeight w:val="461"/>
        </w:trPr>
        <w:tc>
          <w:tcPr>
            <w:tcW w:w="960" w:type="dxa"/>
            <w:vAlign w:val="bottom"/>
          </w:tcPr>
          <w:p w:rsidR="000C2ED5" w:rsidRDefault="00485212">
            <w:pPr>
              <w:rPr>
                <w:sz w:val="20"/>
                <w:szCs w:val="20"/>
              </w:rPr>
            </w:pPr>
            <w:r>
              <w:rPr>
                <w:rFonts w:eastAsia="Times New Roman"/>
                <w:sz w:val="20"/>
                <w:szCs w:val="20"/>
              </w:rPr>
              <w:t>al. (2012)</w:t>
            </w:r>
          </w:p>
        </w:tc>
        <w:tc>
          <w:tcPr>
            <w:tcW w:w="1100" w:type="dxa"/>
            <w:vAlign w:val="bottom"/>
          </w:tcPr>
          <w:p w:rsidR="000C2ED5" w:rsidRDefault="00485212">
            <w:pPr>
              <w:ind w:left="160"/>
              <w:rPr>
                <w:sz w:val="20"/>
                <w:szCs w:val="20"/>
              </w:rPr>
            </w:pPr>
            <w:r>
              <w:rPr>
                <w:rFonts w:eastAsia="Times New Roman"/>
                <w:sz w:val="20"/>
                <w:szCs w:val="20"/>
              </w:rPr>
              <w:t>methods</w:t>
            </w:r>
          </w:p>
        </w:tc>
        <w:tc>
          <w:tcPr>
            <w:tcW w:w="1480" w:type="dxa"/>
            <w:vAlign w:val="bottom"/>
          </w:tcPr>
          <w:p w:rsidR="000C2ED5" w:rsidRDefault="00485212">
            <w:pPr>
              <w:ind w:left="280"/>
              <w:rPr>
                <w:sz w:val="20"/>
                <w:szCs w:val="20"/>
              </w:rPr>
            </w:pPr>
            <w:r>
              <w:rPr>
                <w:rFonts w:eastAsia="Times New Roman"/>
                <w:sz w:val="20"/>
                <w:szCs w:val="20"/>
              </w:rPr>
              <w:t>Treatment</w:t>
            </w:r>
          </w:p>
        </w:tc>
        <w:tc>
          <w:tcPr>
            <w:tcW w:w="2260" w:type="dxa"/>
            <w:vAlign w:val="bottom"/>
          </w:tcPr>
          <w:p w:rsidR="000C2ED5" w:rsidRDefault="00485212">
            <w:pPr>
              <w:ind w:left="120"/>
              <w:rPr>
                <w:sz w:val="20"/>
                <w:szCs w:val="20"/>
              </w:rPr>
            </w:pPr>
            <w:r>
              <w:rPr>
                <w:rFonts w:eastAsia="Times New Roman"/>
                <w:sz w:val="20"/>
                <w:szCs w:val="20"/>
              </w:rPr>
              <w:t>those who had admitted</w:t>
            </w:r>
          </w:p>
        </w:tc>
        <w:tc>
          <w:tcPr>
            <w:tcW w:w="1860" w:type="dxa"/>
            <w:vAlign w:val="bottom"/>
          </w:tcPr>
          <w:p w:rsidR="000C2ED5" w:rsidRDefault="00485212">
            <w:pPr>
              <w:ind w:left="120"/>
              <w:rPr>
                <w:sz w:val="20"/>
                <w:szCs w:val="20"/>
              </w:rPr>
            </w:pPr>
            <w:r>
              <w:rPr>
                <w:rFonts w:eastAsia="Times New Roman"/>
                <w:sz w:val="20"/>
                <w:szCs w:val="20"/>
              </w:rPr>
              <w:t>with treatment</w:t>
            </w:r>
          </w:p>
        </w:tc>
        <w:tc>
          <w:tcPr>
            <w:tcW w:w="840" w:type="dxa"/>
            <w:vAlign w:val="bottom"/>
          </w:tcPr>
          <w:p w:rsidR="000C2ED5" w:rsidRDefault="00485212">
            <w:pPr>
              <w:ind w:left="180"/>
              <w:rPr>
                <w:sz w:val="20"/>
                <w:szCs w:val="20"/>
              </w:rPr>
            </w:pPr>
            <w:r>
              <w:rPr>
                <w:rFonts w:eastAsia="Times New Roman"/>
                <w:i/>
                <w:iCs/>
                <w:sz w:val="20"/>
                <w:szCs w:val="20"/>
              </w:rPr>
              <w:t>Phase 1</w:t>
            </w:r>
          </w:p>
        </w:tc>
        <w:tc>
          <w:tcPr>
            <w:tcW w:w="860" w:type="dxa"/>
            <w:vAlign w:val="bottom"/>
          </w:tcPr>
          <w:p w:rsidR="000C2ED5" w:rsidRDefault="00485212">
            <w:pPr>
              <w:ind w:left="40"/>
              <w:rPr>
                <w:sz w:val="20"/>
                <w:szCs w:val="20"/>
              </w:rPr>
            </w:pPr>
            <w:r>
              <w:rPr>
                <w:rFonts w:eastAsia="Times New Roman"/>
                <w:i/>
                <w:iCs/>
                <w:sz w:val="20"/>
                <w:szCs w:val="20"/>
              </w:rPr>
              <w:t xml:space="preserve">(n </w:t>
            </w:r>
            <w:r>
              <w:rPr>
                <w:rFonts w:eastAsia="Times New Roman"/>
                <w:sz w:val="20"/>
                <w:szCs w:val="20"/>
              </w:rPr>
              <w:t>=11</w:t>
            </w:r>
            <w:r>
              <w:rPr>
                <w:rFonts w:eastAsia="Times New Roman"/>
                <w:i/>
                <w:iCs/>
                <w:sz w:val="20"/>
                <w:szCs w:val="20"/>
              </w:rPr>
              <w:t>)</w:t>
            </w:r>
          </w:p>
        </w:tc>
      </w:tr>
      <w:tr w:rsidR="000C2ED5">
        <w:trPr>
          <w:trHeight w:val="458"/>
        </w:trPr>
        <w:tc>
          <w:tcPr>
            <w:tcW w:w="96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480" w:type="dxa"/>
            <w:vAlign w:val="bottom"/>
          </w:tcPr>
          <w:p w:rsidR="000C2ED5" w:rsidRDefault="000C2ED5">
            <w:pPr>
              <w:rPr>
                <w:sz w:val="24"/>
                <w:szCs w:val="24"/>
              </w:rPr>
            </w:pPr>
          </w:p>
        </w:tc>
        <w:tc>
          <w:tcPr>
            <w:tcW w:w="2260" w:type="dxa"/>
            <w:vAlign w:val="bottom"/>
          </w:tcPr>
          <w:p w:rsidR="000C2ED5" w:rsidRDefault="00485212">
            <w:pPr>
              <w:ind w:left="120"/>
              <w:rPr>
                <w:sz w:val="20"/>
                <w:szCs w:val="20"/>
              </w:rPr>
            </w:pPr>
            <w:r>
              <w:rPr>
                <w:rFonts w:eastAsia="Times New Roman"/>
                <w:sz w:val="20"/>
                <w:szCs w:val="20"/>
              </w:rPr>
              <w:t>their offence and had</w:t>
            </w:r>
          </w:p>
        </w:tc>
        <w:tc>
          <w:tcPr>
            <w:tcW w:w="1860" w:type="dxa"/>
            <w:vAlign w:val="bottom"/>
          </w:tcPr>
          <w:p w:rsidR="000C2ED5" w:rsidRDefault="00485212">
            <w:pPr>
              <w:ind w:left="120"/>
              <w:rPr>
                <w:sz w:val="20"/>
                <w:szCs w:val="20"/>
              </w:rPr>
            </w:pPr>
            <w:r>
              <w:rPr>
                <w:rFonts w:eastAsia="Times New Roman"/>
                <w:sz w:val="20"/>
                <w:szCs w:val="20"/>
              </w:rPr>
              <w:t>refusal. Also</w:t>
            </w:r>
          </w:p>
        </w:tc>
        <w:tc>
          <w:tcPr>
            <w:tcW w:w="840" w:type="dxa"/>
            <w:vAlign w:val="bottom"/>
          </w:tcPr>
          <w:p w:rsidR="000C2ED5" w:rsidRDefault="00485212">
            <w:pPr>
              <w:ind w:left="180"/>
              <w:rPr>
                <w:sz w:val="20"/>
                <w:szCs w:val="20"/>
              </w:rPr>
            </w:pPr>
            <w:r>
              <w:rPr>
                <w:rFonts w:eastAsia="Times New Roman"/>
                <w:i/>
                <w:iCs/>
                <w:sz w:val="20"/>
                <w:szCs w:val="20"/>
              </w:rPr>
              <w:t>Phase 2</w:t>
            </w:r>
          </w:p>
        </w:tc>
        <w:tc>
          <w:tcPr>
            <w:tcW w:w="860" w:type="dxa"/>
            <w:vAlign w:val="bottom"/>
          </w:tcPr>
          <w:p w:rsidR="000C2ED5" w:rsidRDefault="00485212">
            <w:pPr>
              <w:ind w:left="40"/>
              <w:rPr>
                <w:sz w:val="20"/>
                <w:szCs w:val="20"/>
              </w:rPr>
            </w:pPr>
            <w:r>
              <w:rPr>
                <w:rFonts w:eastAsia="Times New Roman"/>
                <w:i/>
                <w:iCs/>
                <w:sz w:val="20"/>
                <w:szCs w:val="20"/>
              </w:rPr>
              <w:t xml:space="preserve">(n </w:t>
            </w:r>
            <w:r>
              <w:rPr>
                <w:rFonts w:eastAsia="Times New Roman"/>
                <w:sz w:val="20"/>
                <w:szCs w:val="20"/>
              </w:rPr>
              <w:t>= 101)</w:t>
            </w:r>
          </w:p>
        </w:tc>
      </w:tr>
      <w:tr w:rsidR="000C2ED5">
        <w:trPr>
          <w:trHeight w:val="461"/>
        </w:trPr>
        <w:tc>
          <w:tcPr>
            <w:tcW w:w="96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480" w:type="dxa"/>
            <w:vAlign w:val="bottom"/>
          </w:tcPr>
          <w:p w:rsidR="000C2ED5" w:rsidRDefault="000C2ED5">
            <w:pPr>
              <w:rPr>
                <w:sz w:val="24"/>
                <w:szCs w:val="24"/>
              </w:rPr>
            </w:pPr>
          </w:p>
        </w:tc>
        <w:tc>
          <w:tcPr>
            <w:tcW w:w="2260" w:type="dxa"/>
            <w:vAlign w:val="bottom"/>
          </w:tcPr>
          <w:p w:rsidR="000C2ED5" w:rsidRDefault="00485212">
            <w:pPr>
              <w:ind w:left="120"/>
              <w:rPr>
                <w:sz w:val="20"/>
                <w:szCs w:val="20"/>
              </w:rPr>
            </w:pPr>
            <w:r>
              <w:rPr>
                <w:rFonts w:eastAsia="Times New Roman"/>
                <w:sz w:val="20"/>
                <w:szCs w:val="20"/>
              </w:rPr>
              <w:t>accepted a place on the</w:t>
            </w:r>
          </w:p>
        </w:tc>
        <w:tc>
          <w:tcPr>
            <w:tcW w:w="1860" w:type="dxa"/>
            <w:vAlign w:val="bottom"/>
          </w:tcPr>
          <w:p w:rsidR="000C2ED5" w:rsidRDefault="00485212">
            <w:pPr>
              <w:ind w:left="120"/>
              <w:rPr>
                <w:sz w:val="20"/>
                <w:szCs w:val="20"/>
              </w:rPr>
            </w:pPr>
            <w:r>
              <w:rPr>
                <w:rFonts w:eastAsia="Times New Roman"/>
                <w:sz w:val="20"/>
                <w:szCs w:val="20"/>
              </w:rPr>
              <w:t>explored barriers to</w:t>
            </w:r>
          </w:p>
        </w:tc>
        <w:tc>
          <w:tcPr>
            <w:tcW w:w="840" w:type="dxa"/>
            <w:vAlign w:val="bottom"/>
          </w:tcPr>
          <w:p w:rsidR="000C2ED5" w:rsidRDefault="000C2ED5">
            <w:pPr>
              <w:rPr>
                <w:sz w:val="24"/>
                <w:szCs w:val="24"/>
              </w:rPr>
            </w:pPr>
          </w:p>
        </w:tc>
        <w:tc>
          <w:tcPr>
            <w:tcW w:w="860" w:type="dxa"/>
            <w:vAlign w:val="bottom"/>
          </w:tcPr>
          <w:p w:rsidR="000C2ED5" w:rsidRDefault="000C2ED5">
            <w:pPr>
              <w:rPr>
                <w:sz w:val="24"/>
                <w:szCs w:val="24"/>
              </w:rPr>
            </w:pPr>
          </w:p>
        </w:tc>
      </w:tr>
      <w:tr w:rsidR="000C2ED5">
        <w:trPr>
          <w:trHeight w:val="461"/>
        </w:trPr>
        <w:tc>
          <w:tcPr>
            <w:tcW w:w="96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480" w:type="dxa"/>
            <w:vAlign w:val="bottom"/>
          </w:tcPr>
          <w:p w:rsidR="000C2ED5" w:rsidRDefault="000C2ED5">
            <w:pPr>
              <w:rPr>
                <w:sz w:val="24"/>
                <w:szCs w:val="24"/>
              </w:rPr>
            </w:pPr>
          </w:p>
        </w:tc>
        <w:tc>
          <w:tcPr>
            <w:tcW w:w="2260" w:type="dxa"/>
            <w:vAlign w:val="bottom"/>
          </w:tcPr>
          <w:p w:rsidR="000C2ED5" w:rsidRDefault="00485212">
            <w:pPr>
              <w:ind w:left="120"/>
              <w:rPr>
                <w:sz w:val="20"/>
                <w:szCs w:val="20"/>
              </w:rPr>
            </w:pPr>
            <w:r>
              <w:rPr>
                <w:rFonts w:eastAsia="Times New Roman"/>
                <w:sz w:val="20"/>
                <w:szCs w:val="20"/>
              </w:rPr>
              <w:t>programme.</w:t>
            </w:r>
          </w:p>
        </w:tc>
        <w:tc>
          <w:tcPr>
            <w:tcW w:w="1860" w:type="dxa"/>
            <w:vAlign w:val="bottom"/>
          </w:tcPr>
          <w:p w:rsidR="000C2ED5" w:rsidRDefault="00485212">
            <w:pPr>
              <w:ind w:left="120"/>
              <w:rPr>
                <w:sz w:val="20"/>
                <w:szCs w:val="20"/>
              </w:rPr>
            </w:pPr>
            <w:r>
              <w:rPr>
                <w:rFonts w:eastAsia="Times New Roman"/>
                <w:sz w:val="20"/>
                <w:szCs w:val="20"/>
              </w:rPr>
              <w:t>treatment as</w:t>
            </w:r>
          </w:p>
        </w:tc>
        <w:tc>
          <w:tcPr>
            <w:tcW w:w="840" w:type="dxa"/>
            <w:vAlign w:val="bottom"/>
          </w:tcPr>
          <w:p w:rsidR="000C2ED5" w:rsidRDefault="000C2ED5">
            <w:pPr>
              <w:rPr>
                <w:sz w:val="24"/>
                <w:szCs w:val="24"/>
              </w:rPr>
            </w:pPr>
          </w:p>
        </w:tc>
        <w:tc>
          <w:tcPr>
            <w:tcW w:w="860" w:type="dxa"/>
            <w:vAlign w:val="bottom"/>
          </w:tcPr>
          <w:p w:rsidR="000C2ED5" w:rsidRDefault="000C2ED5">
            <w:pPr>
              <w:rPr>
                <w:sz w:val="24"/>
                <w:szCs w:val="24"/>
              </w:rPr>
            </w:pPr>
          </w:p>
        </w:tc>
      </w:tr>
      <w:tr w:rsidR="000C2ED5">
        <w:trPr>
          <w:trHeight w:val="458"/>
        </w:trPr>
        <w:tc>
          <w:tcPr>
            <w:tcW w:w="96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480" w:type="dxa"/>
            <w:vAlign w:val="bottom"/>
          </w:tcPr>
          <w:p w:rsidR="000C2ED5" w:rsidRDefault="000C2ED5">
            <w:pPr>
              <w:rPr>
                <w:sz w:val="24"/>
                <w:szCs w:val="24"/>
              </w:rPr>
            </w:pPr>
          </w:p>
        </w:tc>
        <w:tc>
          <w:tcPr>
            <w:tcW w:w="2260" w:type="dxa"/>
            <w:vAlign w:val="bottom"/>
          </w:tcPr>
          <w:p w:rsidR="000C2ED5" w:rsidRDefault="00485212">
            <w:pPr>
              <w:ind w:left="120"/>
              <w:rPr>
                <w:sz w:val="20"/>
                <w:szCs w:val="20"/>
              </w:rPr>
            </w:pPr>
            <w:r>
              <w:rPr>
                <w:rFonts w:eastAsia="Times New Roman"/>
                <w:i/>
                <w:iCs/>
                <w:sz w:val="20"/>
                <w:szCs w:val="20"/>
              </w:rPr>
              <w:t>Treatment refusers:</w:t>
            </w:r>
          </w:p>
        </w:tc>
        <w:tc>
          <w:tcPr>
            <w:tcW w:w="1860" w:type="dxa"/>
            <w:vAlign w:val="bottom"/>
          </w:tcPr>
          <w:p w:rsidR="000C2ED5" w:rsidRDefault="00485212">
            <w:pPr>
              <w:ind w:left="120"/>
              <w:rPr>
                <w:sz w:val="20"/>
                <w:szCs w:val="20"/>
              </w:rPr>
            </w:pPr>
            <w:r>
              <w:rPr>
                <w:rFonts w:eastAsia="Times New Roman"/>
                <w:sz w:val="20"/>
                <w:szCs w:val="20"/>
              </w:rPr>
              <w:t>perceived by both</w:t>
            </w:r>
          </w:p>
        </w:tc>
        <w:tc>
          <w:tcPr>
            <w:tcW w:w="840" w:type="dxa"/>
            <w:vAlign w:val="bottom"/>
          </w:tcPr>
          <w:p w:rsidR="000C2ED5" w:rsidRDefault="000C2ED5">
            <w:pPr>
              <w:rPr>
                <w:sz w:val="24"/>
                <w:szCs w:val="24"/>
              </w:rPr>
            </w:pPr>
          </w:p>
        </w:tc>
        <w:tc>
          <w:tcPr>
            <w:tcW w:w="860" w:type="dxa"/>
            <w:vAlign w:val="bottom"/>
          </w:tcPr>
          <w:p w:rsidR="000C2ED5" w:rsidRDefault="000C2ED5">
            <w:pPr>
              <w:rPr>
                <w:sz w:val="24"/>
                <w:szCs w:val="24"/>
              </w:rPr>
            </w:pPr>
          </w:p>
        </w:tc>
      </w:tr>
      <w:tr w:rsidR="000C2ED5">
        <w:trPr>
          <w:trHeight w:val="461"/>
        </w:trPr>
        <w:tc>
          <w:tcPr>
            <w:tcW w:w="96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480" w:type="dxa"/>
            <w:vAlign w:val="bottom"/>
          </w:tcPr>
          <w:p w:rsidR="000C2ED5" w:rsidRDefault="000C2ED5">
            <w:pPr>
              <w:rPr>
                <w:sz w:val="24"/>
                <w:szCs w:val="24"/>
              </w:rPr>
            </w:pPr>
          </w:p>
        </w:tc>
        <w:tc>
          <w:tcPr>
            <w:tcW w:w="2260" w:type="dxa"/>
            <w:vAlign w:val="bottom"/>
          </w:tcPr>
          <w:p w:rsidR="000C2ED5" w:rsidRDefault="00485212">
            <w:pPr>
              <w:ind w:left="120"/>
              <w:rPr>
                <w:sz w:val="20"/>
                <w:szCs w:val="20"/>
              </w:rPr>
            </w:pPr>
            <w:r>
              <w:rPr>
                <w:rFonts w:eastAsia="Times New Roman"/>
                <w:sz w:val="20"/>
                <w:szCs w:val="20"/>
              </w:rPr>
              <w:t>those who had refused to</w:t>
            </w:r>
          </w:p>
        </w:tc>
        <w:tc>
          <w:tcPr>
            <w:tcW w:w="1860" w:type="dxa"/>
            <w:vAlign w:val="bottom"/>
          </w:tcPr>
          <w:p w:rsidR="000C2ED5" w:rsidRDefault="00485212">
            <w:pPr>
              <w:ind w:left="120"/>
              <w:rPr>
                <w:sz w:val="20"/>
                <w:szCs w:val="20"/>
              </w:rPr>
            </w:pPr>
            <w:r>
              <w:rPr>
                <w:rFonts w:eastAsia="Times New Roman"/>
                <w:sz w:val="20"/>
                <w:szCs w:val="20"/>
              </w:rPr>
              <w:t>treatment accepters</w:t>
            </w:r>
          </w:p>
        </w:tc>
        <w:tc>
          <w:tcPr>
            <w:tcW w:w="840" w:type="dxa"/>
            <w:vAlign w:val="bottom"/>
          </w:tcPr>
          <w:p w:rsidR="000C2ED5" w:rsidRDefault="000C2ED5">
            <w:pPr>
              <w:rPr>
                <w:sz w:val="24"/>
                <w:szCs w:val="24"/>
              </w:rPr>
            </w:pPr>
          </w:p>
        </w:tc>
        <w:tc>
          <w:tcPr>
            <w:tcW w:w="860" w:type="dxa"/>
            <w:vAlign w:val="bottom"/>
          </w:tcPr>
          <w:p w:rsidR="000C2ED5" w:rsidRDefault="000C2ED5">
            <w:pPr>
              <w:rPr>
                <w:sz w:val="24"/>
                <w:szCs w:val="24"/>
              </w:rPr>
            </w:pPr>
          </w:p>
        </w:tc>
      </w:tr>
      <w:tr w:rsidR="000C2ED5">
        <w:trPr>
          <w:trHeight w:val="461"/>
        </w:trPr>
        <w:tc>
          <w:tcPr>
            <w:tcW w:w="96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480" w:type="dxa"/>
            <w:vAlign w:val="bottom"/>
          </w:tcPr>
          <w:p w:rsidR="000C2ED5" w:rsidRDefault="000C2ED5">
            <w:pPr>
              <w:rPr>
                <w:sz w:val="24"/>
                <w:szCs w:val="24"/>
              </w:rPr>
            </w:pPr>
          </w:p>
        </w:tc>
        <w:tc>
          <w:tcPr>
            <w:tcW w:w="2260" w:type="dxa"/>
            <w:vAlign w:val="bottom"/>
          </w:tcPr>
          <w:p w:rsidR="000C2ED5" w:rsidRDefault="00485212">
            <w:pPr>
              <w:ind w:left="120"/>
              <w:rPr>
                <w:sz w:val="20"/>
                <w:szCs w:val="20"/>
              </w:rPr>
            </w:pPr>
            <w:r>
              <w:rPr>
                <w:rFonts w:eastAsia="Times New Roman"/>
                <w:sz w:val="20"/>
                <w:szCs w:val="20"/>
              </w:rPr>
              <w:t>participate in the</w:t>
            </w:r>
          </w:p>
        </w:tc>
        <w:tc>
          <w:tcPr>
            <w:tcW w:w="1860" w:type="dxa"/>
            <w:vAlign w:val="bottom"/>
          </w:tcPr>
          <w:p w:rsidR="000C2ED5" w:rsidRDefault="00485212">
            <w:pPr>
              <w:ind w:left="120"/>
              <w:rPr>
                <w:sz w:val="20"/>
                <w:szCs w:val="20"/>
              </w:rPr>
            </w:pPr>
            <w:r>
              <w:rPr>
                <w:rFonts w:eastAsia="Times New Roman"/>
                <w:sz w:val="20"/>
                <w:szCs w:val="20"/>
              </w:rPr>
              <w:t>and refusers.</w:t>
            </w:r>
          </w:p>
        </w:tc>
        <w:tc>
          <w:tcPr>
            <w:tcW w:w="840" w:type="dxa"/>
            <w:vAlign w:val="bottom"/>
          </w:tcPr>
          <w:p w:rsidR="000C2ED5" w:rsidRDefault="000C2ED5">
            <w:pPr>
              <w:rPr>
                <w:sz w:val="24"/>
                <w:szCs w:val="24"/>
              </w:rPr>
            </w:pPr>
          </w:p>
        </w:tc>
        <w:tc>
          <w:tcPr>
            <w:tcW w:w="860" w:type="dxa"/>
            <w:vAlign w:val="bottom"/>
          </w:tcPr>
          <w:p w:rsidR="000C2ED5" w:rsidRDefault="000C2ED5">
            <w:pPr>
              <w:rPr>
                <w:sz w:val="24"/>
                <w:szCs w:val="24"/>
              </w:rPr>
            </w:pPr>
          </w:p>
        </w:tc>
      </w:tr>
      <w:tr w:rsidR="000C2ED5">
        <w:trPr>
          <w:trHeight w:val="458"/>
        </w:trPr>
        <w:tc>
          <w:tcPr>
            <w:tcW w:w="96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480" w:type="dxa"/>
            <w:vAlign w:val="bottom"/>
          </w:tcPr>
          <w:p w:rsidR="000C2ED5" w:rsidRDefault="000C2ED5">
            <w:pPr>
              <w:rPr>
                <w:sz w:val="24"/>
                <w:szCs w:val="24"/>
              </w:rPr>
            </w:pPr>
          </w:p>
        </w:tc>
        <w:tc>
          <w:tcPr>
            <w:tcW w:w="2260" w:type="dxa"/>
            <w:vAlign w:val="bottom"/>
          </w:tcPr>
          <w:p w:rsidR="000C2ED5" w:rsidRDefault="00485212">
            <w:pPr>
              <w:ind w:left="120"/>
              <w:rPr>
                <w:sz w:val="20"/>
                <w:szCs w:val="20"/>
              </w:rPr>
            </w:pPr>
            <w:r>
              <w:rPr>
                <w:rFonts w:eastAsia="Times New Roman"/>
                <w:sz w:val="20"/>
                <w:szCs w:val="20"/>
              </w:rPr>
              <w:t>programme.</w:t>
            </w:r>
          </w:p>
        </w:tc>
        <w:tc>
          <w:tcPr>
            <w:tcW w:w="1860" w:type="dxa"/>
            <w:vAlign w:val="bottom"/>
          </w:tcPr>
          <w:p w:rsidR="000C2ED5" w:rsidRDefault="000C2ED5">
            <w:pPr>
              <w:rPr>
                <w:sz w:val="24"/>
                <w:szCs w:val="24"/>
              </w:rPr>
            </w:pPr>
          </w:p>
        </w:tc>
        <w:tc>
          <w:tcPr>
            <w:tcW w:w="840" w:type="dxa"/>
            <w:vAlign w:val="bottom"/>
          </w:tcPr>
          <w:p w:rsidR="000C2ED5" w:rsidRDefault="000C2ED5">
            <w:pPr>
              <w:rPr>
                <w:sz w:val="24"/>
                <w:szCs w:val="24"/>
              </w:rPr>
            </w:pPr>
          </w:p>
        </w:tc>
        <w:tc>
          <w:tcPr>
            <w:tcW w:w="860" w:type="dxa"/>
            <w:vAlign w:val="bottom"/>
          </w:tcPr>
          <w:p w:rsidR="000C2ED5" w:rsidRDefault="000C2ED5">
            <w:pPr>
              <w:rPr>
                <w:sz w:val="24"/>
                <w:szCs w:val="24"/>
              </w:rPr>
            </w:pPr>
          </w:p>
        </w:tc>
      </w:tr>
    </w:tbl>
    <w:p w:rsidR="000C2ED5" w:rsidRDefault="00485212">
      <w:pPr>
        <w:spacing w:line="20" w:lineRule="exact"/>
        <w:rPr>
          <w:sz w:val="20"/>
          <w:szCs w:val="20"/>
        </w:rPr>
      </w:pPr>
      <w:r>
        <w:rPr>
          <w:sz w:val="20"/>
          <w:szCs w:val="20"/>
        </w:rPr>
        <w:br w:type="column"/>
      </w:r>
    </w:p>
    <w:p w:rsidR="000C2ED5" w:rsidRDefault="000C2ED5">
      <w:pPr>
        <w:spacing w:line="310" w:lineRule="exact"/>
        <w:rPr>
          <w:sz w:val="20"/>
          <w:szCs w:val="20"/>
        </w:rPr>
      </w:pPr>
    </w:p>
    <w:p w:rsidR="000C2ED5" w:rsidRDefault="000C2ED5">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5200"/>
        <w:gridCol w:w="820"/>
      </w:tblGrid>
      <w:tr w:rsidR="000C2ED5">
        <w:trPr>
          <w:trHeight w:val="230"/>
        </w:trPr>
        <w:tc>
          <w:tcPr>
            <w:tcW w:w="5200" w:type="dxa"/>
            <w:vAlign w:val="bottom"/>
          </w:tcPr>
          <w:p w:rsidR="000C2ED5" w:rsidRDefault="00485212">
            <w:pPr>
              <w:rPr>
                <w:sz w:val="20"/>
                <w:szCs w:val="20"/>
              </w:rPr>
            </w:pPr>
            <w:r>
              <w:rPr>
                <w:rFonts w:eastAsia="Times New Roman"/>
                <w:sz w:val="20"/>
                <w:szCs w:val="20"/>
              </w:rPr>
              <w:t>Six themes were identified as impacting upon an offender’s</w:t>
            </w:r>
          </w:p>
        </w:tc>
        <w:tc>
          <w:tcPr>
            <w:tcW w:w="820" w:type="dxa"/>
            <w:vAlign w:val="bottom"/>
          </w:tcPr>
          <w:p w:rsidR="000C2ED5" w:rsidRDefault="00485212">
            <w:pPr>
              <w:jc w:val="right"/>
              <w:rPr>
                <w:sz w:val="20"/>
                <w:szCs w:val="20"/>
              </w:rPr>
            </w:pPr>
            <w:r>
              <w:rPr>
                <w:rFonts w:eastAsia="Times New Roman"/>
                <w:sz w:val="20"/>
                <w:szCs w:val="20"/>
              </w:rPr>
              <w:t>50%</w:t>
            </w:r>
          </w:p>
        </w:tc>
      </w:tr>
    </w:tbl>
    <w:p w:rsidR="000C2ED5" w:rsidRDefault="000C2ED5">
      <w:pPr>
        <w:spacing w:line="231" w:lineRule="exact"/>
        <w:rPr>
          <w:sz w:val="20"/>
          <w:szCs w:val="20"/>
        </w:rPr>
      </w:pPr>
    </w:p>
    <w:p w:rsidR="000C2ED5" w:rsidRDefault="00485212">
      <w:pPr>
        <w:rPr>
          <w:sz w:val="20"/>
          <w:szCs w:val="20"/>
        </w:rPr>
      </w:pPr>
      <w:r>
        <w:rPr>
          <w:rFonts w:eastAsia="Times New Roman"/>
          <w:sz w:val="20"/>
          <w:szCs w:val="20"/>
        </w:rPr>
        <w:t>decision to refuse treatment.</w:t>
      </w:r>
    </w:p>
    <w:p w:rsidR="000C2ED5" w:rsidRDefault="000C2ED5">
      <w:pPr>
        <w:spacing w:line="239" w:lineRule="exact"/>
        <w:rPr>
          <w:sz w:val="20"/>
          <w:szCs w:val="20"/>
        </w:rPr>
      </w:pPr>
    </w:p>
    <w:p w:rsidR="000C2ED5" w:rsidRDefault="00485212">
      <w:pPr>
        <w:spacing w:line="478" w:lineRule="auto"/>
        <w:ind w:right="1440"/>
        <w:rPr>
          <w:sz w:val="20"/>
          <w:szCs w:val="20"/>
        </w:rPr>
      </w:pPr>
      <w:r>
        <w:rPr>
          <w:rFonts w:eastAsia="Times New Roman"/>
          <w:i/>
          <w:iCs/>
          <w:sz w:val="20"/>
          <w:szCs w:val="20"/>
        </w:rPr>
        <w:t xml:space="preserve">Internal Factors: </w:t>
      </w:r>
      <w:r>
        <w:rPr>
          <w:rFonts w:eastAsia="Times New Roman"/>
          <w:sz w:val="20"/>
          <w:szCs w:val="20"/>
        </w:rPr>
        <w:t xml:space="preserve">Belief that treatment is </w:t>
      </w:r>
      <w:r>
        <w:rPr>
          <w:rFonts w:eastAsia="Times New Roman"/>
          <w:sz w:val="20"/>
          <w:szCs w:val="20"/>
        </w:rPr>
        <w:t>ineffective, concern</w:t>
      </w:r>
      <w:r>
        <w:rPr>
          <w:rFonts w:eastAsia="Times New Roman"/>
          <w:i/>
          <w:iCs/>
          <w:sz w:val="20"/>
          <w:szCs w:val="20"/>
        </w:rPr>
        <w:t xml:space="preserve"> </w:t>
      </w:r>
      <w:r>
        <w:rPr>
          <w:rFonts w:eastAsia="Times New Roman"/>
          <w:sz w:val="20"/>
          <w:szCs w:val="20"/>
        </w:rPr>
        <w:t>about the side effect of treatment, concern about stigma associated with offence and the impact of this on their survival in prison, perceptions of the focus of treatment and a disagreement with its intended aims/perceived outcomes, la</w:t>
      </w:r>
      <w:r>
        <w:rPr>
          <w:rFonts w:eastAsia="Times New Roman"/>
          <w:sz w:val="20"/>
          <w:szCs w:val="20"/>
        </w:rPr>
        <w:t>ck of trust and confidence in key professionals and feeling unsafe due to previous experiences of “the system”.</w:t>
      </w:r>
    </w:p>
    <w:p w:rsidR="000C2ED5" w:rsidRDefault="000C2ED5">
      <w:pPr>
        <w:spacing w:line="200" w:lineRule="exact"/>
        <w:rPr>
          <w:sz w:val="20"/>
          <w:szCs w:val="20"/>
        </w:rPr>
      </w:pPr>
    </w:p>
    <w:p w:rsidR="000C2ED5" w:rsidRDefault="000C2ED5">
      <w:pPr>
        <w:sectPr w:rsidR="000C2ED5">
          <w:type w:val="continuous"/>
          <w:pgSz w:w="16840" w:h="11906" w:orient="landscape"/>
          <w:pgMar w:top="698" w:right="338" w:bottom="403" w:left="340" w:header="0" w:footer="0" w:gutter="0"/>
          <w:cols w:num="2" w:space="720" w:equalWidth="0">
            <w:col w:w="9460" w:space="260"/>
            <w:col w:w="6440"/>
          </w:cols>
        </w:sectPr>
      </w:pPr>
    </w:p>
    <w:p w:rsidR="000C2ED5" w:rsidRDefault="000C2ED5">
      <w:pPr>
        <w:spacing w:line="265"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940"/>
        <w:gridCol w:w="1220"/>
        <w:gridCol w:w="1320"/>
        <w:gridCol w:w="2220"/>
        <w:gridCol w:w="1660"/>
        <w:gridCol w:w="2000"/>
        <w:gridCol w:w="5600"/>
        <w:gridCol w:w="680"/>
      </w:tblGrid>
      <w:tr w:rsidR="000C2ED5">
        <w:trPr>
          <w:trHeight w:val="230"/>
        </w:trPr>
        <w:tc>
          <w:tcPr>
            <w:tcW w:w="940" w:type="dxa"/>
            <w:vAlign w:val="bottom"/>
          </w:tcPr>
          <w:p w:rsidR="000C2ED5" w:rsidRDefault="00485212">
            <w:pPr>
              <w:rPr>
                <w:sz w:val="20"/>
                <w:szCs w:val="20"/>
              </w:rPr>
            </w:pPr>
            <w:r>
              <w:rPr>
                <w:rFonts w:eastAsia="Times New Roman"/>
                <w:sz w:val="20"/>
                <w:szCs w:val="20"/>
              </w:rPr>
              <w:t>Mason &amp;</w:t>
            </w:r>
          </w:p>
        </w:tc>
        <w:tc>
          <w:tcPr>
            <w:tcW w:w="1220" w:type="dxa"/>
            <w:vAlign w:val="bottom"/>
          </w:tcPr>
          <w:p w:rsidR="000C2ED5" w:rsidRDefault="00485212">
            <w:pPr>
              <w:ind w:left="180"/>
              <w:rPr>
                <w:sz w:val="20"/>
                <w:szCs w:val="20"/>
              </w:rPr>
            </w:pPr>
            <w:r>
              <w:rPr>
                <w:rFonts w:eastAsia="Times New Roman"/>
                <w:sz w:val="20"/>
                <w:szCs w:val="20"/>
              </w:rPr>
              <w:t>Qualitative</w:t>
            </w:r>
          </w:p>
        </w:tc>
        <w:tc>
          <w:tcPr>
            <w:tcW w:w="1320" w:type="dxa"/>
            <w:vAlign w:val="bottom"/>
          </w:tcPr>
          <w:p w:rsidR="000C2ED5" w:rsidRDefault="00485212">
            <w:pPr>
              <w:ind w:left="180"/>
              <w:rPr>
                <w:sz w:val="20"/>
                <w:szCs w:val="20"/>
              </w:rPr>
            </w:pPr>
            <w:r>
              <w:rPr>
                <w:rFonts w:eastAsia="Times New Roman"/>
                <w:sz w:val="20"/>
                <w:szCs w:val="20"/>
              </w:rPr>
              <w:t>Therapeutic</w:t>
            </w:r>
          </w:p>
        </w:tc>
        <w:tc>
          <w:tcPr>
            <w:tcW w:w="2220" w:type="dxa"/>
            <w:vAlign w:val="bottom"/>
          </w:tcPr>
          <w:p w:rsidR="000C2ED5" w:rsidRDefault="00485212">
            <w:pPr>
              <w:ind w:left="180"/>
              <w:rPr>
                <w:sz w:val="20"/>
                <w:szCs w:val="20"/>
              </w:rPr>
            </w:pPr>
            <w:r>
              <w:rPr>
                <w:rFonts w:eastAsia="Times New Roman"/>
                <w:sz w:val="20"/>
                <w:szCs w:val="20"/>
              </w:rPr>
              <w:t>Active participation in</w:t>
            </w:r>
          </w:p>
        </w:tc>
        <w:tc>
          <w:tcPr>
            <w:tcW w:w="1660" w:type="dxa"/>
            <w:vAlign w:val="bottom"/>
          </w:tcPr>
          <w:p w:rsidR="000C2ED5" w:rsidRDefault="00485212">
            <w:pPr>
              <w:ind w:left="220"/>
              <w:rPr>
                <w:sz w:val="20"/>
                <w:szCs w:val="20"/>
              </w:rPr>
            </w:pPr>
            <w:r>
              <w:rPr>
                <w:rFonts w:eastAsia="Times New Roman"/>
                <w:sz w:val="20"/>
                <w:szCs w:val="20"/>
              </w:rPr>
              <w:t>Reasons for</w:t>
            </w:r>
          </w:p>
        </w:tc>
        <w:tc>
          <w:tcPr>
            <w:tcW w:w="2000" w:type="dxa"/>
            <w:vAlign w:val="bottom"/>
          </w:tcPr>
          <w:p w:rsidR="000C2ED5" w:rsidRDefault="00485212">
            <w:pPr>
              <w:ind w:left="480"/>
              <w:rPr>
                <w:sz w:val="20"/>
                <w:szCs w:val="20"/>
              </w:rPr>
            </w:pPr>
            <w:r>
              <w:rPr>
                <w:rFonts w:eastAsia="Times New Roman"/>
                <w:sz w:val="20"/>
                <w:szCs w:val="20"/>
              </w:rPr>
              <w:t>11 male service</w:t>
            </w:r>
          </w:p>
        </w:tc>
        <w:tc>
          <w:tcPr>
            <w:tcW w:w="5600" w:type="dxa"/>
            <w:vAlign w:val="bottom"/>
          </w:tcPr>
          <w:p w:rsidR="000C2ED5" w:rsidRDefault="00485212">
            <w:pPr>
              <w:ind w:left="260"/>
              <w:rPr>
                <w:sz w:val="20"/>
                <w:szCs w:val="20"/>
              </w:rPr>
            </w:pPr>
            <w:r>
              <w:rPr>
                <w:rFonts w:eastAsia="Times New Roman"/>
                <w:sz w:val="20"/>
                <w:szCs w:val="20"/>
              </w:rPr>
              <w:t xml:space="preserve">Identified 6 themes </w:t>
            </w:r>
            <w:r>
              <w:rPr>
                <w:rFonts w:eastAsia="Times New Roman"/>
                <w:sz w:val="20"/>
                <w:szCs w:val="20"/>
              </w:rPr>
              <w:t>associated with engagement in therapeutic</w:t>
            </w:r>
          </w:p>
        </w:tc>
        <w:tc>
          <w:tcPr>
            <w:tcW w:w="680" w:type="dxa"/>
            <w:vAlign w:val="bottom"/>
          </w:tcPr>
          <w:p w:rsidR="000C2ED5" w:rsidRDefault="00485212">
            <w:pPr>
              <w:jc w:val="right"/>
              <w:rPr>
                <w:sz w:val="20"/>
                <w:szCs w:val="20"/>
              </w:rPr>
            </w:pPr>
            <w:r>
              <w:rPr>
                <w:rFonts w:eastAsia="Times New Roman"/>
                <w:sz w:val="20"/>
                <w:szCs w:val="20"/>
              </w:rPr>
              <w:t>75%</w:t>
            </w:r>
          </w:p>
        </w:tc>
      </w:tr>
      <w:tr w:rsidR="000C2ED5">
        <w:trPr>
          <w:trHeight w:val="458"/>
        </w:trPr>
        <w:tc>
          <w:tcPr>
            <w:tcW w:w="940" w:type="dxa"/>
            <w:vAlign w:val="bottom"/>
          </w:tcPr>
          <w:p w:rsidR="000C2ED5" w:rsidRDefault="00485212">
            <w:pPr>
              <w:rPr>
                <w:sz w:val="20"/>
                <w:szCs w:val="20"/>
              </w:rPr>
            </w:pPr>
            <w:r>
              <w:rPr>
                <w:rFonts w:eastAsia="Times New Roman"/>
                <w:sz w:val="20"/>
                <w:szCs w:val="20"/>
              </w:rPr>
              <w:t>Adler</w:t>
            </w:r>
          </w:p>
        </w:tc>
        <w:tc>
          <w:tcPr>
            <w:tcW w:w="1220" w:type="dxa"/>
            <w:vAlign w:val="bottom"/>
          </w:tcPr>
          <w:p w:rsidR="000C2ED5" w:rsidRDefault="000C2ED5">
            <w:pPr>
              <w:rPr>
                <w:sz w:val="24"/>
                <w:szCs w:val="24"/>
              </w:rPr>
            </w:pPr>
          </w:p>
        </w:tc>
        <w:tc>
          <w:tcPr>
            <w:tcW w:w="1320" w:type="dxa"/>
            <w:vAlign w:val="bottom"/>
          </w:tcPr>
          <w:p w:rsidR="000C2ED5" w:rsidRDefault="00485212">
            <w:pPr>
              <w:ind w:left="180"/>
              <w:rPr>
                <w:sz w:val="20"/>
                <w:szCs w:val="20"/>
              </w:rPr>
            </w:pPr>
            <w:r>
              <w:rPr>
                <w:rFonts w:eastAsia="Times New Roman"/>
                <w:sz w:val="20"/>
                <w:szCs w:val="20"/>
              </w:rPr>
              <w:t>group work</w:t>
            </w:r>
          </w:p>
        </w:tc>
        <w:tc>
          <w:tcPr>
            <w:tcW w:w="2220" w:type="dxa"/>
            <w:vAlign w:val="bottom"/>
          </w:tcPr>
          <w:p w:rsidR="000C2ED5" w:rsidRDefault="00485212">
            <w:pPr>
              <w:ind w:left="180"/>
              <w:rPr>
                <w:sz w:val="20"/>
                <w:szCs w:val="20"/>
              </w:rPr>
            </w:pPr>
            <w:r>
              <w:rPr>
                <w:rFonts w:eastAsia="Times New Roman"/>
                <w:sz w:val="20"/>
                <w:szCs w:val="20"/>
              </w:rPr>
              <w:t>treatment and not just</w:t>
            </w:r>
          </w:p>
        </w:tc>
        <w:tc>
          <w:tcPr>
            <w:tcW w:w="1660" w:type="dxa"/>
            <w:vAlign w:val="bottom"/>
          </w:tcPr>
          <w:p w:rsidR="000C2ED5" w:rsidRDefault="00485212">
            <w:pPr>
              <w:ind w:left="220"/>
              <w:rPr>
                <w:sz w:val="20"/>
                <w:szCs w:val="20"/>
              </w:rPr>
            </w:pPr>
            <w:r>
              <w:rPr>
                <w:rFonts w:eastAsia="Times New Roman"/>
                <w:sz w:val="20"/>
                <w:szCs w:val="20"/>
              </w:rPr>
              <w:t>engagement</w:t>
            </w:r>
          </w:p>
        </w:tc>
        <w:tc>
          <w:tcPr>
            <w:tcW w:w="2000" w:type="dxa"/>
            <w:vAlign w:val="bottom"/>
          </w:tcPr>
          <w:p w:rsidR="000C2ED5" w:rsidRDefault="00485212">
            <w:pPr>
              <w:ind w:left="480"/>
              <w:rPr>
                <w:sz w:val="20"/>
                <w:szCs w:val="20"/>
              </w:rPr>
            </w:pPr>
            <w:r>
              <w:rPr>
                <w:rFonts w:eastAsia="Times New Roman"/>
                <w:sz w:val="20"/>
                <w:szCs w:val="20"/>
              </w:rPr>
              <w:t>users</w:t>
            </w:r>
          </w:p>
        </w:tc>
        <w:tc>
          <w:tcPr>
            <w:tcW w:w="5600" w:type="dxa"/>
            <w:vAlign w:val="bottom"/>
          </w:tcPr>
          <w:p w:rsidR="000C2ED5" w:rsidRDefault="00485212">
            <w:pPr>
              <w:ind w:left="260"/>
              <w:rPr>
                <w:sz w:val="20"/>
                <w:szCs w:val="20"/>
              </w:rPr>
            </w:pPr>
            <w:r>
              <w:rPr>
                <w:rFonts w:eastAsia="Times New Roman"/>
                <w:sz w:val="20"/>
                <w:szCs w:val="20"/>
              </w:rPr>
              <w:t>group work: motivation, content of group work, choice,</w:t>
            </w:r>
          </w:p>
        </w:tc>
        <w:tc>
          <w:tcPr>
            <w:tcW w:w="680" w:type="dxa"/>
            <w:vAlign w:val="bottom"/>
          </w:tcPr>
          <w:p w:rsidR="000C2ED5" w:rsidRDefault="000C2ED5">
            <w:pPr>
              <w:rPr>
                <w:sz w:val="24"/>
                <w:szCs w:val="24"/>
              </w:rPr>
            </w:pPr>
          </w:p>
        </w:tc>
      </w:tr>
      <w:tr w:rsidR="000C2ED5">
        <w:trPr>
          <w:trHeight w:val="461"/>
        </w:trPr>
        <w:tc>
          <w:tcPr>
            <w:tcW w:w="940" w:type="dxa"/>
            <w:vAlign w:val="bottom"/>
          </w:tcPr>
          <w:p w:rsidR="000C2ED5" w:rsidRDefault="00485212">
            <w:pPr>
              <w:rPr>
                <w:sz w:val="20"/>
                <w:szCs w:val="20"/>
              </w:rPr>
            </w:pPr>
            <w:r>
              <w:rPr>
                <w:rFonts w:eastAsia="Times New Roman"/>
                <w:sz w:val="20"/>
                <w:szCs w:val="20"/>
              </w:rPr>
              <w:t>(2012)</w:t>
            </w: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485212">
            <w:pPr>
              <w:ind w:left="180"/>
              <w:rPr>
                <w:sz w:val="20"/>
                <w:szCs w:val="20"/>
              </w:rPr>
            </w:pPr>
            <w:r>
              <w:rPr>
                <w:rFonts w:eastAsia="Times New Roman"/>
                <w:sz w:val="20"/>
                <w:szCs w:val="20"/>
              </w:rPr>
              <w:t>‘obedience’ and</w:t>
            </w:r>
          </w:p>
        </w:tc>
        <w:tc>
          <w:tcPr>
            <w:tcW w:w="166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5600" w:type="dxa"/>
            <w:vAlign w:val="bottom"/>
          </w:tcPr>
          <w:p w:rsidR="000C2ED5" w:rsidRDefault="00485212">
            <w:pPr>
              <w:ind w:left="260"/>
              <w:rPr>
                <w:sz w:val="20"/>
                <w:szCs w:val="20"/>
              </w:rPr>
            </w:pPr>
            <w:r>
              <w:rPr>
                <w:rFonts w:eastAsia="Times New Roman"/>
                <w:sz w:val="20"/>
                <w:szCs w:val="20"/>
              </w:rPr>
              <w:t>expected outcomes, external locus of control and relationships.</w:t>
            </w:r>
          </w:p>
        </w:tc>
        <w:tc>
          <w:tcPr>
            <w:tcW w:w="680" w:type="dxa"/>
            <w:vAlign w:val="bottom"/>
          </w:tcPr>
          <w:p w:rsidR="000C2ED5" w:rsidRDefault="000C2ED5">
            <w:pPr>
              <w:rPr>
                <w:sz w:val="24"/>
                <w:szCs w:val="24"/>
              </w:rPr>
            </w:pPr>
          </w:p>
        </w:tc>
      </w:tr>
      <w:tr w:rsidR="000C2ED5">
        <w:trPr>
          <w:trHeight w:val="458"/>
        </w:trPr>
        <w:tc>
          <w:tcPr>
            <w:tcW w:w="94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485212">
            <w:pPr>
              <w:ind w:left="180"/>
              <w:rPr>
                <w:sz w:val="20"/>
                <w:szCs w:val="20"/>
              </w:rPr>
            </w:pPr>
            <w:r>
              <w:rPr>
                <w:rFonts w:eastAsia="Times New Roman"/>
                <w:sz w:val="20"/>
                <w:szCs w:val="20"/>
              </w:rPr>
              <w:t>‘attendance’.</w:t>
            </w:r>
          </w:p>
        </w:tc>
        <w:tc>
          <w:tcPr>
            <w:tcW w:w="166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5600" w:type="dxa"/>
            <w:vAlign w:val="bottom"/>
          </w:tcPr>
          <w:p w:rsidR="000C2ED5" w:rsidRDefault="00485212">
            <w:pPr>
              <w:ind w:left="260"/>
              <w:rPr>
                <w:sz w:val="20"/>
                <w:szCs w:val="20"/>
              </w:rPr>
            </w:pPr>
            <w:r>
              <w:rPr>
                <w:rFonts w:eastAsia="Times New Roman"/>
                <w:i/>
                <w:iCs/>
                <w:sz w:val="20"/>
                <w:szCs w:val="20"/>
              </w:rPr>
              <w:t xml:space="preserve">Internal Factors: </w:t>
            </w:r>
            <w:r>
              <w:rPr>
                <w:rFonts w:eastAsia="Times New Roman"/>
                <w:sz w:val="20"/>
                <w:szCs w:val="20"/>
              </w:rPr>
              <w:t>The following hindered engagement: the</w:t>
            </w:r>
          </w:p>
        </w:tc>
        <w:tc>
          <w:tcPr>
            <w:tcW w:w="680" w:type="dxa"/>
            <w:vAlign w:val="bottom"/>
          </w:tcPr>
          <w:p w:rsidR="000C2ED5" w:rsidRDefault="000C2ED5">
            <w:pPr>
              <w:rPr>
                <w:sz w:val="24"/>
                <w:szCs w:val="24"/>
              </w:rPr>
            </w:pPr>
          </w:p>
        </w:tc>
      </w:tr>
      <w:tr w:rsidR="000C2ED5">
        <w:trPr>
          <w:trHeight w:val="461"/>
        </w:trPr>
        <w:tc>
          <w:tcPr>
            <w:tcW w:w="94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5600" w:type="dxa"/>
            <w:vAlign w:val="bottom"/>
          </w:tcPr>
          <w:p w:rsidR="000C2ED5" w:rsidRDefault="00485212">
            <w:pPr>
              <w:ind w:left="260"/>
              <w:rPr>
                <w:sz w:val="20"/>
                <w:szCs w:val="20"/>
              </w:rPr>
            </w:pPr>
            <w:r>
              <w:rPr>
                <w:rFonts w:eastAsia="Times New Roman"/>
                <w:sz w:val="20"/>
                <w:szCs w:val="20"/>
              </w:rPr>
              <w:t>notion of detention within a high secure hospital results in</w:t>
            </w:r>
          </w:p>
        </w:tc>
        <w:tc>
          <w:tcPr>
            <w:tcW w:w="680" w:type="dxa"/>
            <w:vAlign w:val="bottom"/>
          </w:tcPr>
          <w:p w:rsidR="000C2ED5" w:rsidRDefault="000C2ED5">
            <w:pPr>
              <w:rPr>
                <w:sz w:val="24"/>
                <w:szCs w:val="24"/>
              </w:rPr>
            </w:pPr>
          </w:p>
        </w:tc>
      </w:tr>
    </w:tbl>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46" w:lineRule="exact"/>
        <w:rPr>
          <w:sz w:val="20"/>
          <w:szCs w:val="20"/>
        </w:rPr>
      </w:pPr>
    </w:p>
    <w:p w:rsidR="000C2ED5" w:rsidRDefault="00485212">
      <w:pPr>
        <w:ind w:left="14840"/>
        <w:rPr>
          <w:sz w:val="20"/>
          <w:szCs w:val="20"/>
        </w:rPr>
      </w:pPr>
      <w:r>
        <w:rPr>
          <w:rFonts w:eastAsia="Times New Roman"/>
        </w:rPr>
        <w:t>51</w:t>
      </w:r>
    </w:p>
    <w:p w:rsidR="000C2ED5" w:rsidRDefault="000C2ED5">
      <w:pPr>
        <w:sectPr w:rsidR="000C2ED5">
          <w:type w:val="continuous"/>
          <w:pgSz w:w="16840" w:h="11906" w:orient="landscape"/>
          <w:pgMar w:top="698" w:right="338" w:bottom="403" w:left="340" w:header="0" w:footer="0" w:gutter="0"/>
          <w:cols w:space="720" w:equalWidth="0">
            <w:col w:w="16160"/>
          </w:cols>
        </w:sectPr>
      </w:pPr>
    </w:p>
    <w:p w:rsidR="000C2ED5" w:rsidRDefault="00485212">
      <w:pPr>
        <w:ind w:left="1100"/>
        <w:rPr>
          <w:sz w:val="20"/>
          <w:szCs w:val="20"/>
        </w:rPr>
      </w:pPr>
      <w:bookmarkStart w:id="52" w:name="page53"/>
      <w:bookmarkEnd w:id="52"/>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100"/>
        <w:gridCol w:w="1180"/>
        <w:gridCol w:w="1320"/>
        <w:gridCol w:w="2300"/>
        <w:gridCol w:w="1900"/>
        <w:gridCol w:w="1740"/>
        <w:gridCol w:w="5400"/>
        <w:gridCol w:w="1220"/>
      </w:tblGrid>
      <w:tr w:rsidR="000C2ED5">
        <w:trPr>
          <w:trHeight w:val="236"/>
        </w:trPr>
        <w:tc>
          <w:tcPr>
            <w:tcW w:w="1100" w:type="dxa"/>
            <w:tcBorders>
              <w:top w:val="single" w:sz="8" w:space="0" w:color="auto"/>
            </w:tcBorders>
            <w:vAlign w:val="bottom"/>
          </w:tcPr>
          <w:p w:rsidR="000C2ED5" w:rsidRDefault="00485212">
            <w:pPr>
              <w:ind w:left="140"/>
              <w:rPr>
                <w:sz w:val="20"/>
                <w:szCs w:val="20"/>
              </w:rPr>
            </w:pPr>
            <w:r>
              <w:rPr>
                <w:rFonts w:eastAsia="Times New Roman"/>
                <w:b/>
                <w:bCs/>
                <w:sz w:val="20"/>
                <w:szCs w:val="20"/>
              </w:rPr>
              <w:t>Author &amp;</w:t>
            </w:r>
          </w:p>
        </w:tc>
        <w:tc>
          <w:tcPr>
            <w:tcW w:w="118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320" w:type="dxa"/>
            <w:tcBorders>
              <w:top w:val="single" w:sz="8" w:space="0" w:color="auto"/>
            </w:tcBorders>
            <w:vAlign w:val="bottom"/>
          </w:tcPr>
          <w:p w:rsidR="000C2ED5" w:rsidRDefault="00485212">
            <w:pPr>
              <w:ind w:left="260"/>
              <w:rPr>
                <w:sz w:val="20"/>
                <w:szCs w:val="20"/>
              </w:rPr>
            </w:pPr>
            <w:r>
              <w:rPr>
                <w:rFonts w:eastAsia="Times New Roman"/>
                <w:b/>
                <w:bCs/>
                <w:sz w:val="20"/>
                <w:szCs w:val="20"/>
              </w:rPr>
              <w:t>Treatment</w:t>
            </w:r>
          </w:p>
        </w:tc>
        <w:tc>
          <w:tcPr>
            <w:tcW w:w="230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Definition of non-</w:t>
            </w:r>
          </w:p>
        </w:tc>
        <w:tc>
          <w:tcPr>
            <w:tcW w:w="1900" w:type="dxa"/>
            <w:tcBorders>
              <w:top w:val="single" w:sz="8" w:space="0" w:color="auto"/>
            </w:tcBorders>
            <w:vAlign w:val="bottom"/>
          </w:tcPr>
          <w:p w:rsidR="000C2ED5" w:rsidRDefault="00485212">
            <w:pPr>
              <w:ind w:left="180"/>
              <w:rPr>
                <w:sz w:val="20"/>
                <w:szCs w:val="20"/>
              </w:rPr>
            </w:pPr>
            <w:r>
              <w:rPr>
                <w:rFonts w:eastAsia="Times New Roman"/>
                <w:b/>
                <w:bCs/>
                <w:sz w:val="20"/>
                <w:szCs w:val="20"/>
              </w:rPr>
              <w:t>Research Question</w:t>
            </w:r>
          </w:p>
        </w:tc>
        <w:tc>
          <w:tcPr>
            <w:tcW w:w="1740" w:type="dxa"/>
            <w:tcBorders>
              <w:top w:val="single" w:sz="8" w:space="0" w:color="auto"/>
            </w:tcBorders>
            <w:vAlign w:val="bottom"/>
          </w:tcPr>
          <w:p w:rsidR="000C2ED5" w:rsidRDefault="00485212">
            <w:pPr>
              <w:ind w:left="400"/>
              <w:rPr>
                <w:sz w:val="20"/>
                <w:szCs w:val="20"/>
              </w:rPr>
            </w:pPr>
            <w:r>
              <w:rPr>
                <w:rFonts w:eastAsia="Times New Roman"/>
                <w:b/>
                <w:bCs/>
                <w:sz w:val="20"/>
                <w:szCs w:val="20"/>
              </w:rPr>
              <w:t>Sample Size</w:t>
            </w:r>
          </w:p>
        </w:tc>
        <w:tc>
          <w:tcPr>
            <w:tcW w:w="5400" w:type="dxa"/>
            <w:tcBorders>
              <w:top w:val="single" w:sz="8" w:space="0" w:color="auto"/>
            </w:tcBorders>
            <w:vAlign w:val="bottom"/>
          </w:tcPr>
          <w:p w:rsidR="000C2ED5" w:rsidRDefault="00485212">
            <w:pPr>
              <w:ind w:left="2100"/>
              <w:rPr>
                <w:sz w:val="20"/>
                <w:szCs w:val="20"/>
              </w:rPr>
            </w:pPr>
            <w:r>
              <w:rPr>
                <w:rFonts w:eastAsia="Times New Roman"/>
                <w:b/>
                <w:bCs/>
                <w:sz w:val="20"/>
                <w:szCs w:val="20"/>
              </w:rPr>
              <w:t>Main Findings</w:t>
            </w:r>
          </w:p>
        </w:tc>
        <w:tc>
          <w:tcPr>
            <w:tcW w:w="12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Quality</w:t>
            </w:r>
          </w:p>
        </w:tc>
      </w:tr>
      <w:tr w:rsidR="000C2ED5">
        <w:trPr>
          <w:trHeight w:val="461"/>
        </w:trPr>
        <w:tc>
          <w:tcPr>
            <w:tcW w:w="1100" w:type="dxa"/>
            <w:vAlign w:val="bottom"/>
          </w:tcPr>
          <w:p w:rsidR="000C2ED5" w:rsidRDefault="00485212">
            <w:pPr>
              <w:ind w:left="360"/>
              <w:rPr>
                <w:sz w:val="20"/>
                <w:szCs w:val="20"/>
              </w:rPr>
            </w:pPr>
            <w:r>
              <w:rPr>
                <w:rFonts w:eastAsia="Times New Roman"/>
                <w:b/>
                <w:bCs/>
                <w:sz w:val="20"/>
                <w:szCs w:val="20"/>
              </w:rPr>
              <w:t>Date</w:t>
            </w:r>
          </w:p>
        </w:tc>
        <w:tc>
          <w:tcPr>
            <w:tcW w:w="1180" w:type="dxa"/>
            <w:vAlign w:val="bottom"/>
          </w:tcPr>
          <w:p w:rsidR="000C2ED5" w:rsidRDefault="00485212">
            <w:pPr>
              <w:jc w:val="center"/>
              <w:rPr>
                <w:sz w:val="20"/>
                <w:szCs w:val="20"/>
              </w:rPr>
            </w:pPr>
            <w:r>
              <w:rPr>
                <w:rFonts w:eastAsia="Times New Roman"/>
                <w:b/>
                <w:bCs/>
                <w:w w:val="96"/>
                <w:sz w:val="20"/>
                <w:szCs w:val="20"/>
              </w:rPr>
              <w:t>Design</w:t>
            </w:r>
          </w:p>
        </w:tc>
        <w:tc>
          <w:tcPr>
            <w:tcW w:w="1320" w:type="dxa"/>
            <w:vAlign w:val="bottom"/>
          </w:tcPr>
          <w:p w:rsidR="000C2ED5" w:rsidRDefault="00485212">
            <w:pPr>
              <w:ind w:left="500"/>
              <w:rPr>
                <w:sz w:val="20"/>
                <w:szCs w:val="20"/>
              </w:rPr>
            </w:pPr>
            <w:r>
              <w:rPr>
                <w:rFonts w:eastAsia="Times New Roman"/>
                <w:b/>
                <w:bCs/>
                <w:sz w:val="20"/>
                <w:szCs w:val="20"/>
              </w:rPr>
              <w:t>Type</w:t>
            </w:r>
          </w:p>
        </w:tc>
        <w:tc>
          <w:tcPr>
            <w:tcW w:w="2300" w:type="dxa"/>
            <w:vAlign w:val="bottom"/>
          </w:tcPr>
          <w:p w:rsidR="000C2ED5" w:rsidRDefault="00485212">
            <w:pPr>
              <w:jc w:val="center"/>
              <w:rPr>
                <w:sz w:val="20"/>
                <w:szCs w:val="20"/>
              </w:rPr>
            </w:pPr>
            <w:r>
              <w:rPr>
                <w:rFonts w:eastAsia="Times New Roman"/>
                <w:b/>
                <w:bCs/>
                <w:w w:val="97"/>
                <w:sz w:val="20"/>
                <w:szCs w:val="20"/>
              </w:rPr>
              <w:t>completion/</w:t>
            </w:r>
          </w:p>
        </w:tc>
        <w:tc>
          <w:tcPr>
            <w:tcW w:w="1900" w:type="dxa"/>
            <w:vAlign w:val="bottom"/>
          </w:tcPr>
          <w:p w:rsidR="000C2ED5" w:rsidRDefault="000C2ED5">
            <w:pPr>
              <w:rPr>
                <w:sz w:val="24"/>
                <w:szCs w:val="24"/>
              </w:rPr>
            </w:pPr>
          </w:p>
        </w:tc>
        <w:tc>
          <w:tcPr>
            <w:tcW w:w="1740" w:type="dxa"/>
            <w:vAlign w:val="bottom"/>
          </w:tcPr>
          <w:p w:rsidR="000C2ED5" w:rsidRDefault="000C2ED5">
            <w:pPr>
              <w:rPr>
                <w:sz w:val="24"/>
                <w:szCs w:val="24"/>
              </w:rPr>
            </w:pPr>
          </w:p>
        </w:tc>
        <w:tc>
          <w:tcPr>
            <w:tcW w:w="540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Assessment</w:t>
            </w:r>
          </w:p>
        </w:tc>
      </w:tr>
      <w:tr w:rsidR="000C2ED5">
        <w:trPr>
          <w:trHeight w:val="458"/>
        </w:trPr>
        <w:tc>
          <w:tcPr>
            <w:tcW w:w="1100" w:type="dxa"/>
            <w:vAlign w:val="bottom"/>
          </w:tcPr>
          <w:p w:rsidR="000C2ED5" w:rsidRDefault="000C2ED5">
            <w:pPr>
              <w:rPr>
                <w:sz w:val="24"/>
                <w:szCs w:val="24"/>
              </w:rPr>
            </w:pPr>
          </w:p>
        </w:tc>
        <w:tc>
          <w:tcPr>
            <w:tcW w:w="118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300" w:type="dxa"/>
            <w:vAlign w:val="bottom"/>
          </w:tcPr>
          <w:p w:rsidR="000C2ED5" w:rsidRDefault="00485212">
            <w:pPr>
              <w:jc w:val="center"/>
              <w:rPr>
                <w:sz w:val="20"/>
                <w:szCs w:val="20"/>
              </w:rPr>
            </w:pPr>
            <w:r>
              <w:rPr>
                <w:rFonts w:eastAsia="Times New Roman"/>
                <w:b/>
                <w:bCs/>
                <w:w w:val="99"/>
                <w:sz w:val="20"/>
                <w:szCs w:val="20"/>
              </w:rPr>
              <w:t>Engagement</w:t>
            </w:r>
          </w:p>
        </w:tc>
        <w:tc>
          <w:tcPr>
            <w:tcW w:w="1900" w:type="dxa"/>
            <w:vAlign w:val="bottom"/>
          </w:tcPr>
          <w:p w:rsidR="000C2ED5" w:rsidRDefault="000C2ED5">
            <w:pPr>
              <w:rPr>
                <w:sz w:val="24"/>
                <w:szCs w:val="24"/>
              </w:rPr>
            </w:pPr>
          </w:p>
        </w:tc>
        <w:tc>
          <w:tcPr>
            <w:tcW w:w="1740" w:type="dxa"/>
            <w:vAlign w:val="bottom"/>
          </w:tcPr>
          <w:p w:rsidR="000C2ED5" w:rsidRDefault="000C2ED5">
            <w:pPr>
              <w:rPr>
                <w:sz w:val="24"/>
                <w:szCs w:val="24"/>
              </w:rPr>
            </w:pPr>
          </w:p>
        </w:tc>
        <w:tc>
          <w:tcPr>
            <w:tcW w:w="540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score</w:t>
            </w:r>
          </w:p>
        </w:tc>
      </w:tr>
      <w:tr w:rsidR="000C2ED5">
        <w:trPr>
          <w:trHeight w:val="234"/>
        </w:trPr>
        <w:tc>
          <w:tcPr>
            <w:tcW w:w="1100" w:type="dxa"/>
            <w:tcBorders>
              <w:bottom w:val="single" w:sz="8" w:space="0" w:color="auto"/>
            </w:tcBorders>
            <w:vAlign w:val="bottom"/>
          </w:tcPr>
          <w:p w:rsidR="000C2ED5" w:rsidRDefault="000C2ED5">
            <w:pPr>
              <w:rPr>
                <w:sz w:val="20"/>
                <w:szCs w:val="20"/>
              </w:rPr>
            </w:pPr>
          </w:p>
        </w:tc>
        <w:tc>
          <w:tcPr>
            <w:tcW w:w="1180" w:type="dxa"/>
            <w:tcBorders>
              <w:bottom w:val="single" w:sz="8" w:space="0" w:color="auto"/>
            </w:tcBorders>
            <w:vAlign w:val="bottom"/>
          </w:tcPr>
          <w:p w:rsidR="000C2ED5" w:rsidRDefault="000C2ED5">
            <w:pPr>
              <w:rPr>
                <w:sz w:val="20"/>
                <w:szCs w:val="20"/>
              </w:rPr>
            </w:pPr>
          </w:p>
        </w:tc>
        <w:tc>
          <w:tcPr>
            <w:tcW w:w="1320" w:type="dxa"/>
            <w:tcBorders>
              <w:bottom w:val="single" w:sz="8" w:space="0" w:color="auto"/>
            </w:tcBorders>
            <w:vAlign w:val="bottom"/>
          </w:tcPr>
          <w:p w:rsidR="000C2ED5" w:rsidRDefault="000C2ED5">
            <w:pPr>
              <w:rPr>
                <w:sz w:val="20"/>
                <w:szCs w:val="20"/>
              </w:rPr>
            </w:pPr>
          </w:p>
        </w:tc>
        <w:tc>
          <w:tcPr>
            <w:tcW w:w="2300" w:type="dxa"/>
            <w:tcBorders>
              <w:bottom w:val="single" w:sz="8" w:space="0" w:color="auto"/>
            </w:tcBorders>
            <w:vAlign w:val="bottom"/>
          </w:tcPr>
          <w:p w:rsidR="000C2ED5" w:rsidRDefault="000C2ED5">
            <w:pPr>
              <w:rPr>
                <w:sz w:val="20"/>
                <w:szCs w:val="20"/>
              </w:rPr>
            </w:pPr>
          </w:p>
        </w:tc>
        <w:tc>
          <w:tcPr>
            <w:tcW w:w="1900" w:type="dxa"/>
            <w:tcBorders>
              <w:bottom w:val="single" w:sz="8" w:space="0" w:color="auto"/>
            </w:tcBorders>
            <w:vAlign w:val="bottom"/>
          </w:tcPr>
          <w:p w:rsidR="000C2ED5" w:rsidRDefault="000C2ED5">
            <w:pPr>
              <w:rPr>
                <w:sz w:val="20"/>
                <w:szCs w:val="20"/>
              </w:rPr>
            </w:pPr>
          </w:p>
        </w:tc>
        <w:tc>
          <w:tcPr>
            <w:tcW w:w="1740" w:type="dxa"/>
            <w:tcBorders>
              <w:bottom w:val="single" w:sz="8" w:space="0" w:color="auto"/>
            </w:tcBorders>
            <w:vAlign w:val="bottom"/>
          </w:tcPr>
          <w:p w:rsidR="000C2ED5" w:rsidRDefault="000C2ED5">
            <w:pPr>
              <w:rPr>
                <w:sz w:val="20"/>
                <w:szCs w:val="20"/>
              </w:rPr>
            </w:pPr>
          </w:p>
        </w:tc>
        <w:tc>
          <w:tcPr>
            <w:tcW w:w="5400" w:type="dxa"/>
            <w:tcBorders>
              <w:bottom w:val="single" w:sz="8" w:space="0" w:color="auto"/>
            </w:tcBorders>
            <w:vAlign w:val="bottom"/>
          </w:tcPr>
          <w:p w:rsidR="000C2ED5" w:rsidRDefault="000C2ED5">
            <w:pPr>
              <w:rPr>
                <w:sz w:val="20"/>
                <w:szCs w:val="20"/>
              </w:rPr>
            </w:pPr>
          </w:p>
        </w:tc>
        <w:tc>
          <w:tcPr>
            <w:tcW w:w="1220" w:type="dxa"/>
            <w:tcBorders>
              <w:bottom w:val="single" w:sz="8" w:space="0" w:color="auto"/>
            </w:tcBorders>
            <w:vAlign w:val="bottom"/>
          </w:tcPr>
          <w:p w:rsidR="000C2ED5" w:rsidRDefault="000C2ED5">
            <w:pPr>
              <w:rPr>
                <w:sz w:val="20"/>
                <w:szCs w:val="20"/>
              </w:rPr>
            </w:pPr>
          </w:p>
        </w:tc>
      </w:tr>
      <w:tr w:rsidR="000C2ED5">
        <w:trPr>
          <w:trHeight w:val="212"/>
        </w:trPr>
        <w:tc>
          <w:tcPr>
            <w:tcW w:w="1100" w:type="dxa"/>
            <w:vAlign w:val="bottom"/>
          </w:tcPr>
          <w:p w:rsidR="000C2ED5" w:rsidRDefault="000C2ED5">
            <w:pPr>
              <w:rPr>
                <w:sz w:val="18"/>
                <w:szCs w:val="18"/>
              </w:rPr>
            </w:pPr>
          </w:p>
        </w:tc>
        <w:tc>
          <w:tcPr>
            <w:tcW w:w="1180" w:type="dxa"/>
            <w:vAlign w:val="bottom"/>
          </w:tcPr>
          <w:p w:rsidR="000C2ED5" w:rsidRDefault="000C2ED5">
            <w:pPr>
              <w:rPr>
                <w:sz w:val="18"/>
                <w:szCs w:val="18"/>
              </w:rPr>
            </w:pPr>
          </w:p>
        </w:tc>
        <w:tc>
          <w:tcPr>
            <w:tcW w:w="1320" w:type="dxa"/>
            <w:vAlign w:val="bottom"/>
          </w:tcPr>
          <w:p w:rsidR="000C2ED5" w:rsidRDefault="000C2ED5">
            <w:pPr>
              <w:rPr>
                <w:sz w:val="18"/>
                <w:szCs w:val="18"/>
              </w:rPr>
            </w:pPr>
          </w:p>
        </w:tc>
        <w:tc>
          <w:tcPr>
            <w:tcW w:w="2300" w:type="dxa"/>
            <w:vAlign w:val="bottom"/>
          </w:tcPr>
          <w:p w:rsidR="000C2ED5" w:rsidRDefault="000C2ED5">
            <w:pPr>
              <w:rPr>
                <w:sz w:val="18"/>
                <w:szCs w:val="18"/>
              </w:rPr>
            </w:pPr>
          </w:p>
        </w:tc>
        <w:tc>
          <w:tcPr>
            <w:tcW w:w="1900" w:type="dxa"/>
            <w:vAlign w:val="bottom"/>
          </w:tcPr>
          <w:p w:rsidR="000C2ED5" w:rsidRDefault="000C2ED5">
            <w:pPr>
              <w:rPr>
                <w:sz w:val="18"/>
                <w:szCs w:val="18"/>
              </w:rPr>
            </w:pPr>
          </w:p>
        </w:tc>
        <w:tc>
          <w:tcPr>
            <w:tcW w:w="1740" w:type="dxa"/>
            <w:vAlign w:val="bottom"/>
          </w:tcPr>
          <w:p w:rsidR="000C2ED5" w:rsidRDefault="000C2ED5">
            <w:pPr>
              <w:rPr>
                <w:sz w:val="18"/>
                <w:szCs w:val="18"/>
              </w:rPr>
            </w:pPr>
          </w:p>
        </w:tc>
        <w:tc>
          <w:tcPr>
            <w:tcW w:w="5400" w:type="dxa"/>
            <w:vAlign w:val="bottom"/>
          </w:tcPr>
          <w:p w:rsidR="000C2ED5" w:rsidRDefault="00485212">
            <w:pPr>
              <w:spacing w:line="211" w:lineRule="exact"/>
              <w:ind w:left="180"/>
              <w:rPr>
                <w:sz w:val="20"/>
                <w:szCs w:val="20"/>
              </w:rPr>
            </w:pPr>
            <w:r>
              <w:rPr>
                <w:rFonts w:eastAsia="Times New Roman"/>
                <w:sz w:val="20"/>
                <w:szCs w:val="20"/>
              </w:rPr>
              <w:t>negative affect (i.e. disempowerment, de-motivation, distrust,</w:t>
            </w:r>
          </w:p>
        </w:tc>
        <w:tc>
          <w:tcPr>
            <w:tcW w:w="1220" w:type="dxa"/>
            <w:vAlign w:val="bottom"/>
          </w:tcPr>
          <w:p w:rsidR="000C2ED5" w:rsidRDefault="000C2ED5">
            <w:pPr>
              <w:rPr>
                <w:sz w:val="18"/>
                <w:szCs w:val="18"/>
              </w:rPr>
            </w:pPr>
          </w:p>
        </w:tc>
      </w:tr>
      <w:tr w:rsidR="000C2ED5">
        <w:trPr>
          <w:trHeight w:val="461"/>
        </w:trPr>
        <w:tc>
          <w:tcPr>
            <w:tcW w:w="1100" w:type="dxa"/>
            <w:vAlign w:val="bottom"/>
          </w:tcPr>
          <w:p w:rsidR="000C2ED5" w:rsidRDefault="000C2ED5">
            <w:pPr>
              <w:rPr>
                <w:sz w:val="24"/>
                <w:szCs w:val="24"/>
              </w:rPr>
            </w:pPr>
          </w:p>
        </w:tc>
        <w:tc>
          <w:tcPr>
            <w:tcW w:w="118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30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1740" w:type="dxa"/>
            <w:vAlign w:val="bottom"/>
          </w:tcPr>
          <w:p w:rsidR="000C2ED5" w:rsidRDefault="000C2ED5">
            <w:pPr>
              <w:rPr>
                <w:sz w:val="24"/>
                <w:szCs w:val="24"/>
              </w:rPr>
            </w:pPr>
          </w:p>
        </w:tc>
        <w:tc>
          <w:tcPr>
            <w:tcW w:w="5400" w:type="dxa"/>
            <w:vAlign w:val="bottom"/>
          </w:tcPr>
          <w:p w:rsidR="000C2ED5" w:rsidRDefault="00485212">
            <w:pPr>
              <w:ind w:left="180"/>
              <w:rPr>
                <w:sz w:val="20"/>
                <w:szCs w:val="20"/>
              </w:rPr>
            </w:pPr>
            <w:r>
              <w:rPr>
                <w:rFonts w:eastAsia="Times New Roman"/>
                <w:sz w:val="20"/>
                <w:szCs w:val="20"/>
              </w:rPr>
              <w:t xml:space="preserve">helplessness), </w:t>
            </w:r>
            <w:r>
              <w:rPr>
                <w:rFonts w:eastAsia="Times New Roman"/>
                <w:sz w:val="20"/>
                <w:szCs w:val="20"/>
              </w:rPr>
              <w:t>previous negative experience of group work,</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8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30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1740" w:type="dxa"/>
            <w:vAlign w:val="bottom"/>
          </w:tcPr>
          <w:p w:rsidR="000C2ED5" w:rsidRDefault="000C2ED5">
            <w:pPr>
              <w:rPr>
                <w:sz w:val="24"/>
                <w:szCs w:val="24"/>
              </w:rPr>
            </w:pPr>
          </w:p>
        </w:tc>
        <w:tc>
          <w:tcPr>
            <w:tcW w:w="5400" w:type="dxa"/>
            <w:vAlign w:val="bottom"/>
          </w:tcPr>
          <w:p w:rsidR="000C2ED5" w:rsidRDefault="00485212">
            <w:pPr>
              <w:ind w:left="180"/>
              <w:rPr>
                <w:sz w:val="20"/>
                <w:szCs w:val="20"/>
              </w:rPr>
            </w:pPr>
            <w:r>
              <w:rPr>
                <w:rFonts w:eastAsia="Times New Roman"/>
                <w:sz w:val="20"/>
                <w:szCs w:val="20"/>
              </w:rPr>
              <w:t>assumption that group work is difficult, challenging and</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8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30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1740" w:type="dxa"/>
            <w:vAlign w:val="bottom"/>
          </w:tcPr>
          <w:p w:rsidR="000C2ED5" w:rsidRDefault="000C2ED5">
            <w:pPr>
              <w:rPr>
                <w:sz w:val="24"/>
                <w:szCs w:val="24"/>
              </w:rPr>
            </w:pPr>
          </w:p>
        </w:tc>
        <w:tc>
          <w:tcPr>
            <w:tcW w:w="5400" w:type="dxa"/>
            <w:vAlign w:val="bottom"/>
          </w:tcPr>
          <w:p w:rsidR="000C2ED5" w:rsidRDefault="00485212">
            <w:pPr>
              <w:ind w:left="180"/>
              <w:rPr>
                <w:sz w:val="20"/>
                <w:szCs w:val="20"/>
              </w:rPr>
            </w:pPr>
            <w:r>
              <w:rPr>
                <w:rFonts w:eastAsia="Times New Roman"/>
                <w:sz w:val="20"/>
                <w:szCs w:val="20"/>
              </w:rPr>
              <w:t>intrusive. A lack of trust in facilitators and group members.</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8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30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1740" w:type="dxa"/>
            <w:vAlign w:val="bottom"/>
          </w:tcPr>
          <w:p w:rsidR="000C2ED5" w:rsidRDefault="000C2ED5">
            <w:pPr>
              <w:rPr>
                <w:sz w:val="24"/>
                <w:szCs w:val="24"/>
              </w:rPr>
            </w:pPr>
          </w:p>
        </w:tc>
        <w:tc>
          <w:tcPr>
            <w:tcW w:w="5400" w:type="dxa"/>
            <w:vAlign w:val="bottom"/>
          </w:tcPr>
          <w:p w:rsidR="000C2ED5" w:rsidRDefault="00485212">
            <w:pPr>
              <w:ind w:left="180"/>
              <w:rPr>
                <w:sz w:val="20"/>
                <w:szCs w:val="20"/>
              </w:rPr>
            </w:pPr>
            <w:r>
              <w:rPr>
                <w:rFonts w:eastAsia="Times New Roman"/>
                <w:sz w:val="20"/>
                <w:szCs w:val="20"/>
              </w:rPr>
              <w:t>Perceived lack of choice and control.</w:t>
            </w:r>
          </w:p>
        </w:tc>
        <w:tc>
          <w:tcPr>
            <w:tcW w:w="1220" w:type="dxa"/>
            <w:vAlign w:val="bottom"/>
          </w:tcPr>
          <w:p w:rsidR="000C2ED5" w:rsidRDefault="000C2ED5">
            <w:pPr>
              <w:rPr>
                <w:sz w:val="24"/>
                <w:szCs w:val="24"/>
              </w:rPr>
            </w:pPr>
          </w:p>
        </w:tc>
      </w:tr>
      <w:tr w:rsidR="000C2ED5">
        <w:trPr>
          <w:trHeight w:val="919"/>
        </w:trPr>
        <w:tc>
          <w:tcPr>
            <w:tcW w:w="1100" w:type="dxa"/>
            <w:vAlign w:val="bottom"/>
          </w:tcPr>
          <w:p w:rsidR="000C2ED5" w:rsidRDefault="00485212">
            <w:pPr>
              <w:ind w:left="100"/>
              <w:rPr>
                <w:sz w:val="20"/>
                <w:szCs w:val="20"/>
              </w:rPr>
            </w:pPr>
            <w:r>
              <w:rPr>
                <w:rFonts w:eastAsia="Times New Roman"/>
                <w:sz w:val="20"/>
                <w:szCs w:val="20"/>
              </w:rPr>
              <w:t>McCorkel</w:t>
            </w:r>
          </w:p>
        </w:tc>
        <w:tc>
          <w:tcPr>
            <w:tcW w:w="1180" w:type="dxa"/>
            <w:vAlign w:val="bottom"/>
          </w:tcPr>
          <w:p w:rsidR="000C2ED5" w:rsidRDefault="00485212">
            <w:pPr>
              <w:ind w:left="120"/>
              <w:rPr>
                <w:sz w:val="20"/>
                <w:szCs w:val="20"/>
              </w:rPr>
            </w:pPr>
            <w:r>
              <w:rPr>
                <w:rFonts w:eastAsia="Times New Roman"/>
                <w:sz w:val="20"/>
                <w:szCs w:val="20"/>
              </w:rPr>
              <w:t>Qualitative</w:t>
            </w:r>
          </w:p>
        </w:tc>
        <w:tc>
          <w:tcPr>
            <w:tcW w:w="1320" w:type="dxa"/>
            <w:vAlign w:val="bottom"/>
          </w:tcPr>
          <w:p w:rsidR="000C2ED5" w:rsidRDefault="00485212">
            <w:pPr>
              <w:ind w:left="160"/>
              <w:rPr>
                <w:sz w:val="20"/>
                <w:szCs w:val="20"/>
              </w:rPr>
            </w:pPr>
            <w:r>
              <w:rPr>
                <w:rFonts w:eastAsia="Times New Roman"/>
                <w:sz w:val="20"/>
                <w:szCs w:val="20"/>
              </w:rPr>
              <w:t>Therapeutic</w:t>
            </w:r>
          </w:p>
        </w:tc>
        <w:tc>
          <w:tcPr>
            <w:tcW w:w="2300" w:type="dxa"/>
            <w:vAlign w:val="bottom"/>
          </w:tcPr>
          <w:p w:rsidR="000C2ED5" w:rsidRDefault="00485212">
            <w:pPr>
              <w:ind w:left="160"/>
              <w:rPr>
                <w:sz w:val="20"/>
                <w:szCs w:val="20"/>
              </w:rPr>
            </w:pPr>
            <w:r>
              <w:rPr>
                <w:rFonts w:eastAsia="Times New Roman"/>
                <w:sz w:val="20"/>
                <w:szCs w:val="20"/>
              </w:rPr>
              <w:t>Offenders who requested</w:t>
            </w:r>
          </w:p>
        </w:tc>
        <w:tc>
          <w:tcPr>
            <w:tcW w:w="1900" w:type="dxa"/>
            <w:vAlign w:val="bottom"/>
          </w:tcPr>
          <w:p w:rsidR="000C2ED5" w:rsidRDefault="00485212">
            <w:pPr>
              <w:ind w:left="120"/>
              <w:rPr>
                <w:sz w:val="20"/>
                <w:szCs w:val="20"/>
              </w:rPr>
            </w:pPr>
            <w:r>
              <w:rPr>
                <w:rFonts w:eastAsia="Times New Roman"/>
                <w:sz w:val="20"/>
                <w:szCs w:val="20"/>
              </w:rPr>
              <w:t>Factors associated</w:t>
            </w:r>
          </w:p>
        </w:tc>
        <w:tc>
          <w:tcPr>
            <w:tcW w:w="1740" w:type="dxa"/>
            <w:vAlign w:val="bottom"/>
          </w:tcPr>
          <w:p w:rsidR="000C2ED5" w:rsidRDefault="00485212">
            <w:pPr>
              <w:ind w:left="140"/>
              <w:rPr>
                <w:sz w:val="20"/>
                <w:szCs w:val="20"/>
              </w:rPr>
            </w:pPr>
            <w:r>
              <w:rPr>
                <w:rFonts w:eastAsia="Times New Roman"/>
                <w:sz w:val="20"/>
                <w:szCs w:val="20"/>
              </w:rPr>
              <w:t>50 female</w:t>
            </w:r>
          </w:p>
        </w:tc>
        <w:tc>
          <w:tcPr>
            <w:tcW w:w="5400" w:type="dxa"/>
            <w:vAlign w:val="bottom"/>
          </w:tcPr>
          <w:p w:rsidR="000C2ED5" w:rsidRDefault="00485212">
            <w:pPr>
              <w:ind w:left="180"/>
              <w:rPr>
                <w:sz w:val="20"/>
                <w:szCs w:val="20"/>
              </w:rPr>
            </w:pPr>
            <w:r>
              <w:rPr>
                <w:rFonts w:eastAsia="Times New Roman"/>
                <w:sz w:val="20"/>
                <w:szCs w:val="20"/>
              </w:rPr>
              <w:t>Identified several factors associated with dropout:</w:t>
            </w:r>
          </w:p>
        </w:tc>
        <w:tc>
          <w:tcPr>
            <w:tcW w:w="1220" w:type="dxa"/>
            <w:vAlign w:val="bottom"/>
          </w:tcPr>
          <w:p w:rsidR="000C2ED5" w:rsidRDefault="00485212">
            <w:pPr>
              <w:jc w:val="center"/>
              <w:rPr>
                <w:sz w:val="20"/>
                <w:szCs w:val="20"/>
              </w:rPr>
            </w:pPr>
            <w:r>
              <w:rPr>
                <w:rFonts w:eastAsia="Times New Roman"/>
                <w:w w:val="98"/>
                <w:sz w:val="20"/>
                <w:szCs w:val="20"/>
              </w:rPr>
              <w:t>100%</w:t>
            </w:r>
          </w:p>
        </w:tc>
      </w:tr>
      <w:tr w:rsidR="000C2ED5">
        <w:trPr>
          <w:trHeight w:val="461"/>
        </w:trPr>
        <w:tc>
          <w:tcPr>
            <w:tcW w:w="1100" w:type="dxa"/>
            <w:vAlign w:val="bottom"/>
          </w:tcPr>
          <w:p w:rsidR="000C2ED5" w:rsidRDefault="00485212">
            <w:pPr>
              <w:ind w:left="100"/>
              <w:rPr>
                <w:sz w:val="20"/>
                <w:szCs w:val="20"/>
              </w:rPr>
            </w:pPr>
            <w:r>
              <w:rPr>
                <w:rFonts w:eastAsia="Times New Roman"/>
                <w:sz w:val="20"/>
                <w:szCs w:val="20"/>
              </w:rPr>
              <w:t>et al.</w:t>
            </w:r>
          </w:p>
        </w:tc>
        <w:tc>
          <w:tcPr>
            <w:tcW w:w="1180" w:type="dxa"/>
            <w:vAlign w:val="bottom"/>
          </w:tcPr>
          <w:p w:rsidR="000C2ED5" w:rsidRDefault="000C2ED5">
            <w:pPr>
              <w:rPr>
                <w:sz w:val="24"/>
                <w:szCs w:val="24"/>
              </w:rPr>
            </w:pPr>
          </w:p>
        </w:tc>
        <w:tc>
          <w:tcPr>
            <w:tcW w:w="1320" w:type="dxa"/>
            <w:vAlign w:val="bottom"/>
          </w:tcPr>
          <w:p w:rsidR="000C2ED5" w:rsidRDefault="00485212">
            <w:pPr>
              <w:ind w:left="160"/>
              <w:rPr>
                <w:sz w:val="20"/>
                <w:szCs w:val="20"/>
              </w:rPr>
            </w:pPr>
            <w:r>
              <w:rPr>
                <w:rFonts w:eastAsia="Times New Roman"/>
                <w:sz w:val="20"/>
                <w:szCs w:val="20"/>
              </w:rPr>
              <w:t>Community</w:t>
            </w:r>
          </w:p>
        </w:tc>
        <w:tc>
          <w:tcPr>
            <w:tcW w:w="2300" w:type="dxa"/>
            <w:vAlign w:val="bottom"/>
          </w:tcPr>
          <w:p w:rsidR="000C2ED5" w:rsidRDefault="00485212">
            <w:pPr>
              <w:ind w:left="160"/>
              <w:rPr>
                <w:sz w:val="20"/>
                <w:szCs w:val="20"/>
              </w:rPr>
            </w:pPr>
            <w:r>
              <w:rPr>
                <w:rFonts w:eastAsia="Times New Roman"/>
                <w:sz w:val="20"/>
                <w:szCs w:val="20"/>
              </w:rPr>
              <w:t>to leave the TC prior to</w:t>
            </w:r>
          </w:p>
        </w:tc>
        <w:tc>
          <w:tcPr>
            <w:tcW w:w="1900" w:type="dxa"/>
            <w:vAlign w:val="bottom"/>
          </w:tcPr>
          <w:p w:rsidR="000C2ED5" w:rsidRDefault="00485212">
            <w:pPr>
              <w:ind w:left="120"/>
              <w:rPr>
                <w:sz w:val="20"/>
                <w:szCs w:val="20"/>
              </w:rPr>
            </w:pPr>
            <w:r>
              <w:rPr>
                <w:rFonts w:eastAsia="Times New Roman"/>
                <w:sz w:val="20"/>
                <w:szCs w:val="20"/>
              </w:rPr>
              <w:t>with</w:t>
            </w:r>
          </w:p>
        </w:tc>
        <w:tc>
          <w:tcPr>
            <w:tcW w:w="1740" w:type="dxa"/>
            <w:vAlign w:val="bottom"/>
          </w:tcPr>
          <w:p w:rsidR="000C2ED5" w:rsidRDefault="00485212">
            <w:pPr>
              <w:ind w:left="140"/>
              <w:rPr>
                <w:sz w:val="20"/>
                <w:szCs w:val="20"/>
              </w:rPr>
            </w:pPr>
            <w:r>
              <w:rPr>
                <w:rFonts w:eastAsia="Times New Roman"/>
                <w:sz w:val="20"/>
                <w:szCs w:val="20"/>
              </w:rPr>
              <w:t>prisoners</w:t>
            </w:r>
          </w:p>
        </w:tc>
        <w:tc>
          <w:tcPr>
            <w:tcW w:w="5400" w:type="dxa"/>
            <w:vAlign w:val="bottom"/>
          </w:tcPr>
          <w:p w:rsidR="000C2ED5" w:rsidRDefault="00485212">
            <w:pPr>
              <w:ind w:left="180"/>
              <w:rPr>
                <w:sz w:val="20"/>
                <w:szCs w:val="20"/>
              </w:rPr>
            </w:pPr>
            <w:r>
              <w:rPr>
                <w:rFonts w:eastAsia="Times New Roman"/>
                <w:i/>
                <w:iCs/>
                <w:sz w:val="20"/>
                <w:szCs w:val="20"/>
              </w:rPr>
              <w:t>Internal Factors</w:t>
            </w:r>
            <w:r>
              <w:rPr>
                <w:rFonts w:eastAsia="Times New Roman"/>
                <w:sz w:val="20"/>
                <w:szCs w:val="20"/>
              </w:rPr>
              <w:t>: Dissatisfaction with the programme offered.</w:t>
            </w:r>
          </w:p>
        </w:tc>
        <w:tc>
          <w:tcPr>
            <w:tcW w:w="1220" w:type="dxa"/>
            <w:vAlign w:val="bottom"/>
          </w:tcPr>
          <w:p w:rsidR="000C2ED5" w:rsidRDefault="000C2ED5">
            <w:pPr>
              <w:rPr>
                <w:sz w:val="24"/>
                <w:szCs w:val="24"/>
              </w:rPr>
            </w:pPr>
          </w:p>
        </w:tc>
      </w:tr>
      <w:tr w:rsidR="000C2ED5">
        <w:trPr>
          <w:trHeight w:val="459"/>
        </w:trPr>
        <w:tc>
          <w:tcPr>
            <w:tcW w:w="1100" w:type="dxa"/>
            <w:vAlign w:val="bottom"/>
          </w:tcPr>
          <w:p w:rsidR="000C2ED5" w:rsidRDefault="00485212">
            <w:pPr>
              <w:ind w:left="100"/>
              <w:rPr>
                <w:sz w:val="20"/>
                <w:szCs w:val="20"/>
              </w:rPr>
            </w:pPr>
            <w:r>
              <w:rPr>
                <w:rFonts w:eastAsia="Times New Roman"/>
                <w:sz w:val="20"/>
                <w:szCs w:val="20"/>
              </w:rPr>
              <w:t>(1998)</w:t>
            </w:r>
          </w:p>
        </w:tc>
        <w:tc>
          <w:tcPr>
            <w:tcW w:w="118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300" w:type="dxa"/>
            <w:vAlign w:val="bottom"/>
          </w:tcPr>
          <w:p w:rsidR="000C2ED5" w:rsidRDefault="00485212">
            <w:pPr>
              <w:ind w:left="160"/>
              <w:rPr>
                <w:sz w:val="20"/>
                <w:szCs w:val="20"/>
              </w:rPr>
            </w:pPr>
            <w:r>
              <w:rPr>
                <w:rFonts w:eastAsia="Times New Roman"/>
                <w:sz w:val="20"/>
                <w:szCs w:val="20"/>
              </w:rPr>
              <w:t>graduation.</w:t>
            </w:r>
          </w:p>
        </w:tc>
        <w:tc>
          <w:tcPr>
            <w:tcW w:w="1900" w:type="dxa"/>
            <w:vAlign w:val="bottom"/>
          </w:tcPr>
          <w:p w:rsidR="000C2ED5" w:rsidRDefault="00485212">
            <w:pPr>
              <w:ind w:left="120"/>
              <w:rPr>
                <w:sz w:val="20"/>
                <w:szCs w:val="20"/>
              </w:rPr>
            </w:pPr>
            <w:r>
              <w:rPr>
                <w:rFonts w:eastAsia="Times New Roman"/>
                <w:sz w:val="20"/>
                <w:szCs w:val="20"/>
              </w:rPr>
              <w:t>dropout/completion</w:t>
            </w:r>
          </w:p>
        </w:tc>
        <w:tc>
          <w:tcPr>
            <w:tcW w:w="1740" w:type="dxa"/>
            <w:vAlign w:val="bottom"/>
          </w:tcPr>
          <w:p w:rsidR="000C2ED5" w:rsidRDefault="00485212">
            <w:pPr>
              <w:ind w:left="200"/>
              <w:rPr>
                <w:sz w:val="20"/>
                <w:szCs w:val="20"/>
              </w:rPr>
            </w:pPr>
            <w:r>
              <w:rPr>
                <w:rFonts w:eastAsia="Times New Roman"/>
                <w:sz w:val="20"/>
                <w:szCs w:val="20"/>
              </w:rPr>
              <w:t>(treatment</w:t>
            </w:r>
          </w:p>
        </w:tc>
        <w:tc>
          <w:tcPr>
            <w:tcW w:w="5400" w:type="dxa"/>
            <w:vAlign w:val="bottom"/>
          </w:tcPr>
          <w:p w:rsidR="000C2ED5" w:rsidRDefault="00485212">
            <w:pPr>
              <w:ind w:left="180"/>
              <w:rPr>
                <w:sz w:val="20"/>
                <w:szCs w:val="20"/>
              </w:rPr>
            </w:pPr>
            <w:r>
              <w:rPr>
                <w:rFonts w:eastAsia="Times New Roman"/>
                <w:sz w:val="20"/>
                <w:szCs w:val="20"/>
              </w:rPr>
              <w:t>Negative perception of staff and group members. Aspects of the</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8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300" w:type="dxa"/>
            <w:vAlign w:val="bottom"/>
          </w:tcPr>
          <w:p w:rsidR="000C2ED5" w:rsidRDefault="000C2ED5">
            <w:pPr>
              <w:rPr>
                <w:sz w:val="24"/>
                <w:szCs w:val="24"/>
              </w:rPr>
            </w:pPr>
          </w:p>
        </w:tc>
        <w:tc>
          <w:tcPr>
            <w:tcW w:w="1900" w:type="dxa"/>
            <w:vAlign w:val="bottom"/>
          </w:tcPr>
          <w:p w:rsidR="000C2ED5" w:rsidRDefault="00485212">
            <w:pPr>
              <w:ind w:left="120"/>
              <w:rPr>
                <w:sz w:val="20"/>
                <w:szCs w:val="20"/>
              </w:rPr>
            </w:pPr>
            <w:r>
              <w:rPr>
                <w:rFonts w:eastAsia="Times New Roman"/>
                <w:sz w:val="20"/>
                <w:szCs w:val="20"/>
              </w:rPr>
              <w:t>of treatment.</w:t>
            </w:r>
          </w:p>
        </w:tc>
        <w:tc>
          <w:tcPr>
            <w:tcW w:w="1740" w:type="dxa"/>
            <w:vAlign w:val="bottom"/>
          </w:tcPr>
          <w:p w:rsidR="000C2ED5" w:rsidRDefault="00485212">
            <w:pPr>
              <w:ind w:left="140"/>
              <w:rPr>
                <w:sz w:val="20"/>
                <w:szCs w:val="20"/>
              </w:rPr>
            </w:pPr>
            <w:r>
              <w:rPr>
                <w:rFonts w:eastAsia="Times New Roman"/>
                <w:sz w:val="20"/>
                <w:szCs w:val="20"/>
              </w:rPr>
              <w:t>dropouts = 32;</w:t>
            </w:r>
          </w:p>
        </w:tc>
        <w:tc>
          <w:tcPr>
            <w:tcW w:w="5400" w:type="dxa"/>
            <w:vAlign w:val="bottom"/>
          </w:tcPr>
          <w:p w:rsidR="000C2ED5" w:rsidRDefault="00485212">
            <w:pPr>
              <w:ind w:left="180"/>
              <w:rPr>
                <w:sz w:val="20"/>
                <w:szCs w:val="20"/>
              </w:rPr>
            </w:pPr>
            <w:r>
              <w:rPr>
                <w:rFonts w:eastAsia="Times New Roman"/>
                <w:sz w:val="20"/>
                <w:szCs w:val="20"/>
              </w:rPr>
              <w:t>programme including surveillance and forceful probing</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8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30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1740" w:type="dxa"/>
            <w:vAlign w:val="bottom"/>
          </w:tcPr>
          <w:p w:rsidR="000C2ED5" w:rsidRDefault="00485212">
            <w:pPr>
              <w:ind w:left="140"/>
              <w:rPr>
                <w:sz w:val="20"/>
                <w:szCs w:val="20"/>
              </w:rPr>
            </w:pPr>
            <w:r>
              <w:rPr>
                <w:rFonts w:eastAsia="Times New Roman"/>
                <w:sz w:val="20"/>
                <w:szCs w:val="20"/>
              </w:rPr>
              <w:t>graduates = 18)</w:t>
            </w:r>
          </w:p>
        </w:tc>
        <w:tc>
          <w:tcPr>
            <w:tcW w:w="5400" w:type="dxa"/>
            <w:vAlign w:val="bottom"/>
          </w:tcPr>
          <w:p w:rsidR="000C2ED5" w:rsidRDefault="00485212">
            <w:pPr>
              <w:ind w:left="180"/>
              <w:rPr>
                <w:sz w:val="20"/>
                <w:szCs w:val="20"/>
              </w:rPr>
            </w:pPr>
            <w:r>
              <w:rPr>
                <w:rFonts w:eastAsia="Times New Roman"/>
                <w:sz w:val="20"/>
                <w:szCs w:val="20"/>
              </w:rPr>
              <w:t xml:space="preserve">precipitated feelings of powerlessness </w:t>
            </w:r>
            <w:r>
              <w:rPr>
                <w:rFonts w:eastAsia="Times New Roman"/>
                <w:sz w:val="20"/>
                <w:szCs w:val="20"/>
              </w:rPr>
              <w:t>and cynicism towards</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8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30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1740" w:type="dxa"/>
            <w:vAlign w:val="bottom"/>
          </w:tcPr>
          <w:p w:rsidR="000C2ED5" w:rsidRDefault="000C2ED5">
            <w:pPr>
              <w:rPr>
                <w:sz w:val="24"/>
                <w:szCs w:val="24"/>
              </w:rPr>
            </w:pPr>
          </w:p>
        </w:tc>
        <w:tc>
          <w:tcPr>
            <w:tcW w:w="5400" w:type="dxa"/>
            <w:vAlign w:val="bottom"/>
          </w:tcPr>
          <w:p w:rsidR="000C2ED5" w:rsidRDefault="00485212">
            <w:pPr>
              <w:ind w:left="180"/>
              <w:rPr>
                <w:sz w:val="20"/>
                <w:szCs w:val="20"/>
              </w:rPr>
            </w:pPr>
            <w:r>
              <w:rPr>
                <w:rFonts w:eastAsia="Times New Roman"/>
                <w:sz w:val="20"/>
                <w:szCs w:val="20"/>
              </w:rPr>
              <w:t>the programme negatively impacted on engagement.</w:t>
            </w:r>
          </w:p>
        </w:tc>
        <w:tc>
          <w:tcPr>
            <w:tcW w:w="1220" w:type="dxa"/>
            <w:vAlign w:val="bottom"/>
          </w:tcPr>
          <w:p w:rsidR="000C2ED5" w:rsidRDefault="000C2ED5">
            <w:pPr>
              <w:rPr>
                <w:sz w:val="24"/>
                <w:szCs w:val="24"/>
              </w:rPr>
            </w:pPr>
          </w:p>
        </w:tc>
      </w:tr>
      <w:tr w:rsidR="000C2ED5">
        <w:trPr>
          <w:trHeight w:val="922"/>
        </w:trPr>
        <w:tc>
          <w:tcPr>
            <w:tcW w:w="1100" w:type="dxa"/>
            <w:vAlign w:val="bottom"/>
          </w:tcPr>
          <w:p w:rsidR="000C2ED5" w:rsidRDefault="00485212">
            <w:pPr>
              <w:ind w:left="100"/>
              <w:rPr>
                <w:sz w:val="20"/>
                <w:szCs w:val="20"/>
              </w:rPr>
            </w:pPr>
            <w:r>
              <w:rPr>
                <w:rFonts w:eastAsia="Times New Roman"/>
                <w:sz w:val="20"/>
                <w:szCs w:val="20"/>
              </w:rPr>
              <w:t>McGrain</w:t>
            </w:r>
          </w:p>
        </w:tc>
        <w:tc>
          <w:tcPr>
            <w:tcW w:w="1180" w:type="dxa"/>
            <w:vAlign w:val="bottom"/>
          </w:tcPr>
          <w:p w:rsidR="000C2ED5" w:rsidRDefault="00485212">
            <w:pPr>
              <w:ind w:left="120"/>
              <w:rPr>
                <w:sz w:val="20"/>
                <w:szCs w:val="20"/>
              </w:rPr>
            </w:pPr>
            <w:r>
              <w:rPr>
                <w:rFonts w:eastAsia="Times New Roman"/>
                <w:sz w:val="20"/>
                <w:szCs w:val="20"/>
              </w:rPr>
              <w:t>Qualitative</w:t>
            </w:r>
          </w:p>
        </w:tc>
        <w:tc>
          <w:tcPr>
            <w:tcW w:w="1320" w:type="dxa"/>
            <w:vAlign w:val="bottom"/>
          </w:tcPr>
          <w:p w:rsidR="000C2ED5" w:rsidRDefault="00485212">
            <w:pPr>
              <w:ind w:left="160"/>
              <w:rPr>
                <w:sz w:val="20"/>
                <w:szCs w:val="20"/>
              </w:rPr>
            </w:pPr>
            <w:r>
              <w:rPr>
                <w:rFonts w:eastAsia="Times New Roman"/>
                <w:sz w:val="20"/>
                <w:szCs w:val="20"/>
              </w:rPr>
              <w:t>Therapeutic</w:t>
            </w:r>
          </w:p>
        </w:tc>
        <w:tc>
          <w:tcPr>
            <w:tcW w:w="2300" w:type="dxa"/>
            <w:vAlign w:val="bottom"/>
          </w:tcPr>
          <w:p w:rsidR="000C2ED5" w:rsidRDefault="00485212">
            <w:pPr>
              <w:ind w:left="160"/>
              <w:rPr>
                <w:sz w:val="20"/>
                <w:szCs w:val="20"/>
              </w:rPr>
            </w:pPr>
            <w:r>
              <w:rPr>
                <w:rFonts w:eastAsia="Times New Roman"/>
                <w:sz w:val="20"/>
                <w:szCs w:val="20"/>
              </w:rPr>
              <w:t>In reference to treatment</w:t>
            </w:r>
          </w:p>
        </w:tc>
        <w:tc>
          <w:tcPr>
            <w:tcW w:w="1900" w:type="dxa"/>
            <w:vAlign w:val="bottom"/>
          </w:tcPr>
          <w:p w:rsidR="000C2ED5" w:rsidRDefault="00485212">
            <w:pPr>
              <w:ind w:left="120"/>
              <w:rPr>
                <w:sz w:val="20"/>
                <w:szCs w:val="20"/>
              </w:rPr>
            </w:pPr>
            <w:r>
              <w:rPr>
                <w:rFonts w:eastAsia="Times New Roman"/>
                <w:sz w:val="20"/>
                <w:szCs w:val="20"/>
              </w:rPr>
              <w:t>Factors which</w:t>
            </w:r>
          </w:p>
        </w:tc>
        <w:tc>
          <w:tcPr>
            <w:tcW w:w="1740" w:type="dxa"/>
            <w:vAlign w:val="bottom"/>
          </w:tcPr>
          <w:p w:rsidR="000C2ED5" w:rsidRDefault="00485212">
            <w:pPr>
              <w:ind w:left="140"/>
              <w:rPr>
                <w:sz w:val="20"/>
                <w:szCs w:val="20"/>
              </w:rPr>
            </w:pPr>
            <w:r>
              <w:rPr>
                <w:rFonts w:eastAsia="Times New Roman"/>
                <w:sz w:val="20"/>
                <w:szCs w:val="20"/>
              </w:rPr>
              <w:t>30 male prisoners</w:t>
            </w:r>
          </w:p>
        </w:tc>
        <w:tc>
          <w:tcPr>
            <w:tcW w:w="5400" w:type="dxa"/>
            <w:vAlign w:val="bottom"/>
          </w:tcPr>
          <w:p w:rsidR="000C2ED5" w:rsidRDefault="00485212">
            <w:pPr>
              <w:ind w:left="180"/>
              <w:rPr>
                <w:sz w:val="20"/>
                <w:szCs w:val="20"/>
              </w:rPr>
            </w:pPr>
            <w:r>
              <w:rPr>
                <w:rFonts w:eastAsia="Times New Roman"/>
                <w:sz w:val="20"/>
                <w:szCs w:val="20"/>
              </w:rPr>
              <w:t>Identified several areas associated with treatment engagement.</w:t>
            </w:r>
          </w:p>
        </w:tc>
        <w:tc>
          <w:tcPr>
            <w:tcW w:w="1220" w:type="dxa"/>
            <w:vAlign w:val="bottom"/>
          </w:tcPr>
          <w:p w:rsidR="000C2ED5" w:rsidRDefault="00485212">
            <w:pPr>
              <w:jc w:val="center"/>
              <w:rPr>
                <w:sz w:val="20"/>
                <w:szCs w:val="20"/>
              </w:rPr>
            </w:pPr>
            <w:r>
              <w:rPr>
                <w:rFonts w:eastAsia="Times New Roman"/>
                <w:w w:val="98"/>
                <w:sz w:val="20"/>
                <w:szCs w:val="20"/>
              </w:rPr>
              <w:t>100%</w:t>
            </w:r>
          </w:p>
        </w:tc>
      </w:tr>
      <w:tr w:rsidR="000C2ED5">
        <w:trPr>
          <w:trHeight w:val="458"/>
        </w:trPr>
        <w:tc>
          <w:tcPr>
            <w:tcW w:w="1100" w:type="dxa"/>
            <w:vAlign w:val="bottom"/>
          </w:tcPr>
          <w:p w:rsidR="000C2ED5" w:rsidRDefault="00485212">
            <w:pPr>
              <w:ind w:left="100"/>
              <w:rPr>
                <w:sz w:val="20"/>
                <w:szCs w:val="20"/>
              </w:rPr>
            </w:pPr>
            <w:r>
              <w:rPr>
                <w:rFonts w:eastAsia="Times New Roman"/>
                <w:sz w:val="20"/>
                <w:szCs w:val="20"/>
              </w:rPr>
              <w:t>(2006)</w:t>
            </w:r>
          </w:p>
        </w:tc>
        <w:tc>
          <w:tcPr>
            <w:tcW w:w="1180" w:type="dxa"/>
            <w:vAlign w:val="bottom"/>
          </w:tcPr>
          <w:p w:rsidR="000C2ED5" w:rsidRDefault="000C2ED5">
            <w:pPr>
              <w:rPr>
                <w:sz w:val="24"/>
                <w:szCs w:val="24"/>
              </w:rPr>
            </w:pPr>
          </w:p>
        </w:tc>
        <w:tc>
          <w:tcPr>
            <w:tcW w:w="1320" w:type="dxa"/>
            <w:vAlign w:val="bottom"/>
          </w:tcPr>
          <w:p w:rsidR="000C2ED5" w:rsidRDefault="00485212">
            <w:pPr>
              <w:ind w:left="160"/>
              <w:rPr>
                <w:sz w:val="20"/>
                <w:szCs w:val="20"/>
              </w:rPr>
            </w:pPr>
            <w:r>
              <w:rPr>
                <w:rFonts w:eastAsia="Times New Roman"/>
                <w:sz w:val="20"/>
                <w:szCs w:val="20"/>
              </w:rPr>
              <w:t>Community</w:t>
            </w:r>
          </w:p>
        </w:tc>
        <w:tc>
          <w:tcPr>
            <w:tcW w:w="2300" w:type="dxa"/>
            <w:vAlign w:val="bottom"/>
          </w:tcPr>
          <w:p w:rsidR="000C2ED5" w:rsidRDefault="00485212">
            <w:pPr>
              <w:ind w:left="160"/>
              <w:rPr>
                <w:sz w:val="20"/>
                <w:szCs w:val="20"/>
              </w:rPr>
            </w:pPr>
            <w:r>
              <w:rPr>
                <w:rFonts w:eastAsia="Times New Roman"/>
                <w:sz w:val="20"/>
                <w:szCs w:val="20"/>
              </w:rPr>
              <w:t>engagement the</w:t>
            </w:r>
          </w:p>
        </w:tc>
        <w:tc>
          <w:tcPr>
            <w:tcW w:w="1900" w:type="dxa"/>
            <w:vAlign w:val="bottom"/>
          </w:tcPr>
          <w:p w:rsidR="000C2ED5" w:rsidRDefault="00485212">
            <w:pPr>
              <w:ind w:left="120"/>
              <w:rPr>
                <w:sz w:val="20"/>
                <w:szCs w:val="20"/>
              </w:rPr>
            </w:pPr>
            <w:r>
              <w:rPr>
                <w:rFonts w:eastAsia="Times New Roman"/>
                <w:sz w:val="20"/>
                <w:szCs w:val="20"/>
              </w:rPr>
              <w:t>influence</w:t>
            </w:r>
          </w:p>
        </w:tc>
        <w:tc>
          <w:tcPr>
            <w:tcW w:w="1740" w:type="dxa"/>
            <w:vAlign w:val="bottom"/>
          </w:tcPr>
          <w:p w:rsidR="000C2ED5" w:rsidRDefault="000C2ED5">
            <w:pPr>
              <w:rPr>
                <w:sz w:val="24"/>
                <w:szCs w:val="24"/>
              </w:rPr>
            </w:pPr>
          </w:p>
        </w:tc>
        <w:tc>
          <w:tcPr>
            <w:tcW w:w="5400" w:type="dxa"/>
            <w:vAlign w:val="bottom"/>
          </w:tcPr>
          <w:p w:rsidR="000C2ED5" w:rsidRDefault="00485212">
            <w:pPr>
              <w:ind w:left="180"/>
              <w:rPr>
                <w:sz w:val="20"/>
                <w:szCs w:val="20"/>
              </w:rPr>
            </w:pPr>
            <w:r>
              <w:rPr>
                <w:rFonts w:eastAsia="Times New Roman"/>
                <w:i/>
                <w:iCs/>
                <w:sz w:val="20"/>
                <w:szCs w:val="20"/>
              </w:rPr>
              <w:t xml:space="preserve">Internal Factors: </w:t>
            </w:r>
            <w:r>
              <w:rPr>
                <w:rFonts w:eastAsia="Times New Roman"/>
                <w:sz w:val="20"/>
                <w:szCs w:val="20"/>
              </w:rPr>
              <w:t>Negative perceptions of treatment</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80" w:type="dxa"/>
            <w:vAlign w:val="bottom"/>
          </w:tcPr>
          <w:p w:rsidR="000C2ED5" w:rsidRDefault="000C2ED5">
            <w:pPr>
              <w:rPr>
                <w:sz w:val="24"/>
                <w:szCs w:val="24"/>
              </w:rPr>
            </w:pPr>
          </w:p>
        </w:tc>
        <w:tc>
          <w:tcPr>
            <w:tcW w:w="1320" w:type="dxa"/>
            <w:vAlign w:val="bottom"/>
          </w:tcPr>
          <w:p w:rsidR="000C2ED5" w:rsidRDefault="00485212">
            <w:pPr>
              <w:ind w:left="160"/>
              <w:rPr>
                <w:sz w:val="20"/>
                <w:szCs w:val="20"/>
              </w:rPr>
            </w:pPr>
            <w:r>
              <w:rPr>
                <w:rFonts w:eastAsia="Times New Roman"/>
                <w:sz w:val="20"/>
                <w:szCs w:val="20"/>
              </w:rPr>
              <w:t>(TC)</w:t>
            </w:r>
          </w:p>
        </w:tc>
        <w:tc>
          <w:tcPr>
            <w:tcW w:w="2300" w:type="dxa"/>
            <w:vAlign w:val="bottom"/>
          </w:tcPr>
          <w:p w:rsidR="000C2ED5" w:rsidRDefault="00485212">
            <w:pPr>
              <w:ind w:left="160"/>
              <w:rPr>
                <w:sz w:val="20"/>
                <w:szCs w:val="20"/>
              </w:rPr>
            </w:pPr>
            <w:r>
              <w:rPr>
                <w:rFonts w:eastAsia="Times New Roman"/>
                <w:sz w:val="20"/>
                <w:szCs w:val="20"/>
              </w:rPr>
              <w:t>following was stated:</w:t>
            </w:r>
          </w:p>
        </w:tc>
        <w:tc>
          <w:tcPr>
            <w:tcW w:w="1900" w:type="dxa"/>
            <w:vAlign w:val="bottom"/>
          </w:tcPr>
          <w:p w:rsidR="000C2ED5" w:rsidRDefault="00485212">
            <w:pPr>
              <w:ind w:left="120"/>
              <w:rPr>
                <w:sz w:val="20"/>
                <w:szCs w:val="20"/>
              </w:rPr>
            </w:pPr>
            <w:r>
              <w:rPr>
                <w:rFonts w:eastAsia="Times New Roman"/>
                <w:sz w:val="20"/>
                <w:szCs w:val="20"/>
              </w:rPr>
              <w:t>engagement</w:t>
            </w:r>
          </w:p>
        </w:tc>
        <w:tc>
          <w:tcPr>
            <w:tcW w:w="1740" w:type="dxa"/>
            <w:vAlign w:val="bottom"/>
          </w:tcPr>
          <w:p w:rsidR="000C2ED5" w:rsidRDefault="000C2ED5">
            <w:pPr>
              <w:rPr>
                <w:sz w:val="24"/>
                <w:szCs w:val="24"/>
              </w:rPr>
            </w:pPr>
          </w:p>
        </w:tc>
        <w:tc>
          <w:tcPr>
            <w:tcW w:w="5400" w:type="dxa"/>
            <w:vAlign w:val="bottom"/>
          </w:tcPr>
          <w:p w:rsidR="000C2ED5" w:rsidRDefault="00485212">
            <w:pPr>
              <w:ind w:left="180"/>
              <w:rPr>
                <w:sz w:val="20"/>
                <w:szCs w:val="20"/>
              </w:rPr>
            </w:pPr>
            <w:r>
              <w:rPr>
                <w:rFonts w:eastAsia="Times New Roman"/>
                <w:sz w:val="20"/>
                <w:szCs w:val="20"/>
              </w:rPr>
              <w:t>structure/delivery (i.e. the inclusion of small/large groups,</w:t>
            </w:r>
          </w:p>
        </w:tc>
        <w:tc>
          <w:tcPr>
            <w:tcW w:w="1220" w:type="dxa"/>
            <w:vAlign w:val="bottom"/>
          </w:tcPr>
          <w:p w:rsidR="000C2ED5" w:rsidRDefault="000C2ED5">
            <w:pPr>
              <w:rPr>
                <w:sz w:val="24"/>
                <w:szCs w:val="24"/>
              </w:rPr>
            </w:pPr>
          </w:p>
        </w:tc>
      </w:tr>
    </w:tbl>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23" w:lineRule="exact"/>
        <w:rPr>
          <w:sz w:val="20"/>
          <w:szCs w:val="20"/>
        </w:rPr>
      </w:pPr>
    </w:p>
    <w:p w:rsidR="000C2ED5" w:rsidRDefault="00485212">
      <w:pPr>
        <w:ind w:left="14840"/>
        <w:rPr>
          <w:sz w:val="20"/>
          <w:szCs w:val="20"/>
        </w:rPr>
      </w:pPr>
      <w:r>
        <w:rPr>
          <w:rFonts w:eastAsia="Times New Roman"/>
        </w:rPr>
        <w:t>52</w:t>
      </w:r>
    </w:p>
    <w:p w:rsidR="000C2ED5" w:rsidRDefault="000C2ED5">
      <w:pPr>
        <w:sectPr w:rsidR="000C2ED5">
          <w:pgSz w:w="16840" w:h="11906" w:orient="landscape"/>
          <w:pgMar w:top="698" w:right="338" w:bottom="403" w:left="340" w:header="0" w:footer="0" w:gutter="0"/>
          <w:cols w:space="720" w:equalWidth="0">
            <w:col w:w="16160"/>
          </w:cols>
        </w:sectPr>
      </w:pPr>
    </w:p>
    <w:p w:rsidR="000C2ED5" w:rsidRDefault="00485212">
      <w:pPr>
        <w:ind w:left="1100"/>
        <w:rPr>
          <w:sz w:val="20"/>
          <w:szCs w:val="20"/>
        </w:rPr>
      </w:pPr>
      <w:bookmarkStart w:id="53" w:name="page54"/>
      <w:bookmarkEnd w:id="53"/>
      <w:r>
        <w:rPr>
          <w:rFonts w:eastAsia="Times New Roman"/>
          <w:sz w:val="24"/>
          <w:szCs w:val="24"/>
        </w:rPr>
        <w:lastRenderedPageBreak/>
        <w:t xml:space="preserve">Treatment Engagement from the </w:t>
      </w:r>
      <w:r>
        <w:rPr>
          <w:rFonts w:eastAsia="Times New Roman"/>
          <w:sz w:val="24"/>
          <w:szCs w:val="24"/>
        </w:rPr>
        <w:t>Perspective of the Offender</w:t>
      </w:r>
    </w:p>
    <w:p w:rsidR="000C2ED5" w:rsidRDefault="000C2ED5">
      <w:pPr>
        <w:spacing w:line="200" w:lineRule="exact"/>
        <w:rPr>
          <w:sz w:val="20"/>
          <w:szCs w:val="20"/>
        </w:rPr>
      </w:pPr>
    </w:p>
    <w:p w:rsidR="000C2ED5" w:rsidRDefault="000C2ED5">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0"/>
        <w:gridCol w:w="1080"/>
        <w:gridCol w:w="1460"/>
        <w:gridCol w:w="2060"/>
        <w:gridCol w:w="2140"/>
        <w:gridCol w:w="2500"/>
        <w:gridCol w:w="3540"/>
        <w:gridCol w:w="2180"/>
      </w:tblGrid>
      <w:tr w:rsidR="000C2ED5">
        <w:trPr>
          <w:trHeight w:val="236"/>
        </w:trPr>
        <w:tc>
          <w:tcPr>
            <w:tcW w:w="1200" w:type="dxa"/>
            <w:tcBorders>
              <w:top w:val="single" w:sz="8" w:space="0" w:color="auto"/>
            </w:tcBorders>
            <w:vAlign w:val="bottom"/>
          </w:tcPr>
          <w:p w:rsidR="000C2ED5" w:rsidRDefault="00485212">
            <w:pPr>
              <w:jc w:val="center"/>
              <w:rPr>
                <w:sz w:val="20"/>
                <w:szCs w:val="20"/>
              </w:rPr>
            </w:pPr>
            <w:r>
              <w:rPr>
                <w:rFonts w:eastAsia="Times New Roman"/>
                <w:b/>
                <w:bCs/>
                <w:sz w:val="20"/>
                <w:szCs w:val="20"/>
              </w:rPr>
              <w:t>Author &amp;</w:t>
            </w:r>
          </w:p>
        </w:tc>
        <w:tc>
          <w:tcPr>
            <w:tcW w:w="108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460" w:type="dxa"/>
            <w:tcBorders>
              <w:top w:val="single" w:sz="8" w:space="0" w:color="auto"/>
            </w:tcBorders>
            <w:vAlign w:val="bottom"/>
          </w:tcPr>
          <w:p w:rsidR="000C2ED5" w:rsidRDefault="00485212">
            <w:pPr>
              <w:jc w:val="center"/>
              <w:rPr>
                <w:sz w:val="20"/>
                <w:szCs w:val="20"/>
              </w:rPr>
            </w:pPr>
            <w:r>
              <w:rPr>
                <w:rFonts w:eastAsia="Times New Roman"/>
                <w:b/>
                <w:bCs/>
                <w:w w:val="98"/>
                <w:sz w:val="20"/>
                <w:szCs w:val="20"/>
              </w:rPr>
              <w:t>Treatment</w:t>
            </w:r>
          </w:p>
        </w:tc>
        <w:tc>
          <w:tcPr>
            <w:tcW w:w="206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Definition of non-</w:t>
            </w:r>
          </w:p>
        </w:tc>
        <w:tc>
          <w:tcPr>
            <w:tcW w:w="2140" w:type="dxa"/>
            <w:tcBorders>
              <w:top w:val="single" w:sz="8" w:space="0" w:color="auto"/>
            </w:tcBorders>
            <w:vAlign w:val="bottom"/>
          </w:tcPr>
          <w:p w:rsidR="000C2ED5" w:rsidRDefault="00485212">
            <w:pPr>
              <w:ind w:left="280"/>
              <w:rPr>
                <w:sz w:val="20"/>
                <w:szCs w:val="20"/>
              </w:rPr>
            </w:pPr>
            <w:r>
              <w:rPr>
                <w:rFonts w:eastAsia="Times New Roman"/>
                <w:b/>
                <w:bCs/>
                <w:sz w:val="20"/>
                <w:szCs w:val="20"/>
              </w:rPr>
              <w:t>Research Question</w:t>
            </w:r>
          </w:p>
        </w:tc>
        <w:tc>
          <w:tcPr>
            <w:tcW w:w="2500" w:type="dxa"/>
            <w:tcBorders>
              <w:top w:val="single" w:sz="8" w:space="0" w:color="auto"/>
            </w:tcBorders>
            <w:vAlign w:val="bottom"/>
          </w:tcPr>
          <w:p w:rsidR="000C2ED5" w:rsidRDefault="00485212">
            <w:pPr>
              <w:ind w:left="260"/>
              <w:rPr>
                <w:sz w:val="20"/>
                <w:szCs w:val="20"/>
              </w:rPr>
            </w:pPr>
            <w:r>
              <w:rPr>
                <w:rFonts w:eastAsia="Times New Roman"/>
                <w:b/>
                <w:bCs/>
                <w:sz w:val="20"/>
                <w:szCs w:val="20"/>
              </w:rPr>
              <w:t>Sample Size</w:t>
            </w:r>
          </w:p>
        </w:tc>
        <w:tc>
          <w:tcPr>
            <w:tcW w:w="3540" w:type="dxa"/>
            <w:tcBorders>
              <w:top w:val="single" w:sz="8" w:space="0" w:color="auto"/>
            </w:tcBorders>
            <w:vAlign w:val="bottom"/>
          </w:tcPr>
          <w:p w:rsidR="000C2ED5" w:rsidRDefault="00485212">
            <w:pPr>
              <w:ind w:left="1200"/>
              <w:rPr>
                <w:sz w:val="20"/>
                <w:szCs w:val="20"/>
              </w:rPr>
            </w:pPr>
            <w:r>
              <w:rPr>
                <w:rFonts w:eastAsia="Times New Roman"/>
                <w:b/>
                <w:bCs/>
                <w:sz w:val="20"/>
                <w:szCs w:val="20"/>
              </w:rPr>
              <w:t>Main Findings</w:t>
            </w:r>
          </w:p>
        </w:tc>
        <w:tc>
          <w:tcPr>
            <w:tcW w:w="2180" w:type="dxa"/>
            <w:tcBorders>
              <w:top w:val="single" w:sz="8" w:space="0" w:color="auto"/>
            </w:tcBorders>
            <w:vAlign w:val="bottom"/>
          </w:tcPr>
          <w:p w:rsidR="000C2ED5" w:rsidRDefault="00485212">
            <w:pPr>
              <w:ind w:left="880"/>
              <w:jc w:val="center"/>
              <w:rPr>
                <w:sz w:val="20"/>
                <w:szCs w:val="20"/>
              </w:rPr>
            </w:pPr>
            <w:r>
              <w:rPr>
                <w:rFonts w:eastAsia="Times New Roman"/>
                <w:b/>
                <w:bCs/>
                <w:w w:val="99"/>
                <w:sz w:val="20"/>
                <w:szCs w:val="20"/>
              </w:rPr>
              <w:t>Quality</w:t>
            </w:r>
          </w:p>
        </w:tc>
      </w:tr>
      <w:tr w:rsidR="000C2ED5">
        <w:trPr>
          <w:trHeight w:val="461"/>
        </w:trPr>
        <w:tc>
          <w:tcPr>
            <w:tcW w:w="1200" w:type="dxa"/>
            <w:vAlign w:val="bottom"/>
          </w:tcPr>
          <w:p w:rsidR="000C2ED5" w:rsidRDefault="00485212">
            <w:pPr>
              <w:jc w:val="center"/>
              <w:rPr>
                <w:sz w:val="20"/>
                <w:szCs w:val="20"/>
              </w:rPr>
            </w:pPr>
            <w:r>
              <w:rPr>
                <w:rFonts w:eastAsia="Times New Roman"/>
                <w:b/>
                <w:bCs/>
                <w:w w:val="99"/>
                <w:sz w:val="20"/>
                <w:szCs w:val="20"/>
              </w:rPr>
              <w:t>Date</w:t>
            </w:r>
          </w:p>
        </w:tc>
        <w:tc>
          <w:tcPr>
            <w:tcW w:w="1080" w:type="dxa"/>
            <w:vAlign w:val="bottom"/>
          </w:tcPr>
          <w:p w:rsidR="000C2ED5" w:rsidRDefault="00485212">
            <w:pPr>
              <w:jc w:val="center"/>
              <w:rPr>
                <w:sz w:val="20"/>
                <w:szCs w:val="20"/>
              </w:rPr>
            </w:pPr>
            <w:r>
              <w:rPr>
                <w:rFonts w:eastAsia="Times New Roman"/>
                <w:b/>
                <w:bCs/>
                <w:w w:val="96"/>
                <w:sz w:val="20"/>
                <w:szCs w:val="20"/>
              </w:rPr>
              <w:t>Design</w:t>
            </w:r>
          </w:p>
        </w:tc>
        <w:tc>
          <w:tcPr>
            <w:tcW w:w="1460" w:type="dxa"/>
            <w:vAlign w:val="bottom"/>
          </w:tcPr>
          <w:p w:rsidR="000C2ED5" w:rsidRDefault="00485212">
            <w:pPr>
              <w:jc w:val="center"/>
              <w:rPr>
                <w:sz w:val="20"/>
                <w:szCs w:val="20"/>
              </w:rPr>
            </w:pPr>
            <w:r>
              <w:rPr>
                <w:rFonts w:eastAsia="Times New Roman"/>
                <w:b/>
                <w:bCs/>
                <w:w w:val="96"/>
                <w:sz w:val="20"/>
                <w:szCs w:val="20"/>
              </w:rPr>
              <w:t>Type</w:t>
            </w:r>
          </w:p>
        </w:tc>
        <w:tc>
          <w:tcPr>
            <w:tcW w:w="2060" w:type="dxa"/>
            <w:vAlign w:val="bottom"/>
          </w:tcPr>
          <w:p w:rsidR="000C2ED5" w:rsidRDefault="00485212">
            <w:pPr>
              <w:jc w:val="center"/>
              <w:rPr>
                <w:sz w:val="20"/>
                <w:szCs w:val="20"/>
              </w:rPr>
            </w:pPr>
            <w:r>
              <w:rPr>
                <w:rFonts w:eastAsia="Times New Roman"/>
                <w:b/>
                <w:bCs/>
                <w:w w:val="97"/>
                <w:sz w:val="20"/>
                <w:szCs w:val="20"/>
              </w:rPr>
              <w:t>completion/</w:t>
            </w:r>
          </w:p>
        </w:tc>
        <w:tc>
          <w:tcPr>
            <w:tcW w:w="2140" w:type="dxa"/>
            <w:vAlign w:val="bottom"/>
          </w:tcPr>
          <w:p w:rsidR="000C2ED5" w:rsidRDefault="000C2ED5">
            <w:pPr>
              <w:rPr>
                <w:sz w:val="24"/>
                <w:szCs w:val="24"/>
              </w:rPr>
            </w:pPr>
          </w:p>
        </w:tc>
        <w:tc>
          <w:tcPr>
            <w:tcW w:w="2500" w:type="dxa"/>
            <w:vAlign w:val="bottom"/>
          </w:tcPr>
          <w:p w:rsidR="000C2ED5" w:rsidRDefault="000C2ED5">
            <w:pPr>
              <w:rPr>
                <w:sz w:val="24"/>
                <w:szCs w:val="24"/>
              </w:rPr>
            </w:pPr>
          </w:p>
        </w:tc>
        <w:tc>
          <w:tcPr>
            <w:tcW w:w="3540" w:type="dxa"/>
            <w:vAlign w:val="bottom"/>
          </w:tcPr>
          <w:p w:rsidR="000C2ED5" w:rsidRDefault="000C2ED5">
            <w:pPr>
              <w:rPr>
                <w:sz w:val="24"/>
                <w:szCs w:val="24"/>
              </w:rPr>
            </w:pPr>
          </w:p>
        </w:tc>
        <w:tc>
          <w:tcPr>
            <w:tcW w:w="2180" w:type="dxa"/>
            <w:vAlign w:val="bottom"/>
          </w:tcPr>
          <w:p w:rsidR="000C2ED5" w:rsidRDefault="00485212">
            <w:pPr>
              <w:ind w:left="860"/>
              <w:jc w:val="center"/>
              <w:rPr>
                <w:sz w:val="20"/>
                <w:szCs w:val="20"/>
              </w:rPr>
            </w:pPr>
            <w:r>
              <w:rPr>
                <w:rFonts w:eastAsia="Times New Roman"/>
                <w:b/>
                <w:bCs/>
                <w:sz w:val="20"/>
                <w:szCs w:val="20"/>
              </w:rPr>
              <w:t>Assessment</w:t>
            </w:r>
          </w:p>
        </w:tc>
      </w:tr>
      <w:tr w:rsidR="000C2ED5">
        <w:trPr>
          <w:trHeight w:val="458"/>
        </w:trPr>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60" w:type="dxa"/>
            <w:vAlign w:val="bottom"/>
          </w:tcPr>
          <w:p w:rsidR="000C2ED5" w:rsidRDefault="00485212">
            <w:pPr>
              <w:jc w:val="center"/>
              <w:rPr>
                <w:sz w:val="20"/>
                <w:szCs w:val="20"/>
              </w:rPr>
            </w:pPr>
            <w:r>
              <w:rPr>
                <w:rFonts w:eastAsia="Times New Roman"/>
                <w:b/>
                <w:bCs/>
                <w:w w:val="99"/>
                <w:sz w:val="20"/>
                <w:szCs w:val="20"/>
              </w:rPr>
              <w:t>Engagement</w:t>
            </w:r>
          </w:p>
        </w:tc>
        <w:tc>
          <w:tcPr>
            <w:tcW w:w="2140" w:type="dxa"/>
            <w:vAlign w:val="bottom"/>
          </w:tcPr>
          <w:p w:rsidR="000C2ED5" w:rsidRDefault="000C2ED5">
            <w:pPr>
              <w:rPr>
                <w:sz w:val="24"/>
                <w:szCs w:val="24"/>
              </w:rPr>
            </w:pPr>
          </w:p>
        </w:tc>
        <w:tc>
          <w:tcPr>
            <w:tcW w:w="2500" w:type="dxa"/>
            <w:vAlign w:val="bottom"/>
          </w:tcPr>
          <w:p w:rsidR="000C2ED5" w:rsidRDefault="000C2ED5">
            <w:pPr>
              <w:rPr>
                <w:sz w:val="24"/>
                <w:szCs w:val="24"/>
              </w:rPr>
            </w:pPr>
          </w:p>
        </w:tc>
        <w:tc>
          <w:tcPr>
            <w:tcW w:w="3540" w:type="dxa"/>
            <w:vAlign w:val="bottom"/>
          </w:tcPr>
          <w:p w:rsidR="000C2ED5" w:rsidRDefault="000C2ED5">
            <w:pPr>
              <w:rPr>
                <w:sz w:val="24"/>
                <w:szCs w:val="24"/>
              </w:rPr>
            </w:pPr>
          </w:p>
        </w:tc>
        <w:tc>
          <w:tcPr>
            <w:tcW w:w="2180" w:type="dxa"/>
            <w:vAlign w:val="bottom"/>
          </w:tcPr>
          <w:p w:rsidR="000C2ED5" w:rsidRDefault="00485212">
            <w:pPr>
              <w:ind w:left="860"/>
              <w:jc w:val="center"/>
              <w:rPr>
                <w:sz w:val="20"/>
                <w:szCs w:val="20"/>
              </w:rPr>
            </w:pPr>
            <w:r>
              <w:rPr>
                <w:rFonts w:eastAsia="Times New Roman"/>
                <w:b/>
                <w:bCs/>
                <w:sz w:val="20"/>
                <w:szCs w:val="20"/>
              </w:rPr>
              <w:t>score</w:t>
            </w:r>
          </w:p>
        </w:tc>
      </w:tr>
    </w:tbl>
    <w:p w:rsidR="000C2ED5" w:rsidRDefault="00485212">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0</wp:posOffset>
                </wp:positionH>
                <wp:positionV relativeFrom="paragraph">
                  <wp:posOffset>151130</wp:posOffset>
                </wp:positionV>
                <wp:extent cx="1026096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609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7FEE7A6" id="Shape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11.9pt" to="807.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" o:allowincell="f" filled="t" strokeweight=".48pt">
                <v:stroke joinstyle="miter"/>
                <o:lock v:ext="edit" shapetype="f"/>
              </v:line>
            </w:pict>
          </mc:Fallback>
        </mc:AlternateContent>
      </w:r>
    </w:p>
    <w:p w:rsidR="000C2ED5" w:rsidRDefault="000C2ED5">
      <w:pPr>
        <w:sectPr w:rsidR="000C2ED5">
          <w:pgSz w:w="16840" w:h="11906" w:orient="landscape"/>
          <w:pgMar w:top="698" w:right="338" w:bottom="403" w:left="340" w:header="0" w:footer="0" w:gutter="0"/>
          <w:cols w:space="720" w:equalWidth="0">
            <w:col w:w="16160"/>
          </w:cols>
        </w:sectPr>
      </w:pPr>
    </w:p>
    <w:p w:rsidR="000C2ED5" w:rsidRDefault="000C2ED5">
      <w:pPr>
        <w:spacing w:line="236" w:lineRule="exact"/>
        <w:rPr>
          <w:sz w:val="20"/>
          <w:szCs w:val="20"/>
        </w:rPr>
      </w:pPr>
    </w:p>
    <w:p w:rsidR="000C2ED5" w:rsidRDefault="00485212">
      <w:pPr>
        <w:ind w:left="3760"/>
        <w:rPr>
          <w:sz w:val="20"/>
          <w:szCs w:val="20"/>
        </w:rPr>
      </w:pPr>
      <w:r>
        <w:rPr>
          <w:rFonts w:eastAsia="Times New Roman"/>
          <w:sz w:val="20"/>
          <w:szCs w:val="20"/>
        </w:rPr>
        <w:t>“Clients who are</w:t>
      </w:r>
    </w:p>
    <w:p w:rsidR="000C2ED5" w:rsidRDefault="000C2ED5">
      <w:pPr>
        <w:spacing w:line="231" w:lineRule="exact"/>
        <w:rPr>
          <w:sz w:val="20"/>
          <w:szCs w:val="20"/>
        </w:rPr>
      </w:pPr>
    </w:p>
    <w:p w:rsidR="000C2ED5" w:rsidRDefault="00485212">
      <w:pPr>
        <w:ind w:left="3760"/>
        <w:rPr>
          <w:sz w:val="20"/>
          <w:szCs w:val="20"/>
        </w:rPr>
      </w:pPr>
      <w:r>
        <w:rPr>
          <w:rFonts w:eastAsia="Times New Roman"/>
          <w:sz w:val="20"/>
          <w:szCs w:val="20"/>
        </w:rPr>
        <w:t xml:space="preserve">engaged in </w:t>
      </w:r>
      <w:r>
        <w:rPr>
          <w:rFonts w:eastAsia="Times New Roman"/>
          <w:sz w:val="20"/>
          <w:szCs w:val="20"/>
        </w:rPr>
        <w:t>treatment are</w:t>
      </w:r>
    </w:p>
    <w:p w:rsidR="000C2ED5" w:rsidRDefault="000C2ED5">
      <w:pPr>
        <w:spacing w:line="231" w:lineRule="exact"/>
        <w:rPr>
          <w:sz w:val="20"/>
          <w:szCs w:val="20"/>
        </w:rPr>
      </w:pPr>
    </w:p>
    <w:p w:rsidR="000C2ED5" w:rsidRDefault="00485212">
      <w:pPr>
        <w:ind w:left="3760"/>
        <w:rPr>
          <w:sz w:val="20"/>
          <w:szCs w:val="20"/>
        </w:rPr>
      </w:pPr>
      <w:r>
        <w:rPr>
          <w:rFonts w:eastAsia="Times New Roman"/>
          <w:sz w:val="20"/>
          <w:szCs w:val="20"/>
        </w:rPr>
        <w:t>actively involved in</w:t>
      </w:r>
    </w:p>
    <w:p w:rsidR="000C2ED5" w:rsidRDefault="000C2ED5">
      <w:pPr>
        <w:spacing w:line="228" w:lineRule="exact"/>
        <w:rPr>
          <w:sz w:val="20"/>
          <w:szCs w:val="20"/>
        </w:rPr>
      </w:pPr>
    </w:p>
    <w:p w:rsidR="000C2ED5" w:rsidRDefault="00485212">
      <w:pPr>
        <w:ind w:left="3760"/>
        <w:rPr>
          <w:sz w:val="20"/>
          <w:szCs w:val="20"/>
        </w:rPr>
      </w:pPr>
      <w:r>
        <w:rPr>
          <w:rFonts w:eastAsia="Times New Roman"/>
          <w:sz w:val="20"/>
          <w:szCs w:val="20"/>
        </w:rPr>
        <w:t>treatment and recovery”</w:t>
      </w:r>
    </w:p>
    <w:p w:rsidR="000C2ED5" w:rsidRDefault="00485212">
      <w:pPr>
        <w:spacing w:line="20" w:lineRule="exact"/>
        <w:rPr>
          <w:sz w:val="20"/>
          <w:szCs w:val="20"/>
        </w:rPr>
      </w:pPr>
      <w:r>
        <w:rPr>
          <w:sz w:val="20"/>
          <w:szCs w:val="20"/>
        </w:rPr>
        <w:br w:type="column"/>
      </w:r>
    </w:p>
    <w:p w:rsidR="000C2ED5" w:rsidRDefault="000C2ED5">
      <w:pPr>
        <w:spacing w:line="216" w:lineRule="exact"/>
        <w:rPr>
          <w:sz w:val="20"/>
          <w:szCs w:val="20"/>
        </w:rPr>
      </w:pPr>
    </w:p>
    <w:p w:rsidR="000C2ED5" w:rsidRDefault="00485212">
      <w:pPr>
        <w:rPr>
          <w:sz w:val="20"/>
          <w:szCs w:val="20"/>
        </w:rPr>
      </w:pPr>
      <w:r>
        <w:rPr>
          <w:rFonts w:eastAsia="Times New Roman"/>
          <w:sz w:val="20"/>
          <w:szCs w:val="20"/>
        </w:rPr>
        <w:t>rules, punishments) triggered lower levels of engagement.</w:t>
      </w:r>
    </w:p>
    <w:p w:rsidR="000C2ED5" w:rsidRDefault="000C2ED5">
      <w:pPr>
        <w:spacing w:line="231" w:lineRule="exact"/>
        <w:rPr>
          <w:sz w:val="20"/>
          <w:szCs w:val="20"/>
        </w:rPr>
      </w:pPr>
    </w:p>
    <w:p w:rsidR="000C2ED5" w:rsidRDefault="00485212">
      <w:pPr>
        <w:rPr>
          <w:sz w:val="20"/>
          <w:szCs w:val="20"/>
        </w:rPr>
      </w:pPr>
      <w:r>
        <w:rPr>
          <w:rFonts w:eastAsia="Times New Roman"/>
          <w:sz w:val="20"/>
          <w:szCs w:val="20"/>
        </w:rPr>
        <w:t>Those unwilling to relinquish the “codes of the street” failed to</w:t>
      </w:r>
    </w:p>
    <w:p w:rsidR="000C2ED5" w:rsidRDefault="000C2ED5">
      <w:pPr>
        <w:spacing w:line="231" w:lineRule="exact"/>
        <w:rPr>
          <w:sz w:val="20"/>
          <w:szCs w:val="20"/>
        </w:rPr>
      </w:pPr>
    </w:p>
    <w:p w:rsidR="000C2ED5" w:rsidRDefault="00485212">
      <w:pPr>
        <w:rPr>
          <w:sz w:val="20"/>
          <w:szCs w:val="20"/>
        </w:rPr>
      </w:pPr>
      <w:r>
        <w:rPr>
          <w:rFonts w:eastAsia="Times New Roman"/>
          <w:sz w:val="20"/>
          <w:szCs w:val="20"/>
        </w:rPr>
        <w:t>fully engage; the recognition of a need to change one’s lifestyle</w:t>
      </w:r>
    </w:p>
    <w:p w:rsidR="000C2ED5" w:rsidRDefault="000C2ED5">
      <w:pPr>
        <w:spacing w:line="228" w:lineRule="exact"/>
        <w:rPr>
          <w:sz w:val="20"/>
          <w:szCs w:val="20"/>
        </w:rPr>
      </w:pPr>
    </w:p>
    <w:p w:rsidR="000C2ED5" w:rsidRDefault="00485212">
      <w:pPr>
        <w:rPr>
          <w:sz w:val="20"/>
          <w:szCs w:val="20"/>
        </w:rPr>
      </w:pPr>
      <w:r>
        <w:rPr>
          <w:rFonts w:eastAsia="Times New Roman"/>
          <w:sz w:val="20"/>
          <w:szCs w:val="20"/>
        </w:rPr>
        <w:t>was associated with treatment engagement. Perceived lack of</w:t>
      </w:r>
    </w:p>
    <w:p w:rsidR="000C2ED5" w:rsidRDefault="000C2ED5">
      <w:pPr>
        <w:spacing w:line="231" w:lineRule="exact"/>
        <w:rPr>
          <w:sz w:val="20"/>
          <w:szCs w:val="20"/>
        </w:rPr>
      </w:pPr>
    </w:p>
    <w:p w:rsidR="000C2ED5" w:rsidRDefault="00485212">
      <w:pPr>
        <w:rPr>
          <w:sz w:val="20"/>
          <w:szCs w:val="20"/>
        </w:rPr>
      </w:pPr>
      <w:r>
        <w:rPr>
          <w:rFonts w:eastAsia="Times New Roman"/>
          <w:sz w:val="20"/>
          <w:szCs w:val="20"/>
        </w:rPr>
        <w:t>choice to engage.</w:t>
      </w:r>
    </w:p>
    <w:p w:rsidR="000C2ED5" w:rsidRDefault="000C2ED5">
      <w:pPr>
        <w:spacing w:line="231" w:lineRule="exact"/>
        <w:rPr>
          <w:sz w:val="20"/>
          <w:szCs w:val="20"/>
        </w:rPr>
      </w:pPr>
    </w:p>
    <w:p w:rsidR="000C2ED5" w:rsidRDefault="00485212">
      <w:pPr>
        <w:rPr>
          <w:sz w:val="20"/>
          <w:szCs w:val="20"/>
        </w:rPr>
      </w:pPr>
      <w:r>
        <w:rPr>
          <w:rFonts w:eastAsia="Times New Roman"/>
          <w:i/>
          <w:iCs/>
          <w:sz w:val="20"/>
          <w:szCs w:val="20"/>
        </w:rPr>
        <w:t xml:space="preserve">External Factors: </w:t>
      </w:r>
      <w:r>
        <w:rPr>
          <w:rFonts w:eastAsia="Times New Roman"/>
          <w:sz w:val="20"/>
          <w:szCs w:val="20"/>
        </w:rPr>
        <w:t>Family/friends were external motivators to</w:t>
      </w:r>
    </w:p>
    <w:p w:rsidR="000C2ED5" w:rsidRDefault="000C2ED5">
      <w:pPr>
        <w:spacing w:line="228" w:lineRule="exact"/>
        <w:rPr>
          <w:sz w:val="20"/>
          <w:szCs w:val="20"/>
        </w:rPr>
      </w:pPr>
    </w:p>
    <w:p w:rsidR="000C2ED5" w:rsidRDefault="00485212">
      <w:pPr>
        <w:rPr>
          <w:sz w:val="20"/>
          <w:szCs w:val="20"/>
        </w:rPr>
      </w:pPr>
      <w:r>
        <w:rPr>
          <w:rFonts w:eastAsia="Times New Roman"/>
          <w:sz w:val="20"/>
          <w:szCs w:val="20"/>
        </w:rPr>
        <w:t>engage in treatment. Rapport with staff maintained</w:t>
      </w:r>
    </w:p>
    <w:p w:rsidR="000C2ED5" w:rsidRDefault="000C2ED5">
      <w:pPr>
        <w:spacing w:line="242" w:lineRule="exact"/>
        <w:rPr>
          <w:sz w:val="20"/>
          <w:szCs w:val="20"/>
        </w:rPr>
      </w:pPr>
    </w:p>
    <w:p w:rsidR="000C2ED5" w:rsidRDefault="00485212">
      <w:pPr>
        <w:rPr>
          <w:sz w:val="20"/>
          <w:szCs w:val="20"/>
        </w:rPr>
      </w:pPr>
      <w:r>
        <w:rPr>
          <w:rFonts w:eastAsia="Times New Roman"/>
          <w:sz w:val="19"/>
          <w:szCs w:val="19"/>
        </w:rPr>
        <w:t>engagement. Legal coercion to engage in treatment by authorit</w:t>
      </w:r>
      <w:r>
        <w:rPr>
          <w:rFonts w:eastAsia="Times New Roman"/>
          <w:sz w:val="19"/>
          <w:szCs w:val="19"/>
        </w:rPr>
        <w:t>y</w:t>
      </w:r>
    </w:p>
    <w:p w:rsidR="000C2ED5" w:rsidRDefault="000C2ED5">
      <w:pPr>
        <w:spacing w:line="229" w:lineRule="exact"/>
        <w:rPr>
          <w:sz w:val="20"/>
          <w:szCs w:val="20"/>
        </w:rPr>
      </w:pPr>
    </w:p>
    <w:p w:rsidR="000C2ED5" w:rsidRDefault="00485212">
      <w:pPr>
        <w:rPr>
          <w:sz w:val="20"/>
          <w:szCs w:val="20"/>
        </w:rPr>
      </w:pPr>
      <w:r>
        <w:rPr>
          <w:rFonts w:eastAsia="Times New Roman"/>
          <w:sz w:val="20"/>
          <w:szCs w:val="20"/>
        </w:rPr>
        <w:t>figures.</w:t>
      </w:r>
    </w:p>
    <w:p w:rsidR="000C2ED5" w:rsidRDefault="000C2ED5">
      <w:pPr>
        <w:spacing w:line="200" w:lineRule="exact"/>
        <w:rPr>
          <w:sz w:val="20"/>
          <w:szCs w:val="20"/>
        </w:rPr>
      </w:pPr>
    </w:p>
    <w:p w:rsidR="000C2ED5" w:rsidRDefault="000C2ED5">
      <w:pPr>
        <w:sectPr w:rsidR="000C2ED5">
          <w:type w:val="continuous"/>
          <w:pgSz w:w="16840" w:h="11906" w:orient="landscape"/>
          <w:pgMar w:top="698" w:right="338" w:bottom="403" w:left="340" w:header="0" w:footer="0" w:gutter="0"/>
          <w:cols w:num="2" w:space="720" w:equalWidth="0">
            <w:col w:w="9000" w:space="720"/>
            <w:col w:w="6440"/>
          </w:cols>
        </w:sectPr>
      </w:pPr>
    </w:p>
    <w:p w:rsidR="000C2ED5" w:rsidRDefault="000C2ED5">
      <w:pPr>
        <w:spacing w:line="200" w:lineRule="exact"/>
        <w:rPr>
          <w:sz w:val="20"/>
          <w:szCs w:val="20"/>
        </w:rPr>
      </w:pPr>
    </w:p>
    <w:p w:rsidR="000C2ED5" w:rsidRDefault="000C2ED5">
      <w:pPr>
        <w:spacing w:line="292"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1020"/>
        <w:gridCol w:w="1040"/>
        <w:gridCol w:w="1440"/>
        <w:gridCol w:w="1800"/>
        <w:gridCol w:w="2260"/>
        <w:gridCol w:w="1900"/>
        <w:gridCol w:w="5480"/>
        <w:gridCol w:w="700"/>
      </w:tblGrid>
      <w:tr w:rsidR="000C2ED5">
        <w:trPr>
          <w:trHeight w:val="230"/>
        </w:trPr>
        <w:tc>
          <w:tcPr>
            <w:tcW w:w="1020" w:type="dxa"/>
            <w:vAlign w:val="bottom"/>
          </w:tcPr>
          <w:p w:rsidR="000C2ED5" w:rsidRDefault="00485212">
            <w:pPr>
              <w:rPr>
                <w:sz w:val="20"/>
                <w:szCs w:val="20"/>
              </w:rPr>
            </w:pPr>
            <w:r>
              <w:rPr>
                <w:rFonts w:eastAsia="Times New Roman"/>
                <w:sz w:val="20"/>
                <w:szCs w:val="20"/>
              </w:rPr>
              <w:t>McMurran</w:t>
            </w:r>
          </w:p>
        </w:tc>
        <w:tc>
          <w:tcPr>
            <w:tcW w:w="1040" w:type="dxa"/>
            <w:vAlign w:val="bottom"/>
          </w:tcPr>
          <w:p w:rsidR="000C2ED5" w:rsidRDefault="00485212">
            <w:pPr>
              <w:ind w:left="100"/>
              <w:rPr>
                <w:sz w:val="20"/>
                <w:szCs w:val="20"/>
              </w:rPr>
            </w:pPr>
            <w:r>
              <w:rPr>
                <w:rFonts w:eastAsia="Times New Roman"/>
                <w:sz w:val="20"/>
                <w:szCs w:val="20"/>
              </w:rPr>
              <w:t>Mixed-</w:t>
            </w:r>
          </w:p>
        </w:tc>
        <w:tc>
          <w:tcPr>
            <w:tcW w:w="1440" w:type="dxa"/>
            <w:vAlign w:val="bottom"/>
          </w:tcPr>
          <w:p w:rsidR="000C2ED5" w:rsidRDefault="00485212">
            <w:pPr>
              <w:ind w:left="280"/>
              <w:rPr>
                <w:sz w:val="20"/>
                <w:szCs w:val="20"/>
              </w:rPr>
            </w:pPr>
            <w:r>
              <w:rPr>
                <w:rFonts w:eastAsia="Times New Roman"/>
                <w:sz w:val="20"/>
                <w:szCs w:val="20"/>
              </w:rPr>
              <w:t>Enhanced</w:t>
            </w:r>
          </w:p>
        </w:tc>
        <w:tc>
          <w:tcPr>
            <w:tcW w:w="1800" w:type="dxa"/>
            <w:vAlign w:val="bottom"/>
          </w:tcPr>
          <w:p w:rsidR="000C2ED5" w:rsidRDefault="00485212">
            <w:pPr>
              <w:ind w:left="160"/>
              <w:rPr>
                <w:sz w:val="20"/>
                <w:szCs w:val="20"/>
              </w:rPr>
            </w:pPr>
            <w:r>
              <w:rPr>
                <w:rFonts w:eastAsia="Times New Roman"/>
                <w:sz w:val="20"/>
                <w:szCs w:val="20"/>
              </w:rPr>
              <w:t>None stated.</w:t>
            </w:r>
          </w:p>
        </w:tc>
        <w:tc>
          <w:tcPr>
            <w:tcW w:w="2260" w:type="dxa"/>
            <w:vAlign w:val="bottom"/>
          </w:tcPr>
          <w:p w:rsidR="000C2ED5" w:rsidRDefault="00485212">
            <w:pPr>
              <w:ind w:left="620"/>
              <w:rPr>
                <w:sz w:val="20"/>
                <w:szCs w:val="20"/>
              </w:rPr>
            </w:pPr>
            <w:r>
              <w:rPr>
                <w:rFonts w:eastAsia="Times New Roman"/>
                <w:sz w:val="20"/>
                <w:szCs w:val="20"/>
              </w:rPr>
              <w:t>Reasons for non-</w:t>
            </w:r>
          </w:p>
        </w:tc>
        <w:tc>
          <w:tcPr>
            <w:tcW w:w="1900" w:type="dxa"/>
            <w:vAlign w:val="bottom"/>
          </w:tcPr>
          <w:p w:rsidR="000C2ED5" w:rsidRDefault="00485212">
            <w:pPr>
              <w:ind w:left="280"/>
              <w:rPr>
                <w:sz w:val="20"/>
                <w:szCs w:val="20"/>
              </w:rPr>
            </w:pPr>
            <w:r>
              <w:rPr>
                <w:rFonts w:eastAsia="Times New Roman"/>
                <w:sz w:val="20"/>
                <w:szCs w:val="20"/>
              </w:rPr>
              <w:t>24 male prisoners</w:t>
            </w:r>
          </w:p>
        </w:tc>
        <w:tc>
          <w:tcPr>
            <w:tcW w:w="5480" w:type="dxa"/>
            <w:vAlign w:val="bottom"/>
          </w:tcPr>
          <w:p w:rsidR="000C2ED5" w:rsidRDefault="00485212">
            <w:pPr>
              <w:ind w:left="160"/>
              <w:rPr>
                <w:sz w:val="20"/>
                <w:szCs w:val="20"/>
              </w:rPr>
            </w:pPr>
            <w:r>
              <w:rPr>
                <w:rFonts w:eastAsia="Times New Roman"/>
                <w:sz w:val="20"/>
                <w:szCs w:val="20"/>
              </w:rPr>
              <w:t>Reasons for dropout included: personal problems, drug use,</w:t>
            </w:r>
          </w:p>
        </w:tc>
        <w:tc>
          <w:tcPr>
            <w:tcW w:w="700" w:type="dxa"/>
            <w:vAlign w:val="bottom"/>
          </w:tcPr>
          <w:p w:rsidR="000C2ED5" w:rsidRDefault="00485212">
            <w:pPr>
              <w:jc w:val="right"/>
              <w:rPr>
                <w:sz w:val="20"/>
                <w:szCs w:val="20"/>
              </w:rPr>
            </w:pPr>
            <w:r>
              <w:rPr>
                <w:rFonts w:eastAsia="Times New Roman"/>
                <w:sz w:val="20"/>
                <w:szCs w:val="20"/>
              </w:rPr>
              <w:t>25%</w:t>
            </w:r>
          </w:p>
        </w:tc>
      </w:tr>
      <w:tr w:rsidR="000C2ED5">
        <w:trPr>
          <w:trHeight w:val="458"/>
        </w:trPr>
        <w:tc>
          <w:tcPr>
            <w:tcW w:w="1020" w:type="dxa"/>
            <w:vAlign w:val="bottom"/>
          </w:tcPr>
          <w:p w:rsidR="000C2ED5" w:rsidRDefault="00485212">
            <w:pPr>
              <w:rPr>
                <w:sz w:val="20"/>
                <w:szCs w:val="20"/>
              </w:rPr>
            </w:pPr>
            <w:r>
              <w:rPr>
                <w:rFonts w:eastAsia="Times New Roman"/>
                <w:sz w:val="20"/>
                <w:szCs w:val="20"/>
              </w:rPr>
              <w:t>&amp;</w:t>
            </w:r>
          </w:p>
        </w:tc>
        <w:tc>
          <w:tcPr>
            <w:tcW w:w="1040" w:type="dxa"/>
            <w:vAlign w:val="bottom"/>
          </w:tcPr>
          <w:p w:rsidR="000C2ED5" w:rsidRDefault="00485212">
            <w:pPr>
              <w:ind w:left="100"/>
              <w:rPr>
                <w:sz w:val="20"/>
                <w:szCs w:val="20"/>
              </w:rPr>
            </w:pPr>
            <w:r>
              <w:rPr>
                <w:rFonts w:eastAsia="Times New Roman"/>
                <w:sz w:val="20"/>
                <w:szCs w:val="20"/>
              </w:rPr>
              <w:t>methods</w:t>
            </w:r>
          </w:p>
        </w:tc>
        <w:tc>
          <w:tcPr>
            <w:tcW w:w="1440" w:type="dxa"/>
            <w:vAlign w:val="bottom"/>
          </w:tcPr>
          <w:p w:rsidR="000C2ED5" w:rsidRDefault="00485212">
            <w:pPr>
              <w:ind w:left="280"/>
              <w:rPr>
                <w:sz w:val="20"/>
                <w:szCs w:val="20"/>
              </w:rPr>
            </w:pPr>
            <w:r>
              <w:rPr>
                <w:rFonts w:eastAsia="Times New Roman"/>
                <w:sz w:val="20"/>
                <w:szCs w:val="20"/>
              </w:rPr>
              <w:t>Thinking</w:t>
            </w:r>
          </w:p>
        </w:tc>
        <w:tc>
          <w:tcPr>
            <w:tcW w:w="1800" w:type="dxa"/>
            <w:vAlign w:val="bottom"/>
          </w:tcPr>
          <w:p w:rsidR="000C2ED5" w:rsidRDefault="000C2ED5">
            <w:pPr>
              <w:rPr>
                <w:sz w:val="24"/>
                <w:szCs w:val="24"/>
              </w:rPr>
            </w:pPr>
          </w:p>
        </w:tc>
        <w:tc>
          <w:tcPr>
            <w:tcW w:w="2260" w:type="dxa"/>
            <w:vAlign w:val="bottom"/>
          </w:tcPr>
          <w:p w:rsidR="000C2ED5" w:rsidRDefault="00485212">
            <w:pPr>
              <w:ind w:left="620"/>
              <w:rPr>
                <w:sz w:val="20"/>
                <w:szCs w:val="20"/>
              </w:rPr>
            </w:pPr>
            <w:r>
              <w:rPr>
                <w:rFonts w:eastAsia="Times New Roman"/>
                <w:sz w:val="20"/>
                <w:szCs w:val="20"/>
              </w:rPr>
              <w:t>completion and</w:t>
            </w:r>
          </w:p>
        </w:tc>
        <w:tc>
          <w:tcPr>
            <w:tcW w:w="1900" w:type="dxa"/>
            <w:vAlign w:val="bottom"/>
          </w:tcPr>
          <w:p w:rsidR="000C2ED5" w:rsidRDefault="00485212">
            <w:pPr>
              <w:ind w:left="280"/>
              <w:rPr>
                <w:sz w:val="20"/>
                <w:szCs w:val="20"/>
              </w:rPr>
            </w:pPr>
            <w:r>
              <w:rPr>
                <w:rFonts w:eastAsia="Times New Roman"/>
                <w:sz w:val="20"/>
                <w:szCs w:val="20"/>
              </w:rPr>
              <w:t>(non-completers</w:t>
            </w:r>
          </w:p>
        </w:tc>
        <w:tc>
          <w:tcPr>
            <w:tcW w:w="5480" w:type="dxa"/>
            <w:vAlign w:val="bottom"/>
          </w:tcPr>
          <w:p w:rsidR="000C2ED5" w:rsidRDefault="00485212">
            <w:pPr>
              <w:ind w:left="160"/>
              <w:rPr>
                <w:sz w:val="20"/>
                <w:szCs w:val="20"/>
              </w:rPr>
            </w:pPr>
            <w:r>
              <w:rPr>
                <w:rFonts w:eastAsia="Times New Roman"/>
                <w:sz w:val="20"/>
                <w:szCs w:val="20"/>
              </w:rPr>
              <w:t>group dynamics, group</w:t>
            </w:r>
            <w:r>
              <w:rPr>
                <w:rFonts w:eastAsia="Times New Roman"/>
                <w:sz w:val="20"/>
                <w:szCs w:val="20"/>
              </w:rPr>
              <w:t xml:space="preserve"> members not taking programme</w:t>
            </w:r>
          </w:p>
        </w:tc>
        <w:tc>
          <w:tcPr>
            <w:tcW w:w="700" w:type="dxa"/>
            <w:vAlign w:val="bottom"/>
          </w:tcPr>
          <w:p w:rsidR="000C2ED5" w:rsidRDefault="000C2ED5">
            <w:pPr>
              <w:rPr>
                <w:sz w:val="24"/>
                <w:szCs w:val="24"/>
              </w:rPr>
            </w:pPr>
          </w:p>
        </w:tc>
      </w:tr>
      <w:tr w:rsidR="000C2ED5">
        <w:trPr>
          <w:trHeight w:val="461"/>
        </w:trPr>
        <w:tc>
          <w:tcPr>
            <w:tcW w:w="1020" w:type="dxa"/>
            <w:vAlign w:val="bottom"/>
          </w:tcPr>
          <w:p w:rsidR="000C2ED5" w:rsidRDefault="00485212">
            <w:pPr>
              <w:rPr>
                <w:sz w:val="20"/>
                <w:szCs w:val="20"/>
              </w:rPr>
            </w:pPr>
            <w:r>
              <w:rPr>
                <w:rFonts w:eastAsia="Times New Roman"/>
                <w:sz w:val="20"/>
                <w:szCs w:val="20"/>
              </w:rPr>
              <w:t>McCulloch</w:t>
            </w:r>
          </w:p>
        </w:tc>
        <w:tc>
          <w:tcPr>
            <w:tcW w:w="1040" w:type="dxa"/>
            <w:vAlign w:val="bottom"/>
          </w:tcPr>
          <w:p w:rsidR="000C2ED5" w:rsidRDefault="000C2ED5">
            <w:pPr>
              <w:rPr>
                <w:sz w:val="24"/>
                <w:szCs w:val="24"/>
              </w:rPr>
            </w:pPr>
          </w:p>
        </w:tc>
        <w:tc>
          <w:tcPr>
            <w:tcW w:w="1440" w:type="dxa"/>
            <w:vAlign w:val="bottom"/>
          </w:tcPr>
          <w:p w:rsidR="000C2ED5" w:rsidRDefault="00485212">
            <w:pPr>
              <w:ind w:left="280"/>
              <w:rPr>
                <w:sz w:val="20"/>
                <w:szCs w:val="20"/>
              </w:rPr>
            </w:pPr>
            <w:r>
              <w:rPr>
                <w:rFonts w:eastAsia="Times New Roman"/>
                <w:sz w:val="20"/>
                <w:szCs w:val="20"/>
              </w:rPr>
              <w:t>Skills (ETS)</w:t>
            </w:r>
          </w:p>
        </w:tc>
        <w:tc>
          <w:tcPr>
            <w:tcW w:w="1800" w:type="dxa"/>
            <w:vAlign w:val="bottom"/>
          </w:tcPr>
          <w:p w:rsidR="000C2ED5" w:rsidRDefault="000C2ED5">
            <w:pPr>
              <w:rPr>
                <w:sz w:val="24"/>
                <w:szCs w:val="24"/>
              </w:rPr>
            </w:pPr>
          </w:p>
        </w:tc>
        <w:tc>
          <w:tcPr>
            <w:tcW w:w="2260" w:type="dxa"/>
            <w:vAlign w:val="bottom"/>
          </w:tcPr>
          <w:p w:rsidR="000C2ED5" w:rsidRDefault="00485212">
            <w:pPr>
              <w:ind w:left="620"/>
              <w:rPr>
                <w:sz w:val="20"/>
                <w:szCs w:val="20"/>
              </w:rPr>
            </w:pPr>
            <w:r>
              <w:rPr>
                <w:rFonts w:eastAsia="Times New Roman"/>
                <w:sz w:val="20"/>
                <w:szCs w:val="20"/>
              </w:rPr>
              <w:t>completion of</w:t>
            </w:r>
          </w:p>
        </w:tc>
        <w:tc>
          <w:tcPr>
            <w:tcW w:w="1900" w:type="dxa"/>
            <w:vAlign w:val="bottom"/>
          </w:tcPr>
          <w:p w:rsidR="000C2ED5" w:rsidRDefault="00485212">
            <w:pPr>
              <w:ind w:left="280"/>
              <w:rPr>
                <w:sz w:val="20"/>
                <w:szCs w:val="20"/>
              </w:rPr>
            </w:pPr>
            <w:r>
              <w:rPr>
                <w:rFonts w:eastAsia="Times New Roman"/>
                <w:sz w:val="20"/>
                <w:szCs w:val="20"/>
              </w:rPr>
              <w:t>=18; completers =</w:t>
            </w:r>
          </w:p>
        </w:tc>
        <w:tc>
          <w:tcPr>
            <w:tcW w:w="5480" w:type="dxa"/>
            <w:vAlign w:val="bottom"/>
          </w:tcPr>
          <w:p w:rsidR="000C2ED5" w:rsidRDefault="00485212">
            <w:pPr>
              <w:ind w:left="160"/>
              <w:rPr>
                <w:sz w:val="20"/>
                <w:szCs w:val="20"/>
              </w:rPr>
            </w:pPr>
            <w:r>
              <w:rPr>
                <w:rFonts w:eastAsia="Times New Roman"/>
                <w:sz w:val="20"/>
                <w:szCs w:val="20"/>
              </w:rPr>
              <w:t>seriously, not liking the course, difficulties with tutors, out of</w:t>
            </w:r>
          </w:p>
        </w:tc>
        <w:tc>
          <w:tcPr>
            <w:tcW w:w="700" w:type="dxa"/>
            <w:vAlign w:val="bottom"/>
          </w:tcPr>
          <w:p w:rsidR="000C2ED5" w:rsidRDefault="000C2ED5">
            <w:pPr>
              <w:rPr>
                <w:sz w:val="24"/>
                <w:szCs w:val="24"/>
              </w:rPr>
            </w:pPr>
          </w:p>
        </w:tc>
      </w:tr>
      <w:tr w:rsidR="000C2ED5">
        <w:trPr>
          <w:trHeight w:val="461"/>
        </w:trPr>
        <w:tc>
          <w:tcPr>
            <w:tcW w:w="1020" w:type="dxa"/>
            <w:vAlign w:val="bottom"/>
          </w:tcPr>
          <w:p w:rsidR="000C2ED5" w:rsidRDefault="00485212">
            <w:pPr>
              <w:rPr>
                <w:sz w:val="20"/>
                <w:szCs w:val="20"/>
              </w:rPr>
            </w:pPr>
            <w:r>
              <w:rPr>
                <w:rFonts w:eastAsia="Times New Roman"/>
                <w:sz w:val="20"/>
                <w:szCs w:val="20"/>
              </w:rPr>
              <w:t>(2007)</w:t>
            </w:r>
          </w:p>
        </w:tc>
        <w:tc>
          <w:tcPr>
            <w:tcW w:w="1040" w:type="dxa"/>
            <w:vAlign w:val="bottom"/>
          </w:tcPr>
          <w:p w:rsidR="000C2ED5" w:rsidRDefault="000C2ED5">
            <w:pPr>
              <w:rPr>
                <w:sz w:val="24"/>
                <w:szCs w:val="24"/>
              </w:rPr>
            </w:pPr>
          </w:p>
        </w:tc>
        <w:tc>
          <w:tcPr>
            <w:tcW w:w="1440" w:type="dxa"/>
            <w:vAlign w:val="bottom"/>
          </w:tcPr>
          <w:p w:rsidR="000C2ED5" w:rsidRDefault="00485212">
            <w:pPr>
              <w:ind w:left="280"/>
              <w:rPr>
                <w:sz w:val="20"/>
                <w:szCs w:val="20"/>
              </w:rPr>
            </w:pPr>
            <w:r>
              <w:rPr>
                <w:rFonts w:eastAsia="Times New Roman"/>
                <w:sz w:val="20"/>
                <w:szCs w:val="20"/>
              </w:rPr>
              <w:t>programme</w:t>
            </w:r>
          </w:p>
        </w:tc>
        <w:tc>
          <w:tcPr>
            <w:tcW w:w="1800" w:type="dxa"/>
            <w:vAlign w:val="bottom"/>
          </w:tcPr>
          <w:p w:rsidR="000C2ED5" w:rsidRDefault="000C2ED5">
            <w:pPr>
              <w:rPr>
                <w:sz w:val="24"/>
                <w:szCs w:val="24"/>
              </w:rPr>
            </w:pPr>
          </w:p>
        </w:tc>
        <w:tc>
          <w:tcPr>
            <w:tcW w:w="2260" w:type="dxa"/>
            <w:vAlign w:val="bottom"/>
          </w:tcPr>
          <w:p w:rsidR="000C2ED5" w:rsidRDefault="00485212">
            <w:pPr>
              <w:ind w:left="620"/>
              <w:rPr>
                <w:sz w:val="20"/>
                <w:szCs w:val="20"/>
              </w:rPr>
            </w:pPr>
            <w:r>
              <w:rPr>
                <w:rFonts w:eastAsia="Times New Roman"/>
                <w:sz w:val="20"/>
                <w:szCs w:val="20"/>
              </w:rPr>
              <w:t>treatment</w:t>
            </w:r>
          </w:p>
        </w:tc>
        <w:tc>
          <w:tcPr>
            <w:tcW w:w="1900" w:type="dxa"/>
            <w:vAlign w:val="bottom"/>
          </w:tcPr>
          <w:p w:rsidR="000C2ED5" w:rsidRDefault="00485212">
            <w:pPr>
              <w:ind w:left="280"/>
              <w:rPr>
                <w:sz w:val="20"/>
                <w:szCs w:val="20"/>
              </w:rPr>
            </w:pPr>
            <w:r>
              <w:rPr>
                <w:rFonts w:eastAsia="Times New Roman"/>
                <w:sz w:val="20"/>
                <w:szCs w:val="20"/>
              </w:rPr>
              <w:t>6).</w:t>
            </w:r>
          </w:p>
        </w:tc>
        <w:tc>
          <w:tcPr>
            <w:tcW w:w="5480" w:type="dxa"/>
            <w:vAlign w:val="bottom"/>
          </w:tcPr>
          <w:p w:rsidR="000C2ED5" w:rsidRDefault="00485212">
            <w:pPr>
              <w:ind w:left="160"/>
              <w:rPr>
                <w:sz w:val="20"/>
                <w:szCs w:val="20"/>
              </w:rPr>
            </w:pPr>
            <w:r>
              <w:rPr>
                <w:rFonts w:eastAsia="Times New Roman"/>
                <w:sz w:val="20"/>
                <w:szCs w:val="20"/>
              </w:rPr>
              <w:t>session work too demanding, other commitments and staff</w:t>
            </w:r>
          </w:p>
        </w:tc>
        <w:tc>
          <w:tcPr>
            <w:tcW w:w="700" w:type="dxa"/>
            <w:vAlign w:val="bottom"/>
          </w:tcPr>
          <w:p w:rsidR="000C2ED5" w:rsidRDefault="000C2ED5">
            <w:pPr>
              <w:rPr>
                <w:sz w:val="24"/>
                <w:szCs w:val="24"/>
              </w:rPr>
            </w:pPr>
          </w:p>
        </w:tc>
      </w:tr>
      <w:tr w:rsidR="000C2ED5">
        <w:trPr>
          <w:trHeight w:val="458"/>
        </w:trPr>
        <w:tc>
          <w:tcPr>
            <w:tcW w:w="1020" w:type="dxa"/>
            <w:vAlign w:val="bottom"/>
          </w:tcPr>
          <w:p w:rsidR="000C2ED5" w:rsidRDefault="000C2ED5">
            <w:pPr>
              <w:rPr>
                <w:sz w:val="24"/>
                <w:szCs w:val="24"/>
              </w:rPr>
            </w:pPr>
          </w:p>
        </w:tc>
        <w:tc>
          <w:tcPr>
            <w:tcW w:w="1040" w:type="dxa"/>
            <w:vAlign w:val="bottom"/>
          </w:tcPr>
          <w:p w:rsidR="000C2ED5" w:rsidRDefault="000C2ED5">
            <w:pPr>
              <w:rPr>
                <w:sz w:val="24"/>
                <w:szCs w:val="24"/>
              </w:rPr>
            </w:pPr>
          </w:p>
        </w:tc>
        <w:tc>
          <w:tcPr>
            <w:tcW w:w="1440" w:type="dxa"/>
            <w:vAlign w:val="bottom"/>
          </w:tcPr>
          <w:p w:rsidR="000C2ED5" w:rsidRDefault="000C2ED5">
            <w:pPr>
              <w:rPr>
                <w:sz w:val="24"/>
                <w:szCs w:val="24"/>
              </w:rPr>
            </w:pPr>
          </w:p>
        </w:tc>
        <w:tc>
          <w:tcPr>
            <w:tcW w:w="1800" w:type="dxa"/>
            <w:vAlign w:val="bottom"/>
          </w:tcPr>
          <w:p w:rsidR="000C2ED5" w:rsidRDefault="000C2ED5">
            <w:pPr>
              <w:rPr>
                <w:sz w:val="24"/>
                <w:szCs w:val="24"/>
              </w:rPr>
            </w:pPr>
          </w:p>
        </w:tc>
        <w:tc>
          <w:tcPr>
            <w:tcW w:w="226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5480" w:type="dxa"/>
            <w:vAlign w:val="bottom"/>
          </w:tcPr>
          <w:p w:rsidR="000C2ED5" w:rsidRDefault="00485212">
            <w:pPr>
              <w:ind w:left="160"/>
              <w:rPr>
                <w:sz w:val="20"/>
                <w:szCs w:val="20"/>
              </w:rPr>
            </w:pPr>
            <w:r>
              <w:rPr>
                <w:rFonts w:eastAsia="Times New Roman"/>
                <w:sz w:val="20"/>
                <w:szCs w:val="20"/>
              </w:rPr>
              <w:t>exclusion. Reasons for completion included: an awareness that</w:t>
            </w:r>
          </w:p>
        </w:tc>
        <w:tc>
          <w:tcPr>
            <w:tcW w:w="700" w:type="dxa"/>
            <w:vAlign w:val="bottom"/>
          </w:tcPr>
          <w:p w:rsidR="000C2ED5" w:rsidRDefault="000C2ED5">
            <w:pPr>
              <w:rPr>
                <w:sz w:val="24"/>
                <w:szCs w:val="24"/>
              </w:rPr>
            </w:pPr>
          </w:p>
        </w:tc>
      </w:tr>
      <w:tr w:rsidR="000C2ED5">
        <w:trPr>
          <w:trHeight w:val="461"/>
        </w:trPr>
        <w:tc>
          <w:tcPr>
            <w:tcW w:w="1020" w:type="dxa"/>
            <w:vAlign w:val="bottom"/>
          </w:tcPr>
          <w:p w:rsidR="000C2ED5" w:rsidRDefault="000C2ED5">
            <w:pPr>
              <w:rPr>
                <w:sz w:val="24"/>
                <w:szCs w:val="24"/>
              </w:rPr>
            </w:pPr>
          </w:p>
        </w:tc>
        <w:tc>
          <w:tcPr>
            <w:tcW w:w="1040" w:type="dxa"/>
            <w:vAlign w:val="bottom"/>
          </w:tcPr>
          <w:p w:rsidR="000C2ED5" w:rsidRDefault="000C2ED5">
            <w:pPr>
              <w:rPr>
                <w:sz w:val="24"/>
                <w:szCs w:val="24"/>
              </w:rPr>
            </w:pPr>
          </w:p>
        </w:tc>
        <w:tc>
          <w:tcPr>
            <w:tcW w:w="1440" w:type="dxa"/>
            <w:vAlign w:val="bottom"/>
          </w:tcPr>
          <w:p w:rsidR="000C2ED5" w:rsidRDefault="000C2ED5">
            <w:pPr>
              <w:rPr>
                <w:sz w:val="24"/>
                <w:szCs w:val="24"/>
              </w:rPr>
            </w:pPr>
          </w:p>
        </w:tc>
        <w:tc>
          <w:tcPr>
            <w:tcW w:w="1800" w:type="dxa"/>
            <w:vAlign w:val="bottom"/>
          </w:tcPr>
          <w:p w:rsidR="000C2ED5" w:rsidRDefault="000C2ED5">
            <w:pPr>
              <w:rPr>
                <w:sz w:val="24"/>
                <w:szCs w:val="24"/>
              </w:rPr>
            </w:pPr>
          </w:p>
        </w:tc>
        <w:tc>
          <w:tcPr>
            <w:tcW w:w="226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5480" w:type="dxa"/>
            <w:vAlign w:val="bottom"/>
          </w:tcPr>
          <w:p w:rsidR="000C2ED5" w:rsidRDefault="00485212">
            <w:pPr>
              <w:ind w:left="160"/>
              <w:rPr>
                <w:sz w:val="20"/>
                <w:szCs w:val="20"/>
              </w:rPr>
            </w:pPr>
            <w:r>
              <w:rPr>
                <w:rFonts w:eastAsia="Times New Roman"/>
                <w:sz w:val="20"/>
                <w:szCs w:val="20"/>
              </w:rPr>
              <w:t>engaging in treatment would impact on parole decisions,</w:t>
            </w:r>
          </w:p>
        </w:tc>
        <w:tc>
          <w:tcPr>
            <w:tcW w:w="700" w:type="dxa"/>
            <w:vAlign w:val="bottom"/>
          </w:tcPr>
          <w:p w:rsidR="000C2ED5" w:rsidRDefault="000C2ED5">
            <w:pPr>
              <w:rPr>
                <w:sz w:val="24"/>
                <w:szCs w:val="24"/>
              </w:rPr>
            </w:pPr>
          </w:p>
        </w:tc>
      </w:tr>
    </w:tbl>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23" w:lineRule="exact"/>
        <w:rPr>
          <w:sz w:val="20"/>
          <w:szCs w:val="20"/>
        </w:rPr>
      </w:pPr>
    </w:p>
    <w:p w:rsidR="000C2ED5" w:rsidRDefault="00485212">
      <w:pPr>
        <w:ind w:left="14840"/>
        <w:rPr>
          <w:sz w:val="20"/>
          <w:szCs w:val="20"/>
        </w:rPr>
      </w:pPr>
      <w:r>
        <w:rPr>
          <w:rFonts w:eastAsia="Times New Roman"/>
        </w:rPr>
        <w:t>53</w:t>
      </w:r>
    </w:p>
    <w:p w:rsidR="000C2ED5" w:rsidRDefault="000C2ED5">
      <w:pPr>
        <w:sectPr w:rsidR="000C2ED5">
          <w:type w:val="continuous"/>
          <w:pgSz w:w="16840" w:h="11906" w:orient="landscape"/>
          <w:pgMar w:top="698" w:right="338" w:bottom="403" w:left="340" w:header="0" w:footer="0" w:gutter="0"/>
          <w:cols w:space="720" w:equalWidth="0">
            <w:col w:w="16160"/>
          </w:cols>
        </w:sectPr>
      </w:pPr>
    </w:p>
    <w:p w:rsidR="000C2ED5" w:rsidRDefault="00485212">
      <w:pPr>
        <w:ind w:left="1100"/>
        <w:rPr>
          <w:sz w:val="20"/>
          <w:szCs w:val="20"/>
        </w:rPr>
      </w:pPr>
      <w:bookmarkStart w:id="54" w:name="page55"/>
      <w:bookmarkEnd w:id="54"/>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100"/>
        <w:gridCol w:w="1220"/>
        <w:gridCol w:w="1320"/>
        <w:gridCol w:w="2220"/>
        <w:gridCol w:w="1940"/>
        <w:gridCol w:w="1780"/>
        <w:gridCol w:w="5360"/>
        <w:gridCol w:w="1220"/>
      </w:tblGrid>
      <w:tr w:rsidR="000C2ED5">
        <w:trPr>
          <w:trHeight w:val="236"/>
        </w:trPr>
        <w:tc>
          <w:tcPr>
            <w:tcW w:w="1100" w:type="dxa"/>
            <w:tcBorders>
              <w:top w:val="single" w:sz="8" w:space="0" w:color="auto"/>
            </w:tcBorders>
            <w:vAlign w:val="bottom"/>
          </w:tcPr>
          <w:p w:rsidR="000C2ED5" w:rsidRDefault="00485212">
            <w:pPr>
              <w:jc w:val="center"/>
              <w:rPr>
                <w:sz w:val="20"/>
                <w:szCs w:val="20"/>
              </w:rPr>
            </w:pPr>
            <w:r>
              <w:rPr>
                <w:rFonts w:eastAsia="Times New Roman"/>
                <w:b/>
                <w:bCs/>
                <w:sz w:val="20"/>
                <w:szCs w:val="20"/>
              </w:rPr>
              <w:t>Author &amp;</w:t>
            </w:r>
          </w:p>
        </w:tc>
        <w:tc>
          <w:tcPr>
            <w:tcW w:w="12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320" w:type="dxa"/>
            <w:tcBorders>
              <w:top w:val="single" w:sz="8" w:space="0" w:color="auto"/>
            </w:tcBorders>
            <w:vAlign w:val="bottom"/>
          </w:tcPr>
          <w:p w:rsidR="000C2ED5" w:rsidRDefault="00485212">
            <w:pPr>
              <w:ind w:left="220"/>
              <w:rPr>
                <w:sz w:val="20"/>
                <w:szCs w:val="20"/>
              </w:rPr>
            </w:pPr>
            <w:r>
              <w:rPr>
                <w:rFonts w:eastAsia="Times New Roman"/>
                <w:b/>
                <w:bCs/>
                <w:sz w:val="20"/>
                <w:szCs w:val="20"/>
              </w:rPr>
              <w:t>Treatment</w:t>
            </w:r>
          </w:p>
        </w:tc>
        <w:tc>
          <w:tcPr>
            <w:tcW w:w="22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 xml:space="preserve">Definition </w:t>
            </w:r>
            <w:r>
              <w:rPr>
                <w:rFonts w:eastAsia="Times New Roman"/>
                <w:b/>
                <w:bCs/>
                <w:w w:val="99"/>
                <w:sz w:val="20"/>
                <w:szCs w:val="20"/>
              </w:rPr>
              <w:t>of non-</w:t>
            </w:r>
          </w:p>
        </w:tc>
        <w:tc>
          <w:tcPr>
            <w:tcW w:w="1940" w:type="dxa"/>
            <w:tcBorders>
              <w:top w:val="single" w:sz="8" w:space="0" w:color="auto"/>
            </w:tcBorders>
            <w:vAlign w:val="bottom"/>
          </w:tcPr>
          <w:p w:rsidR="000C2ED5" w:rsidRDefault="00485212">
            <w:pPr>
              <w:ind w:left="220"/>
              <w:rPr>
                <w:sz w:val="20"/>
                <w:szCs w:val="20"/>
              </w:rPr>
            </w:pPr>
            <w:r>
              <w:rPr>
                <w:rFonts w:eastAsia="Times New Roman"/>
                <w:b/>
                <w:bCs/>
                <w:sz w:val="20"/>
                <w:szCs w:val="20"/>
              </w:rPr>
              <w:t>Research Question</w:t>
            </w:r>
          </w:p>
        </w:tc>
        <w:tc>
          <w:tcPr>
            <w:tcW w:w="178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Sample Size</w:t>
            </w:r>
          </w:p>
        </w:tc>
        <w:tc>
          <w:tcPr>
            <w:tcW w:w="5360" w:type="dxa"/>
            <w:tcBorders>
              <w:top w:val="single" w:sz="8" w:space="0" w:color="auto"/>
            </w:tcBorders>
            <w:vAlign w:val="bottom"/>
          </w:tcPr>
          <w:p w:rsidR="000C2ED5" w:rsidRDefault="00485212">
            <w:pPr>
              <w:ind w:left="2060"/>
              <w:rPr>
                <w:sz w:val="20"/>
                <w:szCs w:val="20"/>
              </w:rPr>
            </w:pPr>
            <w:r>
              <w:rPr>
                <w:rFonts w:eastAsia="Times New Roman"/>
                <w:b/>
                <w:bCs/>
                <w:sz w:val="20"/>
                <w:szCs w:val="20"/>
              </w:rPr>
              <w:t>Main Findings</w:t>
            </w:r>
          </w:p>
        </w:tc>
        <w:tc>
          <w:tcPr>
            <w:tcW w:w="12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Quality</w:t>
            </w:r>
          </w:p>
        </w:tc>
      </w:tr>
      <w:tr w:rsidR="000C2ED5">
        <w:trPr>
          <w:trHeight w:val="461"/>
        </w:trPr>
        <w:tc>
          <w:tcPr>
            <w:tcW w:w="1100" w:type="dxa"/>
            <w:vAlign w:val="bottom"/>
          </w:tcPr>
          <w:p w:rsidR="000C2ED5" w:rsidRDefault="00485212">
            <w:pPr>
              <w:jc w:val="center"/>
              <w:rPr>
                <w:sz w:val="20"/>
                <w:szCs w:val="20"/>
              </w:rPr>
            </w:pPr>
            <w:r>
              <w:rPr>
                <w:rFonts w:eastAsia="Times New Roman"/>
                <w:b/>
                <w:bCs/>
                <w:w w:val="99"/>
                <w:sz w:val="20"/>
                <w:szCs w:val="20"/>
              </w:rPr>
              <w:t>Date</w:t>
            </w:r>
          </w:p>
        </w:tc>
        <w:tc>
          <w:tcPr>
            <w:tcW w:w="1220" w:type="dxa"/>
            <w:vAlign w:val="bottom"/>
          </w:tcPr>
          <w:p w:rsidR="000C2ED5" w:rsidRDefault="00485212">
            <w:pPr>
              <w:jc w:val="center"/>
              <w:rPr>
                <w:sz w:val="20"/>
                <w:szCs w:val="20"/>
              </w:rPr>
            </w:pPr>
            <w:r>
              <w:rPr>
                <w:rFonts w:eastAsia="Times New Roman"/>
                <w:b/>
                <w:bCs/>
                <w:w w:val="96"/>
                <w:sz w:val="20"/>
                <w:szCs w:val="20"/>
              </w:rPr>
              <w:t>Design</w:t>
            </w:r>
          </w:p>
        </w:tc>
        <w:tc>
          <w:tcPr>
            <w:tcW w:w="1320" w:type="dxa"/>
            <w:vAlign w:val="bottom"/>
          </w:tcPr>
          <w:p w:rsidR="000C2ED5" w:rsidRDefault="00485212">
            <w:pPr>
              <w:ind w:left="460"/>
              <w:rPr>
                <w:sz w:val="20"/>
                <w:szCs w:val="20"/>
              </w:rPr>
            </w:pPr>
            <w:r>
              <w:rPr>
                <w:rFonts w:eastAsia="Times New Roman"/>
                <w:b/>
                <w:bCs/>
                <w:sz w:val="20"/>
                <w:szCs w:val="20"/>
              </w:rPr>
              <w:t>Type</w:t>
            </w:r>
          </w:p>
        </w:tc>
        <w:tc>
          <w:tcPr>
            <w:tcW w:w="2220" w:type="dxa"/>
            <w:vAlign w:val="bottom"/>
          </w:tcPr>
          <w:p w:rsidR="000C2ED5" w:rsidRDefault="00485212">
            <w:pPr>
              <w:jc w:val="center"/>
              <w:rPr>
                <w:sz w:val="20"/>
                <w:szCs w:val="20"/>
              </w:rPr>
            </w:pPr>
            <w:r>
              <w:rPr>
                <w:rFonts w:eastAsia="Times New Roman"/>
                <w:b/>
                <w:bCs/>
                <w:w w:val="97"/>
                <w:sz w:val="20"/>
                <w:szCs w:val="20"/>
              </w:rPr>
              <w:t>completion/</w:t>
            </w:r>
          </w:p>
        </w:tc>
        <w:tc>
          <w:tcPr>
            <w:tcW w:w="1940" w:type="dxa"/>
            <w:vAlign w:val="bottom"/>
          </w:tcPr>
          <w:p w:rsidR="000C2ED5" w:rsidRDefault="000C2ED5">
            <w:pPr>
              <w:rPr>
                <w:sz w:val="24"/>
                <w:szCs w:val="24"/>
              </w:rPr>
            </w:pPr>
          </w:p>
        </w:tc>
        <w:tc>
          <w:tcPr>
            <w:tcW w:w="1780" w:type="dxa"/>
            <w:vAlign w:val="bottom"/>
          </w:tcPr>
          <w:p w:rsidR="000C2ED5" w:rsidRDefault="000C2ED5">
            <w:pPr>
              <w:rPr>
                <w:sz w:val="24"/>
                <w:szCs w:val="24"/>
              </w:rPr>
            </w:pPr>
          </w:p>
        </w:tc>
        <w:tc>
          <w:tcPr>
            <w:tcW w:w="536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Assessment</w:t>
            </w:r>
          </w:p>
        </w:tc>
      </w:tr>
      <w:tr w:rsidR="000C2ED5">
        <w:trPr>
          <w:trHeight w:val="458"/>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485212">
            <w:pPr>
              <w:jc w:val="center"/>
              <w:rPr>
                <w:sz w:val="20"/>
                <w:szCs w:val="20"/>
              </w:rPr>
            </w:pPr>
            <w:r>
              <w:rPr>
                <w:rFonts w:eastAsia="Times New Roman"/>
                <w:b/>
                <w:bCs/>
                <w:w w:val="99"/>
                <w:sz w:val="20"/>
                <w:szCs w:val="20"/>
              </w:rPr>
              <w:t>Engagement</w:t>
            </w:r>
          </w:p>
        </w:tc>
        <w:tc>
          <w:tcPr>
            <w:tcW w:w="1940" w:type="dxa"/>
            <w:vAlign w:val="bottom"/>
          </w:tcPr>
          <w:p w:rsidR="000C2ED5" w:rsidRDefault="000C2ED5">
            <w:pPr>
              <w:rPr>
                <w:sz w:val="24"/>
                <w:szCs w:val="24"/>
              </w:rPr>
            </w:pPr>
          </w:p>
        </w:tc>
        <w:tc>
          <w:tcPr>
            <w:tcW w:w="1780" w:type="dxa"/>
            <w:vAlign w:val="bottom"/>
          </w:tcPr>
          <w:p w:rsidR="000C2ED5" w:rsidRDefault="000C2ED5">
            <w:pPr>
              <w:rPr>
                <w:sz w:val="24"/>
                <w:szCs w:val="24"/>
              </w:rPr>
            </w:pPr>
          </w:p>
        </w:tc>
        <w:tc>
          <w:tcPr>
            <w:tcW w:w="536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score</w:t>
            </w:r>
          </w:p>
        </w:tc>
      </w:tr>
      <w:tr w:rsidR="000C2ED5">
        <w:trPr>
          <w:trHeight w:val="234"/>
        </w:trPr>
        <w:tc>
          <w:tcPr>
            <w:tcW w:w="1100" w:type="dxa"/>
            <w:tcBorders>
              <w:bottom w:val="single" w:sz="8" w:space="0" w:color="auto"/>
            </w:tcBorders>
            <w:vAlign w:val="bottom"/>
          </w:tcPr>
          <w:p w:rsidR="000C2ED5" w:rsidRDefault="000C2ED5">
            <w:pPr>
              <w:rPr>
                <w:sz w:val="20"/>
                <w:szCs w:val="20"/>
              </w:rPr>
            </w:pPr>
          </w:p>
        </w:tc>
        <w:tc>
          <w:tcPr>
            <w:tcW w:w="1220" w:type="dxa"/>
            <w:tcBorders>
              <w:bottom w:val="single" w:sz="8" w:space="0" w:color="auto"/>
            </w:tcBorders>
            <w:vAlign w:val="bottom"/>
          </w:tcPr>
          <w:p w:rsidR="000C2ED5" w:rsidRDefault="000C2ED5">
            <w:pPr>
              <w:rPr>
                <w:sz w:val="20"/>
                <w:szCs w:val="20"/>
              </w:rPr>
            </w:pPr>
          </w:p>
        </w:tc>
        <w:tc>
          <w:tcPr>
            <w:tcW w:w="1320" w:type="dxa"/>
            <w:tcBorders>
              <w:bottom w:val="single" w:sz="8" w:space="0" w:color="auto"/>
            </w:tcBorders>
            <w:vAlign w:val="bottom"/>
          </w:tcPr>
          <w:p w:rsidR="000C2ED5" w:rsidRDefault="000C2ED5">
            <w:pPr>
              <w:rPr>
                <w:sz w:val="20"/>
                <w:szCs w:val="20"/>
              </w:rPr>
            </w:pPr>
          </w:p>
        </w:tc>
        <w:tc>
          <w:tcPr>
            <w:tcW w:w="2220" w:type="dxa"/>
            <w:tcBorders>
              <w:bottom w:val="single" w:sz="8" w:space="0" w:color="auto"/>
            </w:tcBorders>
            <w:vAlign w:val="bottom"/>
          </w:tcPr>
          <w:p w:rsidR="000C2ED5" w:rsidRDefault="000C2ED5">
            <w:pPr>
              <w:rPr>
                <w:sz w:val="20"/>
                <w:szCs w:val="20"/>
              </w:rPr>
            </w:pPr>
          </w:p>
        </w:tc>
        <w:tc>
          <w:tcPr>
            <w:tcW w:w="1940" w:type="dxa"/>
            <w:tcBorders>
              <w:bottom w:val="single" w:sz="8" w:space="0" w:color="auto"/>
            </w:tcBorders>
            <w:vAlign w:val="bottom"/>
          </w:tcPr>
          <w:p w:rsidR="000C2ED5" w:rsidRDefault="000C2ED5">
            <w:pPr>
              <w:rPr>
                <w:sz w:val="20"/>
                <w:szCs w:val="20"/>
              </w:rPr>
            </w:pPr>
          </w:p>
        </w:tc>
        <w:tc>
          <w:tcPr>
            <w:tcW w:w="1780" w:type="dxa"/>
            <w:tcBorders>
              <w:bottom w:val="single" w:sz="8" w:space="0" w:color="auto"/>
            </w:tcBorders>
            <w:vAlign w:val="bottom"/>
          </w:tcPr>
          <w:p w:rsidR="000C2ED5" w:rsidRDefault="000C2ED5">
            <w:pPr>
              <w:rPr>
                <w:sz w:val="20"/>
                <w:szCs w:val="20"/>
              </w:rPr>
            </w:pPr>
          </w:p>
        </w:tc>
        <w:tc>
          <w:tcPr>
            <w:tcW w:w="5360" w:type="dxa"/>
            <w:tcBorders>
              <w:bottom w:val="single" w:sz="8" w:space="0" w:color="auto"/>
            </w:tcBorders>
            <w:vAlign w:val="bottom"/>
          </w:tcPr>
          <w:p w:rsidR="000C2ED5" w:rsidRDefault="000C2ED5">
            <w:pPr>
              <w:rPr>
                <w:sz w:val="20"/>
                <w:szCs w:val="20"/>
              </w:rPr>
            </w:pPr>
          </w:p>
        </w:tc>
        <w:tc>
          <w:tcPr>
            <w:tcW w:w="1220" w:type="dxa"/>
            <w:tcBorders>
              <w:bottom w:val="single" w:sz="8" w:space="0" w:color="auto"/>
            </w:tcBorders>
            <w:vAlign w:val="bottom"/>
          </w:tcPr>
          <w:p w:rsidR="000C2ED5" w:rsidRDefault="000C2ED5">
            <w:pPr>
              <w:rPr>
                <w:sz w:val="20"/>
                <w:szCs w:val="20"/>
              </w:rPr>
            </w:pPr>
          </w:p>
        </w:tc>
      </w:tr>
      <w:tr w:rsidR="000C2ED5">
        <w:trPr>
          <w:trHeight w:val="212"/>
        </w:trPr>
        <w:tc>
          <w:tcPr>
            <w:tcW w:w="1100" w:type="dxa"/>
            <w:vAlign w:val="bottom"/>
          </w:tcPr>
          <w:p w:rsidR="000C2ED5" w:rsidRDefault="000C2ED5">
            <w:pPr>
              <w:rPr>
                <w:sz w:val="18"/>
                <w:szCs w:val="18"/>
              </w:rPr>
            </w:pPr>
          </w:p>
        </w:tc>
        <w:tc>
          <w:tcPr>
            <w:tcW w:w="1220" w:type="dxa"/>
            <w:vAlign w:val="bottom"/>
          </w:tcPr>
          <w:p w:rsidR="000C2ED5" w:rsidRDefault="000C2ED5">
            <w:pPr>
              <w:rPr>
                <w:sz w:val="18"/>
                <w:szCs w:val="18"/>
              </w:rPr>
            </w:pPr>
          </w:p>
        </w:tc>
        <w:tc>
          <w:tcPr>
            <w:tcW w:w="1320" w:type="dxa"/>
            <w:vAlign w:val="bottom"/>
          </w:tcPr>
          <w:p w:rsidR="000C2ED5" w:rsidRDefault="000C2ED5">
            <w:pPr>
              <w:rPr>
                <w:sz w:val="18"/>
                <w:szCs w:val="18"/>
              </w:rPr>
            </w:pPr>
          </w:p>
        </w:tc>
        <w:tc>
          <w:tcPr>
            <w:tcW w:w="2220" w:type="dxa"/>
            <w:vAlign w:val="bottom"/>
          </w:tcPr>
          <w:p w:rsidR="000C2ED5" w:rsidRDefault="000C2ED5">
            <w:pPr>
              <w:rPr>
                <w:sz w:val="18"/>
                <w:szCs w:val="18"/>
              </w:rPr>
            </w:pPr>
          </w:p>
        </w:tc>
        <w:tc>
          <w:tcPr>
            <w:tcW w:w="1940" w:type="dxa"/>
            <w:vAlign w:val="bottom"/>
          </w:tcPr>
          <w:p w:rsidR="000C2ED5" w:rsidRDefault="000C2ED5">
            <w:pPr>
              <w:rPr>
                <w:sz w:val="18"/>
                <w:szCs w:val="18"/>
              </w:rPr>
            </w:pPr>
          </w:p>
        </w:tc>
        <w:tc>
          <w:tcPr>
            <w:tcW w:w="1780" w:type="dxa"/>
            <w:vAlign w:val="bottom"/>
          </w:tcPr>
          <w:p w:rsidR="000C2ED5" w:rsidRDefault="000C2ED5">
            <w:pPr>
              <w:rPr>
                <w:sz w:val="18"/>
                <w:szCs w:val="18"/>
              </w:rPr>
            </w:pPr>
          </w:p>
        </w:tc>
        <w:tc>
          <w:tcPr>
            <w:tcW w:w="5360" w:type="dxa"/>
            <w:vAlign w:val="bottom"/>
          </w:tcPr>
          <w:p w:rsidR="000C2ED5" w:rsidRDefault="00485212">
            <w:pPr>
              <w:spacing w:line="211" w:lineRule="exact"/>
              <w:ind w:left="140"/>
              <w:rPr>
                <w:sz w:val="20"/>
                <w:szCs w:val="20"/>
              </w:rPr>
            </w:pPr>
            <w:r>
              <w:rPr>
                <w:rFonts w:eastAsia="Times New Roman"/>
                <w:sz w:val="20"/>
                <w:szCs w:val="20"/>
              </w:rPr>
              <w:t>prevent recidivism, learn new skills, learn to manage anger,</w:t>
            </w:r>
          </w:p>
        </w:tc>
        <w:tc>
          <w:tcPr>
            <w:tcW w:w="1220" w:type="dxa"/>
            <w:vAlign w:val="bottom"/>
          </w:tcPr>
          <w:p w:rsidR="000C2ED5" w:rsidRDefault="000C2ED5">
            <w:pPr>
              <w:rPr>
                <w:sz w:val="18"/>
                <w:szCs w:val="18"/>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0C2ED5">
            <w:pPr>
              <w:rPr>
                <w:sz w:val="24"/>
                <w:szCs w:val="24"/>
              </w:rPr>
            </w:pPr>
          </w:p>
        </w:tc>
        <w:tc>
          <w:tcPr>
            <w:tcW w:w="1940" w:type="dxa"/>
            <w:vAlign w:val="bottom"/>
          </w:tcPr>
          <w:p w:rsidR="000C2ED5" w:rsidRDefault="000C2ED5">
            <w:pPr>
              <w:rPr>
                <w:sz w:val="24"/>
                <w:szCs w:val="24"/>
              </w:rPr>
            </w:pP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 xml:space="preserve">increase confidence/improve self as a </w:t>
            </w:r>
            <w:r>
              <w:rPr>
                <w:rFonts w:eastAsia="Times New Roman"/>
                <w:sz w:val="20"/>
                <w:szCs w:val="20"/>
              </w:rPr>
              <w:t>person.</w:t>
            </w:r>
          </w:p>
        </w:tc>
        <w:tc>
          <w:tcPr>
            <w:tcW w:w="1220" w:type="dxa"/>
            <w:vAlign w:val="bottom"/>
          </w:tcPr>
          <w:p w:rsidR="000C2ED5" w:rsidRDefault="000C2ED5">
            <w:pPr>
              <w:rPr>
                <w:sz w:val="24"/>
                <w:szCs w:val="24"/>
              </w:rPr>
            </w:pPr>
          </w:p>
        </w:tc>
      </w:tr>
      <w:tr w:rsidR="000C2ED5">
        <w:trPr>
          <w:trHeight w:val="920"/>
        </w:trPr>
        <w:tc>
          <w:tcPr>
            <w:tcW w:w="1100" w:type="dxa"/>
            <w:vAlign w:val="bottom"/>
          </w:tcPr>
          <w:p w:rsidR="000C2ED5" w:rsidRDefault="00485212">
            <w:pPr>
              <w:ind w:left="100"/>
              <w:rPr>
                <w:sz w:val="20"/>
                <w:szCs w:val="20"/>
              </w:rPr>
            </w:pPr>
            <w:r>
              <w:rPr>
                <w:rFonts w:eastAsia="Times New Roman"/>
                <w:sz w:val="20"/>
                <w:szCs w:val="20"/>
              </w:rPr>
              <w:t>Polaschek</w:t>
            </w:r>
          </w:p>
        </w:tc>
        <w:tc>
          <w:tcPr>
            <w:tcW w:w="1220" w:type="dxa"/>
            <w:vAlign w:val="bottom"/>
          </w:tcPr>
          <w:p w:rsidR="000C2ED5" w:rsidRDefault="00485212">
            <w:pPr>
              <w:jc w:val="center"/>
              <w:rPr>
                <w:sz w:val="20"/>
                <w:szCs w:val="20"/>
              </w:rPr>
            </w:pPr>
            <w:r>
              <w:rPr>
                <w:rFonts w:eastAsia="Times New Roman"/>
                <w:sz w:val="20"/>
                <w:szCs w:val="20"/>
              </w:rPr>
              <w:t>Quantitative</w:t>
            </w:r>
          </w:p>
        </w:tc>
        <w:tc>
          <w:tcPr>
            <w:tcW w:w="1320" w:type="dxa"/>
            <w:vAlign w:val="bottom"/>
          </w:tcPr>
          <w:p w:rsidR="000C2ED5" w:rsidRDefault="00485212">
            <w:pPr>
              <w:ind w:left="120"/>
              <w:rPr>
                <w:sz w:val="20"/>
                <w:szCs w:val="20"/>
              </w:rPr>
            </w:pPr>
            <w:r>
              <w:rPr>
                <w:rFonts w:eastAsia="Times New Roman"/>
                <w:sz w:val="20"/>
                <w:szCs w:val="20"/>
              </w:rPr>
              <w:t>The</w:t>
            </w:r>
          </w:p>
        </w:tc>
        <w:tc>
          <w:tcPr>
            <w:tcW w:w="2220" w:type="dxa"/>
            <w:vAlign w:val="bottom"/>
          </w:tcPr>
          <w:p w:rsidR="000C2ED5" w:rsidRDefault="00485212">
            <w:pPr>
              <w:ind w:left="120"/>
              <w:rPr>
                <w:sz w:val="20"/>
                <w:szCs w:val="20"/>
              </w:rPr>
            </w:pPr>
            <w:r>
              <w:rPr>
                <w:rFonts w:eastAsia="Times New Roman"/>
                <w:sz w:val="20"/>
                <w:szCs w:val="20"/>
              </w:rPr>
              <w:t>Non-completion was</w:t>
            </w:r>
          </w:p>
        </w:tc>
        <w:tc>
          <w:tcPr>
            <w:tcW w:w="1940" w:type="dxa"/>
            <w:vAlign w:val="bottom"/>
          </w:tcPr>
          <w:p w:rsidR="000C2ED5" w:rsidRDefault="00485212">
            <w:pPr>
              <w:ind w:left="160"/>
              <w:rPr>
                <w:sz w:val="20"/>
                <w:szCs w:val="20"/>
              </w:rPr>
            </w:pPr>
            <w:r>
              <w:rPr>
                <w:rFonts w:eastAsia="Times New Roman"/>
                <w:sz w:val="20"/>
                <w:szCs w:val="20"/>
              </w:rPr>
              <w:t>Can completers be</w:t>
            </w:r>
          </w:p>
        </w:tc>
        <w:tc>
          <w:tcPr>
            <w:tcW w:w="1780" w:type="dxa"/>
            <w:vAlign w:val="bottom"/>
          </w:tcPr>
          <w:p w:rsidR="000C2ED5" w:rsidRDefault="00485212">
            <w:pPr>
              <w:jc w:val="center"/>
              <w:rPr>
                <w:sz w:val="20"/>
                <w:szCs w:val="20"/>
              </w:rPr>
            </w:pPr>
            <w:r>
              <w:rPr>
                <w:rFonts w:eastAsia="Times New Roman"/>
                <w:w w:val="99"/>
                <w:sz w:val="20"/>
                <w:szCs w:val="20"/>
              </w:rPr>
              <w:t>138 male prisoners</w:t>
            </w:r>
          </w:p>
        </w:tc>
        <w:tc>
          <w:tcPr>
            <w:tcW w:w="5360" w:type="dxa"/>
            <w:vAlign w:val="bottom"/>
          </w:tcPr>
          <w:p w:rsidR="000C2ED5" w:rsidRDefault="00485212">
            <w:pPr>
              <w:ind w:left="140"/>
              <w:rPr>
                <w:sz w:val="20"/>
                <w:szCs w:val="20"/>
              </w:rPr>
            </w:pPr>
            <w:r>
              <w:rPr>
                <w:rFonts w:eastAsia="Times New Roman"/>
                <w:sz w:val="20"/>
                <w:szCs w:val="20"/>
              </w:rPr>
              <w:t>Reasons for non-completion were categorised into the 6 groups:</w:t>
            </w:r>
          </w:p>
        </w:tc>
        <w:tc>
          <w:tcPr>
            <w:tcW w:w="1220" w:type="dxa"/>
            <w:vAlign w:val="bottom"/>
          </w:tcPr>
          <w:p w:rsidR="000C2ED5" w:rsidRDefault="00485212">
            <w:pPr>
              <w:jc w:val="center"/>
              <w:rPr>
                <w:sz w:val="20"/>
                <w:szCs w:val="20"/>
              </w:rPr>
            </w:pPr>
            <w:r>
              <w:rPr>
                <w:rFonts w:eastAsia="Times New Roman"/>
                <w:sz w:val="20"/>
                <w:szCs w:val="20"/>
              </w:rPr>
              <w:t>75%</w:t>
            </w:r>
          </w:p>
        </w:tc>
      </w:tr>
      <w:tr w:rsidR="000C2ED5">
        <w:trPr>
          <w:trHeight w:val="461"/>
        </w:trPr>
        <w:tc>
          <w:tcPr>
            <w:tcW w:w="1100" w:type="dxa"/>
            <w:vAlign w:val="bottom"/>
          </w:tcPr>
          <w:p w:rsidR="000C2ED5" w:rsidRDefault="00485212">
            <w:pPr>
              <w:ind w:left="100"/>
              <w:rPr>
                <w:sz w:val="20"/>
                <w:szCs w:val="20"/>
              </w:rPr>
            </w:pPr>
            <w:r>
              <w:rPr>
                <w:rFonts w:eastAsia="Times New Roman"/>
                <w:sz w:val="20"/>
                <w:szCs w:val="20"/>
              </w:rPr>
              <w:t>(2010)</w:t>
            </w:r>
          </w:p>
        </w:tc>
        <w:tc>
          <w:tcPr>
            <w:tcW w:w="1220" w:type="dxa"/>
            <w:vAlign w:val="bottom"/>
          </w:tcPr>
          <w:p w:rsidR="000C2ED5" w:rsidRDefault="000C2ED5">
            <w:pPr>
              <w:rPr>
                <w:sz w:val="24"/>
                <w:szCs w:val="24"/>
              </w:rPr>
            </w:pPr>
          </w:p>
        </w:tc>
        <w:tc>
          <w:tcPr>
            <w:tcW w:w="1320" w:type="dxa"/>
            <w:vAlign w:val="bottom"/>
          </w:tcPr>
          <w:p w:rsidR="000C2ED5" w:rsidRDefault="00485212">
            <w:pPr>
              <w:ind w:left="120"/>
              <w:rPr>
                <w:sz w:val="20"/>
                <w:szCs w:val="20"/>
              </w:rPr>
            </w:pPr>
            <w:r>
              <w:rPr>
                <w:rFonts w:eastAsia="Times New Roman"/>
                <w:sz w:val="20"/>
                <w:szCs w:val="20"/>
              </w:rPr>
              <w:t>Rimutaka</w:t>
            </w:r>
          </w:p>
        </w:tc>
        <w:tc>
          <w:tcPr>
            <w:tcW w:w="2220" w:type="dxa"/>
            <w:vAlign w:val="bottom"/>
          </w:tcPr>
          <w:p w:rsidR="000C2ED5" w:rsidRDefault="00485212">
            <w:pPr>
              <w:ind w:left="120"/>
              <w:rPr>
                <w:sz w:val="20"/>
                <w:szCs w:val="20"/>
              </w:rPr>
            </w:pPr>
            <w:r>
              <w:rPr>
                <w:rFonts w:eastAsia="Times New Roman"/>
                <w:sz w:val="20"/>
                <w:szCs w:val="20"/>
              </w:rPr>
              <w:t>defined using categories</w:t>
            </w:r>
          </w:p>
        </w:tc>
        <w:tc>
          <w:tcPr>
            <w:tcW w:w="1940" w:type="dxa"/>
            <w:vAlign w:val="bottom"/>
          </w:tcPr>
          <w:p w:rsidR="000C2ED5" w:rsidRDefault="00485212">
            <w:pPr>
              <w:ind w:left="160"/>
              <w:rPr>
                <w:sz w:val="20"/>
                <w:szCs w:val="20"/>
              </w:rPr>
            </w:pPr>
            <w:r>
              <w:rPr>
                <w:rFonts w:eastAsia="Times New Roman"/>
                <w:sz w:val="20"/>
                <w:szCs w:val="20"/>
              </w:rPr>
              <w:t>distinguished from</w:t>
            </w: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 xml:space="preserve">Withdrawn from treatment by the </w:t>
            </w:r>
            <w:r>
              <w:rPr>
                <w:rFonts w:eastAsia="Times New Roman"/>
                <w:sz w:val="20"/>
                <w:szCs w:val="20"/>
              </w:rPr>
              <w:t>criminal justice system for</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485212">
            <w:pPr>
              <w:ind w:left="120"/>
              <w:rPr>
                <w:sz w:val="20"/>
                <w:szCs w:val="20"/>
              </w:rPr>
            </w:pPr>
            <w:r>
              <w:rPr>
                <w:rFonts w:eastAsia="Times New Roman"/>
                <w:sz w:val="20"/>
                <w:szCs w:val="20"/>
              </w:rPr>
              <w:t>Violence</w:t>
            </w:r>
          </w:p>
        </w:tc>
        <w:tc>
          <w:tcPr>
            <w:tcW w:w="2220" w:type="dxa"/>
            <w:vAlign w:val="bottom"/>
          </w:tcPr>
          <w:p w:rsidR="000C2ED5" w:rsidRDefault="00485212">
            <w:pPr>
              <w:ind w:left="120"/>
              <w:rPr>
                <w:sz w:val="20"/>
                <w:szCs w:val="20"/>
              </w:rPr>
            </w:pPr>
            <w:r>
              <w:rPr>
                <w:rFonts w:eastAsia="Times New Roman"/>
                <w:sz w:val="20"/>
                <w:szCs w:val="20"/>
              </w:rPr>
              <w:t>described by Wormith</w:t>
            </w:r>
          </w:p>
        </w:tc>
        <w:tc>
          <w:tcPr>
            <w:tcW w:w="1940" w:type="dxa"/>
            <w:vAlign w:val="bottom"/>
          </w:tcPr>
          <w:p w:rsidR="000C2ED5" w:rsidRDefault="00485212">
            <w:pPr>
              <w:ind w:left="160"/>
              <w:rPr>
                <w:sz w:val="20"/>
                <w:szCs w:val="20"/>
              </w:rPr>
            </w:pPr>
            <w:r>
              <w:rPr>
                <w:rFonts w:eastAsia="Times New Roman"/>
                <w:sz w:val="20"/>
                <w:szCs w:val="20"/>
              </w:rPr>
              <w:t>non-completers</w:t>
            </w: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reasons unrelated to programme involvement; withdrawn by</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485212">
            <w:pPr>
              <w:ind w:left="120"/>
              <w:rPr>
                <w:sz w:val="20"/>
                <w:szCs w:val="20"/>
              </w:rPr>
            </w:pPr>
            <w:r>
              <w:rPr>
                <w:rFonts w:eastAsia="Times New Roman"/>
                <w:sz w:val="20"/>
                <w:szCs w:val="20"/>
              </w:rPr>
              <w:t>Prevention</w:t>
            </w:r>
          </w:p>
        </w:tc>
        <w:tc>
          <w:tcPr>
            <w:tcW w:w="2220" w:type="dxa"/>
            <w:vAlign w:val="bottom"/>
          </w:tcPr>
          <w:p w:rsidR="000C2ED5" w:rsidRDefault="00485212">
            <w:pPr>
              <w:ind w:left="120"/>
              <w:rPr>
                <w:sz w:val="20"/>
                <w:szCs w:val="20"/>
              </w:rPr>
            </w:pPr>
            <w:r>
              <w:rPr>
                <w:rFonts w:eastAsia="Times New Roman"/>
                <w:sz w:val="20"/>
                <w:szCs w:val="20"/>
              </w:rPr>
              <w:t>and Olver (2002).</w:t>
            </w:r>
          </w:p>
        </w:tc>
        <w:tc>
          <w:tcPr>
            <w:tcW w:w="1940" w:type="dxa"/>
            <w:vAlign w:val="bottom"/>
          </w:tcPr>
          <w:p w:rsidR="000C2ED5" w:rsidRDefault="00485212">
            <w:pPr>
              <w:ind w:left="160"/>
              <w:rPr>
                <w:sz w:val="20"/>
                <w:szCs w:val="20"/>
              </w:rPr>
            </w:pPr>
            <w:r>
              <w:rPr>
                <w:rFonts w:eastAsia="Times New Roman"/>
                <w:sz w:val="20"/>
                <w:szCs w:val="20"/>
              </w:rPr>
              <w:t>using psychometric</w:t>
            </w: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the therapist due to their behaviour during treatment (i.e.</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485212">
            <w:pPr>
              <w:ind w:left="120"/>
              <w:rPr>
                <w:sz w:val="20"/>
                <w:szCs w:val="20"/>
              </w:rPr>
            </w:pPr>
            <w:r>
              <w:rPr>
                <w:rFonts w:eastAsia="Times New Roman"/>
                <w:sz w:val="20"/>
                <w:szCs w:val="20"/>
              </w:rPr>
              <w:t>Unit</w:t>
            </w:r>
            <w:r>
              <w:rPr>
                <w:rFonts w:eastAsia="Times New Roman"/>
                <w:sz w:val="20"/>
                <w:szCs w:val="20"/>
              </w:rPr>
              <w:t xml:space="preserve"> (RVPU)</w:t>
            </w:r>
          </w:p>
        </w:tc>
        <w:tc>
          <w:tcPr>
            <w:tcW w:w="2220" w:type="dxa"/>
            <w:vAlign w:val="bottom"/>
          </w:tcPr>
          <w:p w:rsidR="000C2ED5" w:rsidRDefault="000C2ED5">
            <w:pPr>
              <w:rPr>
                <w:sz w:val="24"/>
                <w:szCs w:val="24"/>
              </w:rPr>
            </w:pPr>
          </w:p>
        </w:tc>
        <w:tc>
          <w:tcPr>
            <w:tcW w:w="1940" w:type="dxa"/>
            <w:vAlign w:val="bottom"/>
          </w:tcPr>
          <w:p w:rsidR="000C2ED5" w:rsidRDefault="00485212">
            <w:pPr>
              <w:ind w:left="160"/>
              <w:rPr>
                <w:sz w:val="20"/>
                <w:szCs w:val="20"/>
              </w:rPr>
            </w:pPr>
            <w:r>
              <w:rPr>
                <w:rFonts w:eastAsia="Times New Roman"/>
                <w:sz w:val="20"/>
                <w:szCs w:val="20"/>
              </w:rPr>
              <w:t>and demographic</w:t>
            </w: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hostile/disruptive); prisoner initiated withdrawal for reasons</w:t>
            </w:r>
          </w:p>
        </w:tc>
        <w:tc>
          <w:tcPr>
            <w:tcW w:w="1220" w:type="dxa"/>
            <w:vAlign w:val="bottom"/>
          </w:tcPr>
          <w:p w:rsidR="000C2ED5" w:rsidRDefault="000C2ED5">
            <w:pPr>
              <w:rPr>
                <w:sz w:val="24"/>
                <w:szCs w:val="24"/>
              </w:rPr>
            </w:pPr>
          </w:p>
        </w:tc>
      </w:tr>
      <w:tr w:rsidR="000C2ED5">
        <w:trPr>
          <w:trHeight w:val="459"/>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0C2ED5">
            <w:pPr>
              <w:rPr>
                <w:sz w:val="24"/>
                <w:szCs w:val="24"/>
              </w:rPr>
            </w:pPr>
          </w:p>
        </w:tc>
        <w:tc>
          <w:tcPr>
            <w:tcW w:w="1940" w:type="dxa"/>
            <w:vAlign w:val="bottom"/>
          </w:tcPr>
          <w:p w:rsidR="000C2ED5" w:rsidRDefault="00485212">
            <w:pPr>
              <w:ind w:left="160"/>
              <w:rPr>
                <w:sz w:val="20"/>
                <w:szCs w:val="20"/>
              </w:rPr>
            </w:pPr>
            <w:r>
              <w:rPr>
                <w:rFonts w:eastAsia="Times New Roman"/>
                <w:sz w:val="20"/>
                <w:szCs w:val="20"/>
              </w:rPr>
              <w:t>variables related to</w:t>
            </w: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including a desire to be relocated to a prison nearer to family,</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0C2ED5">
            <w:pPr>
              <w:rPr>
                <w:sz w:val="24"/>
                <w:szCs w:val="24"/>
              </w:rPr>
            </w:pPr>
          </w:p>
        </w:tc>
        <w:tc>
          <w:tcPr>
            <w:tcW w:w="1940" w:type="dxa"/>
            <w:vAlign w:val="bottom"/>
          </w:tcPr>
          <w:p w:rsidR="000C2ED5" w:rsidRDefault="00485212">
            <w:pPr>
              <w:ind w:left="160"/>
              <w:rPr>
                <w:sz w:val="20"/>
                <w:szCs w:val="20"/>
              </w:rPr>
            </w:pPr>
            <w:r>
              <w:rPr>
                <w:rFonts w:eastAsia="Times New Roman"/>
                <w:sz w:val="20"/>
                <w:szCs w:val="20"/>
              </w:rPr>
              <w:t>risk/criminogenic</w:t>
            </w: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 xml:space="preserve">perceiving treatment to be unnecessary, finding </w:t>
            </w:r>
            <w:r>
              <w:rPr>
                <w:rFonts w:eastAsia="Times New Roman"/>
                <w:sz w:val="20"/>
                <w:szCs w:val="20"/>
              </w:rPr>
              <w:t>sessions too</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0C2ED5">
            <w:pPr>
              <w:rPr>
                <w:sz w:val="24"/>
                <w:szCs w:val="24"/>
              </w:rPr>
            </w:pPr>
          </w:p>
        </w:tc>
        <w:tc>
          <w:tcPr>
            <w:tcW w:w="1940" w:type="dxa"/>
            <w:vAlign w:val="bottom"/>
          </w:tcPr>
          <w:p w:rsidR="000C2ED5" w:rsidRDefault="00485212">
            <w:pPr>
              <w:ind w:left="160"/>
              <w:rPr>
                <w:sz w:val="20"/>
                <w:szCs w:val="20"/>
              </w:rPr>
            </w:pPr>
            <w:r>
              <w:rPr>
                <w:rFonts w:eastAsia="Times New Roman"/>
                <w:sz w:val="20"/>
                <w:szCs w:val="20"/>
              </w:rPr>
              <w:t>need. For the</w:t>
            </w: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anxiety provoking or believing they would be paroled anyway;</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0C2ED5">
            <w:pPr>
              <w:rPr>
                <w:sz w:val="24"/>
                <w:szCs w:val="24"/>
              </w:rPr>
            </w:pPr>
          </w:p>
        </w:tc>
        <w:tc>
          <w:tcPr>
            <w:tcW w:w="1940" w:type="dxa"/>
            <w:vAlign w:val="bottom"/>
          </w:tcPr>
          <w:p w:rsidR="000C2ED5" w:rsidRDefault="00485212">
            <w:pPr>
              <w:ind w:left="160"/>
              <w:rPr>
                <w:sz w:val="20"/>
                <w:szCs w:val="20"/>
              </w:rPr>
            </w:pPr>
            <w:r>
              <w:rPr>
                <w:rFonts w:eastAsia="Times New Roman"/>
                <w:sz w:val="20"/>
                <w:szCs w:val="20"/>
              </w:rPr>
              <w:t>purpose of this</w:t>
            </w: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prisoner feared for safety from their peers on programme;</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0C2ED5">
            <w:pPr>
              <w:rPr>
                <w:sz w:val="24"/>
                <w:szCs w:val="24"/>
              </w:rPr>
            </w:pPr>
          </w:p>
        </w:tc>
        <w:tc>
          <w:tcPr>
            <w:tcW w:w="1940" w:type="dxa"/>
            <w:vAlign w:val="bottom"/>
          </w:tcPr>
          <w:p w:rsidR="000C2ED5" w:rsidRDefault="00485212">
            <w:pPr>
              <w:ind w:left="160"/>
              <w:rPr>
                <w:sz w:val="20"/>
                <w:szCs w:val="20"/>
              </w:rPr>
            </w:pPr>
            <w:r>
              <w:rPr>
                <w:rFonts w:eastAsia="Times New Roman"/>
                <w:sz w:val="20"/>
                <w:szCs w:val="20"/>
              </w:rPr>
              <w:t>review, the outcome</w:t>
            </w: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 xml:space="preserve">removed due to engaging in offending behaviours; </w:t>
            </w:r>
            <w:r>
              <w:rPr>
                <w:rFonts w:eastAsia="Times New Roman"/>
                <w:sz w:val="20"/>
                <w:szCs w:val="20"/>
              </w:rPr>
              <w:t>unknown</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0C2ED5">
            <w:pPr>
              <w:rPr>
                <w:sz w:val="24"/>
                <w:szCs w:val="24"/>
              </w:rPr>
            </w:pPr>
          </w:p>
        </w:tc>
        <w:tc>
          <w:tcPr>
            <w:tcW w:w="1940" w:type="dxa"/>
            <w:vAlign w:val="bottom"/>
          </w:tcPr>
          <w:p w:rsidR="000C2ED5" w:rsidRDefault="00485212">
            <w:pPr>
              <w:ind w:left="160"/>
              <w:rPr>
                <w:sz w:val="20"/>
                <w:szCs w:val="20"/>
              </w:rPr>
            </w:pPr>
            <w:r>
              <w:rPr>
                <w:rFonts w:eastAsia="Times New Roman"/>
                <w:sz w:val="20"/>
                <w:szCs w:val="20"/>
              </w:rPr>
              <w:t>indicator was the</w:t>
            </w:r>
          </w:p>
        </w:tc>
        <w:tc>
          <w:tcPr>
            <w:tcW w:w="1780" w:type="dxa"/>
            <w:vAlign w:val="bottom"/>
          </w:tcPr>
          <w:p w:rsidR="000C2ED5" w:rsidRDefault="000C2ED5">
            <w:pPr>
              <w:rPr>
                <w:sz w:val="24"/>
                <w:szCs w:val="24"/>
              </w:rPr>
            </w:pPr>
          </w:p>
        </w:tc>
        <w:tc>
          <w:tcPr>
            <w:tcW w:w="5360" w:type="dxa"/>
            <w:vAlign w:val="bottom"/>
          </w:tcPr>
          <w:p w:rsidR="000C2ED5" w:rsidRDefault="00485212">
            <w:pPr>
              <w:ind w:left="140"/>
              <w:rPr>
                <w:sz w:val="20"/>
                <w:szCs w:val="20"/>
              </w:rPr>
            </w:pPr>
            <w:r>
              <w:rPr>
                <w:rFonts w:eastAsia="Times New Roman"/>
                <w:sz w:val="20"/>
                <w:szCs w:val="20"/>
              </w:rPr>
              <w:t>reason.</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0C2ED5">
            <w:pPr>
              <w:rPr>
                <w:sz w:val="24"/>
                <w:szCs w:val="24"/>
              </w:rPr>
            </w:pPr>
          </w:p>
        </w:tc>
        <w:tc>
          <w:tcPr>
            <w:tcW w:w="1940" w:type="dxa"/>
            <w:vAlign w:val="bottom"/>
          </w:tcPr>
          <w:p w:rsidR="000C2ED5" w:rsidRDefault="00485212">
            <w:pPr>
              <w:ind w:left="160"/>
              <w:rPr>
                <w:sz w:val="20"/>
                <w:szCs w:val="20"/>
              </w:rPr>
            </w:pPr>
            <w:r>
              <w:rPr>
                <w:rFonts w:eastAsia="Times New Roman"/>
                <w:sz w:val="20"/>
                <w:szCs w:val="20"/>
              </w:rPr>
              <w:t>reasons for non-</w:t>
            </w:r>
          </w:p>
        </w:tc>
        <w:tc>
          <w:tcPr>
            <w:tcW w:w="1780" w:type="dxa"/>
            <w:vAlign w:val="bottom"/>
          </w:tcPr>
          <w:p w:rsidR="000C2ED5" w:rsidRDefault="000C2ED5">
            <w:pPr>
              <w:rPr>
                <w:sz w:val="24"/>
                <w:szCs w:val="24"/>
              </w:rPr>
            </w:pPr>
          </w:p>
        </w:tc>
        <w:tc>
          <w:tcPr>
            <w:tcW w:w="5360" w:type="dxa"/>
            <w:vAlign w:val="bottom"/>
          </w:tcPr>
          <w:p w:rsidR="000C2ED5" w:rsidRDefault="000C2ED5">
            <w:pPr>
              <w:rPr>
                <w:sz w:val="24"/>
                <w:szCs w:val="24"/>
              </w:rPr>
            </w:pP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20" w:type="dxa"/>
            <w:vAlign w:val="bottom"/>
          </w:tcPr>
          <w:p w:rsidR="000C2ED5" w:rsidRDefault="000C2ED5">
            <w:pPr>
              <w:rPr>
                <w:sz w:val="24"/>
                <w:szCs w:val="24"/>
              </w:rPr>
            </w:pPr>
          </w:p>
        </w:tc>
        <w:tc>
          <w:tcPr>
            <w:tcW w:w="2220" w:type="dxa"/>
            <w:vAlign w:val="bottom"/>
          </w:tcPr>
          <w:p w:rsidR="000C2ED5" w:rsidRDefault="000C2ED5">
            <w:pPr>
              <w:rPr>
                <w:sz w:val="24"/>
                <w:szCs w:val="24"/>
              </w:rPr>
            </w:pPr>
          </w:p>
        </w:tc>
        <w:tc>
          <w:tcPr>
            <w:tcW w:w="1940" w:type="dxa"/>
            <w:vAlign w:val="bottom"/>
          </w:tcPr>
          <w:p w:rsidR="000C2ED5" w:rsidRDefault="00485212">
            <w:pPr>
              <w:ind w:left="160"/>
              <w:rPr>
                <w:sz w:val="20"/>
                <w:szCs w:val="20"/>
              </w:rPr>
            </w:pPr>
            <w:r>
              <w:rPr>
                <w:rFonts w:eastAsia="Times New Roman"/>
                <w:sz w:val="20"/>
                <w:szCs w:val="20"/>
              </w:rPr>
              <w:t>completion</w:t>
            </w:r>
          </w:p>
        </w:tc>
        <w:tc>
          <w:tcPr>
            <w:tcW w:w="1780" w:type="dxa"/>
            <w:vAlign w:val="bottom"/>
          </w:tcPr>
          <w:p w:rsidR="000C2ED5" w:rsidRDefault="000C2ED5">
            <w:pPr>
              <w:rPr>
                <w:sz w:val="24"/>
                <w:szCs w:val="24"/>
              </w:rPr>
            </w:pPr>
          </w:p>
        </w:tc>
        <w:tc>
          <w:tcPr>
            <w:tcW w:w="5360" w:type="dxa"/>
            <w:vAlign w:val="bottom"/>
          </w:tcPr>
          <w:p w:rsidR="000C2ED5" w:rsidRDefault="000C2ED5">
            <w:pPr>
              <w:rPr>
                <w:sz w:val="24"/>
                <w:szCs w:val="24"/>
              </w:rPr>
            </w:pPr>
          </w:p>
        </w:tc>
        <w:tc>
          <w:tcPr>
            <w:tcW w:w="1220" w:type="dxa"/>
            <w:vAlign w:val="bottom"/>
          </w:tcPr>
          <w:p w:rsidR="000C2ED5" w:rsidRDefault="000C2ED5">
            <w:pPr>
              <w:rPr>
                <w:sz w:val="24"/>
                <w:szCs w:val="24"/>
              </w:rPr>
            </w:pPr>
          </w:p>
        </w:tc>
      </w:tr>
    </w:tbl>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23" w:lineRule="exact"/>
        <w:rPr>
          <w:sz w:val="20"/>
          <w:szCs w:val="20"/>
        </w:rPr>
      </w:pPr>
    </w:p>
    <w:p w:rsidR="000C2ED5" w:rsidRDefault="00485212">
      <w:pPr>
        <w:ind w:left="14840"/>
        <w:rPr>
          <w:sz w:val="20"/>
          <w:szCs w:val="20"/>
        </w:rPr>
      </w:pPr>
      <w:r>
        <w:rPr>
          <w:rFonts w:eastAsia="Times New Roman"/>
        </w:rPr>
        <w:t>54</w:t>
      </w:r>
    </w:p>
    <w:p w:rsidR="000C2ED5" w:rsidRDefault="000C2ED5">
      <w:pPr>
        <w:sectPr w:rsidR="000C2ED5">
          <w:pgSz w:w="16840" w:h="11906" w:orient="landscape"/>
          <w:pgMar w:top="698" w:right="338" w:bottom="403" w:left="340" w:header="0" w:footer="0" w:gutter="0"/>
          <w:cols w:space="720" w:equalWidth="0">
            <w:col w:w="16160"/>
          </w:cols>
        </w:sectPr>
      </w:pPr>
    </w:p>
    <w:p w:rsidR="000C2ED5" w:rsidRDefault="00485212">
      <w:pPr>
        <w:ind w:left="1100"/>
        <w:rPr>
          <w:sz w:val="20"/>
          <w:szCs w:val="20"/>
        </w:rPr>
      </w:pPr>
      <w:bookmarkStart w:id="55" w:name="page56"/>
      <w:bookmarkEnd w:id="55"/>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100"/>
        <w:gridCol w:w="1220"/>
        <w:gridCol w:w="1340"/>
        <w:gridCol w:w="2120"/>
        <w:gridCol w:w="2020"/>
        <w:gridCol w:w="1700"/>
        <w:gridCol w:w="5440"/>
        <w:gridCol w:w="1220"/>
      </w:tblGrid>
      <w:tr w:rsidR="000C2ED5">
        <w:trPr>
          <w:trHeight w:val="236"/>
        </w:trPr>
        <w:tc>
          <w:tcPr>
            <w:tcW w:w="1100" w:type="dxa"/>
            <w:tcBorders>
              <w:top w:val="single" w:sz="8" w:space="0" w:color="auto"/>
            </w:tcBorders>
            <w:vAlign w:val="bottom"/>
          </w:tcPr>
          <w:p w:rsidR="000C2ED5" w:rsidRDefault="00485212">
            <w:pPr>
              <w:ind w:left="140"/>
              <w:rPr>
                <w:sz w:val="20"/>
                <w:szCs w:val="20"/>
              </w:rPr>
            </w:pPr>
            <w:r>
              <w:rPr>
                <w:rFonts w:eastAsia="Times New Roman"/>
                <w:b/>
                <w:bCs/>
                <w:sz w:val="20"/>
                <w:szCs w:val="20"/>
              </w:rPr>
              <w:t>Author &amp;</w:t>
            </w:r>
          </w:p>
        </w:tc>
        <w:tc>
          <w:tcPr>
            <w:tcW w:w="12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340" w:type="dxa"/>
            <w:tcBorders>
              <w:top w:val="single" w:sz="8" w:space="0" w:color="auto"/>
            </w:tcBorders>
            <w:vAlign w:val="bottom"/>
          </w:tcPr>
          <w:p w:rsidR="000C2ED5" w:rsidRDefault="00485212">
            <w:pPr>
              <w:ind w:left="220"/>
              <w:rPr>
                <w:sz w:val="20"/>
                <w:szCs w:val="20"/>
              </w:rPr>
            </w:pPr>
            <w:r>
              <w:rPr>
                <w:rFonts w:eastAsia="Times New Roman"/>
                <w:b/>
                <w:bCs/>
                <w:sz w:val="20"/>
                <w:szCs w:val="20"/>
              </w:rPr>
              <w:t>Treatment</w:t>
            </w:r>
          </w:p>
        </w:tc>
        <w:tc>
          <w:tcPr>
            <w:tcW w:w="2120" w:type="dxa"/>
            <w:tcBorders>
              <w:top w:val="single" w:sz="8" w:space="0" w:color="auto"/>
            </w:tcBorders>
            <w:vAlign w:val="bottom"/>
          </w:tcPr>
          <w:p w:rsidR="000C2ED5" w:rsidRDefault="00485212">
            <w:pPr>
              <w:ind w:left="40"/>
              <w:jc w:val="center"/>
              <w:rPr>
                <w:sz w:val="20"/>
                <w:szCs w:val="20"/>
              </w:rPr>
            </w:pPr>
            <w:r>
              <w:rPr>
                <w:rFonts w:eastAsia="Times New Roman"/>
                <w:b/>
                <w:bCs/>
                <w:w w:val="99"/>
                <w:sz w:val="20"/>
                <w:szCs w:val="20"/>
              </w:rPr>
              <w:t>Definition of non-</w:t>
            </w:r>
          </w:p>
        </w:tc>
        <w:tc>
          <w:tcPr>
            <w:tcW w:w="2020" w:type="dxa"/>
            <w:tcBorders>
              <w:top w:val="single" w:sz="8" w:space="0" w:color="auto"/>
            </w:tcBorders>
            <w:vAlign w:val="bottom"/>
          </w:tcPr>
          <w:p w:rsidR="000C2ED5" w:rsidRDefault="00485212">
            <w:pPr>
              <w:ind w:left="300"/>
              <w:rPr>
                <w:sz w:val="20"/>
                <w:szCs w:val="20"/>
              </w:rPr>
            </w:pPr>
            <w:r>
              <w:rPr>
                <w:rFonts w:eastAsia="Times New Roman"/>
                <w:b/>
                <w:bCs/>
                <w:sz w:val="20"/>
                <w:szCs w:val="20"/>
              </w:rPr>
              <w:t>Research Question</w:t>
            </w:r>
          </w:p>
        </w:tc>
        <w:tc>
          <w:tcPr>
            <w:tcW w:w="1700" w:type="dxa"/>
            <w:tcBorders>
              <w:top w:val="single" w:sz="8" w:space="0" w:color="auto"/>
            </w:tcBorders>
            <w:vAlign w:val="bottom"/>
          </w:tcPr>
          <w:p w:rsidR="000C2ED5" w:rsidRDefault="00485212">
            <w:pPr>
              <w:ind w:left="400"/>
              <w:rPr>
                <w:sz w:val="20"/>
                <w:szCs w:val="20"/>
              </w:rPr>
            </w:pPr>
            <w:r>
              <w:rPr>
                <w:rFonts w:eastAsia="Times New Roman"/>
                <w:b/>
                <w:bCs/>
                <w:sz w:val="20"/>
                <w:szCs w:val="20"/>
              </w:rPr>
              <w:t>Sample Size</w:t>
            </w:r>
          </w:p>
        </w:tc>
        <w:tc>
          <w:tcPr>
            <w:tcW w:w="5440" w:type="dxa"/>
            <w:tcBorders>
              <w:top w:val="single" w:sz="8" w:space="0" w:color="auto"/>
            </w:tcBorders>
            <w:vAlign w:val="bottom"/>
          </w:tcPr>
          <w:p w:rsidR="000C2ED5" w:rsidRDefault="00485212">
            <w:pPr>
              <w:ind w:left="2140"/>
              <w:rPr>
                <w:sz w:val="20"/>
                <w:szCs w:val="20"/>
              </w:rPr>
            </w:pPr>
            <w:r>
              <w:rPr>
                <w:rFonts w:eastAsia="Times New Roman"/>
                <w:b/>
                <w:bCs/>
                <w:sz w:val="20"/>
                <w:szCs w:val="20"/>
              </w:rPr>
              <w:t xml:space="preserve">Main </w:t>
            </w:r>
            <w:r>
              <w:rPr>
                <w:rFonts w:eastAsia="Times New Roman"/>
                <w:b/>
                <w:bCs/>
                <w:sz w:val="20"/>
                <w:szCs w:val="20"/>
              </w:rPr>
              <w:t>Findings</w:t>
            </w:r>
          </w:p>
        </w:tc>
        <w:tc>
          <w:tcPr>
            <w:tcW w:w="12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Quality</w:t>
            </w:r>
          </w:p>
        </w:tc>
      </w:tr>
      <w:tr w:rsidR="000C2ED5">
        <w:trPr>
          <w:trHeight w:val="461"/>
        </w:trPr>
        <w:tc>
          <w:tcPr>
            <w:tcW w:w="1100" w:type="dxa"/>
            <w:vAlign w:val="bottom"/>
          </w:tcPr>
          <w:p w:rsidR="000C2ED5" w:rsidRDefault="00485212">
            <w:pPr>
              <w:ind w:left="360"/>
              <w:rPr>
                <w:sz w:val="20"/>
                <w:szCs w:val="20"/>
              </w:rPr>
            </w:pPr>
            <w:r>
              <w:rPr>
                <w:rFonts w:eastAsia="Times New Roman"/>
                <w:b/>
                <w:bCs/>
                <w:sz w:val="20"/>
                <w:szCs w:val="20"/>
              </w:rPr>
              <w:t>Date</w:t>
            </w:r>
          </w:p>
        </w:tc>
        <w:tc>
          <w:tcPr>
            <w:tcW w:w="1220" w:type="dxa"/>
            <w:vAlign w:val="bottom"/>
          </w:tcPr>
          <w:p w:rsidR="000C2ED5" w:rsidRDefault="00485212">
            <w:pPr>
              <w:jc w:val="center"/>
              <w:rPr>
                <w:sz w:val="20"/>
                <w:szCs w:val="20"/>
              </w:rPr>
            </w:pPr>
            <w:r>
              <w:rPr>
                <w:rFonts w:eastAsia="Times New Roman"/>
                <w:b/>
                <w:bCs/>
                <w:w w:val="96"/>
                <w:sz w:val="20"/>
                <w:szCs w:val="20"/>
              </w:rPr>
              <w:t>Design</w:t>
            </w:r>
          </w:p>
        </w:tc>
        <w:tc>
          <w:tcPr>
            <w:tcW w:w="1340" w:type="dxa"/>
            <w:vAlign w:val="bottom"/>
          </w:tcPr>
          <w:p w:rsidR="000C2ED5" w:rsidRDefault="00485212">
            <w:pPr>
              <w:ind w:left="460"/>
              <w:rPr>
                <w:sz w:val="20"/>
                <w:szCs w:val="20"/>
              </w:rPr>
            </w:pPr>
            <w:r>
              <w:rPr>
                <w:rFonts w:eastAsia="Times New Roman"/>
                <w:b/>
                <w:bCs/>
                <w:sz w:val="20"/>
                <w:szCs w:val="20"/>
              </w:rPr>
              <w:t>Type</w:t>
            </w:r>
          </w:p>
        </w:tc>
        <w:tc>
          <w:tcPr>
            <w:tcW w:w="2120" w:type="dxa"/>
            <w:vAlign w:val="bottom"/>
          </w:tcPr>
          <w:p w:rsidR="000C2ED5" w:rsidRDefault="00485212">
            <w:pPr>
              <w:ind w:left="40"/>
              <w:jc w:val="center"/>
              <w:rPr>
                <w:sz w:val="20"/>
                <w:szCs w:val="20"/>
              </w:rPr>
            </w:pPr>
            <w:r>
              <w:rPr>
                <w:rFonts w:eastAsia="Times New Roman"/>
                <w:b/>
                <w:bCs/>
                <w:w w:val="97"/>
                <w:sz w:val="20"/>
                <w:szCs w:val="20"/>
              </w:rPr>
              <w:t>completion/</w:t>
            </w:r>
          </w:p>
        </w:tc>
        <w:tc>
          <w:tcPr>
            <w:tcW w:w="2020" w:type="dxa"/>
            <w:vAlign w:val="bottom"/>
          </w:tcPr>
          <w:p w:rsidR="000C2ED5" w:rsidRDefault="000C2ED5">
            <w:pPr>
              <w:rPr>
                <w:sz w:val="24"/>
                <w:szCs w:val="24"/>
              </w:rPr>
            </w:pPr>
          </w:p>
        </w:tc>
        <w:tc>
          <w:tcPr>
            <w:tcW w:w="1700" w:type="dxa"/>
            <w:vAlign w:val="bottom"/>
          </w:tcPr>
          <w:p w:rsidR="000C2ED5" w:rsidRDefault="000C2ED5">
            <w:pPr>
              <w:rPr>
                <w:sz w:val="24"/>
                <w:szCs w:val="24"/>
              </w:rPr>
            </w:pPr>
          </w:p>
        </w:tc>
        <w:tc>
          <w:tcPr>
            <w:tcW w:w="544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Assessment</w:t>
            </w:r>
          </w:p>
        </w:tc>
      </w:tr>
      <w:tr w:rsidR="000C2ED5">
        <w:trPr>
          <w:trHeight w:val="458"/>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485212">
            <w:pPr>
              <w:ind w:left="40"/>
              <w:jc w:val="center"/>
              <w:rPr>
                <w:sz w:val="20"/>
                <w:szCs w:val="20"/>
              </w:rPr>
            </w:pPr>
            <w:r>
              <w:rPr>
                <w:rFonts w:eastAsia="Times New Roman"/>
                <w:b/>
                <w:bCs/>
                <w:w w:val="99"/>
                <w:sz w:val="20"/>
                <w:szCs w:val="20"/>
              </w:rPr>
              <w:t>Engagement</w:t>
            </w:r>
          </w:p>
        </w:tc>
        <w:tc>
          <w:tcPr>
            <w:tcW w:w="2020" w:type="dxa"/>
            <w:vAlign w:val="bottom"/>
          </w:tcPr>
          <w:p w:rsidR="000C2ED5" w:rsidRDefault="000C2ED5">
            <w:pPr>
              <w:rPr>
                <w:sz w:val="24"/>
                <w:szCs w:val="24"/>
              </w:rPr>
            </w:pPr>
          </w:p>
        </w:tc>
        <w:tc>
          <w:tcPr>
            <w:tcW w:w="1700" w:type="dxa"/>
            <w:vAlign w:val="bottom"/>
          </w:tcPr>
          <w:p w:rsidR="000C2ED5" w:rsidRDefault="000C2ED5">
            <w:pPr>
              <w:rPr>
                <w:sz w:val="24"/>
                <w:szCs w:val="24"/>
              </w:rPr>
            </w:pPr>
          </w:p>
        </w:tc>
        <w:tc>
          <w:tcPr>
            <w:tcW w:w="544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score</w:t>
            </w:r>
          </w:p>
        </w:tc>
      </w:tr>
      <w:tr w:rsidR="000C2ED5">
        <w:trPr>
          <w:trHeight w:val="234"/>
        </w:trPr>
        <w:tc>
          <w:tcPr>
            <w:tcW w:w="1100" w:type="dxa"/>
            <w:tcBorders>
              <w:bottom w:val="single" w:sz="8" w:space="0" w:color="auto"/>
            </w:tcBorders>
            <w:vAlign w:val="bottom"/>
          </w:tcPr>
          <w:p w:rsidR="000C2ED5" w:rsidRDefault="000C2ED5">
            <w:pPr>
              <w:rPr>
                <w:sz w:val="20"/>
                <w:szCs w:val="20"/>
              </w:rPr>
            </w:pPr>
          </w:p>
        </w:tc>
        <w:tc>
          <w:tcPr>
            <w:tcW w:w="1220" w:type="dxa"/>
            <w:tcBorders>
              <w:bottom w:val="single" w:sz="8" w:space="0" w:color="auto"/>
            </w:tcBorders>
            <w:vAlign w:val="bottom"/>
          </w:tcPr>
          <w:p w:rsidR="000C2ED5" w:rsidRDefault="000C2ED5">
            <w:pPr>
              <w:rPr>
                <w:sz w:val="20"/>
                <w:szCs w:val="20"/>
              </w:rPr>
            </w:pPr>
          </w:p>
        </w:tc>
        <w:tc>
          <w:tcPr>
            <w:tcW w:w="1340" w:type="dxa"/>
            <w:tcBorders>
              <w:bottom w:val="single" w:sz="8" w:space="0" w:color="auto"/>
            </w:tcBorders>
            <w:vAlign w:val="bottom"/>
          </w:tcPr>
          <w:p w:rsidR="000C2ED5" w:rsidRDefault="000C2ED5">
            <w:pPr>
              <w:rPr>
                <w:sz w:val="20"/>
                <w:szCs w:val="20"/>
              </w:rPr>
            </w:pPr>
          </w:p>
        </w:tc>
        <w:tc>
          <w:tcPr>
            <w:tcW w:w="2120" w:type="dxa"/>
            <w:tcBorders>
              <w:bottom w:val="single" w:sz="8" w:space="0" w:color="auto"/>
            </w:tcBorders>
            <w:vAlign w:val="bottom"/>
          </w:tcPr>
          <w:p w:rsidR="000C2ED5" w:rsidRDefault="000C2ED5">
            <w:pPr>
              <w:rPr>
                <w:sz w:val="20"/>
                <w:szCs w:val="20"/>
              </w:rPr>
            </w:pPr>
          </w:p>
        </w:tc>
        <w:tc>
          <w:tcPr>
            <w:tcW w:w="2020" w:type="dxa"/>
            <w:tcBorders>
              <w:bottom w:val="single" w:sz="8" w:space="0" w:color="auto"/>
            </w:tcBorders>
            <w:vAlign w:val="bottom"/>
          </w:tcPr>
          <w:p w:rsidR="000C2ED5" w:rsidRDefault="000C2ED5">
            <w:pPr>
              <w:rPr>
                <w:sz w:val="20"/>
                <w:szCs w:val="20"/>
              </w:rPr>
            </w:pPr>
          </w:p>
        </w:tc>
        <w:tc>
          <w:tcPr>
            <w:tcW w:w="1700" w:type="dxa"/>
            <w:tcBorders>
              <w:bottom w:val="single" w:sz="8" w:space="0" w:color="auto"/>
            </w:tcBorders>
            <w:vAlign w:val="bottom"/>
          </w:tcPr>
          <w:p w:rsidR="000C2ED5" w:rsidRDefault="000C2ED5">
            <w:pPr>
              <w:rPr>
                <w:sz w:val="20"/>
                <w:szCs w:val="20"/>
              </w:rPr>
            </w:pPr>
          </w:p>
        </w:tc>
        <w:tc>
          <w:tcPr>
            <w:tcW w:w="5440" w:type="dxa"/>
            <w:tcBorders>
              <w:bottom w:val="single" w:sz="8" w:space="0" w:color="auto"/>
            </w:tcBorders>
            <w:vAlign w:val="bottom"/>
          </w:tcPr>
          <w:p w:rsidR="000C2ED5" w:rsidRDefault="000C2ED5">
            <w:pPr>
              <w:rPr>
                <w:sz w:val="20"/>
                <w:szCs w:val="20"/>
              </w:rPr>
            </w:pPr>
          </w:p>
        </w:tc>
        <w:tc>
          <w:tcPr>
            <w:tcW w:w="1220" w:type="dxa"/>
            <w:tcBorders>
              <w:bottom w:val="single" w:sz="8" w:space="0" w:color="auto"/>
            </w:tcBorders>
            <w:vAlign w:val="bottom"/>
          </w:tcPr>
          <w:p w:rsidR="000C2ED5" w:rsidRDefault="000C2ED5">
            <w:pPr>
              <w:rPr>
                <w:sz w:val="20"/>
                <w:szCs w:val="20"/>
              </w:rPr>
            </w:pPr>
          </w:p>
        </w:tc>
      </w:tr>
      <w:tr w:rsidR="000C2ED5">
        <w:trPr>
          <w:trHeight w:val="749"/>
        </w:trPr>
        <w:tc>
          <w:tcPr>
            <w:tcW w:w="1100" w:type="dxa"/>
            <w:vAlign w:val="bottom"/>
          </w:tcPr>
          <w:p w:rsidR="000C2ED5" w:rsidRDefault="00485212">
            <w:pPr>
              <w:ind w:left="100"/>
              <w:rPr>
                <w:sz w:val="20"/>
                <w:szCs w:val="20"/>
              </w:rPr>
            </w:pPr>
            <w:r>
              <w:rPr>
                <w:rFonts w:eastAsia="Times New Roman"/>
                <w:sz w:val="20"/>
                <w:szCs w:val="20"/>
              </w:rPr>
              <w:t>Sainsbury</w:t>
            </w:r>
          </w:p>
        </w:tc>
        <w:tc>
          <w:tcPr>
            <w:tcW w:w="1220" w:type="dxa"/>
            <w:vAlign w:val="bottom"/>
          </w:tcPr>
          <w:p w:rsidR="000C2ED5" w:rsidRDefault="00485212">
            <w:pPr>
              <w:ind w:left="120"/>
              <w:rPr>
                <w:sz w:val="20"/>
                <w:szCs w:val="20"/>
              </w:rPr>
            </w:pPr>
            <w:r>
              <w:rPr>
                <w:rFonts w:eastAsia="Times New Roman"/>
                <w:sz w:val="20"/>
                <w:szCs w:val="20"/>
              </w:rPr>
              <w:t>Qualitative</w:t>
            </w:r>
          </w:p>
        </w:tc>
        <w:tc>
          <w:tcPr>
            <w:tcW w:w="1340" w:type="dxa"/>
            <w:vAlign w:val="bottom"/>
          </w:tcPr>
          <w:p w:rsidR="000C2ED5" w:rsidRDefault="00485212">
            <w:pPr>
              <w:ind w:left="120"/>
              <w:rPr>
                <w:sz w:val="20"/>
                <w:szCs w:val="20"/>
              </w:rPr>
            </w:pPr>
            <w:r>
              <w:rPr>
                <w:rFonts w:eastAsia="Times New Roman"/>
                <w:sz w:val="20"/>
                <w:szCs w:val="20"/>
              </w:rPr>
              <w:t>Not specified</w:t>
            </w:r>
          </w:p>
        </w:tc>
        <w:tc>
          <w:tcPr>
            <w:tcW w:w="2120" w:type="dxa"/>
            <w:vAlign w:val="bottom"/>
          </w:tcPr>
          <w:p w:rsidR="000C2ED5" w:rsidRDefault="00485212">
            <w:pPr>
              <w:ind w:left="100"/>
              <w:rPr>
                <w:sz w:val="20"/>
                <w:szCs w:val="20"/>
              </w:rPr>
            </w:pPr>
            <w:r>
              <w:rPr>
                <w:rFonts w:eastAsia="Times New Roman"/>
                <w:sz w:val="20"/>
                <w:szCs w:val="20"/>
              </w:rPr>
              <w:t>None stated.</w:t>
            </w:r>
          </w:p>
        </w:tc>
        <w:tc>
          <w:tcPr>
            <w:tcW w:w="2020" w:type="dxa"/>
            <w:vAlign w:val="bottom"/>
          </w:tcPr>
          <w:p w:rsidR="000C2ED5" w:rsidRDefault="00485212">
            <w:pPr>
              <w:ind w:left="240"/>
              <w:rPr>
                <w:sz w:val="20"/>
                <w:szCs w:val="20"/>
              </w:rPr>
            </w:pPr>
            <w:r>
              <w:rPr>
                <w:rFonts w:eastAsia="Times New Roman"/>
                <w:sz w:val="20"/>
                <w:szCs w:val="20"/>
              </w:rPr>
              <w:t>Factors which</w:t>
            </w:r>
          </w:p>
        </w:tc>
        <w:tc>
          <w:tcPr>
            <w:tcW w:w="1700" w:type="dxa"/>
            <w:vAlign w:val="bottom"/>
          </w:tcPr>
          <w:p w:rsidR="000C2ED5" w:rsidRDefault="00485212">
            <w:pPr>
              <w:ind w:left="140"/>
              <w:rPr>
                <w:sz w:val="20"/>
                <w:szCs w:val="20"/>
              </w:rPr>
            </w:pPr>
            <w:r>
              <w:rPr>
                <w:rFonts w:eastAsia="Times New Roman"/>
                <w:sz w:val="20"/>
                <w:szCs w:val="20"/>
              </w:rPr>
              <w:t>6 male forensic</w:t>
            </w:r>
          </w:p>
        </w:tc>
        <w:tc>
          <w:tcPr>
            <w:tcW w:w="5440" w:type="dxa"/>
            <w:vAlign w:val="bottom"/>
          </w:tcPr>
          <w:p w:rsidR="000C2ED5" w:rsidRDefault="00485212">
            <w:pPr>
              <w:ind w:left="220"/>
              <w:rPr>
                <w:sz w:val="20"/>
                <w:szCs w:val="20"/>
              </w:rPr>
            </w:pPr>
            <w:r>
              <w:rPr>
                <w:rFonts w:eastAsia="Times New Roman"/>
                <w:i/>
                <w:iCs/>
                <w:sz w:val="20"/>
                <w:szCs w:val="20"/>
              </w:rPr>
              <w:t xml:space="preserve">Internal Factors: </w:t>
            </w:r>
            <w:r>
              <w:rPr>
                <w:rFonts w:eastAsia="Times New Roman"/>
                <w:sz w:val="20"/>
                <w:szCs w:val="20"/>
              </w:rPr>
              <w:t>Feelings of safety; attaining a sense of</w:t>
            </w:r>
          </w:p>
        </w:tc>
        <w:tc>
          <w:tcPr>
            <w:tcW w:w="1220" w:type="dxa"/>
            <w:vAlign w:val="bottom"/>
          </w:tcPr>
          <w:p w:rsidR="000C2ED5" w:rsidRDefault="00485212">
            <w:pPr>
              <w:jc w:val="center"/>
              <w:rPr>
                <w:sz w:val="20"/>
                <w:szCs w:val="20"/>
              </w:rPr>
            </w:pPr>
            <w:r>
              <w:rPr>
                <w:rFonts w:eastAsia="Times New Roman"/>
                <w:sz w:val="20"/>
                <w:szCs w:val="20"/>
              </w:rPr>
              <w:t>75%</w:t>
            </w:r>
          </w:p>
        </w:tc>
      </w:tr>
      <w:tr w:rsidR="000C2ED5">
        <w:trPr>
          <w:trHeight w:val="461"/>
        </w:trPr>
        <w:tc>
          <w:tcPr>
            <w:tcW w:w="1100" w:type="dxa"/>
            <w:vAlign w:val="bottom"/>
          </w:tcPr>
          <w:p w:rsidR="000C2ED5" w:rsidRDefault="00485212">
            <w:pPr>
              <w:ind w:left="100"/>
              <w:rPr>
                <w:sz w:val="20"/>
                <w:szCs w:val="20"/>
              </w:rPr>
            </w:pPr>
            <w:r>
              <w:rPr>
                <w:rFonts w:eastAsia="Times New Roman"/>
                <w:sz w:val="20"/>
                <w:szCs w:val="20"/>
              </w:rPr>
              <w:t>et al.</w:t>
            </w: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influence</w:t>
            </w:r>
          </w:p>
        </w:tc>
        <w:tc>
          <w:tcPr>
            <w:tcW w:w="1700" w:type="dxa"/>
            <w:vAlign w:val="bottom"/>
          </w:tcPr>
          <w:p w:rsidR="000C2ED5" w:rsidRDefault="00485212">
            <w:pPr>
              <w:ind w:left="140"/>
              <w:rPr>
                <w:sz w:val="20"/>
                <w:szCs w:val="20"/>
              </w:rPr>
            </w:pPr>
            <w:r>
              <w:rPr>
                <w:rFonts w:eastAsia="Times New Roman"/>
                <w:sz w:val="20"/>
                <w:szCs w:val="20"/>
              </w:rPr>
              <w:t>inpatients</w:t>
            </w:r>
          </w:p>
        </w:tc>
        <w:tc>
          <w:tcPr>
            <w:tcW w:w="5440" w:type="dxa"/>
            <w:vAlign w:val="bottom"/>
          </w:tcPr>
          <w:p w:rsidR="000C2ED5" w:rsidRDefault="00485212">
            <w:pPr>
              <w:ind w:left="220"/>
              <w:rPr>
                <w:sz w:val="20"/>
                <w:szCs w:val="20"/>
              </w:rPr>
            </w:pPr>
            <w:r>
              <w:rPr>
                <w:rFonts w:eastAsia="Times New Roman"/>
                <w:sz w:val="20"/>
                <w:szCs w:val="20"/>
              </w:rPr>
              <w:t>belonging across a variety of areas including treatment; support</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485212">
            <w:pPr>
              <w:ind w:left="100"/>
              <w:rPr>
                <w:sz w:val="20"/>
                <w:szCs w:val="20"/>
              </w:rPr>
            </w:pPr>
            <w:r>
              <w:rPr>
                <w:rFonts w:eastAsia="Times New Roman"/>
                <w:sz w:val="20"/>
                <w:szCs w:val="20"/>
              </w:rPr>
              <w:t>(2004)</w:t>
            </w: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engagement in</w:t>
            </w:r>
          </w:p>
        </w:tc>
        <w:tc>
          <w:tcPr>
            <w:tcW w:w="1700" w:type="dxa"/>
            <w:vAlign w:val="bottom"/>
          </w:tcPr>
          <w:p w:rsidR="000C2ED5" w:rsidRDefault="000C2ED5">
            <w:pPr>
              <w:rPr>
                <w:sz w:val="24"/>
                <w:szCs w:val="24"/>
              </w:rPr>
            </w:pPr>
          </w:p>
        </w:tc>
        <w:tc>
          <w:tcPr>
            <w:tcW w:w="5440" w:type="dxa"/>
            <w:vAlign w:val="bottom"/>
          </w:tcPr>
          <w:p w:rsidR="000C2ED5" w:rsidRDefault="00485212">
            <w:pPr>
              <w:ind w:left="220"/>
              <w:rPr>
                <w:sz w:val="20"/>
                <w:szCs w:val="20"/>
              </w:rPr>
            </w:pPr>
            <w:r>
              <w:rPr>
                <w:rFonts w:eastAsia="Times New Roman"/>
                <w:sz w:val="20"/>
                <w:szCs w:val="20"/>
              </w:rPr>
              <w:t>network; Internal motivation relating to positive long term</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treatment.</w:t>
            </w:r>
          </w:p>
        </w:tc>
        <w:tc>
          <w:tcPr>
            <w:tcW w:w="1700" w:type="dxa"/>
            <w:vAlign w:val="bottom"/>
          </w:tcPr>
          <w:p w:rsidR="000C2ED5" w:rsidRDefault="000C2ED5">
            <w:pPr>
              <w:rPr>
                <w:sz w:val="24"/>
                <w:szCs w:val="24"/>
              </w:rPr>
            </w:pPr>
          </w:p>
        </w:tc>
        <w:tc>
          <w:tcPr>
            <w:tcW w:w="5440" w:type="dxa"/>
            <w:vAlign w:val="bottom"/>
          </w:tcPr>
          <w:p w:rsidR="000C2ED5" w:rsidRDefault="00485212">
            <w:pPr>
              <w:ind w:left="220"/>
              <w:rPr>
                <w:sz w:val="20"/>
                <w:szCs w:val="20"/>
              </w:rPr>
            </w:pPr>
            <w:r>
              <w:rPr>
                <w:rFonts w:eastAsia="Times New Roman"/>
                <w:sz w:val="20"/>
                <w:szCs w:val="20"/>
              </w:rPr>
              <w:t>goals (i.e. leaving secure services).</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700" w:type="dxa"/>
            <w:vAlign w:val="bottom"/>
          </w:tcPr>
          <w:p w:rsidR="000C2ED5" w:rsidRDefault="000C2ED5">
            <w:pPr>
              <w:rPr>
                <w:sz w:val="24"/>
                <w:szCs w:val="24"/>
              </w:rPr>
            </w:pPr>
          </w:p>
        </w:tc>
        <w:tc>
          <w:tcPr>
            <w:tcW w:w="5440" w:type="dxa"/>
            <w:vAlign w:val="bottom"/>
          </w:tcPr>
          <w:p w:rsidR="000C2ED5" w:rsidRDefault="00485212">
            <w:pPr>
              <w:ind w:left="220"/>
              <w:rPr>
                <w:sz w:val="20"/>
                <w:szCs w:val="20"/>
              </w:rPr>
            </w:pPr>
            <w:r>
              <w:rPr>
                <w:rFonts w:eastAsia="Times New Roman"/>
                <w:i/>
                <w:iCs/>
                <w:sz w:val="20"/>
                <w:szCs w:val="20"/>
              </w:rPr>
              <w:t xml:space="preserve">External Factors: </w:t>
            </w:r>
            <w:r>
              <w:rPr>
                <w:rFonts w:eastAsia="Times New Roman"/>
                <w:sz w:val="20"/>
                <w:szCs w:val="20"/>
              </w:rPr>
              <w:t>External support from staff both inside and</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700" w:type="dxa"/>
            <w:vAlign w:val="bottom"/>
          </w:tcPr>
          <w:p w:rsidR="000C2ED5" w:rsidRDefault="000C2ED5">
            <w:pPr>
              <w:rPr>
                <w:sz w:val="24"/>
                <w:szCs w:val="24"/>
              </w:rPr>
            </w:pPr>
          </w:p>
        </w:tc>
        <w:tc>
          <w:tcPr>
            <w:tcW w:w="5440" w:type="dxa"/>
            <w:vAlign w:val="bottom"/>
          </w:tcPr>
          <w:p w:rsidR="000C2ED5" w:rsidRDefault="00485212">
            <w:pPr>
              <w:ind w:left="220"/>
              <w:rPr>
                <w:sz w:val="20"/>
                <w:szCs w:val="20"/>
              </w:rPr>
            </w:pPr>
            <w:r>
              <w:rPr>
                <w:rFonts w:eastAsia="Times New Roman"/>
                <w:sz w:val="20"/>
                <w:szCs w:val="20"/>
              </w:rPr>
              <w:t>outside of treatment increased treatment engagement;</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700" w:type="dxa"/>
            <w:vAlign w:val="bottom"/>
          </w:tcPr>
          <w:p w:rsidR="000C2ED5" w:rsidRDefault="000C2ED5">
            <w:pPr>
              <w:rPr>
                <w:sz w:val="24"/>
                <w:szCs w:val="24"/>
              </w:rPr>
            </w:pPr>
          </w:p>
        </w:tc>
        <w:tc>
          <w:tcPr>
            <w:tcW w:w="5440" w:type="dxa"/>
            <w:vAlign w:val="bottom"/>
          </w:tcPr>
          <w:p w:rsidR="000C2ED5" w:rsidRDefault="00485212">
            <w:pPr>
              <w:ind w:left="220"/>
              <w:rPr>
                <w:sz w:val="20"/>
                <w:szCs w:val="20"/>
              </w:rPr>
            </w:pPr>
            <w:r>
              <w:rPr>
                <w:rFonts w:eastAsia="Times New Roman"/>
                <w:sz w:val="20"/>
                <w:szCs w:val="20"/>
              </w:rPr>
              <w:t>unavailable treatment, long waiting times and lack of</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700" w:type="dxa"/>
            <w:vAlign w:val="bottom"/>
          </w:tcPr>
          <w:p w:rsidR="000C2ED5" w:rsidRDefault="000C2ED5">
            <w:pPr>
              <w:rPr>
                <w:sz w:val="24"/>
                <w:szCs w:val="24"/>
              </w:rPr>
            </w:pPr>
          </w:p>
        </w:tc>
        <w:tc>
          <w:tcPr>
            <w:tcW w:w="5440" w:type="dxa"/>
            <w:vAlign w:val="bottom"/>
          </w:tcPr>
          <w:p w:rsidR="000C2ED5" w:rsidRDefault="00485212">
            <w:pPr>
              <w:ind w:left="220"/>
              <w:rPr>
                <w:sz w:val="20"/>
                <w:szCs w:val="20"/>
              </w:rPr>
            </w:pPr>
            <w:r>
              <w:rPr>
                <w:rFonts w:eastAsia="Times New Roman"/>
                <w:sz w:val="20"/>
                <w:szCs w:val="20"/>
              </w:rPr>
              <w:t>understanding of the assessment process hindered motivation</w:t>
            </w:r>
          </w:p>
        </w:tc>
        <w:tc>
          <w:tcPr>
            <w:tcW w:w="122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700" w:type="dxa"/>
            <w:vAlign w:val="bottom"/>
          </w:tcPr>
          <w:p w:rsidR="000C2ED5" w:rsidRDefault="000C2ED5">
            <w:pPr>
              <w:rPr>
                <w:sz w:val="24"/>
                <w:szCs w:val="24"/>
              </w:rPr>
            </w:pPr>
          </w:p>
        </w:tc>
        <w:tc>
          <w:tcPr>
            <w:tcW w:w="5440" w:type="dxa"/>
            <w:vAlign w:val="bottom"/>
          </w:tcPr>
          <w:p w:rsidR="000C2ED5" w:rsidRDefault="00485212">
            <w:pPr>
              <w:ind w:left="220"/>
              <w:rPr>
                <w:sz w:val="20"/>
                <w:szCs w:val="20"/>
              </w:rPr>
            </w:pPr>
            <w:r>
              <w:rPr>
                <w:rFonts w:eastAsia="Times New Roman"/>
                <w:sz w:val="20"/>
                <w:szCs w:val="20"/>
              </w:rPr>
              <w:t xml:space="preserve">for </w:t>
            </w:r>
            <w:r>
              <w:rPr>
                <w:rFonts w:eastAsia="Times New Roman"/>
                <w:sz w:val="20"/>
                <w:szCs w:val="20"/>
              </w:rPr>
              <w:t>therapeutic engagement; a stable therapeutic relationship</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700" w:type="dxa"/>
            <w:vAlign w:val="bottom"/>
          </w:tcPr>
          <w:p w:rsidR="000C2ED5" w:rsidRDefault="000C2ED5">
            <w:pPr>
              <w:rPr>
                <w:sz w:val="24"/>
                <w:szCs w:val="24"/>
              </w:rPr>
            </w:pPr>
          </w:p>
        </w:tc>
        <w:tc>
          <w:tcPr>
            <w:tcW w:w="5440" w:type="dxa"/>
            <w:vAlign w:val="bottom"/>
          </w:tcPr>
          <w:p w:rsidR="000C2ED5" w:rsidRDefault="00485212">
            <w:pPr>
              <w:ind w:left="220"/>
              <w:rPr>
                <w:sz w:val="20"/>
                <w:szCs w:val="20"/>
              </w:rPr>
            </w:pPr>
            <w:r>
              <w:rPr>
                <w:rFonts w:eastAsia="Times New Roman"/>
                <w:sz w:val="20"/>
                <w:szCs w:val="20"/>
              </w:rPr>
              <w:t>was found to increase motivation to engage. The sudden loss of</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40" w:type="dxa"/>
            <w:vAlign w:val="bottom"/>
          </w:tcPr>
          <w:p w:rsidR="000C2ED5" w:rsidRDefault="000C2ED5">
            <w:pPr>
              <w:rPr>
                <w:sz w:val="24"/>
                <w:szCs w:val="24"/>
              </w:rPr>
            </w:pPr>
          </w:p>
        </w:tc>
        <w:tc>
          <w:tcPr>
            <w:tcW w:w="212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700" w:type="dxa"/>
            <w:vAlign w:val="bottom"/>
          </w:tcPr>
          <w:p w:rsidR="000C2ED5" w:rsidRDefault="000C2ED5">
            <w:pPr>
              <w:rPr>
                <w:sz w:val="24"/>
                <w:szCs w:val="24"/>
              </w:rPr>
            </w:pPr>
          </w:p>
        </w:tc>
        <w:tc>
          <w:tcPr>
            <w:tcW w:w="5440" w:type="dxa"/>
            <w:vAlign w:val="bottom"/>
          </w:tcPr>
          <w:p w:rsidR="000C2ED5" w:rsidRDefault="00485212">
            <w:pPr>
              <w:ind w:left="220"/>
              <w:rPr>
                <w:sz w:val="20"/>
                <w:szCs w:val="20"/>
              </w:rPr>
            </w:pPr>
            <w:r>
              <w:rPr>
                <w:rFonts w:eastAsia="Times New Roman"/>
                <w:sz w:val="20"/>
                <w:szCs w:val="20"/>
              </w:rPr>
              <w:t>this relationship was associated with reductions in engagement.</w:t>
            </w:r>
          </w:p>
        </w:tc>
        <w:tc>
          <w:tcPr>
            <w:tcW w:w="1220" w:type="dxa"/>
            <w:vAlign w:val="bottom"/>
          </w:tcPr>
          <w:p w:rsidR="000C2ED5" w:rsidRDefault="000C2ED5">
            <w:pPr>
              <w:rPr>
                <w:sz w:val="24"/>
                <w:szCs w:val="24"/>
              </w:rPr>
            </w:pPr>
          </w:p>
        </w:tc>
      </w:tr>
      <w:tr w:rsidR="000C2ED5">
        <w:trPr>
          <w:trHeight w:val="920"/>
        </w:trPr>
        <w:tc>
          <w:tcPr>
            <w:tcW w:w="1100" w:type="dxa"/>
            <w:vAlign w:val="bottom"/>
          </w:tcPr>
          <w:p w:rsidR="000C2ED5" w:rsidRDefault="00485212">
            <w:pPr>
              <w:ind w:left="100"/>
              <w:rPr>
                <w:sz w:val="20"/>
                <w:szCs w:val="20"/>
              </w:rPr>
            </w:pPr>
            <w:r>
              <w:rPr>
                <w:rFonts w:eastAsia="Times New Roman"/>
                <w:sz w:val="20"/>
                <w:szCs w:val="20"/>
              </w:rPr>
              <w:t>Sheldon et</w:t>
            </w:r>
          </w:p>
        </w:tc>
        <w:tc>
          <w:tcPr>
            <w:tcW w:w="1220" w:type="dxa"/>
            <w:vAlign w:val="bottom"/>
          </w:tcPr>
          <w:p w:rsidR="000C2ED5" w:rsidRDefault="00485212">
            <w:pPr>
              <w:jc w:val="center"/>
              <w:rPr>
                <w:sz w:val="20"/>
                <w:szCs w:val="20"/>
              </w:rPr>
            </w:pPr>
            <w:r>
              <w:rPr>
                <w:rFonts w:eastAsia="Times New Roman"/>
                <w:sz w:val="20"/>
                <w:szCs w:val="20"/>
              </w:rPr>
              <w:t>Quantitative</w:t>
            </w:r>
          </w:p>
        </w:tc>
        <w:tc>
          <w:tcPr>
            <w:tcW w:w="1340" w:type="dxa"/>
            <w:vAlign w:val="bottom"/>
          </w:tcPr>
          <w:p w:rsidR="000C2ED5" w:rsidRDefault="00485212">
            <w:pPr>
              <w:ind w:left="120"/>
              <w:rPr>
                <w:sz w:val="20"/>
                <w:szCs w:val="20"/>
              </w:rPr>
            </w:pPr>
            <w:r>
              <w:rPr>
                <w:rFonts w:eastAsia="Times New Roman"/>
                <w:sz w:val="20"/>
                <w:szCs w:val="20"/>
              </w:rPr>
              <w:t>Various</w:t>
            </w:r>
          </w:p>
        </w:tc>
        <w:tc>
          <w:tcPr>
            <w:tcW w:w="2120" w:type="dxa"/>
            <w:vAlign w:val="bottom"/>
          </w:tcPr>
          <w:p w:rsidR="000C2ED5" w:rsidRDefault="00485212">
            <w:pPr>
              <w:ind w:left="100"/>
              <w:rPr>
                <w:sz w:val="20"/>
                <w:szCs w:val="20"/>
              </w:rPr>
            </w:pPr>
            <w:r>
              <w:rPr>
                <w:rFonts w:eastAsia="Times New Roman"/>
                <w:sz w:val="20"/>
                <w:szCs w:val="20"/>
              </w:rPr>
              <w:t>Non-completion:</w:t>
            </w:r>
          </w:p>
        </w:tc>
        <w:tc>
          <w:tcPr>
            <w:tcW w:w="2020" w:type="dxa"/>
            <w:vAlign w:val="bottom"/>
          </w:tcPr>
          <w:p w:rsidR="000C2ED5" w:rsidRDefault="00485212">
            <w:pPr>
              <w:ind w:left="240"/>
              <w:rPr>
                <w:sz w:val="20"/>
                <w:szCs w:val="20"/>
              </w:rPr>
            </w:pPr>
            <w:r>
              <w:rPr>
                <w:rFonts w:eastAsia="Times New Roman"/>
                <w:sz w:val="20"/>
                <w:szCs w:val="20"/>
              </w:rPr>
              <w:t xml:space="preserve">Rate </w:t>
            </w:r>
            <w:r>
              <w:rPr>
                <w:rFonts w:eastAsia="Times New Roman"/>
                <w:sz w:val="20"/>
                <w:szCs w:val="20"/>
              </w:rPr>
              <w:t>of non-</w:t>
            </w:r>
          </w:p>
        </w:tc>
        <w:tc>
          <w:tcPr>
            <w:tcW w:w="1700" w:type="dxa"/>
            <w:vAlign w:val="bottom"/>
          </w:tcPr>
          <w:p w:rsidR="000C2ED5" w:rsidRDefault="00485212">
            <w:pPr>
              <w:ind w:left="140"/>
              <w:rPr>
                <w:sz w:val="20"/>
                <w:szCs w:val="20"/>
              </w:rPr>
            </w:pPr>
            <w:r>
              <w:rPr>
                <w:rFonts w:eastAsia="Times New Roman"/>
                <w:sz w:val="20"/>
                <w:szCs w:val="20"/>
              </w:rPr>
              <w:t>28 male forensic</w:t>
            </w:r>
          </w:p>
        </w:tc>
        <w:tc>
          <w:tcPr>
            <w:tcW w:w="5440" w:type="dxa"/>
            <w:vAlign w:val="bottom"/>
          </w:tcPr>
          <w:p w:rsidR="000C2ED5" w:rsidRDefault="00485212">
            <w:pPr>
              <w:ind w:left="220"/>
              <w:rPr>
                <w:sz w:val="20"/>
                <w:szCs w:val="20"/>
              </w:rPr>
            </w:pPr>
            <w:r>
              <w:rPr>
                <w:rFonts w:eastAsia="Times New Roman"/>
                <w:i/>
                <w:iCs/>
                <w:sz w:val="20"/>
                <w:szCs w:val="20"/>
              </w:rPr>
              <w:t xml:space="preserve">Internal Factors: </w:t>
            </w:r>
            <w:r>
              <w:rPr>
                <w:rFonts w:eastAsia="Times New Roman"/>
                <w:sz w:val="20"/>
                <w:szCs w:val="20"/>
              </w:rPr>
              <w:t>Cognitive (lack of self-efficacy with regard to</w:t>
            </w:r>
          </w:p>
        </w:tc>
        <w:tc>
          <w:tcPr>
            <w:tcW w:w="1220" w:type="dxa"/>
            <w:vAlign w:val="bottom"/>
          </w:tcPr>
          <w:p w:rsidR="000C2ED5" w:rsidRDefault="00485212">
            <w:pPr>
              <w:jc w:val="center"/>
              <w:rPr>
                <w:sz w:val="20"/>
                <w:szCs w:val="20"/>
              </w:rPr>
            </w:pPr>
            <w:r>
              <w:rPr>
                <w:rFonts w:eastAsia="Times New Roman"/>
                <w:sz w:val="20"/>
                <w:szCs w:val="20"/>
              </w:rPr>
              <w:t>50%</w:t>
            </w:r>
          </w:p>
        </w:tc>
      </w:tr>
      <w:tr w:rsidR="000C2ED5">
        <w:trPr>
          <w:trHeight w:val="458"/>
        </w:trPr>
        <w:tc>
          <w:tcPr>
            <w:tcW w:w="1100" w:type="dxa"/>
            <w:vAlign w:val="bottom"/>
          </w:tcPr>
          <w:p w:rsidR="000C2ED5" w:rsidRDefault="00485212">
            <w:pPr>
              <w:ind w:left="100"/>
              <w:rPr>
                <w:sz w:val="20"/>
                <w:szCs w:val="20"/>
              </w:rPr>
            </w:pPr>
            <w:r>
              <w:rPr>
                <w:rFonts w:eastAsia="Times New Roman"/>
                <w:sz w:val="20"/>
                <w:szCs w:val="20"/>
              </w:rPr>
              <w:t>al. (2010)</w:t>
            </w:r>
          </w:p>
        </w:tc>
        <w:tc>
          <w:tcPr>
            <w:tcW w:w="1220" w:type="dxa"/>
            <w:vAlign w:val="bottom"/>
          </w:tcPr>
          <w:p w:rsidR="000C2ED5" w:rsidRDefault="000C2ED5">
            <w:pPr>
              <w:rPr>
                <w:sz w:val="24"/>
                <w:szCs w:val="24"/>
              </w:rPr>
            </w:pPr>
          </w:p>
        </w:tc>
        <w:tc>
          <w:tcPr>
            <w:tcW w:w="1340" w:type="dxa"/>
            <w:vAlign w:val="bottom"/>
          </w:tcPr>
          <w:p w:rsidR="000C2ED5" w:rsidRDefault="00485212">
            <w:pPr>
              <w:ind w:left="120"/>
              <w:rPr>
                <w:sz w:val="20"/>
                <w:szCs w:val="20"/>
              </w:rPr>
            </w:pPr>
            <w:r>
              <w:rPr>
                <w:rFonts w:eastAsia="Times New Roman"/>
                <w:sz w:val="20"/>
                <w:szCs w:val="20"/>
              </w:rPr>
              <w:t>psychological</w:t>
            </w:r>
          </w:p>
        </w:tc>
        <w:tc>
          <w:tcPr>
            <w:tcW w:w="2120" w:type="dxa"/>
            <w:vAlign w:val="bottom"/>
          </w:tcPr>
          <w:p w:rsidR="000C2ED5" w:rsidRDefault="00485212">
            <w:pPr>
              <w:ind w:left="100"/>
              <w:rPr>
                <w:sz w:val="20"/>
                <w:szCs w:val="20"/>
              </w:rPr>
            </w:pPr>
            <w:r>
              <w:rPr>
                <w:rFonts w:eastAsia="Times New Roman"/>
                <w:sz w:val="20"/>
                <w:szCs w:val="20"/>
              </w:rPr>
              <w:t>Referred to any</w:t>
            </w:r>
          </w:p>
        </w:tc>
        <w:tc>
          <w:tcPr>
            <w:tcW w:w="2020" w:type="dxa"/>
            <w:vAlign w:val="bottom"/>
          </w:tcPr>
          <w:p w:rsidR="000C2ED5" w:rsidRDefault="00485212">
            <w:pPr>
              <w:ind w:left="240"/>
              <w:rPr>
                <w:sz w:val="20"/>
                <w:szCs w:val="20"/>
              </w:rPr>
            </w:pPr>
            <w:r>
              <w:rPr>
                <w:rFonts w:eastAsia="Times New Roman"/>
                <w:sz w:val="20"/>
                <w:szCs w:val="20"/>
              </w:rPr>
              <w:t>completion</w:t>
            </w:r>
          </w:p>
        </w:tc>
        <w:tc>
          <w:tcPr>
            <w:tcW w:w="1700" w:type="dxa"/>
            <w:vAlign w:val="bottom"/>
          </w:tcPr>
          <w:p w:rsidR="000C2ED5" w:rsidRDefault="00485212">
            <w:pPr>
              <w:ind w:left="140"/>
              <w:rPr>
                <w:sz w:val="20"/>
                <w:szCs w:val="20"/>
              </w:rPr>
            </w:pPr>
            <w:r>
              <w:rPr>
                <w:rFonts w:eastAsia="Times New Roman"/>
                <w:sz w:val="20"/>
                <w:szCs w:val="20"/>
              </w:rPr>
              <w:t>patients</w:t>
            </w:r>
          </w:p>
        </w:tc>
        <w:tc>
          <w:tcPr>
            <w:tcW w:w="5440" w:type="dxa"/>
            <w:vAlign w:val="bottom"/>
          </w:tcPr>
          <w:p w:rsidR="000C2ED5" w:rsidRDefault="00485212">
            <w:pPr>
              <w:ind w:left="220"/>
              <w:rPr>
                <w:sz w:val="20"/>
                <w:szCs w:val="20"/>
              </w:rPr>
            </w:pPr>
            <w:r>
              <w:rPr>
                <w:rFonts w:eastAsia="Times New Roman"/>
                <w:sz w:val="20"/>
                <w:szCs w:val="20"/>
              </w:rPr>
              <w:t>one’s ability to engage in treatment, negative appraisal of the</w:t>
            </w:r>
          </w:p>
        </w:tc>
        <w:tc>
          <w:tcPr>
            <w:tcW w:w="122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220" w:type="dxa"/>
            <w:vAlign w:val="bottom"/>
          </w:tcPr>
          <w:p w:rsidR="000C2ED5" w:rsidRDefault="000C2ED5">
            <w:pPr>
              <w:rPr>
                <w:sz w:val="24"/>
                <w:szCs w:val="24"/>
              </w:rPr>
            </w:pPr>
          </w:p>
        </w:tc>
        <w:tc>
          <w:tcPr>
            <w:tcW w:w="1340" w:type="dxa"/>
            <w:vAlign w:val="bottom"/>
          </w:tcPr>
          <w:p w:rsidR="000C2ED5" w:rsidRDefault="00485212">
            <w:pPr>
              <w:ind w:left="120"/>
              <w:rPr>
                <w:sz w:val="20"/>
                <w:szCs w:val="20"/>
              </w:rPr>
            </w:pPr>
            <w:r>
              <w:rPr>
                <w:rFonts w:eastAsia="Times New Roman"/>
                <w:sz w:val="20"/>
                <w:szCs w:val="20"/>
              </w:rPr>
              <w:t>therapies.</w:t>
            </w:r>
          </w:p>
        </w:tc>
        <w:tc>
          <w:tcPr>
            <w:tcW w:w="2120" w:type="dxa"/>
            <w:vAlign w:val="bottom"/>
          </w:tcPr>
          <w:p w:rsidR="000C2ED5" w:rsidRDefault="00485212">
            <w:pPr>
              <w:ind w:left="100"/>
              <w:rPr>
                <w:sz w:val="20"/>
                <w:szCs w:val="20"/>
              </w:rPr>
            </w:pPr>
            <w:r>
              <w:rPr>
                <w:rFonts w:eastAsia="Times New Roman"/>
                <w:sz w:val="20"/>
                <w:szCs w:val="20"/>
              </w:rPr>
              <w:t>participant who had</w:t>
            </w:r>
          </w:p>
        </w:tc>
        <w:tc>
          <w:tcPr>
            <w:tcW w:w="2020" w:type="dxa"/>
            <w:vAlign w:val="bottom"/>
          </w:tcPr>
          <w:p w:rsidR="000C2ED5" w:rsidRDefault="000C2ED5">
            <w:pPr>
              <w:rPr>
                <w:sz w:val="24"/>
                <w:szCs w:val="24"/>
              </w:rPr>
            </w:pPr>
          </w:p>
        </w:tc>
        <w:tc>
          <w:tcPr>
            <w:tcW w:w="1700" w:type="dxa"/>
            <w:vAlign w:val="bottom"/>
          </w:tcPr>
          <w:p w:rsidR="000C2ED5" w:rsidRDefault="000C2ED5">
            <w:pPr>
              <w:rPr>
                <w:sz w:val="24"/>
                <w:szCs w:val="24"/>
              </w:rPr>
            </w:pPr>
          </w:p>
        </w:tc>
        <w:tc>
          <w:tcPr>
            <w:tcW w:w="5440" w:type="dxa"/>
            <w:vAlign w:val="bottom"/>
          </w:tcPr>
          <w:p w:rsidR="000C2ED5" w:rsidRDefault="00485212">
            <w:pPr>
              <w:ind w:left="220"/>
              <w:rPr>
                <w:sz w:val="20"/>
                <w:szCs w:val="20"/>
              </w:rPr>
            </w:pPr>
            <w:r>
              <w:rPr>
                <w:rFonts w:eastAsia="Times New Roman"/>
                <w:sz w:val="20"/>
                <w:szCs w:val="20"/>
              </w:rPr>
              <w:t>treatment programme being offered and negative appraisals of</w:t>
            </w:r>
          </w:p>
        </w:tc>
        <w:tc>
          <w:tcPr>
            <w:tcW w:w="1220" w:type="dxa"/>
            <w:vAlign w:val="bottom"/>
          </w:tcPr>
          <w:p w:rsidR="000C2ED5" w:rsidRDefault="000C2ED5">
            <w:pPr>
              <w:rPr>
                <w:sz w:val="24"/>
                <w:szCs w:val="24"/>
              </w:rPr>
            </w:pPr>
          </w:p>
        </w:tc>
      </w:tr>
    </w:tbl>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46" w:lineRule="exact"/>
        <w:rPr>
          <w:sz w:val="20"/>
          <w:szCs w:val="20"/>
        </w:rPr>
      </w:pPr>
    </w:p>
    <w:p w:rsidR="000C2ED5" w:rsidRDefault="00485212">
      <w:pPr>
        <w:ind w:left="14840"/>
        <w:rPr>
          <w:sz w:val="20"/>
          <w:szCs w:val="20"/>
        </w:rPr>
      </w:pPr>
      <w:r>
        <w:rPr>
          <w:rFonts w:eastAsia="Times New Roman"/>
        </w:rPr>
        <w:t>55</w:t>
      </w:r>
    </w:p>
    <w:p w:rsidR="000C2ED5" w:rsidRDefault="000C2ED5">
      <w:pPr>
        <w:sectPr w:rsidR="000C2ED5">
          <w:pgSz w:w="16840" w:h="11906" w:orient="landscape"/>
          <w:pgMar w:top="698" w:right="338" w:bottom="403" w:left="340" w:header="0" w:footer="0" w:gutter="0"/>
          <w:cols w:space="720" w:equalWidth="0">
            <w:col w:w="16160"/>
          </w:cols>
        </w:sectPr>
      </w:pPr>
    </w:p>
    <w:p w:rsidR="000C2ED5" w:rsidRDefault="00485212">
      <w:pPr>
        <w:ind w:left="1100"/>
        <w:rPr>
          <w:sz w:val="20"/>
          <w:szCs w:val="20"/>
        </w:rPr>
      </w:pPr>
      <w:bookmarkStart w:id="56" w:name="page57"/>
      <w:bookmarkEnd w:id="56"/>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100"/>
        <w:gridCol w:w="1120"/>
        <w:gridCol w:w="1380"/>
        <w:gridCol w:w="2320"/>
        <w:gridCol w:w="1900"/>
        <w:gridCol w:w="1660"/>
        <w:gridCol w:w="5380"/>
        <w:gridCol w:w="1300"/>
      </w:tblGrid>
      <w:tr w:rsidR="000C2ED5">
        <w:trPr>
          <w:trHeight w:val="236"/>
        </w:trPr>
        <w:tc>
          <w:tcPr>
            <w:tcW w:w="1100" w:type="dxa"/>
            <w:tcBorders>
              <w:top w:val="single" w:sz="8" w:space="0" w:color="auto"/>
            </w:tcBorders>
            <w:vAlign w:val="bottom"/>
          </w:tcPr>
          <w:p w:rsidR="000C2ED5" w:rsidRDefault="00485212">
            <w:pPr>
              <w:jc w:val="center"/>
              <w:rPr>
                <w:sz w:val="20"/>
                <w:szCs w:val="20"/>
              </w:rPr>
            </w:pPr>
            <w:r>
              <w:rPr>
                <w:rFonts w:eastAsia="Times New Roman"/>
                <w:b/>
                <w:bCs/>
                <w:sz w:val="20"/>
                <w:szCs w:val="20"/>
              </w:rPr>
              <w:t>Author &amp;</w:t>
            </w:r>
          </w:p>
        </w:tc>
        <w:tc>
          <w:tcPr>
            <w:tcW w:w="11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380" w:type="dxa"/>
            <w:tcBorders>
              <w:top w:val="single" w:sz="8" w:space="0" w:color="auto"/>
            </w:tcBorders>
            <w:vAlign w:val="bottom"/>
          </w:tcPr>
          <w:p w:rsidR="000C2ED5" w:rsidRDefault="00485212">
            <w:pPr>
              <w:ind w:left="60"/>
              <w:jc w:val="center"/>
              <w:rPr>
                <w:sz w:val="20"/>
                <w:szCs w:val="20"/>
              </w:rPr>
            </w:pPr>
            <w:r>
              <w:rPr>
                <w:rFonts w:eastAsia="Times New Roman"/>
                <w:b/>
                <w:bCs/>
                <w:w w:val="98"/>
                <w:sz w:val="20"/>
                <w:szCs w:val="20"/>
              </w:rPr>
              <w:t>Treatment</w:t>
            </w:r>
          </w:p>
        </w:tc>
        <w:tc>
          <w:tcPr>
            <w:tcW w:w="23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Definition of non-</w:t>
            </w:r>
          </w:p>
        </w:tc>
        <w:tc>
          <w:tcPr>
            <w:tcW w:w="1900" w:type="dxa"/>
            <w:tcBorders>
              <w:top w:val="single" w:sz="8" w:space="0" w:color="auto"/>
            </w:tcBorders>
            <w:vAlign w:val="bottom"/>
          </w:tcPr>
          <w:p w:rsidR="000C2ED5" w:rsidRDefault="00485212">
            <w:pPr>
              <w:ind w:left="160"/>
              <w:rPr>
                <w:sz w:val="20"/>
                <w:szCs w:val="20"/>
              </w:rPr>
            </w:pPr>
            <w:r>
              <w:rPr>
                <w:rFonts w:eastAsia="Times New Roman"/>
                <w:b/>
                <w:bCs/>
                <w:sz w:val="20"/>
                <w:szCs w:val="20"/>
              </w:rPr>
              <w:t>Research Question</w:t>
            </w:r>
          </w:p>
        </w:tc>
        <w:tc>
          <w:tcPr>
            <w:tcW w:w="1660" w:type="dxa"/>
            <w:tcBorders>
              <w:top w:val="single" w:sz="8" w:space="0" w:color="auto"/>
            </w:tcBorders>
            <w:vAlign w:val="bottom"/>
          </w:tcPr>
          <w:p w:rsidR="000C2ED5" w:rsidRDefault="00485212">
            <w:pPr>
              <w:ind w:left="380"/>
              <w:rPr>
                <w:sz w:val="20"/>
                <w:szCs w:val="20"/>
              </w:rPr>
            </w:pPr>
            <w:r>
              <w:rPr>
                <w:rFonts w:eastAsia="Times New Roman"/>
                <w:b/>
                <w:bCs/>
                <w:sz w:val="20"/>
                <w:szCs w:val="20"/>
              </w:rPr>
              <w:t>Sample Size</w:t>
            </w:r>
          </w:p>
        </w:tc>
        <w:tc>
          <w:tcPr>
            <w:tcW w:w="5380" w:type="dxa"/>
            <w:tcBorders>
              <w:top w:val="single" w:sz="8" w:space="0" w:color="auto"/>
            </w:tcBorders>
            <w:vAlign w:val="bottom"/>
          </w:tcPr>
          <w:p w:rsidR="000C2ED5" w:rsidRDefault="00485212">
            <w:pPr>
              <w:ind w:left="2160"/>
              <w:rPr>
                <w:sz w:val="20"/>
                <w:szCs w:val="20"/>
              </w:rPr>
            </w:pPr>
            <w:r>
              <w:rPr>
                <w:rFonts w:eastAsia="Times New Roman"/>
                <w:b/>
                <w:bCs/>
                <w:sz w:val="20"/>
                <w:szCs w:val="20"/>
              </w:rPr>
              <w:t>Main Findings</w:t>
            </w:r>
          </w:p>
        </w:tc>
        <w:tc>
          <w:tcPr>
            <w:tcW w:w="130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Quality</w:t>
            </w:r>
          </w:p>
        </w:tc>
      </w:tr>
      <w:tr w:rsidR="000C2ED5">
        <w:trPr>
          <w:trHeight w:val="461"/>
        </w:trPr>
        <w:tc>
          <w:tcPr>
            <w:tcW w:w="1100" w:type="dxa"/>
            <w:vAlign w:val="bottom"/>
          </w:tcPr>
          <w:p w:rsidR="000C2ED5" w:rsidRDefault="00485212">
            <w:pPr>
              <w:jc w:val="center"/>
              <w:rPr>
                <w:sz w:val="20"/>
                <w:szCs w:val="20"/>
              </w:rPr>
            </w:pPr>
            <w:r>
              <w:rPr>
                <w:rFonts w:eastAsia="Times New Roman"/>
                <w:b/>
                <w:bCs/>
                <w:w w:val="99"/>
                <w:sz w:val="20"/>
                <w:szCs w:val="20"/>
              </w:rPr>
              <w:t>Date</w:t>
            </w:r>
          </w:p>
        </w:tc>
        <w:tc>
          <w:tcPr>
            <w:tcW w:w="1120" w:type="dxa"/>
            <w:vAlign w:val="bottom"/>
          </w:tcPr>
          <w:p w:rsidR="000C2ED5" w:rsidRDefault="00485212">
            <w:pPr>
              <w:ind w:left="20"/>
              <w:jc w:val="center"/>
              <w:rPr>
                <w:sz w:val="20"/>
                <w:szCs w:val="20"/>
              </w:rPr>
            </w:pPr>
            <w:r>
              <w:rPr>
                <w:rFonts w:eastAsia="Times New Roman"/>
                <w:b/>
                <w:bCs/>
                <w:w w:val="96"/>
                <w:sz w:val="20"/>
                <w:szCs w:val="20"/>
              </w:rPr>
              <w:t>Design</w:t>
            </w:r>
          </w:p>
        </w:tc>
        <w:tc>
          <w:tcPr>
            <w:tcW w:w="1380" w:type="dxa"/>
            <w:vAlign w:val="bottom"/>
          </w:tcPr>
          <w:p w:rsidR="000C2ED5" w:rsidRDefault="00485212">
            <w:pPr>
              <w:ind w:left="60"/>
              <w:jc w:val="center"/>
              <w:rPr>
                <w:sz w:val="20"/>
                <w:szCs w:val="20"/>
              </w:rPr>
            </w:pPr>
            <w:r>
              <w:rPr>
                <w:rFonts w:eastAsia="Times New Roman"/>
                <w:b/>
                <w:bCs/>
                <w:w w:val="96"/>
                <w:sz w:val="20"/>
                <w:szCs w:val="20"/>
              </w:rPr>
              <w:t>Type</w:t>
            </w:r>
          </w:p>
        </w:tc>
        <w:tc>
          <w:tcPr>
            <w:tcW w:w="2320" w:type="dxa"/>
            <w:vAlign w:val="bottom"/>
          </w:tcPr>
          <w:p w:rsidR="000C2ED5" w:rsidRDefault="00485212">
            <w:pPr>
              <w:jc w:val="center"/>
              <w:rPr>
                <w:sz w:val="20"/>
                <w:szCs w:val="20"/>
              </w:rPr>
            </w:pPr>
            <w:r>
              <w:rPr>
                <w:rFonts w:eastAsia="Times New Roman"/>
                <w:b/>
                <w:bCs/>
                <w:w w:val="97"/>
                <w:sz w:val="20"/>
                <w:szCs w:val="20"/>
              </w:rPr>
              <w:t>completion/</w:t>
            </w: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0C2ED5">
            <w:pPr>
              <w:rPr>
                <w:sz w:val="24"/>
                <w:szCs w:val="24"/>
              </w:rPr>
            </w:pPr>
          </w:p>
        </w:tc>
        <w:tc>
          <w:tcPr>
            <w:tcW w:w="1300" w:type="dxa"/>
            <w:vAlign w:val="bottom"/>
          </w:tcPr>
          <w:p w:rsidR="000C2ED5" w:rsidRDefault="00485212">
            <w:pPr>
              <w:jc w:val="center"/>
              <w:rPr>
                <w:sz w:val="20"/>
                <w:szCs w:val="20"/>
              </w:rPr>
            </w:pPr>
            <w:r>
              <w:rPr>
                <w:rFonts w:eastAsia="Times New Roman"/>
                <w:b/>
                <w:bCs/>
                <w:sz w:val="20"/>
                <w:szCs w:val="20"/>
              </w:rPr>
              <w:t>Assessment</w:t>
            </w:r>
          </w:p>
        </w:tc>
      </w:tr>
      <w:tr w:rsidR="000C2ED5">
        <w:trPr>
          <w:trHeight w:val="458"/>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485212">
            <w:pPr>
              <w:jc w:val="center"/>
              <w:rPr>
                <w:sz w:val="20"/>
                <w:szCs w:val="20"/>
              </w:rPr>
            </w:pPr>
            <w:r>
              <w:rPr>
                <w:rFonts w:eastAsia="Times New Roman"/>
                <w:b/>
                <w:bCs/>
                <w:w w:val="99"/>
                <w:sz w:val="20"/>
                <w:szCs w:val="20"/>
              </w:rPr>
              <w:t>Engagement</w:t>
            </w: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0C2ED5">
            <w:pPr>
              <w:rPr>
                <w:sz w:val="24"/>
                <w:szCs w:val="24"/>
              </w:rPr>
            </w:pPr>
          </w:p>
        </w:tc>
        <w:tc>
          <w:tcPr>
            <w:tcW w:w="1300" w:type="dxa"/>
            <w:vAlign w:val="bottom"/>
          </w:tcPr>
          <w:p w:rsidR="000C2ED5" w:rsidRDefault="00485212">
            <w:pPr>
              <w:jc w:val="center"/>
              <w:rPr>
                <w:sz w:val="20"/>
                <w:szCs w:val="20"/>
              </w:rPr>
            </w:pPr>
            <w:r>
              <w:rPr>
                <w:rFonts w:eastAsia="Times New Roman"/>
                <w:b/>
                <w:bCs/>
                <w:sz w:val="20"/>
                <w:szCs w:val="20"/>
              </w:rPr>
              <w:t>score</w:t>
            </w:r>
          </w:p>
        </w:tc>
      </w:tr>
      <w:tr w:rsidR="000C2ED5">
        <w:trPr>
          <w:trHeight w:val="234"/>
        </w:trPr>
        <w:tc>
          <w:tcPr>
            <w:tcW w:w="1100" w:type="dxa"/>
            <w:tcBorders>
              <w:bottom w:val="single" w:sz="8" w:space="0" w:color="auto"/>
            </w:tcBorders>
            <w:vAlign w:val="bottom"/>
          </w:tcPr>
          <w:p w:rsidR="000C2ED5" w:rsidRDefault="000C2ED5">
            <w:pPr>
              <w:rPr>
                <w:sz w:val="20"/>
                <w:szCs w:val="20"/>
              </w:rPr>
            </w:pPr>
          </w:p>
        </w:tc>
        <w:tc>
          <w:tcPr>
            <w:tcW w:w="1120" w:type="dxa"/>
            <w:tcBorders>
              <w:bottom w:val="single" w:sz="8" w:space="0" w:color="auto"/>
            </w:tcBorders>
            <w:vAlign w:val="bottom"/>
          </w:tcPr>
          <w:p w:rsidR="000C2ED5" w:rsidRDefault="000C2ED5">
            <w:pPr>
              <w:rPr>
                <w:sz w:val="20"/>
                <w:szCs w:val="20"/>
              </w:rPr>
            </w:pPr>
          </w:p>
        </w:tc>
        <w:tc>
          <w:tcPr>
            <w:tcW w:w="1380" w:type="dxa"/>
            <w:tcBorders>
              <w:bottom w:val="single" w:sz="8" w:space="0" w:color="auto"/>
            </w:tcBorders>
            <w:vAlign w:val="bottom"/>
          </w:tcPr>
          <w:p w:rsidR="000C2ED5" w:rsidRDefault="000C2ED5">
            <w:pPr>
              <w:rPr>
                <w:sz w:val="20"/>
                <w:szCs w:val="20"/>
              </w:rPr>
            </w:pPr>
          </w:p>
        </w:tc>
        <w:tc>
          <w:tcPr>
            <w:tcW w:w="2320" w:type="dxa"/>
            <w:tcBorders>
              <w:bottom w:val="single" w:sz="8" w:space="0" w:color="auto"/>
            </w:tcBorders>
            <w:vAlign w:val="bottom"/>
          </w:tcPr>
          <w:p w:rsidR="000C2ED5" w:rsidRDefault="000C2ED5">
            <w:pPr>
              <w:rPr>
                <w:sz w:val="20"/>
                <w:szCs w:val="20"/>
              </w:rPr>
            </w:pPr>
          </w:p>
        </w:tc>
        <w:tc>
          <w:tcPr>
            <w:tcW w:w="1900" w:type="dxa"/>
            <w:tcBorders>
              <w:bottom w:val="single" w:sz="8" w:space="0" w:color="auto"/>
            </w:tcBorders>
            <w:vAlign w:val="bottom"/>
          </w:tcPr>
          <w:p w:rsidR="000C2ED5" w:rsidRDefault="000C2ED5">
            <w:pPr>
              <w:rPr>
                <w:sz w:val="20"/>
                <w:szCs w:val="20"/>
              </w:rPr>
            </w:pPr>
          </w:p>
        </w:tc>
        <w:tc>
          <w:tcPr>
            <w:tcW w:w="1660" w:type="dxa"/>
            <w:tcBorders>
              <w:bottom w:val="single" w:sz="8" w:space="0" w:color="auto"/>
            </w:tcBorders>
            <w:vAlign w:val="bottom"/>
          </w:tcPr>
          <w:p w:rsidR="000C2ED5" w:rsidRDefault="000C2ED5">
            <w:pPr>
              <w:rPr>
                <w:sz w:val="20"/>
                <w:szCs w:val="20"/>
              </w:rPr>
            </w:pPr>
          </w:p>
        </w:tc>
        <w:tc>
          <w:tcPr>
            <w:tcW w:w="5380" w:type="dxa"/>
            <w:tcBorders>
              <w:bottom w:val="single" w:sz="8" w:space="0" w:color="auto"/>
            </w:tcBorders>
            <w:vAlign w:val="bottom"/>
          </w:tcPr>
          <w:p w:rsidR="000C2ED5" w:rsidRDefault="000C2ED5">
            <w:pPr>
              <w:rPr>
                <w:sz w:val="20"/>
                <w:szCs w:val="20"/>
              </w:rPr>
            </w:pPr>
          </w:p>
        </w:tc>
        <w:tc>
          <w:tcPr>
            <w:tcW w:w="1300" w:type="dxa"/>
            <w:tcBorders>
              <w:bottom w:val="single" w:sz="8" w:space="0" w:color="auto"/>
            </w:tcBorders>
            <w:vAlign w:val="bottom"/>
          </w:tcPr>
          <w:p w:rsidR="000C2ED5" w:rsidRDefault="000C2ED5">
            <w:pPr>
              <w:rPr>
                <w:sz w:val="20"/>
                <w:szCs w:val="20"/>
              </w:rPr>
            </w:pPr>
          </w:p>
        </w:tc>
      </w:tr>
      <w:tr w:rsidR="000C2ED5">
        <w:trPr>
          <w:trHeight w:val="212"/>
        </w:trPr>
        <w:tc>
          <w:tcPr>
            <w:tcW w:w="1100" w:type="dxa"/>
            <w:vAlign w:val="bottom"/>
          </w:tcPr>
          <w:p w:rsidR="000C2ED5" w:rsidRDefault="000C2ED5">
            <w:pPr>
              <w:rPr>
                <w:sz w:val="18"/>
                <w:szCs w:val="18"/>
              </w:rPr>
            </w:pPr>
          </w:p>
        </w:tc>
        <w:tc>
          <w:tcPr>
            <w:tcW w:w="1120" w:type="dxa"/>
            <w:vAlign w:val="bottom"/>
          </w:tcPr>
          <w:p w:rsidR="000C2ED5" w:rsidRDefault="000C2ED5">
            <w:pPr>
              <w:rPr>
                <w:sz w:val="18"/>
                <w:szCs w:val="18"/>
              </w:rPr>
            </w:pPr>
          </w:p>
        </w:tc>
        <w:tc>
          <w:tcPr>
            <w:tcW w:w="1380" w:type="dxa"/>
            <w:vAlign w:val="bottom"/>
          </w:tcPr>
          <w:p w:rsidR="000C2ED5" w:rsidRDefault="000C2ED5">
            <w:pPr>
              <w:rPr>
                <w:sz w:val="18"/>
                <w:szCs w:val="18"/>
              </w:rPr>
            </w:pPr>
          </w:p>
        </w:tc>
        <w:tc>
          <w:tcPr>
            <w:tcW w:w="2320" w:type="dxa"/>
            <w:vAlign w:val="bottom"/>
          </w:tcPr>
          <w:p w:rsidR="000C2ED5" w:rsidRDefault="00485212">
            <w:pPr>
              <w:spacing w:line="211" w:lineRule="exact"/>
              <w:ind w:left="160"/>
              <w:rPr>
                <w:sz w:val="20"/>
                <w:szCs w:val="20"/>
              </w:rPr>
            </w:pPr>
            <w:r>
              <w:rPr>
                <w:rFonts w:eastAsia="Times New Roman"/>
                <w:sz w:val="20"/>
                <w:szCs w:val="20"/>
              </w:rPr>
              <w:t>failed to attend the</w:t>
            </w:r>
          </w:p>
        </w:tc>
        <w:tc>
          <w:tcPr>
            <w:tcW w:w="1900" w:type="dxa"/>
            <w:vAlign w:val="bottom"/>
          </w:tcPr>
          <w:p w:rsidR="000C2ED5" w:rsidRDefault="00485212">
            <w:pPr>
              <w:spacing w:line="211" w:lineRule="exact"/>
              <w:ind w:left="100"/>
              <w:rPr>
                <w:sz w:val="20"/>
                <w:szCs w:val="20"/>
              </w:rPr>
            </w:pPr>
            <w:r>
              <w:rPr>
                <w:rFonts w:eastAsia="Times New Roman"/>
                <w:sz w:val="20"/>
                <w:szCs w:val="20"/>
              </w:rPr>
              <w:t>Participant reasons</w:t>
            </w:r>
          </w:p>
        </w:tc>
        <w:tc>
          <w:tcPr>
            <w:tcW w:w="1660" w:type="dxa"/>
            <w:vAlign w:val="bottom"/>
          </w:tcPr>
          <w:p w:rsidR="000C2ED5" w:rsidRDefault="000C2ED5">
            <w:pPr>
              <w:rPr>
                <w:sz w:val="18"/>
                <w:szCs w:val="18"/>
              </w:rPr>
            </w:pPr>
          </w:p>
        </w:tc>
        <w:tc>
          <w:tcPr>
            <w:tcW w:w="5380" w:type="dxa"/>
            <w:vAlign w:val="bottom"/>
          </w:tcPr>
          <w:p w:rsidR="000C2ED5" w:rsidRDefault="00485212">
            <w:pPr>
              <w:spacing w:line="211" w:lineRule="exact"/>
              <w:ind w:left="240"/>
              <w:rPr>
                <w:sz w:val="20"/>
                <w:szCs w:val="20"/>
              </w:rPr>
            </w:pPr>
            <w:r>
              <w:rPr>
                <w:rFonts w:eastAsia="Times New Roman"/>
                <w:sz w:val="20"/>
                <w:szCs w:val="20"/>
              </w:rPr>
              <w:t>other patients within the group and the facilitating staff),</w:t>
            </w:r>
          </w:p>
        </w:tc>
        <w:tc>
          <w:tcPr>
            <w:tcW w:w="1300" w:type="dxa"/>
            <w:vAlign w:val="bottom"/>
          </w:tcPr>
          <w:p w:rsidR="000C2ED5" w:rsidRDefault="000C2ED5">
            <w:pPr>
              <w:rPr>
                <w:sz w:val="18"/>
                <w:szCs w:val="18"/>
              </w:rPr>
            </w:pPr>
          </w:p>
        </w:tc>
      </w:tr>
      <w:tr w:rsidR="000C2ED5">
        <w:trPr>
          <w:trHeight w:val="461"/>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485212">
            <w:pPr>
              <w:ind w:left="160"/>
              <w:rPr>
                <w:sz w:val="20"/>
                <w:szCs w:val="20"/>
              </w:rPr>
            </w:pPr>
            <w:r>
              <w:rPr>
                <w:rFonts w:eastAsia="Times New Roman"/>
                <w:sz w:val="20"/>
                <w:szCs w:val="20"/>
              </w:rPr>
              <w:t>required number of</w:t>
            </w:r>
          </w:p>
        </w:tc>
        <w:tc>
          <w:tcPr>
            <w:tcW w:w="1900" w:type="dxa"/>
            <w:vAlign w:val="bottom"/>
          </w:tcPr>
          <w:p w:rsidR="000C2ED5" w:rsidRDefault="00485212">
            <w:pPr>
              <w:ind w:left="100"/>
              <w:rPr>
                <w:sz w:val="20"/>
                <w:szCs w:val="20"/>
              </w:rPr>
            </w:pPr>
            <w:r>
              <w:rPr>
                <w:rFonts w:eastAsia="Times New Roman"/>
                <w:sz w:val="20"/>
                <w:szCs w:val="20"/>
              </w:rPr>
              <w:t>for non-engagement</w:t>
            </w: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 xml:space="preserve">volitional (incongruence </w:t>
            </w:r>
            <w:r>
              <w:rPr>
                <w:rFonts w:eastAsia="Times New Roman"/>
                <w:sz w:val="20"/>
                <w:szCs w:val="20"/>
              </w:rPr>
              <w:t>between participant goals and that of</w:t>
            </w:r>
          </w:p>
        </w:tc>
        <w:tc>
          <w:tcPr>
            <w:tcW w:w="130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485212">
            <w:pPr>
              <w:ind w:left="160"/>
              <w:rPr>
                <w:sz w:val="20"/>
                <w:szCs w:val="20"/>
              </w:rPr>
            </w:pPr>
            <w:r>
              <w:rPr>
                <w:rFonts w:eastAsia="Times New Roman"/>
                <w:sz w:val="20"/>
                <w:szCs w:val="20"/>
              </w:rPr>
              <w:t>sessions, either through</w:t>
            </w: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the treatment programme) and affective (feelings of anxiety,</w:t>
            </w:r>
          </w:p>
        </w:tc>
        <w:tc>
          <w:tcPr>
            <w:tcW w:w="130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485212">
            <w:pPr>
              <w:ind w:left="160"/>
              <w:rPr>
                <w:sz w:val="20"/>
                <w:szCs w:val="20"/>
              </w:rPr>
            </w:pPr>
            <w:r>
              <w:rPr>
                <w:rFonts w:eastAsia="Times New Roman"/>
                <w:sz w:val="20"/>
                <w:szCs w:val="20"/>
              </w:rPr>
              <w:t>patient withdrawal or</w:t>
            </w: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embarrassment and distress associated with treatment) factors</w:t>
            </w:r>
          </w:p>
        </w:tc>
        <w:tc>
          <w:tcPr>
            <w:tcW w:w="130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485212">
            <w:pPr>
              <w:ind w:left="160"/>
              <w:rPr>
                <w:sz w:val="20"/>
                <w:szCs w:val="20"/>
              </w:rPr>
            </w:pPr>
            <w:r>
              <w:rPr>
                <w:rFonts w:eastAsia="Times New Roman"/>
                <w:sz w:val="20"/>
                <w:szCs w:val="20"/>
              </w:rPr>
              <w:t>failure to meet</w:t>
            </w: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 xml:space="preserve">were the </w:t>
            </w:r>
            <w:r>
              <w:rPr>
                <w:rFonts w:eastAsia="Times New Roman"/>
                <w:sz w:val="20"/>
                <w:szCs w:val="20"/>
              </w:rPr>
              <w:t>most common reasons for non-completion of</w:t>
            </w:r>
          </w:p>
        </w:tc>
        <w:tc>
          <w:tcPr>
            <w:tcW w:w="130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485212">
            <w:pPr>
              <w:ind w:left="160"/>
              <w:rPr>
                <w:sz w:val="20"/>
                <w:szCs w:val="20"/>
              </w:rPr>
            </w:pPr>
            <w:r>
              <w:rPr>
                <w:rFonts w:eastAsia="Times New Roman"/>
                <w:sz w:val="20"/>
                <w:szCs w:val="20"/>
              </w:rPr>
              <w:t>attendance requirements.</w:t>
            </w: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treatment.  Identity factors regarding the denial of being ‘a</w:t>
            </w:r>
          </w:p>
        </w:tc>
        <w:tc>
          <w:tcPr>
            <w:tcW w:w="130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485212">
            <w:pPr>
              <w:ind w:left="160"/>
              <w:rPr>
                <w:sz w:val="20"/>
                <w:szCs w:val="20"/>
              </w:rPr>
            </w:pPr>
            <w:r>
              <w:rPr>
                <w:rFonts w:eastAsia="Times New Roman"/>
                <w:sz w:val="20"/>
                <w:szCs w:val="20"/>
              </w:rPr>
              <w:t>Did not include</w:t>
            </w: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mental patient’ or an individual diagnosed with PD were also</w:t>
            </w:r>
          </w:p>
        </w:tc>
        <w:tc>
          <w:tcPr>
            <w:tcW w:w="130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485212">
            <w:pPr>
              <w:ind w:left="160"/>
              <w:rPr>
                <w:sz w:val="20"/>
                <w:szCs w:val="20"/>
              </w:rPr>
            </w:pPr>
            <w:r>
              <w:rPr>
                <w:rFonts w:eastAsia="Times New Roman"/>
                <w:sz w:val="20"/>
                <w:szCs w:val="20"/>
              </w:rPr>
              <w:t>treatment refusers or</w:t>
            </w: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reasons</w:t>
            </w:r>
            <w:r>
              <w:rPr>
                <w:rFonts w:eastAsia="Times New Roman"/>
                <w:sz w:val="20"/>
                <w:szCs w:val="20"/>
              </w:rPr>
              <w:t xml:space="preserve"> for non-completion.</w:t>
            </w:r>
          </w:p>
        </w:tc>
        <w:tc>
          <w:tcPr>
            <w:tcW w:w="1300" w:type="dxa"/>
            <w:vAlign w:val="bottom"/>
          </w:tcPr>
          <w:p w:rsidR="000C2ED5" w:rsidRDefault="000C2ED5">
            <w:pPr>
              <w:rPr>
                <w:sz w:val="24"/>
                <w:szCs w:val="24"/>
              </w:rPr>
            </w:pPr>
          </w:p>
        </w:tc>
      </w:tr>
      <w:tr w:rsidR="000C2ED5">
        <w:trPr>
          <w:trHeight w:val="459"/>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485212">
            <w:pPr>
              <w:ind w:left="160"/>
              <w:rPr>
                <w:sz w:val="20"/>
                <w:szCs w:val="20"/>
              </w:rPr>
            </w:pPr>
            <w:r>
              <w:rPr>
                <w:rFonts w:eastAsia="Times New Roman"/>
                <w:sz w:val="20"/>
                <w:szCs w:val="20"/>
              </w:rPr>
              <w:t>those excluded from</w:t>
            </w: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i/>
                <w:iCs/>
                <w:sz w:val="20"/>
                <w:szCs w:val="20"/>
              </w:rPr>
              <w:t xml:space="preserve">External  Factors: </w:t>
            </w:r>
            <w:r>
              <w:rPr>
                <w:rFonts w:eastAsia="Times New Roman"/>
                <w:sz w:val="20"/>
                <w:szCs w:val="20"/>
              </w:rPr>
              <w:t>External factors of the MORM including</w:t>
            </w:r>
          </w:p>
        </w:tc>
        <w:tc>
          <w:tcPr>
            <w:tcW w:w="130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485212">
            <w:pPr>
              <w:ind w:left="160"/>
              <w:rPr>
                <w:sz w:val="20"/>
                <w:szCs w:val="20"/>
              </w:rPr>
            </w:pPr>
            <w:r>
              <w:rPr>
                <w:rFonts w:eastAsia="Times New Roman"/>
                <w:sz w:val="20"/>
                <w:szCs w:val="20"/>
              </w:rPr>
              <w:t>participation.</w:t>
            </w: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support, location and circumstances were not commonly</w:t>
            </w:r>
          </w:p>
        </w:tc>
        <w:tc>
          <w:tcPr>
            <w:tcW w:w="130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referred to as reasons for non-engagement. Factors, as</w:t>
            </w:r>
          </w:p>
        </w:tc>
        <w:tc>
          <w:tcPr>
            <w:tcW w:w="1300" w:type="dxa"/>
            <w:vAlign w:val="bottom"/>
          </w:tcPr>
          <w:p w:rsidR="000C2ED5" w:rsidRDefault="000C2ED5">
            <w:pPr>
              <w:rPr>
                <w:sz w:val="24"/>
                <w:szCs w:val="24"/>
              </w:rPr>
            </w:pPr>
          </w:p>
        </w:tc>
      </w:tr>
      <w:tr w:rsidR="000C2ED5">
        <w:trPr>
          <w:trHeight w:val="458"/>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identified by the authors, including staff exclusion for</w:t>
            </w:r>
          </w:p>
        </w:tc>
        <w:tc>
          <w:tcPr>
            <w:tcW w:w="130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inappropriate behaviours in session, and transfer to another</w:t>
            </w:r>
          </w:p>
        </w:tc>
        <w:tc>
          <w:tcPr>
            <w:tcW w:w="1300" w:type="dxa"/>
            <w:vAlign w:val="bottom"/>
          </w:tcPr>
          <w:p w:rsidR="000C2ED5" w:rsidRDefault="000C2ED5">
            <w:pPr>
              <w:rPr>
                <w:sz w:val="24"/>
                <w:szCs w:val="24"/>
              </w:rPr>
            </w:pPr>
          </w:p>
        </w:tc>
      </w:tr>
      <w:tr w:rsidR="000C2ED5">
        <w:trPr>
          <w:trHeight w:val="461"/>
        </w:trPr>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380" w:type="dxa"/>
            <w:vAlign w:val="bottom"/>
          </w:tcPr>
          <w:p w:rsidR="000C2ED5" w:rsidRDefault="000C2ED5">
            <w:pPr>
              <w:rPr>
                <w:sz w:val="24"/>
                <w:szCs w:val="24"/>
              </w:rPr>
            </w:pPr>
          </w:p>
        </w:tc>
        <w:tc>
          <w:tcPr>
            <w:tcW w:w="2320" w:type="dxa"/>
            <w:vAlign w:val="bottom"/>
          </w:tcPr>
          <w:p w:rsidR="000C2ED5" w:rsidRDefault="000C2ED5">
            <w:pPr>
              <w:rPr>
                <w:sz w:val="24"/>
                <w:szCs w:val="24"/>
              </w:rPr>
            </w:pPr>
          </w:p>
        </w:tc>
        <w:tc>
          <w:tcPr>
            <w:tcW w:w="19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380" w:type="dxa"/>
            <w:vAlign w:val="bottom"/>
          </w:tcPr>
          <w:p w:rsidR="000C2ED5" w:rsidRDefault="00485212">
            <w:pPr>
              <w:ind w:left="240"/>
              <w:rPr>
                <w:sz w:val="20"/>
                <w:szCs w:val="20"/>
              </w:rPr>
            </w:pPr>
            <w:r>
              <w:rPr>
                <w:rFonts w:eastAsia="Times New Roman"/>
                <w:sz w:val="20"/>
                <w:szCs w:val="20"/>
              </w:rPr>
              <w:t>unit/prison were the most commonly endorsed.</w:t>
            </w:r>
          </w:p>
        </w:tc>
        <w:tc>
          <w:tcPr>
            <w:tcW w:w="1300" w:type="dxa"/>
            <w:vAlign w:val="bottom"/>
          </w:tcPr>
          <w:p w:rsidR="000C2ED5" w:rsidRDefault="000C2ED5">
            <w:pPr>
              <w:rPr>
                <w:sz w:val="24"/>
                <w:szCs w:val="24"/>
              </w:rPr>
            </w:pPr>
          </w:p>
        </w:tc>
      </w:tr>
      <w:tr w:rsidR="000C2ED5">
        <w:trPr>
          <w:trHeight w:val="919"/>
        </w:trPr>
        <w:tc>
          <w:tcPr>
            <w:tcW w:w="1100" w:type="dxa"/>
            <w:vAlign w:val="bottom"/>
          </w:tcPr>
          <w:p w:rsidR="000C2ED5" w:rsidRDefault="00485212">
            <w:pPr>
              <w:ind w:left="100"/>
              <w:rPr>
                <w:sz w:val="20"/>
                <w:szCs w:val="20"/>
              </w:rPr>
            </w:pPr>
            <w:r>
              <w:rPr>
                <w:rFonts w:eastAsia="Times New Roman"/>
                <w:sz w:val="20"/>
                <w:szCs w:val="20"/>
              </w:rPr>
              <w:t>Strauss &amp;</w:t>
            </w:r>
          </w:p>
        </w:tc>
        <w:tc>
          <w:tcPr>
            <w:tcW w:w="1120" w:type="dxa"/>
            <w:vAlign w:val="bottom"/>
          </w:tcPr>
          <w:p w:rsidR="000C2ED5" w:rsidRDefault="00485212">
            <w:pPr>
              <w:ind w:left="120"/>
              <w:rPr>
                <w:sz w:val="20"/>
                <w:szCs w:val="20"/>
              </w:rPr>
            </w:pPr>
            <w:r>
              <w:rPr>
                <w:rFonts w:eastAsia="Times New Roman"/>
                <w:sz w:val="20"/>
                <w:szCs w:val="20"/>
              </w:rPr>
              <w:t>Mixed-</w:t>
            </w:r>
          </w:p>
        </w:tc>
        <w:tc>
          <w:tcPr>
            <w:tcW w:w="1380" w:type="dxa"/>
            <w:vAlign w:val="bottom"/>
          </w:tcPr>
          <w:p w:rsidR="000C2ED5" w:rsidRDefault="00485212">
            <w:pPr>
              <w:ind w:left="220"/>
              <w:rPr>
                <w:sz w:val="20"/>
                <w:szCs w:val="20"/>
              </w:rPr>
            </w:pPr>
            <w:r>
              <w:rPr>
                <w:rFonts w:eastAsia="Times New Roman"/>
                <w:sz w:val="20"/>
                <w:szCs w:val="20"/>
              </w:rPr>
              <w:t>Drug user</w:t>
            </w:r>
          </w:p>
        </w:tc>
        <w:tc>
          <w:tcPr>
            <w:tcW w:w="2320" w:type="dxa"/>
            <w:vAlign w:val="bottom"/>
          </w:tcPr>
          <w:p w:rsidR="000C2ED5" w:rsidRDefault="00485212">
            <w:pPr>
              <w:ind w:left="160"/>
              <w:rPr>
                <w:sz w:val="20"/>
                <w:szCs w:val="20"/>
              </w:rPr>
            </w:pPr>
            <w:r>
              <w:rPr>
                <w:rFonts w:eastAsia="Times New Roman"/>
                <w:sz w:val="20"/>
                <w:szCs w:val="20"/>
              </w:rPr>
              <w:t>Non-completers included</w:t>
            </w:r>
          </w:p>
        </w:tc>
        <w:tc>
          <w:tcPr>
            <w:tcW w:w="1900" w:type="dxa"/>
            <w:vAlign w:val="bottom"/>
          </w:tcPr>
          <w:p w:rsidR="000C2ED5" w:rsidRDefault="00485212">
            <w:pPr>
              <w:ind w:left="100"/>
              <w:rPr>
                <w:sz w:val="20"/>
                <w:szCs w:val="20"/>
              </w:rPr>
            </w:pPr>
            <w:r>
              <w:rPr>
                <w:rFonts w:eastAsia="Times New Roman"/>
                <w:sz w:val="20"/>
                <w:szCs w:val="20"/>
              </w:rPr>
              <w:t>Explored reasons for</w:t>
            </w:r>
          </w:p>
        </w:tc>
        <w:tc>
          <w:tcPr>
            <w:tcW w:w="1660" w:type="dxa"/>
            <w:vAlign w:val="bottom"/>
          </w:tcPr>
          <w:p w:rsidR="000C2ED5" w:rsidRDefault="00485212">
            <w:pPr>
              <w:ind w:left="120"/>
              <w:rPr>
                <w:sz w:val="20"/>
                <w:szCs w:val="20"/>
              </w:rPr>
            </w:pPr>
            <w:r>
              <w:rPr>
                <w:rFonts w:eastAsia="Times New Roman"/>
                <w:sz w:val="20"/>
                <w:szCs w:val="20"/>
              </w:rPr>
              <w:t>101female</w:t>
            </w:r>
          </w:p>
        </w:tc>
        <w:tc>
          <w:tcPr>
            <w:tcW w:w="5380" w:type="dxa"/>
            <w:vAlign w:val="bottom"/>
          </w:tcPr>
          <w:p w:rsidR="000C2ED5" w:rsidRDefault="00485212">
            <w:pPr>
              <w:ind w:left="240"/>
              <w:rPr>
                <w:sz w:val="20"/>
                <w:szCs w:val="20"/>
              </w:rPr>
            </w:pPr>
            <w:r>
              <w:rPr>
                <w:rFonts w:eastAsia="Times New Roman"/>
                <w:i/>
                <w:iCs/>
                <w:sz w:val="20"/>
                <w:szCs w:val="20"/>
              </w:rPr>
              <w:t xml:space="preserve">Internal Factors: </w:t>
            </w:r>
            <w:r>
              <w:rPr>
                <w:rFonts w:eastAsia="Times New Roman"/>
                <w:sz w:val="20"/>
                <w:szCs w:val="20"/>
              </w:rPr>
              <w:t>A desire to be sober, acknowledgment of a</w:t>
            </w:r>
          </w:p>
        </w:tc>
        <w:tc>
          <w:tcPr>
            <w:tcW w:w="1300" w:type="dxa"/>
            <w:vAlign w:val="bottom"/>
          </w:tcPr>
          <w:p w:rsidR="000C2ED5" w:rsidRDefault="00485212">
            <w:pPr>
              <w:jc w:val="center"/>
              <w:rPr>
                <w:sz w:val="20"/>
                <w:szCs w:val="20"/>
              </w:rPr>
            </w:pPr>
            <w:r>
              <w:rPr>
                <w:rFonts w:eastAsia="Times New Roman"/>
                <w:sz w:val="20"/>
                <w:szCs w:val="20"/>
              </w:rPr>
              <w:t>75%</w:t>
            </w:r>
          </w:p>
        </w:tc>
      </w:tr>
    </w:tbl>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323" w:lineRule="exact"/>
        <w:rPr>
          <w:sz w:val="20"/>
          <w:szCs w:val="20"/>
        </w:rPr>
      </w:pPr>
    </w:p>
    <w:p w:rsidR="000C2ED5" w:rsidRDefault="00485212">
      <w:pPr>
        <w:ind w:left="14840"/>
        <w:rPr>
          <w:sz w:val="20"/>
          <w:szCs w:val="20"/>
        </w:rPr>
      </w:pPr>
      <w:r>
        <w:rPr>
          <w:rFonts w:eastAsia="Times New Roman"/>
        </w:rPr>
        <w:t>56</w:t>
      </w:r>
    </w:p>
    <w:p w:rsidR="000C2ED5" w:rsidRDefault="000C2ED5">
      <w:pPr>
        <w:sectPr w:rsidR="000C2ED5">
          <w:pgSz w:w="16840" w:h="11906" w:orient="landscape"/>
          <w:pgMar w:top="698" w:right="338" w:bottom="403" w:left="340" w:header="0" w:footer="0" w:gutter="0"/>
          <w:cols w:space="720" w:equalWidth="0">
            <w:col w:w="16160"/>
          </w:cols>
        </w:sectPr>
      </w:pPr>
    </w:p>
    <w:p w:rsidR="000C2ED5" w:rsidRDefault="00485212">
      <w:pPr>
        <w:ind w:left="1120"/>
        <w:rPr>
          <w:sz w:val="20"/>
          <w:szCs w:val="20"/>
        </w:rPr>
      </w:pPr>
      <w:bookmarkStart w:id="57" w:name="page58"/>
      <w:bookmarkEnd w:id="57"/>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100"/>
        <w:gridCol w:w="1120"/>
        <w:gridCol w:w="1400"/>
        <w:gridCol w:w="2200"/>
        <w:gridCol w:w="2000"/>
        <w:gridCol w:w="1660"/>
        <w:gridCol w:w="5460"/>
        <w:gridCol w:w="1220"/>
      </w:tblGrid>
      <w:tr w:rsidR="000C2ED5">
        <w:trPr>
          <w:trHeight w:val="236"/>
        </w:trPr>
        <w:tc>
          <w:tcPr>
            <w:tcW w:w="20" w:type="dxa"/>
            <w:vAlign w:val="bottom"/>
          </w:tcPr>
          <w:p w:rsidR="000C2ED5" w:rsidRDefault="000C2ED5">
            <w:pPr>
              <w:rPr>
                <w:sz w:val="20"/>
                <w:szCs w:val="20"/>
              </w:rPr>
            </w:pPr>
          </w:p>
        </w:tc>
        <w:tc>
          <w:tcPr>
            <w:tcW w:w="1100" w:type="dxa"/>
            <w:tcBorders>
              <w:top w:val="single" w:sz="8" w:space="0" w:color="auto"/>
            </w:tcBorders>
            <w:vAlign w:val="bottom"/>
          </w:tcPr>
          <w:p w:rsidR="000C2ED5" w:rsidRDefault="00485212">
            <w:pPr>
              <w:ind w:left="140"/>
              <w:rPr>
                <w:sz w:val="20"/>
                <w:szCs w:val="20"/>
              </w:rPr>
            </w:pPr>
            <w:r>
              <w:rPr>
                <w:rFonts w:eastAsia="Times New Roman"/>
                <w:b/>
                <w:bCs/>
                <w:sz w:val="20"/>
                <w:szCs w:val="20"/>
              </w:rPr>
              <w:t>Author &amp;</w:t>
            </w:r>
          </w:p>
        </w:tc>
        <w:tc>
          <w:tcPr>
            <w:tcW w:w="11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400" w:type="dxa"/>
            <w:tcBorders>
              <w:top w:val="single" w:sz="8" w:space="0" w:color="auto"/>
            </w:tcBorders>
            <w:vAlign w:val="bottom"/>
          </w:tcPr>
          <w:p w:rsidR="000C2ED5" w:rsidRDefault="00485212">
            <w:pPr>
              <w:ind w:left="40"/>
              <w:jc w:val="center"/>
              <w:rPr>
                <w:sz w:val="20"/>
                <w:szCs w:val="20"/>
              </w:rPr>
            </w:pPr>
            <w:r>
              <w:rPr>
                <w:rFonts w:eastAsia="Times New Roman"/>
                <w:b/>
                <w:bCs/>
                <w:w w:val="98"/>
                <w:sz w:val="20"/>
                <w:szCs w:val="20"/>
              </w:rPr>
              <w:t>Treatment</w:t>
            </w:r>
          </w:p>
        </w:tc>
        <w:tc>
          <w:tcPr>
            <w:tcW w:w="2200" w:type="dxa"/>
            <w:tcBorders>
              <w:top w:val="single" w:sz="8" w:space="0" w:color="auto"/>
            </w:tcBorders>
            <w:vAlign w:val="bottom"/>
          </w:tcPr>
          <w:p w:rsidR="000C2ED5" w:rsidRDefault="00485212">
            <w:pPr>
              <w:ind w:left="40"/>
              <w:jc w:val="center"/>
              <w:rPr>
                <w:sz w:val="20"/>
                <w:szCs w:val="20"/>
              </w:rPr>
            </w:pPr>
            <w:r>
              <w:rPr>
                <w:rFonts w:eastAsia="Times New Roman"/>
                <w:b/>
                <w:bCs/>
                <w:w w:val="99"/>
                <w:sz w:val="20"/>
                <w:szCs w:val="20"/>
              </w:rPr>
              <w:t>Definition of non-</w:t>
            </w:r>
          </w:p>
        </w:tc>
        <w:tc>
          <w:tcPr>
            <w:tcW w:w="2000" w:type="dxa"/>
            <w:tcBorders>
              <w:top w:val="single" w:sz="8" w:space="0" w:color="auto"/>
            </w:tcBorders>
            <w:vAlign w:val="bottom"/>
          </w:tcPr>
          <w:p w:rsidR="000C2ED5" w:rsidRDefault="00485212">
            <w:pPr>
              <w:ind w:left="260"/>
              <w:rPr>
                <w:sz w:val="20"/>
                <w:szCs w:val="20"/>
              </w:rPr>
            </w:pPr>
            <w:r>
              <w:rPr>
                <w:rFonts w:eastAsia="Times New Roman"/>
                <w:b/>
                <w:bCs/>
                <w:sz w:val="20"/>
                <w:szCs w:val="20"/>
              </w:rPr>
              <w:t>Research Question</w:t>
            </w:r>
          </w:p>
        </w:tc>
        <w:tc>
          <w:tcPr>
            <w:tcW w:w="1660" w:type="dxa"/>
            <w:tcBorders>
              <w:top w:val="single" w:sz="8" w:space="0" w:color="auto"/>
            </w:tcBorders>
            <w:vAlign w:val="bottom"/>
          </w:tcPr>
          <w:p w:rsidR="000C2ED5" w:rsidRDefault="00485212">
            <w:pPr>
              <w:ind w:left="380"/>
              <w:rPr>
                <w:sz w:val="20"/>
                <w:szCs w:val="20"/>
              </w:rPr>
            </w:pPr>
            <w:r>
              <w:rPr>
                <w:rFonts w:eastAsia="Times New Roman"/>
                <w:b/>
                <w:bCs/>
                <w:sz w:val="20"/>
                <w:szCs w:val="20"/>
              </w:rPr>
              <w:t>Sample Size</w:t>
            </w:r>
          </w:p>
        </w:tc>
        <w:tc>
          <w:tcPr>
            <w:tcW w:w="5460" w:type="dxa"/>
            <w:tcBorders>
              <w:top w:val="single" w:sz="8" w:space="0" w:color="auto"/>
            </w:tcBorders>
            <w:vAlign w:val="bottom"/>
          </w:tcPr>
          <w:p w:rsidR="000C2ED5" w:rsidRDefault="00485212">
            <w:pPr>
              <w:ind w:left="2160"/>
              <w:rPr>
                <w:sz w:val="20"/>
                <w:szCs w:val="20"/>
              </w:rPr>
            </w:pPr>
            <w:r>
              <w:rPr>
                <w:rFonts w:eastAsia="Times New Roman"/>
                <w:b/>
                <w:bCs/>
                <w:sz w:val="20"/>
                <w:szCs w:val="20"/>
              </w:rPr>
              <w:t>Main Findings</w:t>
            </w:r>
          </w:p>
        </w:tc>
        <w:tc>
          <w:tcPr>
            <w:tcW w:w="12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Quality</w:t>
            </w:r>
          </w:p>
        </w:tc>
      </w:tr>
      <w:tr w:rsidR="000C2ED5">
        <w:trPr>
          <w:trHeight w:val="461"/>
        </w:trPr>
        <w:tc>
          <w:tcPr>
            <w:tcW w:w="20" w:type="dxa"/>
            <w:vAlign w:val="bottom"/>
          </w:tcPr>
          <w:p w:rsidR="000C2ED5" w:rsidRDefault="000C2ED5">
            <w:pPr>
              <w:rPr>
                <w:sz w:val="24"/>
                <w:szCs w:val="24"/>
              </w:rPr>
            </w:pPr>
          </w:p>
        </w:tc>
        <w:tc>
          <w:tcPr>
            <w:tcW w:w="1100" w:type="dxa"/>
            <w:vAlign w:val="bottom"/>
          </w:tcPr>
          <w:p w:rsidR="000C2ED5" w:rsidRDefault="00485212">
            <w:pPr>
              <w:ind w:left="360"/>
              <w:rPr>
                <w:sz w:val="20"/>
                <w:szCs w:val="20"/>
              </w:rPr>
            </w:pPr>
            <w:r>
              <w:rPr>
                <w:rFonts w:eastAsia="Times New Roman"/>
                <w:b/>
                <w:bCs/>
                <w:sz w:val="20"/>
                <w:szCs w:val="20"/>
              </w:rPr>
              <w:t>Date</w:t>
            </w:r>
          </w:p>
        </w:tc>
        <w:tc>
          <w:tcPr>
            <w:tcW w:w="1120" w:type="dxa"/>
            <w:vAlign w:val="bottom"/>
          </w:tcPr>
          <w:p w:rsidR="000C2ED5" w:rsidRDefault="00485212">
            <w:pPr>
              <w:ind w:left="20"/>
              <w:jc w:val="center"/>
              <w:rPr>
                <w:sz w:val="20"/>
                <w:szCs w:val="20"/>
              </w:rPr>
            </w:pPr>
            <w:r>
              <w:rPr>
                <w:rFonts w:eastAsia="Times New Roman"/>
                <w:b/>
                <w:bCs/>
                <w:w w:val="96"/>
                <w:sz w:val="20"/>
                <w:szCs w:val="20"/>
              </w:rPr>
              <w:t>Design</w:t>
            </w:r>
          </w:p>
        </w:tc>
        <w:tc>
          <w:tcPr>
            <w:tcW w:w="1400" w:type="dxa"/>
            <w:vAlign w:val="bottom"/>
          </w:tcPr>
          <w:p w:rsidR="000C2ED5" w:rsidRDefault="00485212">
            <w:pPr>
              <w:ind w:left="40"/>
              <w:jc w:val="center"/>
              <w:rPr>
                <w:sz w:val="20"/>
                <w:szCs w:val="20"/>
              </w:rPr>
            </w:pPr>
            <w:r>
              <w:rPr>
                <w:rFonts w:eastAsia="Times New Roman"/>
                <w:b/>
                <w:bCs/>
                <w:w w:val="96"/>
                <w:sz w:val="20"/>
                <w:szCs w:val="20"/>
              </w:rPr>
              <w:t>Type</w:t>
            </w:r>
          </w:p>
        </w:tc>
        <w:tc>
          <w:tcPr>
            <w:tcW w:w="2200" w:type="dxa"/>
            <w:vAlign w:val="bottom"/>
          </w:tcPr>
          <w:p w:rsidR="000C2ED5" w:rsidRDefault="00485212">
            <w:pPr>
              <w:ind w:left="40"/>
              <w:jc w:val="center"/>
              <w:rPr>
                <w:sz w:val="20"/>
                <w:szCs w:val="20"/>
              </w:rPr>
            </w:pPr>
            <w:r>
              <w:rPr>
                <w:rFonts w:eastAsia="Times New Roman"/>
                <w:b/>
                <w:bCs/>
                <w:w w:val="97"/>
                <w:sz w:val="20"/>
                <w:szCs w:val="20"/>
              </w:rPr>
              <w:t>completion/</w:t>
            </w: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Assessment</w:t>
            </w:r>
          </w:p>
        </w:tc>
      </w:tr>
      <w:tr w:rsidR="000C2ED5">
        <w:trPr>
          <w:trHeight w:val="458"/>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485212">
            <w:pPr>
              <w:ind w:left="40"/>
              <w:jc w:val="center"/>
              <w:rPr>
                <w:sz w:val="20"/>
                <w:szCs w:val="20"/>
              </w:rPr>
            </w:pPr>
            <w:r>
              <w:rPr>
                <w:rFonts w:eastAsia="Times New Roman"/>
                <w:b/>
                <w:bCs/>
                <w:w w:val="99"/>
                <w:sz w:val="20"/>
                <w:szCs w:val="20"/>
              </w:rPr>
              <w:t>Engagement</w:t>
            </w: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score</w:t>
            </w:r>
          </w:p>
        </w:tc>
      </w:tr>
      <w:tr w:rsidR="000C2ED5">
        <w:trPr>
          <w:trHeight w:val="234"/>
        </w:trPr>
        <w:tc>
          <w:tcPr>
            <w:tcW w:w="20" w:type="dxa"/>
            <w:vAlign w:val="bottom"/>
          </w:tcPr>
          <w:p w:rsidR="000C2ED5" w:rsidRDefault="000C2ED5">
            <w:pPr>
              <w:rPr>
                <w:sz w:val="20"/>
                <w:szCs w:val="20"/>
              </w:rPr>
            </w:pPr>
          </w:p>
        </w:tc>
        <w:tc>
          <w:tcPr>
            <w:tcW w:w="1100" w:type="dxa"/>
            <w:tcBorders>
              <w:bottom w:val="single" w:sz="8" w:space="0" w:color="auto"/>
            </w:tcBorders>
            <w:vAlign w:val="bottom"/>
          </w:tcPr>
          <w:p w:rsidR="000C2ED5" w:rsidRDefault="000C2ED5">
            <w:pPr>
              <w:rPr>
                <w:sz w:val="20"/>
                <w:szCs w:val="20"/>
              </w:rPr>
            </w:pPr>
          </w:p>
        </w:tc>
        <w:tc>
          <w:tcPr>
            <w:tcW w:w="1120" w:type="dxa"/>
            <w:tcBorders>
              <w:bottom w:val="single" w:sz="8" w:space="0" w:color="auto"/>
            </w:tcBorders>
            <w:vAlign w:val="bottom"/>
          </w:tcPr>
          <w:p w:rsidR="000C2ED5" w:rsidRDefault="000C2ED5">
            <w:pPr>
              <w:rPr>
                <w:sz w:val="20"/>
                <w:szCs w:val="20"/>
              </w:rPr>
            </w:pPr>
          </w:p>
        </w:tc>
        <w:tc>
          <w:tcPr>
            <w:tcW w:w="1400" w:type="dxa"/>
            <w:tcBorders>
              <w:bottom w:val="single" w:sz="8" w:space="0" w:color="auto"/>
            </w:tcBorders>
            <w:vAlign w:val="bottom"/>
          </w:tcPr>
          <w:p w:rsidR="000C2ED5" w:rsidRDefault="000C2ED5">
            <w:pPr>
              <w:rPr>
                <w:sz w:val="20"/>
                <w:szCs w:val="20"/>
              </w:rPr>
            </w:pPr>
          </w:p>
        </w:tc>
        <w:tc>
          <w:tcPr>
            <w:tcW w:w="2200" w:type="dxa"/>
            <w:tcBorders>
              <w:bottom w:val="single" w:sz="8" w:space="0" w:color="auto"/>
            </w:tcBorders>
            <w:vAlign w:val="bottom"/>
          </w:tcPr>
          <w:p w:rsidR="000C2ED5" w:rsidRDefault="000C2ED5">
            <w:pPr>
              <w:rPr>
                <w:sz w:val="20"/>
                <w:szCs w:val="20"/>
              </w:rPr>
            </w:pPr>
          </w:p>
        </w:tc>
        <w:tc>
          <w:tcPr>
            <w:tcW w:w="2000" w:type="dxa"/>
            <w:tcBorders>
              <w:bottom w:val="single" w:sz="8" w:space="0" w:color="auto"/>
            </w:tcBorders>
            <w:vAlign w:val="bottom"/>
          </w:tcPr>
          <w:p w:rsidR="000C2ED5" w:rsidRDefault="000C2ED5">
            <w:pPr>
              <w:rPr>
                <w:sz w:val="20"/>
                <w:szCs w:val="20"/>
              </w:rPr>
            </w:pPr>
          </w:p>
        </w:tc>
        <w:tc>
          <w:tcPr>
            <w:tcW w:w="1660" w:type="dxa"/>
            <w:tcBorders>
              <w:bottom w:val="single" w:sz="8" w:space="0" w:color="auto"/>
            </w:tcBorders>
            <w:vAlign w:val="bottom"/>
          </w:tcPr>
          <w:p w:rsidR="000C2ED5" w:rsidRDefault="000C2ED5">
            <w:pPr>
              <w:rPr>
                <w:sz w:val="20"/>
                <w:szCs w:val="20"/>
              </w:rPr>
            </w:pPr>
          </w:p>
        </w:tc>
        <w:tc>
          <w:tcPr>
            <w:tcW w:w="5460" w:type="dxa"/>
            <w:tcBorders>
              <w:bottom w:val="single" w:sz="8" w:space="0" w:color="auto"/>
            </w:tcBorders>
            <w:vAlign w:val="bottom"/>
          </w:tcPr>
          <w:p w:rsidR="000C2ED5" w:rsidRDefault="000C2ED5">
            <w:pPr>
              <w:rPr>
                <w:sz w:val="20"/>
                <w:szCs w:val="20"/>
              </w:rPr>
            </w:pPr>
          </w:p>
        </w:tc>
        <w:tc>
          <w:tcPr>
            <w:tcW w:w="1220" w:type="dxa"/>
            <w:tcBorders>
              <w:bottom w:val="single" w:sz="8" w:space="0" w:color="auto"/>
            </w:tcBorders>
            <w:vAlign w:val="bottom"/>
          </w:tcPr>
          <w:p w:rsidR="000C2ED5" w:rsidRDefault="000C2ED5">
            <w:pPr>
              <w:rPr>
                <w:sz w:val="20"/>
                <w:szCs w:val="20"/>
              </w:rPr>
            </w:pPr>
          </w:p>
        </w:tc>
      </w:tr>
      <w:tr w:rsidR="000C2ED5">
        <w:trPr>
          <w:trHeight w:val="212"/>
        </w:trPr>
        <w:tc>
          <w:tcPr>
            <w:tcW w:w="20" w:type="dxa"/>
            <w:vAlign w:val="bottom"/>
          </w:tcPr>
          <w:p w:rsidR="000C2ED5" w:rsidRDefault="000C2ED5">
            <w:pPr>
              <w:rPr>
                <w:sz w:val="18"/>
                <w:szCs w:val="18"/>
              </w:rPr>
            </w:pPr>
          </w:p>
        </w:tc>
        <w:tc>
          <w:tcPr>
            <w:tcW w:w="1100" w:type="dxa"/>
            <w:vAlign w:val="bottom"/>
          </w:tcPr>
          <w:p w:rsidR="000C2ED5" w:rsidRDefault="00485212">
            <w:pPr>
              <w:spacing w:line="211" w:lineRule="exact"/>
              <w:ind w:left="100"/>
              <w:rPr>
                <w:sz w:val="20"/>
                <w:szCs w:val="20"/>
              </w:rPr>
            </w:pPr>
            <w:r>
              <w:rPr>
                <w:rFonts w:eastAsia="Times New Roman"/>
                <w:sz w:val="20"/>
                <w:szCs w:val="20"/>
              </w:rPr>
              <w:t>Falkin</w:t>
            </w:r>
          </w:p>
        </w:tc>
        <w:tc>
          <w:tcPr>
            <w:tcW w:w="1120" w:type="dxa"/>
            <w:vAlign w:val="bottom"/>
          </w:tcPr>
          <w:p w:rsidR="000C2ED5" w:rsidRDefault="00485212">
            <w:pPr>
              <w:spacing w:line="211" w:lineRule="exact"/>
              <w:ind w:left="120"/>
              <w:rPr>
                <w:sz w:val="20"/>
                <w:szCs w:val="20"/>
              </w:rPr>
            </w:pPr>
            <w:r>
              <w:rPr>
                <w:rFonts w:eastAsia="Times New Roman"/>
                <w:sz w:val="20"/>
                <w:szCs w:val="20"/>
              </w:rPr>
              <w:t>methods</w:t>
            </w:r>
          </w:p>
        </w:tc>
        <w:tc>
          <w:tcPr>
            <w:tcW w:w="1400" w:type="dxa"/>
            <w:vAlign w:val="bottom"/>
          </w:tcPr>
          <w:p w:rsidR="000C2ED5" w:rsidRDefault="00485212">
            <w:pPr>
              <w:spacing w:line="211" w:lineRule="exact"/>
              <w:ind w:left="220"/>
              <w:rPr>
                <w:sz w:val="20"/>
                <w:szCs w:val="20"/>
              </w:rPr>
            </w:pPr>
            <w:r>
              <w:rPr>
                <w:rFonts w:eastAsia="Times New Roman"/>
                <w:sz w:val="20"/>
                <w:szCs w:val="20"/>
              </w:rPr>
              <w:t>treatment</w:t>
            </w:r>
          </w:p>
        </w:tc>
        <w:tc>
          <w:tcPr>
            <w:tcW w:w="2200" w:type="dxa"/>
            <w:vAlign w:val="bottom"/>
          </w:tcPr>
          <w:p w:rsidR="000C2ED5" w:rsidRDefault="00485212">
            <w:pPr>
              <w:spacing w:line="211" w:lineRule="exact"/>
              <w:ind w:left="140"/>
              <w:rPr>
                <w:sz w:val="20"/>
                <w:szCs w:val="20"/>
              </w:rPr>
            </w:pPr>
            <w:r>
              <w:rPr>
                <w:rFonts w:eastAsia="Times New Roman"/>
                <w:sz w:val="20"/>
                <w:szCs w:val="20"/>
              </w:rPr>
              <w:t>those who quite the</w:t>
            </w:r>
          </w:p>
        </w:tc>
        <w:tc>
          <w:tcPr>
            <w:tcW w:w="2000" w:type="dxa"/>
            <w:vAlign w:val="bottom"/>
          </w:tcPr>
          <w:p w:rsidR="000C2ED5" w:rsidRDefault="00485212">
            <w:pPr>
              <w:spacing w:line="211" w:lineRule="exact"/>
              <w:ind w:left="200"/>
              <w:rPr>
                <w:sz w:val="20"/>
                <w:szCs w:val="20"/>
              </w:rPr>
            </w:pPr>
            <w:r>
              <w:rPr>
                <w:rFonts w:eastAsia="Times New Roman"/>
                <w:sz w:val="20"/>
                <w:szCs w:val="20"/>
              </w:rPr>
              <w:t>and against</w:t>
            </w:r>
          </w:p>
        </w:tc>
        <w:tc>
          <w:tcPr>
            <w:tcW w:w="1660" w:type="dxa"/>
            <w:vAlign w:val="bottom"/>
          </w:tcPr>
          <w:p w:rsidR="000C2ED5" w:rsidRDefault="00485212">
            <w:pPr>
              <w:spacing w:line="211" w:lineRule="exact"/>
              <w:ind w:left="120"/>
              <w:rPr>
                <w:sz w:val="20"/>
                <w:szCs w:val="20"/>
              </w:rPr>
            </w:pPr>
            <w:r>
              <w:rPr>
                <w:rFonts w:eastAsia="Times New Roman"/>
                <w:sz w:val="20"/>
                <w:szCs w:val="20"/>
              </w:rPr>
              <w:t>prisoners</w:t>
            </w:r>
          </w:p>
        </w:tc>
        <w:tc>
          <w:tcPr>
            <w:tcW w:w="5460" w:type="dxa"/>
            <w:vAlign w:val="bottom"/>
          </w:tcPr>
          <w:p w:rsidR="000C2ED5" w:rsidRDefault="00485212">
            <w:pPr>
              <w:spacing w:line="211" w:lineRule="exact"/>
              <w:ind w:left="240"/>
              <w:rPr>
                <w:sz w:val="20"/>
                <w:szCs w:val="20"/>
              </w:rPr>
            </w:pPr>
            <w:r>
              <w:rPr>
                <w:rFonts w:eastAsia="Times New Roman"/>
                <w:sz w:val="20"/>
                <w:szCs w:val="20"/>
              </w:rPr>
              <w:t>need for help and a wish to avoid the general prison population</w:t>
            </w:r>
          </w:p>
        </w:tc>
        <w:tc>
          <w:tcPr>
            <w:tcW w:w="1220" w:type="dxa"/>
            <w:vAlign w:val="bottom"/>
          </w:tcPr>
          <w:p w:rsidR="000C2ED5" w:rsidRDefault="000C2ED5">
            <w:pPr>
              <w:rPr>
                <w:sz w:val="18"/>
                <w:szCs w:val="18"/>
              </w:rPr>
            </w:pPr>
          </w:p>
        </w:tc>
      </w:tr>
      <w:tr w:rsidR="000C2ED5">
        <w:trPr>
          <w:trHeight w:val="461"/>
        </w:trPr>
        <w:tc>
          <w:tcPr>
            <w:tcW w:w="20" w:type="dxa"/>
            <w:vAlign w:val="bottom"/>
          </w:tcPr>
          <w:p w:rsidR="000C2ED5" w:rsidRDefault="000C2ED5">
            <w:pPr>
              <w:rPr>
                <w:sz w:val="24"/>
                <w:szCs w:val="24"/>
              </w:rPr>
            </w:pPr>
          </w:p>
        </w:tc>
        <w:tc>
          <w:tcPr>
            <w:tcW w:w="1100" w:type="dxa"/>
            <w:vAlign w:val="bottom"/>
          </w:tcPr>
          <w:p w:rsidR="000C2ED5" w:rsidRDefault="00485212">
            <w:pPr>
              <w:ind w:left="100"/>
              <w:rPr>
                <w:sz w:val="20"/>
                <w:szCs w:val="20"/>
              </w:rPr>
            </w:pPr>
            <w:r>
              <w:rPr>
                <w:rFonts w:eastAsia="Times New Roman"/>
                <w:sz w:val="20"/>
                <w:szCs w:val="20"/>
              </w:rPr>
              <w:t>(2000)</w:t>
            </w: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485212">
            <w:pPr>
              <w:ind w:left="140"/>
              <w:rPr>
                <w:sz w:val="20"/>
                <w:szCs w:val="20"/>
              </w:rPr>
            </w:pPr>
            <w:r>
              <w:rPr>
                <w:rFonts w:eastAsia="Times New Roman"/>
                <w:sz w:val="20"/>
                <w:szCs w:val="20"/>
              </w:rPr>
              <w:t>programme or received</w:t>
            </w:r>
          </w:p>
        </w:tc>
        <w:tc>
          <w:tcPr>
            <w:tcW w:w="2000" w:type="dxa"/>
            <w:vAlign w:val="bottom"/>
          </w:tcPr>
          <w:p w:rsidR="000C2ED5" w:rsidRDefault="00485212">
            <w:pPr>
              <w:ind w:left="200"/>
              <w:rPr>
                <w:sz w:val="20"/>
                <w:szCs w:val="20"/>
              </w:rPr>
            </w:pPr>
            <w:r>
              <w:rPr>
                <w:rFonts w:eastAsia="Times New Roman"/>
                <w:sz w:val="20"/>
                <w:szCs w:val="20"/>
              </w:rPr>
              <w:t>completion of a drug</w:t>
            </w:r>
          </w:p>
        </w:tc>
        <w:tc>
          <w:tcPr>
            <w:tcW w:w="1660" w:type="dxa"/>
            <w:vAlign w:val="bottom"/>
          </w:tcPr>
          <w:p w:rsidR="000C2ED5" w:rsidRDefault="00485212">
            <w:pPr>
              <w:ind w:left="120"/>
              <w:rPr>
                <w:sz w:val="20"/>
                <w:szCs w:val="20"/>
              </w:rPr>
            </w:pPr>
            <w:r>
              <w:rPr>
                <w:rFonts w:eastAsia="Times New Roman"/>
                <w:sz w:val="20"/>
                <w:szCs w:val="20"/>
              </w:rPr>
              <w:t>(completers=55;</w:t>
            </w:r>
          </w:p>
        </w:tc>
        <w:tc>
          <w:tcPr>
            <w:tcW w:w="5460" w:type="dxa"/>
            <w:vAlign w:val="bottom"/>
          </w:tcPr>
          <w:p w:rsidR="000C2ED5" w:rsidRDefault="00485212">
            <w:pPr>
              <w:ind w:left="240"/>
              <w:rPr>
                <w:sz w:val="20"/>
                <w:szCs w:val="20"/>
              </w:rPr>
            </w:pPr>
            <w:r>
              <w:rPr>
                <w:rFonts w:eastAsia="Times New Roman"/>
                <w:sz w:val="20"/>
                <w:szCs w:val="20"/>
              </w:rPr>
              <w:t>facilitated engagement in treatment. Wanting to complete</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485212">
            <w:pPr>
              <w:ind w:left="140"/>
              <w:rPr>
                <w:sz w:val="20"/>
                <w:szCs w:val="20"/>
              </w:rPr>
            </w:pPr>
            <w:r>
              <w:rPr>
                <w:rFonts w:eastAsia="Times New Roman"/>
                <w:sz w:val="20"/>
                <w:szCs w:val="20"/>
              </w:rPr>
              <w:t>an administrative</w:t>
            </w:r>
          </w:p>
        </w:tc>
        <w:tc>
          <w:tcPr>
            <w:tcW w:w="2000" w:type="dxa"/>
            <w:vAlign w:val="bottom"/>
          </w:tcPr>
          <w:p w:rsidR="000C2ED5" w:rsidRDefault="00485212">
            <w:pPr>
              <w:ind w:left="200"/>
              <w:rPr>
                <w:sz w:val="20"/>
                <w:szCs w:val="20"/>
              </w:rPr>
            </w:pPr>
            <w:r>
              <w:rPr>
                <w:rFonts w:eastAsia="Times New Roman"/>
                <w:sz w:val="20"/>
                <w:szCs w:val="20"/>
              </w:rPr>
              <w:t>user treatment</w:t>
            </w:r>
          </w:p>
        </w:tc>
        <w:tc>
          <w:tcPr>
            <w:tcW w:w="1660" w:type="dxa"/>
            <w:vAlign w:val="bottom"/>
          </w:tcPr>
          <w:p w:rsidR="000C2ED5" w:rsidRDefault="00485212">
            <w:pPr>
              <w:ind w:left="120"/>
              <w:rPr>
                <w:sz w:val="20"/>
                <w:szCs w:val="20"/>
              </w:rPr>
            </w:pPr>
            <w:r>
              <w:rPr>
                <w:rFonts w:eastAsia="Times New Roman"/>
                <w:sz w:val="20"/>
                <w:szCs w:val="20"/>
              </w:rPr>
              <w:t>non-</w:t>
            </w:r>
          </w:p>
        </w:tc>
        <w:tc>
          <w:tcPr>
            <w:tcW w:w="5460" w:type="dxa"/>
            <w:vAlign w:val="bottom"/>
          </w:tcPr>
          <w:p w:rsidR="000C2ED5" w:rsidRDefault="00485212">
            <w:pPr>
              <w:ind w:left="240"/>
              <w:rPr>
                <w:sz w:val="20"/>
                <w:szCs w:val="20"/>
              </w:rPr>
            </w:pPr>
            <w:r>
              <w:rPr>
                <w:rFonts w:eastAsia="Times New Roman"/>
                <w:sz w:val="20"/>
                <w:szCs w:val="20"/>
              </w:rPr>
              <w:t>treatment in order to achieve a sense of pride was also noted.</w:t>
            </w:r>
          </w:p>
        </w:tc>
        <w:tc>
          <w:tcPr>
            <w:tcW w:w="1220" w:type="dxa"/>
            <w:vAlign w:val="bottom"/>
          </w:tcPr>
          <w:p w:rsidR="000C2ED5" w:rsidRDefault="000C2ED5">
            <w:pPr>
              <w:rPr>
                <w:sz w:val="24"/>
                <w:szCs w:val="24"/>
              </w:rPr>
            </w:pPr>
          </w:p>
        </w:tc>
      </w:tr>
      <w:tr w:rsidR="000C2ED5">
        <w:trPr>
          <w:trHeight w:val="458"/>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485212">
            <w:pPr>
              <w:ind w:left="140"/>
              <w:rPr>
                <w:sz w:val="20"/>
                <w:szCs w:val="20"/>
              </w:rPr>
            </w:pPr>
            <w:r>
              <w:rPr>
                <w:rFonts w:eastAsia="Times New Roman"/>
                <w:sz w:val="20"/>
                <w:szCs w:val="20"/>
              </w:rPr>
              <w:t>discharge.</w:t>
            </w:r>
          </w:p>
        </w:tc>
        <w:tc>
          <w:tcPr>
            <w:tcW w:w="2000" w:type="dxa"/>
            <w:vAlign w:val="bottom"/>
          </w:tcPr>
          <w:p w:rsidR="000C2ED5" w:rsidRDefault="00485212">
            <w:pPr>
              <w:ind w:left="200"/>
              <w:rPr>
                <w:sz w:val="20"/>
                <w:szCs w:val="20"/>
              </w:rPr>
            </w:pPr>
            <w:r>
              <w:rPr>
                <w:rFonts w:eastAsia="Times New Roman"/>
                <w:sz w:val="20"/>
                <w:szCs w:val="20"/>
              </w:rPr>
              <w:t>programme.</w:t>
            </w:r>
          </w:p>
        </w:tc>
        <w:tc>
          <w:tcPr>
            <w:tcW w:w="1660" w:type="dxa"/>
            <w:vAlign w:val="bottom"/>
          </w:tcPr>
          <w:p w:rsidR="000C2ED5" w:rsidRDefault="00485212">
            <w:pPr>
              <w:ind w:left="120"/>
              <w:rPr>
                <w:sz w:val="20"/>
                <w:szCs w:val="20"/>
              </w:rPr>
            </w:pPr>
            <w:r>
              <w:rPr>
                <w:rFonts w:eastAsia="Times New Roman"/>
                <w:sz w:val="20"/>
                <w:szCs w:val="20"/>
              </w:rPr>
              <w:t>completers=46)</w:t>
            </w:r>
          </w:p>
        </w:tc>
        <w:tc>
          <w:tcPr>
            <w:tcW w:w="5460" w:type="dxa"/>
            <w:vAlign w:val="bottom"/>
          </w:tcPr>
          <w:p w:rsidR="000C2ED5" w:rsidRDefault="00485212">
            <w:pPr>
              <w:ind w:left="240"/>
              <w:rPr>
                <w:sz w:val="20"/>
                <w:szCs w:val="20"/>
              </w:rPr>
            </w:pPr>
            <w:r>
              <w:rPr>
                <w:rFonts w:eastAsia="Times New Roman"/>
                <w:sz w:val="20"/>
                <w:szCs w:val="20"/>
              </w:rPr>
              <w:t xml:space="preserve">Perceiving </w:t>
            </w:r>
            <w:r>
              <w:rPr>
                <w:rFonts w:eastAsia="Times New Roman"/>
                <w:sz w:val="20"/>
                <w:szCs w:val="20"/>
              </w:rPr>
              <w:t>the programme rules as unfair was noted to result in</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feelings of victimisation and thus dropout. Feeling stressed,</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under too much pressure and having a negative perception of</w:t>
            </w:r>
          </w:p>
        </w:tc>
        <w:tc>
          <w:tcPr>
            <w:tcW w:w="1220" w:type="dxa"/>
            <w:vAlign w:val="bottom"/>
          </w:tcPr>
          <w:p w:rsidR="000C2ED5" w:rsidRDefault="000C2ED5">
            <w:pPr>
              <w:rPr>
                <w:sz w:val="24"/>
                <w:szCs w:val="24"/>
              </w:rPr>
            </w:pPr>
          </w:p>
        </w:tc>
      </w:tr>
      <w:tr w:rsidR="000C2ED5">
        <w:trPr>
          <w:trHeight w:val="458"/>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 xml:space="preserve">treatment was a reason for dropout. Others reported </w:t>
            </w:r>
            <w:r>
              <w:rPr>
                <w:rFonts w:eastAsia="Times New Roman"/>
                <w:sz w:val="20"/>
                <w:szCs w:val="20"/>
              </w:rPr>
              <w:t>feeling</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forced to attend</w:t>
            </w:r>
          </w:p>
        </w:tc>
        <w:tc>
          <w:tcPr>
            <w:tcW w:w="1220" w:type="dxa"/>
            <w:vAlign w:val="bottom"/>
          </w:tcPr>
          <w:p w:rsidR="000C2ED5" w:rsidRDefault="000C2ED5">
            <w:pPr>
              <w:rPr>
                <w:sz w:val="24"/>
                <w:szCs w:val="24"/>
              </w:rPr>
            </w:pPr>
          </w:p>
        </w:tc>
      </w:tr>
      <w:tr w:rsidR="000C2ED5">
        <w:trPr>
          <w:trHeight w:val="459"/>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i/>
                <w:iCs/>
                <w:sz w:val="20"/>
                <w:szCs w:val="20"/>
              </w:rPr>
              <w:t xml:space="preserve">External factor:  </w:t>
            </w:r>
            <w:r>
              <w:rPr>
                <w:rFonts w:eastAsia="Times New Roman"/>
                <w:sz w:val="20"/>
                <w:szCs w:val="20"/>
              </w:rPr>
              <w:t>Positive relationships with staff/peers were</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reasons for completion; negative relationships with staff/peers</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precipitated dropout. Participants who engaged in fighting and</w:t>
            </w:r>
          </w:p>
        </w:tc>
        <w:tc>
          <w:tcPr>
            <w:tcW w:w="1220" w:type="dxa"/>
            <w:vAlign w:val="bottom"/>
          </w:tcPr>
          <w:p w:rsidR="000C2ED5" w:rsidRDefault="000C2ED5">
            <w:pPr>
              <w:rPr>
                <w:sz w:val="24"/>
                <w:szCs w:val="24"/>
              </w:rPr>
            </w:pPr>
          </w:p>
        </w:tc>
      </w:tr>
      <w:tr w:rsidR="000C2ED5">
        <w:trPr>
          <w:trHeight w:val="458"/>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threatening behaviour towards others were removed from the</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100" w:type="dxa"/>
            <w:vAlign w:val="bottom"/>
          </w:tcPr>
          <w:p w:rsidR="000C2ED5" w:rsidRDefault="000C2ED5">
            <w:pPr>
              <w:rPr>
                <w:sz w:val="24"/>
                <w:szCs w:val="24"/>
              </w:rPr>
            </w:pPr>
          </w:p>
        </w:tc>
        <w:tc>
          <w:tcPr>
            <w:tcW w:w="1120" w:type="dxa"/>
            <w:vAlign w:val="bottom"/>
          </w:tcPr>
          <w:p w:rsidR="000C2ED5" w:rsidRDefault="000C2ED5">
            <w:pPr>
              <w:rPr>
                <w:sz w:val="24"/>
                <w:szCs w:val="24"/>
              </w:rPr>
            </w:pPr>
          </w:p>
        </w:tc>
        <w:tc>
          <w:tcPr>
            <w:tcW w:w="1400" w:type="dxa"/>
            <w:vAlign w:val="bottom"/>
          </w:tcPr>
          <w:p w:rsidR="000C2ED5" w:rsidRDefault="000C2ED5">
            <w:pPr>
              <w:rPr>
                <w:sz w:val="24"/>
                <w:szCs w:val="24"/>
              </w:rPr>
            </w:pPr>
          </w:p>
        </w:tc>
        <w:tc>
          <w:tcPr>
            <w:tcW w:w="2200" w:type="dxa"/>
            <w:vAlign w:val="bottom"/>
          </w:tcPr>
          <w:p w:rsidR="000C2ED5" w:rsidRDefault="000C2ED5">
            <w:pPr>
              <w:rPr>
                <w:sz w:val="24"/>
                <w:szCs w:val="24"/>
              </w:rPr>
            </w:pPr>
          </w:p>
        </w:tc>
        <w:tc>
          <w:tcPr>
            <w:tcW w:w="2000" w:type="dxa"/>
            <w:vAlign w:val="bottom"/>
          </w:tcPr>
          <w:p w:rsidR="000C2ED5" w:rsidRDefault="000C2ED5">
            <w:pPr>
              <w:rPr>
                <w:sz w:val="24"/>
                <w:szCs w:val="24"/>
              </w:rPr>
            </w:pPr>
          </w:p>
        </w:tc>
        <w:tc>
          <w:tcPr>
            <w:tcW w:w="166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programme.</w:t>
            </w:r>
          </w:p>
        </w:tc>
        <w:tc>
          <w:tcPr>
            <w:tcW w:w="1220" w:type="dxa"/>
            <w:vAlign w:val="bottom"/>
          </w:tcPr>
          <w:p w:rsidR="000C2ED5" w:rsidRDefault="000C2ED5">
            <w:pPr>
              <w:rPr>
                <w:sz w:val="24"/>
                <w:szCs w:val="24"/>
              </w:rPr>
            </w:pPr>
          </w:p>
        </w:tc>
      </w:tr>
      <w:tr w:rsidR="000C2ED5">
        <w:trPr>
          <w:trHeight w:val="920"/>
        </w:trPr>
        <w:tc>
          <w:tcPr>
            <w:tcW w:w="20" w:type="dxa"/>
            <w:vAlign w:val="bottom"/>
          </w:tcPr>
          <w:p w:rsidR="000C2ED5" w:rsidRDefault="000C2ED5">
            <w:pPr>
              <w:rPr>
                <w:sz w:val="24"/>
                <w:szCs w:val="24"/>
              </w:rPr>
            </w:pPr>
          </w:p>
        </w:tc>
        <w:tc>
          <w:tcPr>
            <w:tcW w:w="1100" w:type="dxa"/>
            <w:vAlign w:val="bottom"/>
          </w:tcPr>
          <w:p w:rsidR="000C2ED5" w:rsidRDefault="00485212">
            <w:pPr>
              <w:ind w:left="100"/>
              <w:rPr>
                <w:sz w:val="20"/>
                <w:szCs w:val="20"/>
              </w:rPr>
            </w:pPr>
            <w:r>
              <w:rPr>
                <w:rFonts w:eastAsia="Times New Roman"/>
                <w:sz w:val="20"/>
                <w:szCs w:val="20"/>
              </w:rPr>
              <w:t>Tetley et</w:t>
            </w:r>
          </w:p>
        </w:tc>
        <w:tc>
          <w:tcPr>
            <w:tcW w:w="1120" w:type="dxa"/>
            <w:vAlign w:val="bottom"/>
          </w:tcPr>
          <w:p w:rsidR="000C2ED5" w:rsidRDefault="00485212">
            <w:pPr>
              <w:ind w:left="120"/>
              <w:rPr>
                <w:sz w:val="20"/>
                <w:szCs w:val="20"/>
              </w:rPr>
            </w:pPr>
            <w:r>
              <w:rPr>
                <w:rFonts w:eastAsia="Times New Roman"/>
                <w:sz w:val="20"/>
                <w:szCs w:val="20"/>
              </w:rPr>
              <w:t>Mixed-</w:t>
            </w:r>
          </w:p>
        </w:tc>
        <w:tc>
          <w:tcPr>
            <w:tcW w:w="1400" w:type="dxa"/>
            <w:vAlign w:val="bottom"/>
          </w:tcPr>
          <w:p w:rsidR="000C2ED5" w:rsidRDefault="00485212">
            <w:pPr>
              <w:ind w:left="220"/>
              <w:rPr>
                <w:sz w:val="20"/>
                <w:szCs w:val="20"/>
              </w:rPr>
            </w:pPr>
            <w:r>
              <w:rPr>
                <w:rFonts w:eastAsia="Times New Roman"/>
                <w:sz w:val="20"/>
                <w:szCs w:val="20"/>
              </w:rPr>
              <w:t>Psychosocial</w:t>
            </w:r>
          </w:p>
        </w:tc>
        <w:tc>
          <w:tcPr>
            <w:tcW w:w="2200" w:type="dxa"/>
            <w:vAlign w:val="bottom"/>
          </w:tcPr>
          <w:p w:rsidR="000C2ED5" w:rsidRDefault="00485212">
            <w:pPr>
              <w:ind w:left="140"/>
              <w:rPr>
                <w:sz w:val="20"/>
                <w:szCs w:val="20"/>
              </w:rPr>
            </w:pPr>
            <w:r>
              <w:rPr>
                <w:rFonts w:eastAsia="Times New Roman"/>
                <w:sz w:val="20"/>
                <w:szCs w:val="20"/>
              </w:rPr>
              <w:t>None stated.</w:t>
            </w:r>
          </w:p>
        </w:tc>
        <w:tc>
          <w:tcPr>
            <w:tcW w:w="2000" w:type="dxa"/>
            <w:vAlign w:val="bottom"/>
          </w:tcPr>
          <w:p w:rsidR="000C2ED5" w:rsidRDefault="00485212">
            <w:pPr>
              <w:ind w:left="200"/>
              <w:rPr>
                <w:sz w:val="20"/>
                <w:szCs w:val="20"/>
              </w:rPr>
            </w:pPr>
            <w:r>
              <w:rPr>
                <w:rFonts w:eastAsia="Times New Roman"/>
                <w:sz w:val="20"/>
                <w:szCs w:val="20"/>
              </w:rPr>
              <w:t>Barriers to and</w:t>
            </w:r>
          </w:p>
        </w:tc>
        <w:tc>
          <w:tcPr>
            <w:tcW w:w="1660" w:type="dxa"/>
            <w:vAlign w:val="bottom"/>
          </w:tcPr>
          <w:p w:rsidR="000C2ED5" w:rsidRDefault="00485212">
            <w:pPr>
              <w:ind w:left="120"/>
              <w:rPr>
                <w:sz w:val="20"/>
                <w:szCs w:val="20"/>
              </w:rPr>
            </w:pPr>
            <w:r>
              <w:rPr>
                <w:rFonts w:eastAsia="Times New Roman"/>
                <w:sz w:val="20"/>
                <w:szCs w:val="20"/>
              </w:rPr>
              <w:t>19 non-forensic</w:t>
            </w:r>
          </w:p>
        </w:tc>
        <w:tc>
          <w:tcPr>
            <w:tcW w:w="5460" w:type="dxa"/>
            <w:vAlign w:val="bottom"/>
          </w:tcPr>
          <w:p w:rsidR="000C2ED5" w:rsidRDefault="00485212">
            <w:pPr>
              <w:ind w:left="240"/>
              <w:rPr>
                <w:sz w:val="20"/>
                <w:szCs w:val="20"/>
              </w:rPr>
            </w:pPr>
            <w:r>
              <w:rPr>
                <w:rFonts w:eastAsia="Times New Roman"/>
                <w:sz w:val="20"/>
                <w:szCs w:val="20"/>
              </w:rPr>
              <w:t>Barriers &amp; Facilitators to treatment engagement as identified by</w:t>
            </w:r>
          </w:p>
        </w:tc>
        <w:tc>
          <w:tcPr>
            <w:tcW w:w="1220" w:type="dxa"/>
            <w:vAlign w:val="bottom"/>
          </w:tcPr>
          <w:p w:rsidR="000C2ED5" w:rsidRDefault="00485212">
            <w:pPr>
              <w:jc w:val="center"/>
              <w:rPr>
                <w:sz w:val="20"/>
                <w:szCs w:val="20"/>
              </w:rPr>
            </w:pPr>
            <w:r>
              <w:rPr>
                <w:rFonts w:eastAsia="Times New Roman"/>
                <w:sz w:val="20"/>
                <w:szCs w:val="20"/>
              </w:rPr>
              <w:t>50%</w:t>
            </w:r>
          </w:p>
        </w:tc>
      </w:tr>
      <w:tr w:rsidR="000C2ED5">
        <w:trPr>
          <w:trHeight w:val="519"/>
        </w:trPr>
        <w:tc>
          <w:tcPr>
            <w:tcW w:w="20" w:type="dxa"/>
            <w:vAlign w:val="bottom"/>
          </w:tcPr>
          <w:p w:rsidR="000C2ED5" w:rsidRDefault="000C2ED5">
            <w:pPr>
              <w:rPr>
                <w:sz w:val="24"/>
                <w:szCs w:val="24"/>
              </w:rPr>
            </w:pPr>
          </w:p>
        </w:tc>
        <w:tc>
          <w:tcPr>
            <w:tcW w:w="1100" w:type="dxa"/>
            <w:vAlign w:val="bottom"/>
          </w:tcPr>
          <w:p w:rsidR="000C2ED5" w:rsidRDefault="00485212">
            <w:pPr>
              <w:ind w:left="100"/>
              <w:rPr>
                <w:sz w:val="20"/>
                <w:szCs w:val="20"/>
              </w:rPr>
            </w:pPr>
            <w:r>
              <w:rPr>
                <w:rFonts w:eastAsia="Times New Roman"/>
                <w:sz w:val="20"/>
                <w:szCs w:val="20"/>
              </w:rPr>
              <w:t>al. (2012)</w:t>
            </w:r>
            <w:r>
              <w:rPr>
                <w:rFonts w:eastAsia="Times New Roman"/>
                <w:sz w:val="25"/>
                <w:szCs w:val="25"/>
                <w:vertAlign w:val="superscript"/>
              </w:rPr>
              <w:t>a</w:t>
            </w:r>
          </w:p>
        </w:tc>
        <w:tc>
          <w:tcPr>
            <w:tcW w:w="1120" w:type="dxa"/>
            <w:vAlign w:val="bottom"/>
          </w:tcPr>
          <w:p w:rsidR="000C2ED5" w:rsidRDefault="00485212">
            <w:pPr>
              <w:ind w:left="120"/>
              <w:rPr>
                <w:sz w:val="20"/>
                <w:szCs w:val="20"/>
              </w:rPr>
            </w:pPr>
            <w:r>
              <w:rPr>
                <w:rFonts w:eastAsia="Times New Roman"/>
                <w:sz w:val="20"/>
                <w:szCs w:val="20"/>
              </w:rPr>
              <w:t>methods</w:t>
            </w:r>
          </w:p>
        </w:tc>
        <w:tc>
          <w:tcPr>
            <w:tcW w:w="1400" w:type="dxa"/>
            <w:vAlign w:val="bottom"/>
          </w:tcPr>
          <w:p w:rsidR="000C2ED5" w:rsidRDefault="00485212">
            <w:pPr>
              <w:ind w:left="220"/>
              <w:rPr>
                <w:sz w:val="20"/>
                <w:szCs w:val="20"/>
              </w:rPr>
            </w:pPr>
            <w:r>
              <w:rPr>
                <w:rFonts w:eastAsia="Times New Roman"/>
                <w:sz w:val="20"/>
                <w:szCs w:val="20"/>
              </w:rPr>
              <w:t>Therapy</w:t>
            </w:r>
          </w:p>
        </w:tc>
        <w:tc>
          <w:tcPr>
            <w:tcW w:w="2200" w:type="dxa"/>
            <w:vAlign w:val="bottom"/>
          </w:tcPr>
          <w:p w:rsidR="000C2ED5" w:rsidRDefault="000C2ED5">
            <w:pPr>
              <w:rPr>
                <w:sz w:val="24"/>
                <w:szCs w:val="24"/>
              </w:rPr>
            </w:pPr>
          </w:p>
        </w:tc>
        <w:tc>
          <w:tcPr>
            <w:tcW w:w="2000" w:type="dxa"/>
            <w:vAlign w:val="bottom"/>
          </w:tcPr>
          <w:p w:rsidR="000C2ED5" w:rsidRDefault="00485212">
            <w:pPr>
              <w:ind w:left="200"/>
              <w:rPr>
                <w:sz w:val="20"/>
                <w:szCs w:val="20"/>
              </w:rPr>
            </w:pPr>
            <w:r>
              <w:rPr>
                <w:rFonts w:eastAsia="Times New Roman"/>
                <w:sz w:val="20"/>
                <w:szCs w:val="20"/>
              </w:rPr>
              <w:t>facilitators to</w:t>
            </w:r>
          </w:p>
        </w:tc>
        <w:tc>
          <w:tcPr>
            <w:tcW w:w="1660" w:type="dxa"/>
            <w:vAlign w:val="bottom"/>
          </w:tcPr>
          <w:p w:rsidR="000C2ED5" w:rsidRDefault="00485212">
            <w:pPr>
              <w:ind w:left="120"/>
              <w:rPr>
                <w:sz w:val="20"/>
                <w:szCs w:val="20"/>
              </w:rPr>
            </w:pPr>
            <w:r>
              <w:rPr>
                <w:rFonts w:eastAsia="Times New Roman"/>
                <w:sz w:val="20"/>
                <w:szCs w:val="20"/>
              </w:rPr>
              <w:t>community</w:t>
            </w:r>
          </w:p>
        </w:tc>
        <w:tc>
          <w:tcPr>
            <w:tcW w:w="5460" w:type="dxa"/>
            <w:vAlign w:val="bottom"/>
          </w:tcPr>
          <w:p w:rsidR="000C2ED5" w:rsidRDefault="00485212">
            <w:pPr>
              <w:ind w:left="240"/>
              <w:rPr>
                <w:sz w:val="20"/>
                <w:szCs w:val="20"/>
              </w:rPr>
            </w:pPr>
            <w:r>
              <w:rPr>
                <w:rFonts w:eastAsia="Times New Roman"/>
                <w:sz w:val="20"/>
                <w:szCs w:val="20"/>
              </w:rPr>
              <w:t>the MORM:</w:t>
            </w:r>
          </w:p>
        </w:tc>
        <w:tc>
          <w:tcPr>
            <w:tcW w:w="1220" w:type="dxa"/>
            <w:vAlign w:val="bottom"/>
          </w:tcPr>
          <w:p w:rsidR="000C2ED5" w:rsidRDefault="000C2ED5">
            <w:pPr>
              <w:rPr>
                <w:sz w:val="24"/>
                <w:szCs w:val="24"/>
              </w:rPr>
            </w:pPr>
          </w:p>
        </w:tc>
      </w:tr>
      <w:tr w:rsidR="000C2ED5">
        <w:trPr>
          <w:trHeight w:val="181"/>
        </w:trPr>
        <w:tc>
          <w:tcPr>
            <w:tcW w:w="20" w:type="dxa"/>
            <w:tcBorders>
              <w:bottom w:val="single" w:sz="8" w:space="0" w:color="auto"/>
            </w:tcBorders>
            <w:vAlign w:val="bottom"/>
          </w:tcPr>
          <w:p w:rsidR="000C2ED5" w:rsidRDefault="000C2ED5">
            <w:pPr>
              <w:rPr>
                <w:sz w:val="15"/>
                <w:szCs w:val="15"/>
              </w:rPr>
            </w:pPr>
          </w:p>
        </w:tc>
        <w:tc>
          <w:tcPr>
            <w:tcW w:w="1100" w:type="dxa"/>
            <w:tcBorders>
              <w:bottom w:val="single" w:sz="8" w:space="0" w:color="auto"/>
            </w:tcBorders>
            <w:vAlign w:val="bottom"/>
          </w:tcPr>
          <w:p w:rsidR="000C2ED5" w:rsidRDefault="000C2ED5">
            <w:pPr>
              <w:rPr>
                <w:sz w:val="15"/>
                <w:szCs w:val="15"/>
              </w:rPr>
            </w:pPr>
          </w:p>
        </w:tc>
        <w:tc>
          <w:tcPr>
            <w:tcW w:w="1120" w:type="dxa"/>
            <w:tcBorders>
              <w:bottom w:val="single" w:sz="8" w:space="0" w:color="auto"/>
            </w:tcBorders>
            <w:vAlign w:val="bottom"/>
          </w:tcPr>
          <w:p w:rsidR="000C2ED5" w:rsidRDefault="000C2ED5">
            <w:pPr>
              <w:rPr>
                <w:sz w:val="15"/>
                <w:szCs w:val="15"/>
              </w:rPr>
            </w:pPr>
          </w:p>
        </w:tc>
        <w:tc>
          <w:tcPr>
            <w:tcW w:w="1400" w:type="dxa"/>
            <w:tcBorders>
              <w:bottom w:val="single" w:sz="8" w:space="0" w:color="auto"/>
            </w:tcBorders>
            <w:vAlign w:val="bottom"/>
          </w:tcPr>
          <w:p w:rsidR="000C2ED5" w:rsidRDefault="000C2ED5">
            <w:pPr>
              <w:rPr>
                <w:sz w:val="15"/>
                <w:szCs w:val="15"/>
              </w:rPr>
            </w:pPr>
          </w:p>
        </w:tc>
        <w:tc>
          <w:tcPr>
            <w:tcW w:w="2200" w:type="dxa"/>
            <w:tcBorders>
              <w:bottom w:val="single" w:sz="8" w:space="0" w:color="auto"/>
            </w:tcBorders>
            <w:vAlign w:val="bottom"/>
          </w:tcPr>
          <w:p w:rsidR="000C2ED5" w:rsidRDefault="000C2ED5">
            <w:pPr>
              <w:rPr>
                <w:sz w:val="15"/>
                <w:szCs w:val="15"/>
              </w:rPr>
            </w:pPr>
          </w:p>
        </w:tc>
        <w:tc>
          <w:tcPr>
            <w:tcW w:w="2000" w:type="dxa"/>
            <w:tcBorders>
              <w:bottom w:val="single" w:sz="8" w:space="0" w:color="auto"/>
            </w:tcBorders>
            <w:vAlign w:val="bottom"/>
          </w:tcPr>
          <w:p w:rsidR="000C2ED5" w:rsidRDefault="000C2ED5">
            <w:pPr>
              <w:rPr>
                <w:sz w:val="15"/>
                <w:szCs w:val="15"/>
              </w:rPr>
            </w:pPr>
          </w:p>
        </w:tc>
        <w:tc>
          <w:tcPr>
            <w:tcW w:w="1660" w:type="dxa"/>
            <w:tcBorders>
              <w:bottom w:val="single" w:sz="8" w:space="0" w:color="auto"/>
            </w:tcBorders>
            <w:vAlign w:val="bottom"/>
          </w:tcPr>
          <w:p w:rsidR="000C2ED5" w:rsidRDefault="000C2ED5">
            <w:pPr>
              <w:rPr>
                <w:sz w:val="15"/>
                <w:szCs w:val="15"/>
              </w:rPr>
            </w:pPr>
          </w:p>
        </w:tc>
        <w:tc>
          <w:tcPr>
            <w:tcW w:w="5460" w:type="dxa"/>
            <w:tcBorders>
              <w:bottom w:val="single" w:sz="8" w:space="0" w:color="auto"/>
            </w:tcBorders>
            <w:vAlign w:val="bottom"/>
          </w:tcPr>
          <w:p w:rsidR="000C2ED5" w:rsidRDefault="000C2ED5">
            <w:pPr>
              <w:rPr>
                <w:sz w:val="15"/>
                <w:szCs w:val="15"/>
              </w:rPr>
            </w:pPr>
          </w:p>
        </w:tc>
        <w:tc>
          <w:tcPr>
            <w:tcW w:w="1220" w:type="dxa"/>
            <w:tcBorders>
              <w:bottom w:val="single" w:sz="8" w:space="0" w:color="auto"/>
            </w:tcBorders>
            <w:vAlign w:val="bottom"/>
          </w:tcPr>
          <w:p w:rsidR="000C2ED5" w:rsidRDefault="000C2ED5">
            <w:pPr>
              <w:rPr>
                <w:sz w:val="15"/>
                <w:szCs w:val="15"/>
              </w:rPr>
            </w:pPr>
          </w:p>
        </w:tc>
      </w:tr>
    </w:tbl>
    <w:p w:rsidR="000C2ED5" w:rsidRDefault="000C2ED5">
      <w:pPr>
        <w:spacing w:line="200" w:lineRule="exact"/>
        <w:rPr>
          <w:sz w:val="20"/>
          <w:szCs w:val="20"/>
        </w:rPr>
      </w:pPr>
    </w:p>
    <w:p w:rsidR="000C2ED5" w:rsidRDefault="000C2ED5">
      <w:pPr>
        <w:spacing w:line="275" w:lineRule="exact"/>
        <w:rPr>
          <w:sz w:val="20"/>
          <w:szCs w:val="20"/>
        </w:rPr>
      </w:pPr>
    </w:p>
    <w:p w:rsidR="000C2ED5" w:rsidRDefault="00485212">
      <w:pPr>
        <w:ind w:left="14860"/>
        <w:rPr>
          <w:sz w:val="20"/>
          <w:szCs w:val="20"/>
        </w:rPr>
      </w:pPr>
      <w:r>
        <w:rPr>
          <w:rFonts w:eastAsia="Times New Roman"/>
        </w:rPr>
        <w:t>57</w:t>
      </w:r>
    </w:p>
    <w:p w:rsidR="000C2ED5" w:rsidRDefault="000C2ED5">
      <w:pPr>
        <w:sectPr w:rsidR="000C2ED5">
          <w:pgSz w:w="16840" w:h="11906" w:orient="landscape"/>
          <w:pgMar w:top="698" w:right="338" w:bottom="403" w:left="320" w:header="0" w:footer="0" w:gutter="0"/>
          <w:cols w:space="720" w:equalWidth="0">
            <w:col w:w="16180"/>
          </w:cols>
        </w:sectPr>
      </w:pPr>
    </w:p>
    <w:p w:rsidR="000C2ED5" w:rsidRDefault="00485212">
      <w:pPr>
        <w:ind w:left="1120"/>
        <w:rPr>
          <w:sz w:val="20"/>
          <w:szCs w:val="20"/>
        </w:rPr>
      </w:pPr>
      <w:bookmarkStart w:id="58" w:name="page59"/>
      <w:bookmarkEnd w:id="58"/>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200"/>
        <w:gridCol w:w="1080"/>
        <w:gridCol w:w="1460"/>
        <w:gridCol w:w="2040"/>
        <w:gridCol w:w="2020"/>
        <w:gridCol w:w="1680"/>
        <w:gridCol w:w="5460"/>
        <w:gridCol w:w="1220"/>
      </w:tblGrid>
      <w:tr w:rsidR="000C2ED5">
        <w:trPr>
          <w:trHeight w:val="236"/>
        </w:trPr>
        <w:tc>
          <w:tcPr>
            <w:tcW w:w="20" w:type="dxa"/>
            <w:vAlign w:val="bottom"/>
          </w:tcPr>
          <w:p w:rsidR="000C2ED5" w:rsidRDefault="000C2ED5">
            <w:pPr>
              <w:rPr>
                <w:sz w:val="20"/>
                <w:szCs w:val="20"/>
              </w:rPr>
            </w:pPr>
          </w:p>
        </w:tc>
        <w:tc>
          <w:tcPr>
            <w:tcW w:w="1200" w:type="dxa"/>
            <w:tcBorders>
              <w:top w:val="single" w:sz="8" w:space="0" w:color="auto"/>
            </w:tcBorders>
            <w:vAlign w:val="bottom"/>
          </w:tcPr>
          <w:p w:rsidR="000C2ED5" w:rsidRDefault="00485212">
            <w:pPr>
              <w:jc w:val="center"/>
              <w:rPr>
                <w:sz w:val="20"/>
                <w:szCs w:val="20"/>
              </w:rPr>
            </w:pPr>
            <w:r>
              <w:rPr>
                <w:rFonts w:eastAsia="Times New Roman"/>
                <w:b/>
                <w:bCs/>
                <w:sz w:val="20"/>
                <w:szCs w:val="20"/>
              </w:rPr>
              <w:t>Author &amp;</w:t>
            </w:r>
          </w:p>
        </w:tc>
        <w:tc>
          <w:tcPr>
            <w:tcW w:w="108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460" w:type="dxa"/>
            <w:tcBorders>
              <w:top w:val="single" w:sz="8" w:space="0" w:color="auto"/>
            </w:tcBorders>
            <w:vAlign w:val="bottom"/>
          </w:tcPr>
          <w:p w:rsidR="000C2ED5" w:rsidRDefault="00485212">
            <w:pPr>
              <w:jc w:val="center"/>
              <w:rPr>
                <w:sz w:val="20"/>
                <w:szCs w:val="20"/>
              </w:rPr>
            </w:pPr>
            <w:r>
              <w:rPr>
                <w:rFonts w:eastAsia="Times New Roman"/>
                <w:b/>
                <w:bCs/>
                <w:w w:val="98"/>
                <w:sz w:val="20"/>
                <w:szCs w:val="20"/>
              </w:rPr>
              <w:t>Treatment</w:t>
            </w:r>
          </w:p>
        </w:tc>
        <w:tc>
          <w:tcPr>
            <w:tcW w:w="204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Definition of non-</w:t>
            </w:r>
          </w:p>
        </w:tc>
        <w:tc>
          <w:tcPr>
            <w:tcW w:w="2020" w:type="dxa"/>
            <w:tcBorders>
              <w:top w:val="single" w:sz="8" w:space="0" w:color="auto"/>
            </w:tcBorders>
            <w:vAlign w:val="bottom"/>
          </w:tcPr>
          <w:p w:rsidR="000C2ED5" w:rsidRDefault="00485212">
            <w:pPr>
              <w:ind w:left="300"/>
              <w:rPr>
                <w:sz w:val="20"/>
                <w:szCs w:val="20"/>
              </w:rPr>
            </w:pPr>
            <w:r>
              <w:rPr>
                <w:rFonts w:eastAsia="Times New Roman"/>
                <w:b/>
                <w:bCs/>
                <w:sz w:val="20"/>
                <w:szCs w:val="20"/>
              </w:rPr>
              <w:t>Research Question</w:t>
            </w:r>
          </w:p>
        </w:tc>
        <w:tc>
          <w:tcPr>
            <w:tcW w:w="1680" w:type="dxa"/>
            <w:tcBorders>
              <w:top w:val="single" w:sz="8" w:space="0" w:color="auto"/>
            </w:tcBorders>
            <w:vAlign w:val="bottom"/>
          </w:tcPr>
          <w:p w:rsidR="000C2ED5" w:rsidRDefault="00485212">
            <w:pPr>
              <w:ind w:left="400"/>
              <w:rPr>
                <w:sz w:val="20"/>
                <w:szCs w:val="20"/>
              </w:rPr>
            </w:pPr>
            <w:r>
              <w:rPr>
                <w:rFonts w:eastAsia="Times New Roman"/>
                <w:b/>
                <w:bCs/>
                <w:sz w:val="20"/>
                <w:szCs w:val="20"/>
              </w:rPr>
              <w:t>Sample Size</w:t>
            </w:r>
          </w:p>
        </w:tc>
        <w:tc>
          <w:tcPr>
            <w:tcW w:w="5460" w:type="dxa"/>
            <w:tcBorders>
              <w:top w:val="single" w:sz="8" w:space="0" w:color="auto"/>
            </w:tcBorders>
            <w:vAlign w:val="bottom"/>
          </w:tcPr>
          <w:p w:rsidR="000C2ED5" w:rsidRDefault="00485212">
            <w:pPr>
              <w:ind w:left="2160"/>
              <w:rPr>
                <w:sz w:val="20"/>
                <w:szCs w:val="20"/>
              </w:rPr>
            </w:pPr>
            <w:r>
              <w:rPr>
                <w:rFonts w:eastAsia="Times New Roman"/>
                <w:b/>
                <w:bCs/>
                <w:sz w:val="20"/>
                <w:szCs w:val="20"/>
              </w:rPr>
              <w:t>Main Findings</w:t>
            </w:r>
          </w:p>
        </w:tc>
        <w:tc>
          <w:tcPr>
            <w:tcW w:w="12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Quality</w:t>
            </w: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485212">
            <w:pPr>
              <w:jc w:val="center"/>
              <w:rPr>
                <w:sz w:val="20"/>
                <w:szCs w:val="20"/>
              </w:rPr>
            </w:pPr>
            <w:r>
              <w:rPr>
                <w:rFonts w:eastAsia="Times New Roman"/>
                <w:b/>
                <w:bCs/>
                <w:w w:val="99"/>
                <w:sz w:val="20"/>
                <w:szCs w:val="20"/>
              </w:rPr>
              <w:t>Date</w:t>
            </w:r>
          </w:p>
        </w:tc>
        <w:tc>
          <w:tcPr>
            <w:tcW w:w="1080" w:type="dxa"/>
            <w:vAlign w:val="bottom"/>
          </w:tcPr>
          <w:p w:rsidR="000C2ED5" w:rsidRDefault="00485212">
            <w:pPr>
              <w:jc w:val="center"/>
              <w:rPr>
                <w:sz w:val="20"/>
                <w:szCs w:val="20"/>
              </w:rPr>
            </w:pPr>
            <w:r>
              <w:rPr>
                <w:rFonts w:eastAsia="Times New Roman"/>
                <w:b/>
                <w:bCs/>
                <w:w w:val="96"/>
                <w:sz w:val="20"/>
                <w:szCs w:val="20"/>
              </w:rPr>
              <w:t>Design</w:t>
            </w:r>
          </w:p>
        </w:tc>
        <w:tc>
          <w:tcPr>
            <w:tcW w:w="1460" w:type="dxa"/>
            <w:vAlign w:val="bottom"/>
          </w:tcPr>
          <w:p w:rsidR="000C2ED5" w:rsidRDefault="00485212">
            <w:pPr>
              <w:jc w:val="center"/>
              <w:rPr>
                <w:sz w:val="20"/>
                <w:szCs w:val="20"/>
              </w:rPr>
            </w:pPr>
            <w:r>
              <w:rPr>
                <w:rFonts w:eastAsia="Times New Roman"/>
                <w:b/>
                <w:bCs/>
                <w:w w:val="96"/>
                <w:sz w:val="20"/>
                <w:szCs w:val="20"/>
              </w:rPr>
              <w:t>Type</w:t>
            </w:r>
          </w:p>
        </w:tc>
        <w:tc>
          <w:tcPr>
            <w:tcW w:w="2040" w:type="dxa"/>
            <w:vAlign w:val="bottom"/>
          </w:tcPr>
          <w:p w:rsidR="000C2ED5" w:rsidRDefault="00485212">
            <w:pPr>
              <w:jc w:val="center"/>
              <w:rPr>
                <w:sz w:val="20"/>
                <w:szCs w:val="20"/>
              </w:rPr>
            </w:pPr>
            <w:r>
              <w:rPr>
                <w:rFonts w:eastAsia="Times New Roman"/>
                <w:b/>
                <w:bCs/>
                <w:w w:val="97"/>
                <w:sz w:val="20"/>
                <w:szCs w:val="20"/>
              </w:rPr>
              <w:t>completion/</w:t>
            </w: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Assessment</w:t>
            </w:r>
          </w:p>
        </w:tc>
      </w:tr>
      <w:tr w:rsidR="000C2ED5">
        <w:trPr>
          <w:trHeight w:val="458"/>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485212">
            <w:pPr>
              <w:jc w:val="center"/>
              <w:rPr>
                <w:sz w:val="20"/>
                <w:szCs w:val="20"/>
              </w:rPr>
            </w:pPr>
            <w:r>
              <w:rPr>
                <w:rFonts w:eastAsia="Times New Roman"/>
                <w:b/>
                <w:bCs/>
                <w:w w:val="99"/>
                <w:sz w:val="20"/>
                <w:szCs w:val="20"/>
              </w:rPr>
              <w:t>Engagement</w:t>
            </w: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score</w:t>
            </w:r>
          </w:p>
        </w:tc>
      </w:tr>
      <w:tr w:rsidR="000C2ED5">
        <w:trPr>
          <w:trHeight w:val="234"/>
        </w:trPr>
        <w:tc>
          <w:tcPr>
            <w:tcW w:w="20" w:type="dxa"/>
            <w:vAlign w:val="bottom"/>
          </w:tcPr>
          <w:p w:rsidR="000C2ED5" w:rsidRDefault="000C2ED5">
            <w:pPr>
              <w:rPr>
                <w:sz w:val="20"/>
                <w:szCs w:val="20"/>
              </w:rPr>
            </w:pPr>
          </w:p>
        </w:tc>
        <w:tc>
          <w:tcPr>
            <w:tcW w:w="1200" w:type="dxa"/>
            <w:tcBorders>
              <w:bottom w:val="single" w:sz="8" w:space="0" w:color="auto"/>
            </w:tcBorders>
            <w:vAlign w:val="bottom"/>
          </w:tcPr>
          <w:p w:rsidR="000C2ED5" w:rsidRDefault="000C2ED5">
            <w:pPr>
              <w:rPr>
                <w:sz w:val="20"/>
                <w:szCs w:val="20"/>
              </w:rPr>
            </w:pPr>
          </w:p>
        </w:tc>
        <w:tc>
          <w:tcPr>
            <w:tcW w:w="1080" w:type="dxa"/>
            <w:tcBorders>
              <w:bottom w:val="single" w:sz="8" w:space="0" w:color="auto"/>
            </w:tcBorders>
            <w:vAlign w:val="bottom"/>
          </w:tcPr>
          <w:p w:rsidR="000C2ED5" w:rsidRDefault="000C2ED5">
            <w:pPr>
              <w:rPr>
                <w:sz w:val="20"/>
                <w:szCs w:val="20"/>
              </w:rPr>
            </w:pPr>
          </w:p>
        </w:tc>
        <w:tc>
          <w:tcPr>
            <w:tcW w:w="1460" w:type="dxa"/>
            <w:tcBorders>
              <w:bottom w:val="single" w:sz="8" w:space="0" w:color="auto"/>
            </w:tcBorders>
            <w:vAlign w:val="bottom"/>
          </w:tcPr>
          <w:p w:rsidR="000C2ED5" w:rsidRDefault="000C2ED5">
            <w:pPr>
              <w:rPr>
                <w:sz w:val="20"/>
                <w:szCs w:val="20"/>
              </w:rPr>
            </w:pPr>
          </w:p>
        </w:tc>
        <w:tc>
          <w:tcPr>
            <w:tcW w:w="2040" w:type="dxa"/>
            <w:tcBorders>
              <w:bottom w:val="single" w:sz="8" w:space="0" w:color="auto"/>
            </w:tcBorders>
            <w:vAlign w:val="bottom"/>
          </w:tcPr>
          <w:p w:rsidR="000C2ED5" w:rsidRDefault="000C2ED5">
            <w:pPr>
              <w:rPr>
                <w:sz w:val="20"/>
                <w:szCs w:val="20"/>
              </w:rPr>
            </w:pPr>
          </w:p>
        </w:tc>
        <w:tc>
          <w:tcPr>
            <w:tcW w:w="2020" w:type="dxa"/>
            <w:tcBorders>
              <w:bottom w:val="single" w:sz="8" w:space="0" w:color="auto"/>
            </w:tcBorders>
            <w:vAlign w:val="bottom"/>
          </w:tcPr>
          <w:p w:rsidR="000C2ED5" w:rsidRDefault="000C2ED5">
            <w:pPr>
              <w:rPr>
                <w:sz w:val="20"/>
                <w:szCs w:val="20"/>
              </w:rPr>
            </w:pPr>
          </w:p>
        </w:tc>
        <w:tc>
          <w:tcPr>
            <w:tcW w:w="1680" w:type="dxa"/>
            <w:tcBorders>
              <w:bottom w:val="single" w:sz="8" w:space="0" w:color="auto"/>
            </w:tcBorders>
            <w:vAlign w:val="bottom"/>
          </w:tcPr>
          <w:p w:rsidR="000C2ED5" w:rsidRDefault="000C2ED5">
            <w:pPr>
              <w:rPr>
                <w:sz w:val="20"/>
                <w:szCs w:val="20"/>
              </w:rPr>
            </w:pPr>
          </w:p>
        </w:tc>
        <w:tc>
          <w:tcPr>
            <w:tcW w:w="5460" w:type="dxa"/>
            <w:tcBorders>
              <w:bottom w:val="single" w:sz="8" w:space="0" w:color="auto"/>
            </w:tcBorders>
            <w:vAlign w:val="bottom"/>
          </w:tcPr>
          <w:p w:rsidR="000C2ED5" w:rsidRDefault="000C2ED5">
            <w:pPr>
              <w:rPr>
                <w:sz w:val="20"/>
                <w:szCs w:val="20"/>
              </w:rPr>
            </w:pPr>
          </w:p>
        </w:tc>
        <w:tc>
          <w:tcPr>
            <w:tcW w:w="1220" w:type="dxa"/>
            <w:tcBorders>
              <w:bottom w:val="single" w:sz="8" w:space="0" w:color="auto"/>
            </w:tcBorders>
            <w:vAlign w:val="bottom"/>
          </w:tcPr>
          <w:p w:rsidR="000C2ED5" w:rsidRDefault="000C2ED5">
            <w:pPr>
              <w:rPr>
                <w:sz w:val="20"/>
                <w:szCs w:val="20"/>
              </w:rPr>
            </w:pPr>
          </w:p>
        </w:tc>
      </w:tr>
      <w:tr w:rsidR="000C2ED5">
        <w:trPr>
          <w:trHeight w:val="212"/>
        </w:trPr>
        <w:tc>
          <w:tcPr>
            <w:tcW w:w="20" w:type="dxa"/>
            <w:vAlign w:val="bottom"/>
          </w:tcPr>
          <w:p w:rsidR="000C2ED5" w:rsidRDefault="000C2ED5">
            <w:pPr>
              <w:rPr>
                <w:sz w:val="18"/>
                <w:szCs w:val="18"/>
              </w:rPr>
            </w:pPr>
          </w:p>
        </w:tc>
        <w:tc>
          <w:tcPr>
            <w:tcW w:w="1200" w:type="dxa"/>
            <w:vAlign w:val="bottom"/>
          </w:tcPr>
          <w:p w:rsidR="000C2ED5" w:rsidRDefault="000C2ED5">
            <w:pPr>
              <w:rPr>
                <w:sz w:val="18"/>
                <w:szCs w:val="18"/>
              </w:rPr>
            </w:pPr>
          </w:p>
        </w:tc>
        <w:tc>
          <w:tcPr>
            <w:tcW w:w="1080" w:type="dxa"/>
            <w:vAlign w:val="bottom"/>
          </w:tcPr>
          <w:p w:rsidR="000C2ED5" w:rsidRDefault="000C2ED5">
            <w:pPr>
              <w:rPr>
                <w:sz w:val="18"/>
                <w:szCs w:val="18"/>
              </w:rPr>
            </w:pPr>
          </w:p>
        </w:tc>
        <w:tc>
          <w:tcPr>
            <w:tcW w:w="1460" w:type="dxa"/>
            <w:vAlign w:val="bottom"/>
          </w:tcPr>
          <w:p w:rsidR="000C2ED5" w:rsidRDefault="000C2ED5">
            <w:pPr>
              <w:rPr>
                <w:sz w:val="18"/>
                <w:szCs w:val="18"/>
              </w:rPr>
            </w:pPr>
          </w:p>
        </w:tc>
        <w:tc>
          <w:tcPr>
            <w:tcW w:w="2040" w:type="dxa"/>
            <w:vAlign w:val="bottom"/>
          </w:tcPr>
          <w:p w:rsidR="000C2ED5" w:rsidRDefault="000C2ED5">
            <w:pPr>
              <w:rPr>
                <w:sz w:val="18"/>
                <w:szCs w:val="18"/>
              </w:rPr>
            </w:pPr>
          </w:p>
        </w:tc>
        <w:tc>
          <w:tcPr>
            <w:tcW w:w="2020" w:type="dxa"/>
            <w:vAlign w:val="bottom"/>
          </w:tcPr>
          <w:p w:rsidR="000C2ED5" w:rsidRDefault="00485212">
            <w:pPr>
              <w:spacing w:line="211" w:lineRule="exact"/>
              <w:ind w:left="240"/>
              <w:rPr>
                <w:sz w:val="20"/>
                <w:szCs w:val="20"/>
              </w:rPr>
            </w:pPr>
            <w:r>
              <w:rPr>
                <w:rFonts w:eastAsia="Times New Roman"/>
                <w:sz w:val="20"/>
                <w:szCs w:val="20"/>
              </w:rPr>
              <w:t>treatment</w:t>
            </w:r>
          </w:p>
        </w:tc>
        <w:tc>
          <w:tcPr>
            <w:tcW w:w="1680" w:type="dxa"/>
            <w:vAlign w:val="bottom"/>
          </w:tcPr>
          <w:p w:rsidR="000C2ED5" w:rsidRDefault="00485212">
            <w:pPr>
              <w:spacing w:line="211" w:lineRule="exact"/>
              <w:ind w:left="140"/>
              <w:rPr>
                <w:sz w:val="20"/>
                <w:szCs w:val="20"/>
              </w:rPr>
            </w:pPr>
            <w:r>
              <w:rPr>
                <w:rFonts w:eastAsia="Times New Roman"/>
                <w:sz w:val="20"/>
                <w:szCs w:val="20"/>
              </w:rPr>
              <w:t>outpatients</w:t>
            </w:r>
          </w:p>
        </w:tc>
        <w:tc>
          <w:tcPr>
            <w:tcW w:w="5460" w:type="dxa"/>
            <w:vAlign w:val="bottom"/>
          </w:tcPr>
          <w:p w:rsidR="000C2ED5" w:rsidRDefault="00485212">
            <w:pPr>
              <w:spacing w:line="211" w:lineRule="exact"/>
              <w:ind w:left="240"/>
              <w:rPr>
                <w:sz w:val="20"/>
                <w:szCs w:val="20"/>
              </w:rPr>
            </w:pPr>
            <w:r>
              <w:rPr>
                <w:rFonts w:eastAsia="Times New Roman"/>
                <w:i/>
                <w:iCs/>
                <w:sz w:val="20"/>
                <w:szCs w:val="20"/>
              </w:rPr>
              <w:t xml:space="preserve">Internal Factors: </w:t>
            </w:r>
            <w:r>
              <w:rPr>
                <w:rFonts w:eastAsia="Times New Roman"/>
                <w:sz w:val="20"/>
                <w:szCs w:val="20"/>
              </w:rPr>
              <w:t>Cognitive factors i.e. denying/minimising</w:t>
            </w:r>
          </w:p>
        </w:tc>
        <w:tc>
          <w:tcPr>
            <w:tcW w:w="1220" w:type="dxa"/>
            <w:vAlign w:val="bottom"/>
          </w:tcPr>
          <w:p w:rsidR="000C2ED5" w:rsidRDefault="000C2ED5">
            <w:pPr>
              <w:rPr>
                <w:sz w:val="18"/>
                <w:szCs w:val="18"/>
              </w:rPr>
            </w:pP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engagement</w:t>
            </w: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offending, feeling inappropriately detained, low self-efficacy</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485212">
            <w:pPr>
              <w:ind w:left="140"/>
              <w:rPr>
                <w:sz w:val="20"/>
                <w:szCs w:val="20"/>
              </w:rPr>
            </w:pPr>
            <w:r>
              <w:rPr>
                <w:rFonts w:eastAsia="Times New Roman"/>
                <w:sz w:val="20"/>
                <w:szCs w:val="20"/>
              </w:rPr>
              <w:t>41 male and</w:t>
            </w:r>
            <w:r>
              <w:rPr>
                <w:rFonts w:eastAsia="Times New Roman"/>
                <w:sz w:val="20"/>
                <w:szCs w:val="20"/>
              </w:rPr>
              <w:t xml:space="preserve"> 16</w:t>
            </w:r>
          </w:p>
        </w:tc>
        <w:tc>
          <w:tcPr>
            <w:tcW w:w="5460" w:type="dxa"/>
            <w:vAlign w:val="bottom"/>
          </w:tcPr>
          <w:p w:rsidR="000C2ED5" w:rsidRDefault="00485212">
            <w:pPr>
              <w:ind w:left="240"/>
              <w:rPr>
                <w:sz w:val="20"/>
                <w:szCs w:val="20"/>
              </w:rPr>
            </w:pPr>
            <w:r>
              <w:rPr>
                <w:rFonts w:eastAsia="Times New Roman"/>
                <w:sz w:val="20"/>
                <w:szCs w:val="20"/>
              </w:rPr>
              <w:t>regarding ability to change/engage in treatment, negative</w:t>
            </w:r>
          </w:p>
        </w:tc>
        <w:tc>
          <w:tcPr>
            <w:tcW w:w="1220" w:type="dxa"/>
            <w:vAlign w:val="bottom"/>
          </w:tcPr>
          <w:p w:rsidR="000C2ED5" w:rsidRDefault="000C2ED5">
            <w:pPr>
              <w:rPr>
                <w:sz w:val="24"/>
                <w:szCs w:val="24"/>
              </w:rPr>
            </w:pPr>
          </w:p>
        </w:tc>
      </w:tr>
      <w:tr w:rsidR="000C2ED5">
        <w:trPr>
          <w:trHeight w:val="458"/>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Validate and Extend</w:t>
            </w:r>
          </w:p>
        </w:tc>
        <w:tc>
          <w:tcPr>
            <w:tcW w:w="1680" w:type="dxa"/>
            <w:vAlign w:val="bottom"/>
          </w:tcPr>
          <w:p w:rsidR="000C2ED5" w:rsidRDefault="00485212">
            <w:pPr>
              <w:ind w:left="140"/>
              <w:rPr>
                <w:sz w:val="20"/>
                <w:szCs w:val="20"/>
              </w:rPr>
            </w:pPr>
            <w:r>
              <w:rPr>
                <w:rFonts w:eastAsia="Times New Roman"/>
                <w:sz w:val="20"/>
                <w:szCs w:val="20"/>
              </w:rPr>
              <w:t>female forensic</w:t>
            </w:r>
          </w:p>
        </w:tc>
        <w:tc>
          <w:tcPr>
            <w:tcW w:w="5460" w:type="dxa"/>
            <w:vAlign w:val="bottom"/>
          </w:tcPr>
          <w:p w:rsidR="000C2ED5" w:rsidRDefault="00485212">
            <w:pPr>
              <w:ind w:left="240"/>
              <w:rPr>
                <w:sz w:val="20"/>
                <w:szCs w:val="20"/>
              </w:rPr>
            </w:pPr>
            <w:r>
              <w:rPr>
                <w:rFonts w:eastAsia="Times New Roman"/>
                <w:sz w:val="20"/>
                <w:szCs w:val="20"/>
              </w:rPr>
              <w:t>perceptions of staff/authority hindered engagement. Affective</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the MORM within a</w:t>
            </w:r>
          </w:p>
        </w:tc>
        <w:tc>
          <w:tcPr>
            <w:tcW w:w="1680" w:type="dxa"/>
            <w:vAlign w:val="bottom"/>
          </w:tcPr>
          <w:p w:rsidR="000C2ED5" w:rsidRDefault="00485212">
            <w:pPr>
              <w:ind w:left="140"/>
              <w:rPr>
                <w:sz w:val="20"/>
                <w:szCs w:val="20"/>
              </w:rPr>
            </w:pPr>
            <w:r>
              <w:rPr>
                <w:rFonts w:eastAsia="Times New Roman"/>
                <w:sz w:val="20"/>
                <w:szCs w:val="20"/>
              </w:rPr>
              <w:t>inpatients</w:t>
            </w:r>
          </w:p>
        </w:tc>
        <w:tc>
          <w:tcPr>
            <w:tcW w:w="5460" w:type="dxa"/>
            <w:vAlign w:val="bottom"/>
          </w:tcPr>
          <w:p w:rsidR="000C2ED5" w:rsidRDefault="00485212">
            <w:pPr>
              <w:ind w:left="240"/>
              <w:rPr>
                <w:sz w:val="20"/>
                <w:szCs w:val="20"/>
              </w:rPr>
            </w:pPr>
            <w:r>
              <w:rPr>
                <w:rFonts w:eastAsia="Times New Roman"/>
                <w:sz w:val="20"/>
                <w:szCs w:val="20"/>
              </w:rPr>
              <w:t xml:space="preserve">factors including emotional dysregulation, negative </w:t>
            </w:r>
            <w:r>
              <w:rPr>
                <w:rFonts w:eastAsia="Times New Roman"/>
                <w:sz w:val="20"/>
                <w:szCs w:val="20"/>
              </w:rPr>
              <w:t>affect i.e.</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forensic and non-</w:t>
            </w:r>
          </w:p>
        </w:tc>
        <w:tc>
          <w:tcPr>
            <w:tcW w:w="1680" w:type="dxa"/>
            <w:vAlign w:val="bottom"/>
          </w:tcPr>
          <w:p w:rsidR="000C2ED5" w:rsidRDefault="00485212">
            <w:pPr>
              <w:ind w:left="140"/>
              <w:rPr>
                <w:sz w:val="20"/>
                <w:szCs w:val="20"/>
              </w:rPr>
            </w:pPr>
            <w:r>
              <w:rPr>
                <w:rFonts w:eastAsia="Times New Roman"/>
                <w:sz w:val="20"/>
                <w:szCs w:val="20"/>
              </w:rPr>
              <w:t>(Detained)</w:t>
            </w:r>
          </w:p>
        </w:tc>
        <w:tc>
          <w:tcPr>
            <w:tcW w:w="5460" w:type="dxa"/>
            <w:vAlign w:val="bottom"/>
          </w:tcPr>
          <w:p w:rsidR="000C2ED5" w:rsidRDefault="00485212">
            <w:pPr>
              <w:ind w:left="240"/>
              <w:rPr>
                <w:sz w:val="20"/>
                <w:szCs w:val="20"/>
              </w:rPr>
            </w:pPr>
            <w:r>
              <w:rPr>
                <w:rFonts w:eastAsia="Times New Roman"/>
                <w:sz w:val="20"/>
                <w:szCs w:val="20"/>
              </w:rPr>
              <w:t>feeling fearful/anxious about treatment were barriers to</w:t>
            </w:r>
          </w:p>
        </w:tc>
        <w:tc>
          <w:tcPr>
            <w:tcW w:w="1220" w:type="dxa"/>
            <w:vAlign w:val="bottom"/>
          </w:tcPr>
          <w:p w:rsidR="000C2ED5" w:rsidRDefault="000C2ED5">
            <w:pPr>
              <w:rPr>
                <w:sz w:val="24"/>
                <w:szCs w:val="24"/>
              </w:rPr>
            </w:pPr>
          </w:p>
        </w:tc>
      </w:tr>
      <w:tr w:rsidR="000C2ED5">
        <w:trPr>
          <w:trHeight w:val="458"/>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forensic PD</w:t>
            </w: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engagement; an ability to cope with distress/recognise emotions</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485212">
            <w:pPr>
              <w:ind w:left="240"/>
              <w:rPr>
                <w:sz w:val="20"/>
                <w:szCs w:val="20"/>
              </w:rPr>
            </w:pPr>
            <w:r>
              <w:rPr>
                <w:rFonts w:eastAsia="Times New Roman"/>
                <w:sz w:val="20"/>
                <w:szCs w:val="20"/>
              </w:rPr>
              <w:t>population.</w:t>
            </w:r>
          </w:p>
        </w:tc>
        <w:tc>
          <w:tcPr>
            <w:tcW w:w="1680" w:type="dxa"/>
            <w:vAlign w:val="bottom"/>
          </w:tcPr>
          <w:p w:rsidR="000C2ED5" w:rsidRDefault="00485212">
            <w:pPr>
              <w:ind w:left="140"/>
              <w:rPr>
                <w:sz w:val="20"/>
                <w:szCs w:val="20"/>
              </w:rPr>
            </w:pPr>
            <w:r>
              <w:rPr>
                <w:rFonts w:eastAsia="Times New Roman"/>
                <w:sz w:val="20"/>
                <w:szCs w:val="20"/>
              </w:rPr>
              <w:t>55 Professionals</w:t>
            </w:r>
          </w:p>
        </w:tc>
        <w:tc>
          <w:tcPr>
            <w:tcW w:w="5460" w:type="dxa"/>
            <w:vAlign w:val="bottom"/>
          </w:tcPr>
          <w:p w:rsidR="000C2ED5" w:rsidRDefault="00485212">
            <w:pPr>
              <w:ind w:left="240"/>
              <w:rPr>
                <w:sz w:val="20"/>
                <w:szCs w:val="20"/>
              </w:rPr>
            </w:pPr>
            <w:r>
              <w:rPr>
                <w:rFonts w:eastAsia="Times New Roman"/>
                <w:sz w:val="20"/>
                <w:szCs w:val="20"/>
              </w:rPr>
              <w:t xml:space="preserve">facilitated engagement. </w:t>
            </w:r>
            <w:r>
              <w:rPr>
                <w:rFonts w:eastAsia="Times New Roman"/>
                <w:sz w:val="20"/>
                <w:szCs w:val="20"/>
              </w:rPr>
              <w:t>Volitional factor i.e. motivation to</w:t>
            </w:r>
          </w:p>
        </w:tc>
        <w:tc>
          <w:tcPr>
            <w:tcW w:w="1220" w:type="dxa"/>
            <w:vAlign w:val="bottom"/>
          </w:tcPr>
          <w:p w:rsidR="000C2ED5" w:rsidRDefault="000C2ED5">
            <w:pPr>
              <w:rPr>
                <w:sz w:val="24"/>
                <w:szCs w:val="24"/>
              </w:rPr>
            </w:pPr>
          </w:p>
        </w:tc>
      </w:tr>
      <w:tr w:rsidR="000C2ED5">
        <w:trPr>
          <w:trHeight w:val="459"/>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change, setting goals and taking medication facilitated</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engagement. Behavioural factors i.e. having to be open and</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honest was a barrier to engagement; an ability to think</w:t>
            </w:r>
          </w:p>
        </w:tc>
        <w:tc>
          <w:tcPr>
            <w:tcW w:w="1220" w:type="dxa"/>
            <w:vAlign w:val="bottom"/>
          </w:tcPr>
          <w:p w:rsidR="000C2ED5" w:rsidRDefault="000C2ED5">
            <w:pPr>
              <w:rPr>
                <w:sz w:val="24"/>
                <w:szCs w:val="24"/>
              </w:rPr>
            </w:pPr>
          </w:p>
        </w:tc>
      </w:tr>
      <w:tr w:rsidR="000C2ED5">
        <w:trPr>
          <w:trHeight w:val="458"/>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psychologically was a facilitator. Identity factors including a</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difficulty dissociating from a criminal lifestyle impeded</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engagement.</w:t>
            </w:r>
          </w:p>
        </w:tc>
        <w:tc>
          <w:tcPr>
            <w:tcW w:w="1220" w:type="dxa"/>
            <w:vAlign w:val="bottom"/>
          </w:tcPr>
          <w:p w:rsidR="000C2ED5" w:rsidRDefault="000C2ED5">
            <w:pPr>
              <w:rPr>
                <w:sz w:val="24"/>
                <w:szCs w:val="24"/>
              </w:rPr>
            </w:pPr>
          </w:p>
        </w:tc>
      </w:tr>
      <w:tr w:rsidR="000C2ED5">
        <w:trPr>
          <w:trHeight w:val="458"/>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i/>
                <w:iCs/>
                <w:sz w:val="20"/>
                <w:szCs w:val="20"/>
              </w:rPr>
              <w:t>External Factors</w:t>
            </w:r>
            <w:r>
              <w:rPr>
                <w:rFonts w:eastAsia="Times New Roman"/>
                <w:sz w:val="20"/>
                <w:szCs w:val="20"/>
              </w:rPr>
              <w:t>: Previous negative experience of treatment</w:t>
            </w:r>
          </w:p>
        </w:tc>
        <w:tc>
          <w:tcPr>
            <w:tcW w:w="1220" w:type="dxa"/>
            <w:vAlign w:val="bottom"/>
          </w:tcPr>
          <w:p w:rsidR="000C2ED5" w:rsidRDefault="000C2ED5">
            <w:pPr>
              <w:rPr>
                <w:sz w:val="24"/>
                <w:szCs w:val="24"/>
              </w:rPr>
            </w:pPr>
          </w:p>
        </w:tc>
      </w:tr>
      <w:tr w:rsidR="000C2ED5">
        <w:trPr>
          <w:trHeight w:val="461"/>
        </w:trPr>
        <w:tc>
          <w:tcPr>
            <w:tcW w:w="20" w:type="dxa"/>
            <w:vAlign w:val="bottom"/>
          </w:tcPr>
          <w:p w:rsidR="000C2ED5" w:rsidRDefault="000C2ED5">
            <w:pPr>
              <w:rPr>
                <w:sz w:val="24"/>
                <w:szCs w:val="24"/>
              </w:rPr>
            </w:pPr>
          </w:p>
        </w:tc>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40" w:type="dxa"/>
            <w:vAlign w:val="bottom"/>
          </w:tcPr>
          <w:p w:rsidR="000C2ED5" w:rsidRDefault="000C2ED5">
            <w:pPr>
              <w:rPr>
                <w:sz w:val="24"/>
                <w:szCs w:val="24"/>
              </w:rPr>
            </w:pPr>
          </w:p>
        </w:tc>
        <w:tc>
          <w:tcPr>
            <w:tcW w:w="2020" w:type="dxa"/>
            <w:vAlign w:val="bottom"/>
          </w:tcPr>
          <w:p w:rsidR="000C2ED5" w:rsidRDefault="000C2ED5">
            <w:pPr>
              <w:rPr>
                <w:sz w:val="24"/>
                <w:szCs w:val="24"/>
              </w:rPr>
            </w:pPr>
          </w:p>
        </w:tc>
        <w:tc>
          <w:tcPr>
            <w:tcW w:w="168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 xml:space="preserve">was a barrier to </w:t>
            </w:r>
            <w:r>
              <w:rPr>
                <w:rFonts w:eastAsia="Times New Roman"/>
                <w:sz w:val="20"/>
                <w:szCs w:val="20"/>
              </w:rPr>
              <w:t>engagement. Resource &amp; Opportunity factors</w:t>
            </w:r>
          </w:p>
        </w:tc>
        <w:tc>
          <w:tcPr>
            <w:tcW w:w="1220" w:type="dxa"/>
            <w:vAlign w:val="bottom"/>
          </w:tcPr>
          <w:p w:rsidR="000C2ED5" w:rsidRDefault="000C2ED5">
            <w:pPr>
              <w:rPr>
                <w:sz w:val="24"/>
                <w:szCs w:val="24"/>
              </w:rPr>
            </w:pPr>
          </w:p>
        </w:tc>
      </w:tr>
      <w:tr w:rsidR="000C2ED5">
        <w:trPr>
          <w:trHeight w:val="239"/>
        </w:trPr>
        <w:tc>
          <w:tcPr>
            <w:tcW w:w="20" w:type="dxa"/>
            <w:tcBorders>
              <w:bottom w:val="single" w:sz="8" w:space="0" w:color="auto"/>
            </w:tcBorders>
            <w:vAlign w:val="bottom"/>
          </w:tcPr>
          <w:p w:rsidR="000C2ED5" w:rsidRDefault="000C2ED5">
            <w:pPr>
              <w:rPr>
                <w:sz w:val="20"/>
                <w:szCs w:val="20"/>
              </w:rPr>
            </w:pPr>
          </w:p>
        </w:tc>
        <w:tc>
          <w:tcPr>
            <w:tcW w:w="1200" w:type="dxa"/>
            <w:tcBorders>
              <w:bottom w:val="single" w:sz="8" w:space="0" w:color="auto"/>
            </w:tcBorders>
            <w:vAlign w:val="bottom"/>
          </w:tcPr>
          <w:p w:rsidR="000C2ED5" w:rsidRDefault="000C2ED5">
            <w:pPr>
              <w:rPr>
                <w:sz w:val="20"/>
                <w:szCs w:val="20"/>
              </w:rPr>
            </w:pPr>
          </w:p>
        </w:tc>
        <w:tc>
          <w:tcPr>
            <w:tcW w:w="1080" w:type="dxa"/>
            <w:tcBorders>
              <w:bottom w:val="single" w:sz="8" w:space="0" w:color="auto"/>
            </w:tcBorders>
            <w:vAlign w:val="bottom"/>
          </w:tcPr>
          <w:p w:rsidR="000C2ED5" w:rsidRDefault="000C2ED5">
            <w:pPr>
              <w:rPr>
                <w:sz w:val="20"/>
                <w:szCs w:val="20"/>
              </w:rPr>
            </w:pPr>
          </w:p>
        </w:tc>
        <w:tc>
          <w:tcPr>
            <w:tcW w:w="1460" w:type="dxa"/>
            <w:tcBorders>
              <w:bottom w:val="single" w:sz="8" w:space="0" w:color="auto"/>
            </w:tcBorders>
            <w:vAlign w:val="bottom"/>
          </w:tcPr>
          <w:p w:rsidR="000C2ED5" w:rsidRDefault="000C2ED5">
            <w:pPr>
              <w:rPr>
                <w:sz w:val="20"/>
                <w:szCs w:val="20"/>
              </w:rPr>
            </w:pPr>
          </w:p>
        </w:tc>
        <w:tc>
          <w:tcPr>
            <w:tcW w:w="2040" w:type="dxa"/>
            <w:tcBorders>
              <w:bottom w:val="single" w:sz="8" w:space="0" w:color="auto"/>
            </w:tcBorders>
            <w:vAlign w:val="bottom"/>
          </w:tcPr>
          <w:p w:rsidR="000C2ED5" w:rsidRDefault="000C2ED5">
            <w:pPr>
              <w:rPr>
                <w:sz w:val="20"/>
                <w:szCs w:val="20"/>
              </w:rPr>
            </w:pPr>
          </w:p>
        </w:tc>
        <w:tc>
          <w:tcPr>
            <w:tcW w:w="2020" w:type="dxa"/>
            <w:tcBorders>
              <w:bottom w:val="single" w:sz="8" w:space="0" w:color="auto"/>
            </w:tcBorders>
            <w:vAlign w:val="bottom"/>
          </w:tcPr>
          <w:p w:rsidR="000C2ED5" w:rsidRDefault="000C2ED5">
            <w:pPr>
              <w:rPr>
                <w:sz w:val="20"/>
                <w:szCs w:val="20"/>
              </w:rPr>
            </w:pPr>
          </w:p>
        </w:tc>
        <w:tc>
          <w:tcPr>
            <w:tcW w:w="1680" w:type="dxa"/>
            <w:tcBorders>
              <w:bottom w:val="single" w:sz="8" w:space="0" w:color="auto"/>
            </w:tcBorders>
            <w:vAlign w:val="bottom"/>
          </w:tcPr>
          <w:p w:rsidR="000C2ED5" w:rsidRDefault="000C2ED5">
            <w:pPr>
              <w:rPr>
                <w:sz w:val="20"/>
                <w:szCs w:val="20"/>
              </w:rPr>
            </w:pPr>
          </w:p>
        </w:tc>
        <w:tc>
          <w:tcPr>
            <w:tcW w:w="5460" w:type="dxa"/>
            <w:tcBorders>
              <w:bottom w:val="single" w:sz="8" w:space="0" w:color="auto"/>
            </w:tcBorders>
            <w:vAlign w:val="bottom"/>
          </w:tcPr>
          <w:p w:rsidR="000C2ED5" w:rsidRDefault="000C2ED5">
            <w:pPr>
              <w:rPr>
                <w:sz w:val="20"/>
                <w:szCs w:val="20"/>
              </w:rPr>
            </w:pPr>
          </w:p>
        </w:tc>
        <w:tc>
          <w:tcPr>
            <w:tcW w:w="1220" w:type="dxa"/>
            <w:tcBorders>
              <w:bottom w:val="single" w:sz="8" w:space="0" w:color="auto"/>
            </w:tcBorders>
            <w:vAlign w:val="bottom"/>
          </w:tcPr>
          <w:p w:rsidR="000C2ED5" w:rsidRDefault="000C2ED5">
            <w:pPr>
              <w:rPr>
                <w:sz w:val="20"/>
                <w:szCs w:val="20"/>
              </w:rPr>
            </w:pPr>
          </w:p>
        </w:tc>
      </w:tr>
    </w:tbl>
    <w:p w:rsidR="000C2ED5" w:rsidRDefault="000C2ED5">
      <w:pPr>
        <w:spacing w:line="200" w:lineRule="exact"/>
        <w:rPr>
          <w:sz w:val="20"/>
          <w:szCs w:val="20"/>
        </w:rPr>
      </w:pPr>
    </w:p>
    <w:p w:rsidR="000C2ED5" w:rsidRDefault="000C2ED5">
      <w:pPr>
        <w:spacing w:line="275" w:lineRule="exact"/>
        <w:rPr>
          <w:sz w:val="20"/>
          <w:szCs w:val="20"/>
        </w:rPr>
      </w:pPr>
    </w:p>
    <w:p w:rsidR="000C2ED5" w:rsidRDefault="00485212">
      <w:pPr>
        <w:ind w:left="14860"/>
        <w:rPr>
          <w:sz w:val="20"/>
          <w:szCs w:val="20"/>
        </w:rPr>
      </w:pPr>
      <w:r>
        <w:rPr>
          <w:rFonts w:eastAsia="Times New Roman"/>
        </w:rPr>
        <w:t>58</w:t>
      </w:r>
    </w:p>
    <w:p w:rsidR="000C2ED5" w:rsidRDefault="000C2ED5">
      <w:pPr>
        <w:sectPr w:rsidR="000C2ED5">
          <w:pgSz w:w="16840" w:h="11906" w:orient="landscape"/>
          <w:pgMar w:top="698" w:right="338" w:bottom="403" w:left="320" w:header="0" w:footer="0" w:gutter="0"/>
          <w:cols w:space="720" w:equalWidth="0">
            <w:col w:w="16180"/>
          </w:cols>
        </w:sectPr>
      </w:pPr>
    </w:p>
    <w:p w:rsidR="000C2ED5" w:rsidRDefault="00485212">
      <w:pPr>
        <w:ind w:left="1100"/>
        <w:rPr>
          <w:sz w:val="20"/>
          <w:szCs w:val="20"/>
        </w:rPr>
      </w:pPr>
      <w:bookmarkStart w:id="59" w:name="page60"/>
      <w:bookmarkEnd w:id="59"/>
      <w:r>
        <w:rPr>
          <w:rFonts w:eastAsia="Times New Roman"/>
          <w:sz w:val="24"/>
          <w:szCs w:val="24"/>
        </w:rPr>
        <w:lastRenderedPageBreak/>
        <w:t>Treatment Engagement from the Perspective of the Offender</w:t>
      </w:r>
    </w:p>
    <w:p w:rsidR="000C2ED5" w:rsidRDefault="000C2ED5">
      <w:pPr>
        <w:spacing w:line="200" w:lineRule="exact"/>
        <w:rPr>
          <w:sz w:val="20"/>
          <w:szCs w:val="20"/>
        </w:rPr>
      </w:pPr>
    </w:p>
    <w:p w:rsidR="000C2ED5" w:rsidRDefault="000C2ED5">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0"/>
        <w:gridCol w:w="1080"/>
        <w:gridCol w:w="1460"/>
        <w:gridCol w:w="2060"/>
        <w:gridCol w:w="2140"/>
        <w:gridCol w:w="1540"/>
        <w:gridCol w:w="5460"/>
        <w:gridCol w:w="1220"/>
      </w:tblGrid>
      <w:tr w:rsidR="000C2ED5">
        <w:trPr>
          <w:trHeight w:val="236"/>
        </w:trPr>
        <w:tc>
          <w:tcPr>
            <w:tcW w:w="1200" w:type="dxa"/>
            <w:tcBorders>
              <w:top w:val="single" w:sz="8" w:space="0" w:color="auto"/>
            </w:tcBorders>
            <w:vAlign w:val="bottom"/>
          </w:tcPr>
          <w:p w:rsidR="000C2ED5" w:rsidRDefault="00485212">
            <w:pPr>
              <w:jc w:val="center"/>
              <w:rPr>
                <w:sz w:val="20"/>
                <w:szCs w:val="20"/>
              </w:rPr>
            </w:pPr>
            <w:r>
              <w:rPr>
                <w:rFonts w:eastAsia="Times New Roman"/>
                <w:b/>
                <w:bCs/>
                <w:sz w:val="20"/>
                <w:szCs w:val="20"/>
              </w:rPr>
              <w:t>Author &amp;</w:t>
            </w:r>
          </w:p>
        </w:tc>
        <w:tc>
          <w:tcPr>
            <w:tcW w:w="108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Study</w:t>
            </w:r>
          </w:p>
        </w:tc>
        <w:tc>
          <w:tcPr>
            <w:tcW w:w="1460" w:type="dxa"/>
            <w:tcBorders>
              <w:top w:val="single" w:sz="8" w:space="0" w:color="auto"/>
            </w:tcBorders>
            <w:vAlign w:val="bottom"/>
          </w:tcPr>
          <w:p w:rsidR="000C2ED5" w:rsidRDefault="00485212">
            <w:pPr>
              <w:jc w:val="center"/>
              <w:rPr>
                <w:sz w:val="20"/>
                <w:szCs w:val="20"/>
              </w:rPr>
            </w:pPr>
            <w:r>
              <w:rPr>
                <w:rFonts w:eastAsia="Times New Roman"/>
                <w:b/>
                <w:bCs/>
                <w:w w:val="98"/>
                <w:sz w:val="20"/>
                <w:szCs w:val="20"/>
              </w:rPr>
              <w:t>Treatment</w:t>
            </w:r>
          </w:p>
        </w:tc>
        <w:tc>
          <w:tcPr>
            <w:tcW w:w="206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Definition of non-</w:t>
            </w:r>
          </w:p>
        </w:tc>
        <w:tc>
          <w:tcPr>
            <w:tcW w:w="2140" w:type="dxa"/>
            <w:tcBorders>
              <w:top w:val="single" w:sz="8" w:space="0" w:color="auto"/>
            </w:tcBorders>
            <w:vAlign w:val="bottom"/>
          </w:tcPr>
          <w:p w:rsidR="000C2ED5" w:rsidRDefault="00485212">
            <w:pPr>
              <w:ind w:left="280"/>
              <w:rPr>
                <w:sz w:val="20"/>
                <w:szCs w:val="20"/>
              </w:rPr>
            </w:pPr>
            <w:r>
              <w:rPr>
                <w:rFonts w:eastAsia="Times New Roman"/>
                <w:b/>
                <w:bCs/>
                <w:sz w:val="20"/>
                <w:szCs w:val="20"/>
              </w:rPr>
              <w:t>Research Question</w:t>
            </w:r>
          </w:p>
        </w:tc>
        <w:tc>
          <w:tcPr>
            <w:tcW w:w="1540" w:type="dxa"/>
            <w:tcBorders>
              <w:top w:val="single" w:sz="8" w:space="0" w:color="auto"/>
            </w:tcBorders>
            <w:vAlign w:val="bottom"/>
          </w:tcPr>
          <w:p w:rsidR="000C2ED5" w:rsidRDefault="00485212">
            <w:pPr>
              <w:ind w:left="260"/>
              <w:rPr>
                <w:sz w:val="20"/>
                <w:szCs w:val="20"/>
              </w:rPr>
            </w:pPr>
            <w:r>
              <w:rPr>
                <w:rFonts w:eastAsia="Times New Roman"/>
                <w:b/>
                <w:bCs/>
                <w:sz w:val="20"/>
                <w:szCs w:val="20"/>
              </w:rPr>
              <w:t>Sample Size</w:t>
            </w:r>
          </w:p>
        </w:tc>
        <w:tc>
          <w:tcPr>
            <w:tcW w:w="5460" w:type="dxa"/>
            <w:tcBorders>
              <w:top w:val="single" w:sz="8" w:space="0" w:color="auto"/>
            </w:tcBorders>
            <w:vAlign w:val="bottom"/>
          </w:tcPr>
          <w:p w:rsidR="000C2ED5" w:rsidRDefault="00485212">
            <w:pPr>
              <w:ind w:left="2160"/>
              <w:rPr>
                <w:sz w:val="20"/>
                <w:szCs w:val="20"/>
              </w:rPr>
            </w:pPr>
            <w:r>
              <w:rPr>
                <w:rFonts w:eastAsia="Times New Roman"/>
                <w:b/>
                <w:bCs/>
                <w:sz w:val="20"/>
                <w:szCs w:val="20"/>
              </w:rPr>
              <w:t>Main Findings</w:t>
            </w:r>
          </w:p>
        </w:tc>
        <w:tc>
          <w:tcPr>
            <w:tcW w:w="1220" w:type="dxa"/>
            <w:tcBorders>
              <w:top w:val="single" w:sz="8" w:space="0" w:color="auto"/>
            </w:tcBorders>
            <w:vAlign w:val="bottom"/>
          </w:tcPr>
          <w:p w:rsidR="000C2ED5" w:rsidRDefault="00485212">
            <w:pPr>
              <w:jc w:val="center"/>
              <w:rPr>
                <w:sz w:val="20"/>
                <w:szCs w:val="20"/>
              </w:rPr>
            </w:pPr>
            <w:r>
              <w:rPr>
                <w:rFonts w:eastAsia="Times New Roman"/>
                <w:b/>
                <w:bCs/>
                <w:w w:val="99"/>
                <w:sz w:val="20"/>
                <w:szCs w:val="20"/>
              </w:rPr>
              <w:t>Quality</w:t>
            </w:r>
          </w:p>
        </w:tc>
      </w:tr>
      <w:tr w:rsidR="000C2ED5">
        <w:trPr>
          <w:trHeight w:val="461"/>
        </w:trPr>
        <w:tc>
          <w:tcPr>
            <w:tcW w:w="1200" w:type="dxa"/>
            <w:vAlign w:val="bottom"/>
          </w:tcPr>
          <w:p w:rsidR="000C2ED5" w:rsidRDefault="00485212">
            <w:pPr>
              <w:jc w:val="center"/>
              <w:rPr>
                <w:sz w:val="20"/>
                <w:szCs w:val="20"/>
              </w:rPr>
            </w:pPr>
            <w:r>
              <w:rPr>
                <w:rFonts w:eastAsia="Times New Roman"/>
                <w:b/>
                <w:bCs/>
                <w:w w:val="99"/>
                <w:sz w:val="20"/>
                <w:szCs w:val="20"/>
              </w:rPr>
              <w:t>Date</w:t>
            </w:r>
          </w:p>
        </w:tc>
        <w:tc>
          <w:tcPr>
            <w:tcW w:w="1080" w:type="dxa"/>
            <w:vAlign w:val="bottom"/>
          </w:tcPr>
          <w:p w:rsidR="000C2ED5" w:rsidRDefault="00485212">
            <w:pPr>
              <w:jc w:val="center"/>
              <w:rPr>
                <w:sz w:val="20"/>
                <w:szCs w:val="20"/>
              </w:rPr>
            </w:pPr>
            <w:r>
              <w:rPr>
                <w:rFonts w:eastAsia="Times New Roman"/>
                <w:b/>
                <w:bCs/>
                <w:w w:val="96"/>
                <w:sz w:val="20"/>
                <w:szCs w:val="20"/>
              </w:rPr>
              <w:t>Design</w:t>
            </w:r>
          </w:p>
        </w:tc>
        <w:tc>
          <w:tcPr>
            <w:tcW w:w="1460" w:type="dxa"/>
            <w:vAlign w:val="bottom"/>
          </w:tcPr>
          <w:p w:rsidR="000C2ED5" w:rsidRDefault="00485212">
            <w:pPr>
              <w:jc w:val="center"/>
              <w:rPr>
                <w:sz w:val="20"/>
                <w:szCs w:val="20"/>
              </w:rPr>
            </w:pPr>
            <w:r>
              <w:rPr>
                <w:rFonts w:eastAsia="Times New Roman"/>
                <w:b/>
                <w:bCs/>
                <w:w w:val="96"/>
                <w:sz w:val="20"/>
                <w:szCs w:val="20"/>
              </w:rPr>
              <w:t>Type</w:t>
            </w:r>
          </w:p>
        </w:tc>
        <w:tc>
          <w:tcPr>
            <w:tcW w:w="2060" w:type="dxa"/>
            <w:vAlign w:val="bottom"/>
          </w:tcPr>
          <w:p w:rsidR="000C2ED5" w:rsidRDefault="00485212">
            <w:pPr>
              <w:jc w:val="center"/>
              <w:rPr>
                <w:sz w:val="20"/>
                <w:szCs w:val="20"/>
              </w:rPr>
            </w:pPr>
            <w:r>
              <w:rPr>
                <w:rFonts w:eastAsia="Times New Roman"/>
                <w:b/>
                <w:bCs/>
                <w:w w:val="97"/>
                <w:sz w:val="20"/>
                <w:szCs w:val="20"/>
              </w:rPr>
              <w:t>completion/</w:t>
            </w:r>
          </w:p>
        </w:tc>
        <w:tc>
          <w:tcPr>
            <w:tcW w:w="2140" w:type="dxa"/>
            <w:vAlign w:val="bottom"/>
          </w:tcPr>
          <w:p w:rsidR="000C2ED5" w:rsidRDefault="000C2ED5">
            <w:pPr>
              <w:rPr>
                <w:sz w:val="24"/>
                <w:szCs w:val="24"/>
              </w:rPr>
            </w:pPr>
          </w:p>
        </w:tc>
        <w:tc>
          <w:tcPr>
            <w:tcW w:w="1540" w:type="dxa"/>
            <w:vAlign w:val="bottom"/>
          </w:tcPr>
          <w:p w:rsidR="000C2ED5" w:rsidRDefault="000C2ED5">
            <w:pPr>
              <w:rPr>
                <w:sz w:val="24"/>
                <w:szCs w:val="24"/>
              </w:rPr>
            </w:pPr>
          </w:p>
        </w:tc>
        <w:tc>
          <w:tcPr>
            <w:tcW w:w="546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Assessment</w:t>
            </w:r>
          </w:p>
        </w:tc>
      </w:tr>
      <w:tr w:rsidR="000C2ED5">
        <w:trPr>
          <w:trHeight w:val="458"/>
        </w:trPr>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60" w:type="dxa"/>
            <w:vAlign w:val="bottom"/>
          </w:tcPr>
          <w:p w:rsidR="000C2ED5" w:rsidRDefault="00485212">
            <w:pPr>
              <w:jc w:val="center"/>
              <w:rPr>
                <w:sz w:val="20"/>
                <w:szCs w:val="20"/>
              </w:rPr>
            </w:pPr>
            <w:r>
              <w:rPr>
                <w:rFonts w:eastAsia="Times New Roman"/>
                <w:b/>
                <w:bCs/>
                <w:w w:val="99"/>
                <w:sz w:val="20"/>
                <w:szCs w:val="20"/>
              </w:rPr>
              <w:t>Engagement</w:t>
            </w:r>
          </w:p>
        </w:tc>
        <w:tc>
          <w:tcPr>
            <w:tcW w:w="2140" w:type="dxa"/>
            <w:vAlign w:val="bottom"/>
          </w:tcPr>
          <w:p w:rsidR="000C2ED5" w:rsidRDefault="000C2ED5">
            <w:pPr>
              <w:rPr>
                <w:sz w:val="24"/>
                <w:szCs w:val="24"/>
              </w:rPr>
            </w:pPr>
          </w:p>
        </w:tc>
        <w:tc>
          <w:tcPr>
            <w:tcW w:w="1540" w:type="dxa"/>
            <w:vAlign w:val="bottom"/>
          </w:tcPr>
          <w:p w:rsidR="000C2ED5" w:rsidRDefault="000C2ED5">
            <w:pPr>
              <w:rPr>
                <w:sz w:val="24"/>
                <w:szCs w:val="24"/>
              </w:rPr>
            </w:pPr>
          </w:p>
        </w:tc>
        <w:tc>
          <w:tcPr>
            <w:tcW w:w="5460" w:type="dxa"/>
            <w:vAlign w:val="bottom"/>
          </w:tcPr>
          <w:p w:rsidR="000C2ED5" w:rsidRDefault="000C2ED5">
            <w:pPr>
              <w:rPr>
                <w:sz w:val="24"/>
                <w:szCs w:val="24"/>
              </w:rPr>
            </w:pPr>
          </w:p>
        </w:tc>
        <w:tc>
          <w:tcPr>
            <w:tcW w:w="1220" w:type="dxa"/>
            <w:vAlign w:val="bottom"/>
          </w:tcPr>
          <w:p w:rsidR="000C2ED5" w:rsidRDefault="00485212">
            <w:pPr>
              <w:jc w:val="center"/>
              <w:rPr>
                <w:sz w:val="20"/>
                <w:szCs w:val="20"/>
              </w:rPr>
            </w:pPr>
            <w:r>
              <w:rPr>
                <w:rFonts w:eastAsia="Times New Roman"/>
                <w:b/>
                <w:bCs/>
                <w:sz w:val="20"/>
                <w:szCs w:val="20"/>
              </w:rPr>
              <w:t>score</w:t>
            </w:r>
          </w:p>
        </w:tc>
      </w:tr>
      <w:tr w:rsidR="000C2ED5">
        <w:trPr>
          <w:trHeight w:val="234"/>
        </w:trPr>
        <w:tc>
          <w:tcPr>
            <w:tcW w:w="1200" w:type="dxa"/>
            <w:tcBorders>
              <w:bottom w:val="single" w:sz="8" w:space="0" w:color="auto"/>
            </w:tcBorders>
            <w:vAlign w:val="bottom"/>
          </w:tcPr>
          <w:p w:rsidR="000C2ED5" w:rsidRDefault="000C2ED5">
            <w:pPr>
              <w:rPr>
                <w:sz w:val="20"/>
                <w:szCs w:val="20"/>
              </w:rPr>
            </w:pPr>
          </w:p>
        </w:tc>
        <w:tc>
          <w:tcPr>
            <w:tcW w:w="1080" w:type="dxa"/>
            <w:tcBorders>
              <w:bottom w:val="single" w:sz="8" w:space="0" w:color="auto"/>
            </w:tcBorders>
            <w:vAlign w:val="bottom"/>
          </w:tcPr>
          <w:p w:rsidR="000C2ED5" w:rsidRDefault="000C2ED5">
            <w:pPr>
              <w:rPr>
                <w:sz w:val="20"/>
                <w:szCs w:val="20"/>
              </w:rPr>
            </w:pPr>
          </w:p>
        </w:tc>
        <w:tc>
          <w:tcPr>
            <w:tcW w:w="1460" w:type="dxa"/>
            <w:tcBorders>
              <w:bottom w:val="single" w:sz="8" w:space="0" w:color="auto"/>
            </w:tcBorders>
            <w:vAlign w:val="bottom"/>
          </w:tcPr>
          <w:p w:rsidR="000C2ED5" w:rsidRDefault="000C2ED5">
            <w:pPr>
              <w:rPr>
                <w:sz w:val="20"/>
                <w:szCs w:val="20"/>
              </w:rPr>
            </w:pPr>
          </w:p>
        </w:tc>
        <w:tc>
          <w:tcPr>
            <w:tcW w:w="2060" w:type="dxa"/>
            <w:tcBorders>
              <w:bottom w:val="single" w:sz="8" w:space="0" w:color="auto"/>
            </w:tcBorders>
            <w:vAlign w:val="bottom"/>
          </w:tcPr>
          <w:p w:rsidR="000C2ED5" w:rsidRDefault="000C2ED5">
            <w:pPr>
              <w:rPr>
                <w:sz w:val="20"/>
                <w:szCs w:val="20"/>
              </w:rPr>
            </w:pPr>
          </w:p>
        </w:tc>
        <w:tc>
          <w:tcPr>
            <w:tcW w:w="2140" w:type="dxa"/>
            <w:tcBorders>
              <w:bottom w:val="single" w:sz="8" w:space="0" w:color="auto"/>
            </w:tcBorders>
            <w:vAlign w:val="bottom"/>
          </w:tcPr>
          <w:p w:rsidR="000C2ED5" w:rsidRDefault="000C2ED5">
            <w:pPr>
              <w:rPr>
                <w:sz w:val="20"/>
                <w:szCs w:val="20"/>
              </w:rPr>
            </w:pPr>
          </w:p>
        </w:tc>
        <w:tc>
          <w:tcPr>
            <w:tcW w:w="1540" w:type="dxa"/>
            <w:tcBorders>
              <w:bottom w:val="single" w:sz="8" w:space="0" w:color="auto"/>
            </w:tcBorders>
            <w:vAlign w:val="bottom"/>
          </w:tcPr>
          <w:p w:rsidR="000C2ED5" w:rsidRDefault="000C2ED5">
            <w:pPr>
              <w:rPr>
                <w:sz w:val="20"/>
                <w:szCs w:val="20"/>
              </w:rPr>
            </w:pPr>
          </w:p>
        </w:tc>
        <w:tc>
          <w:tcPr>
            <w:tcW w:w="5460" w:type="dxa"/>
            <w:tcBorders>
              <w:bottom w:val="single" w:sz="8" w:space="0" w:color="auto"/>
            </w:tcBorders>
            <w:vAlign w:val="bottom"/>
          </w:tcPr>
          <w:p w:rsidR="000C2ED5" w:rsidRDefault="000C2ED5">
            <w:pPr>
              <w:rPr>
                <w:sz w:val="20"/>
                <w:szCs w:val="20"/>
              </w:rPr>
            </w:pPr>
          </w:p>
        </w:tc>
        <w:tc>
          <w:tcPr>
            <w:tcW w:w="1220" w:type="dxa"/>
            <w:tcBorders>
              <w:bottom w:val="single" w:sz="8" w:space="0" w:color="auto"/>
            </w:tcBorders>
            <w:vAlign w:val="bottom"/>
          </w:tcPr>
          <w:p w:rsidR="000C2ED5" w:rsidRDefault="000C2ED5">
            <w:pPr>
              <w:rPr>
                <w:sz w:val="20"/>
                <w:szCs w:val="20"/>
              </w:rPr>
            </w:pPr>
          </w:p>
        </w:tc>
      </w:tr>
      <w:tr w:rsidR="000C2ED5">
        <w:trPr>
          <w:trHeight w:val="212"/>
        </w:trPr>
        <w:tc>
          <w:tcPr>
            <w:tcW w:w="1200" w:type="dxa"/>
            <w:vAlign w:val="bottom"/>
          </w:tcPr>
          <w:p w:rsidR="000C2ED5" w:rsidRDefault="000C2ED5">
            <w:pPr>
              <w:rPr>
                <w:sz w:val="18"/>
                <w:szCs w:val="18"/>
              </w:rPr>
            </w:pPr>
          </w:p>
        </w:tc>
        <w:tc>
          <w:tcPr>
            <w:tcW w:w="1080" w:type="dxa"/>
            <w:vAlign w:val="bottom"/>
          </w:tcPr>
          <w:p w:rsidR="000C2ED5" w:rsidRDefault="000C2ED5">
            <w:pPr>
              <w:rPr>
                <w:sz w:val="18"/>
                <w:szCs w:val="18"/>
              </w:rPr>
            </w:pPr>
          </w:p>
        </w:tc>
        <w:tc>
          <w:tcPr>
            <w:tcW w:w="1460" w:type="dxa"/>
            <w:vAlign w:val="bottom"/>
          </w:tcPr>
          <w:p w:rsidR="000C2ED5" w:rsidRDefault="000C2ED5">
            <w:pPr>
              <w:rPr>
                <w:sz w:val="18"/>
                <w:szCs w:val="18"/>
              </w:rPr>
            </w:pPr>
          </w:p>
        </w:tc>
        <w:tc>
          <w:tcPr>
            <w:tcW w:w="2060" w:type="dxa"/>
            <w:vAlign w:val="bottom"/>
          </w:tcPr>
          <w:p w:rsidR="000C2ED5" w:rsidRDefault="000C2ED5">
            <w:pPr>
              <w:rPr>
                <w:sz w:val="18"/>
                <w:szCs w:val="18"/>
              </w:rPr>
            </w:pPr>
          </w:p>
        </w:tc>
        <w:tc>
          <w:tcPr>
            <w:tcW w:w="2140" w:type="dxa"/>
            <w:vAlign w:val="bottom"/>
          </w:tcPr>
          <w:p w:rsidR="000C2ED5" w:rsidRDefault="000C2ED5">
            <w:pPr>
              <w:rPr>
                <w:sz w:val="18"/>
                <w:szCs w:val="18"/>
              </w:rPr>
            </w:pPr>
          </w:p>
        </w:tc>
        <w:tc>
          <w:tcPr>
            <w:tcW w:w="1540" w:type="dxa"/>
            <w:vAlign w:val="bottom"/>
          </w:tcPr>
          <w:p w:rsidR="000C2ED5" w:rsidRDefault="000C2ED5">
            <w:pPr>
              <w:rPr>
                <w:sz w:val="18"/>
                <w:szCs w:val="18"/>
              </w:rPr>
            </w:pPr>
          </w:p>
        </w:tc>
        <w:tc>
          <w:tcPr>
            <w:tcW w:w="5460" w:type="dxa"/>
            <w:vAlign w:val="bottom"/>
          </w:tcPr>
          <w:p w:rsidR="000C2ED5" w:rsidRDefault="00485212">
            <w:pPr>
              <w:spacing w:line="211" w:lineRule="exact"/>
              <w:ind w:left="240"/>
              <w:rPr>
                <w:sz w:val="20"/>
                <w:szCs w:val="20"/>
              </w:rPr>
            </w:pPr>
            <w:r>
              <w:rPr>
                <w:rFonts w:eastAsia="Times New Roman"/>
                <w:sz w:val="20"/>
                <w:szCs w:val="20"/>
              </w:rPr>
              <w:t>i.e. shortage of staff, inconsistency in staff responses, negative</w:t>
            </w:r>
          </w:p>
        </w:tc>
        <w:tc>
          <w:tcPr>
            <w:tcW w:w="1220" w:type="dxa"/>
            <w:vAlign w:val="bottom"/>
          </w:tcPr>
          <w:p w:rsidR="000C2ED5" w:rsidRDefault="000C2ED5">
            <w:pPr>
              <w:rPr>
                <w:sz w:val="18"/>
                <w:szCs w:val="18"/>
              </w:rPr>
            </w:pPr>
          </w:p>
        </w:tc>
      </w:tr>
      <w:tr w:rsidR="000C2ED5">
        <w:trPr>
          <w:trHeight w:val="461"/>
        </w:trPr>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60" w:type="dxa"/>
            <w:vAlign w:val="bottom"/>
          </w:tcPr>
          <w:p w:rsidR="000C2ED5" w:rsidRDefault="000C2ED5">
            <w:pPr>
              <w:rPr>
                <w:sz w:val="24"/>
                <w:szCs w:val="24"/>
              </w:rPr>
            </w:pPr>
          </w:p>
        </w:tc>
        <w:tc>
          <w:tcPr>
            <w:tcW w:w="2140" w:type="dxa"/>
            <w:vAlign w:val="bottom"/>
          </w:tcPr>
          <w:p w:rsidR="000C2ED5" w:rsidRDefault="000C2ED5">
            <w:pPr>
              <w:rPr>
                <w:sz w:val="24"/>
                <w:szCs w:val="24"/>
              </w:rPr>
            </w:pPr>
          </w:p>
        </w:tc>
        <w:tc>
          <w:tcPr>
            <w:tcW w:w="154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environment and long waiting times hindered engagement.</w:t>
            </w:r>
          </w:p>
        </w:tc>
        <w:tc>
          <w:tcPr>
            <w:tcW w:w="1220" w:type="dxa"/>
            <w:vAlign w:val="bottom"/>
          </w:tcPr>
          <w:p w:rsidR="000C2ED5" w:rsidRDefault="000C2ED5">
            <w:pPr>
              <w:rPr>
                <w:sz w:val="24"/>
                <w:szCs w:val="24"/>
              </w:rPr>
            </w:pPr>
          </w:p>
        </w:tc>
      </w:tr>
      <w:tr w:rsidR="000C2ED5">
        <w:trPr>
          <w:trHeight w:val="461"/>
        </w:trPr>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60" w:type="dxa"/>
            <w:vAlign w:val="bottom"/>
          </w:tcPr>
          <w:p w:rsidR="000C2ED5" w:rsidRDefault="000C2ED5">
            <w:pPr>
              <w:rPr>
                <w:sz w:val="24"/>
                <w:szCs w:val="24"/>
              </w:rPr>
            </w:pPr>
          </w:p>
        </w:tc>
        <w:tc>
          <w:tcPr>
            <w:tcW w:w="2140" w:type="dxa"/>
            <w:vAlign w:val="bottom"/>
          </w:tcPr>
          <w:p w:rsidR="000C2ED5" w:rsidRDefault="000C2ED5">
            <w:pPr>
              <w:rPr>
                <w:sz w:val="24"/>
                <w:szCs w:val="24"/>
              </w:rPr>
            </w:pPr>
          </w:p>
        </w:tc>
        <w:tc>
          <w:tcPr>
            <w:tcW w:w="154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 xml:space="preserve">Support factors i.e. members of treatment not </w:t>
            </w:r>
            <w:r>
              <w:rPr>
                <w:rFonts w:eastAsia="Times New Roman"/>
                <w:sz w:val="20"/>
                <w:szCs w:val="20"/>
              </w:rPr>
              <w:t>getting on and the</w:t>
            </w:r>
          </w:p>
        </w:tc>
        <w:tc>
          <w:tcPr>
            <w:tcW w:w="1220" w:type="dxa"/>
            <w:vAlign w:val="bottom"/>
          </w:tcPr>
          <w:p w:rsidR="000C2ED5" w:rsidRDefault="000C2ED5">
            <w:pPr>
              <w:rPr>
                <w:sz w:val="24"/>
                <w:szCs w:val="24"/>
              </w:rPr>
            </w:pPr>
          </w:p>
        </w:tc>
      </w:tr>
      <w:tr w:rsidR="000C2ED5">
        <w:trPr>
          <w:trHeight w:val="458"/>
        </w:trPr>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60" w:type="dxa"/>
            <w:vAlign w:val="bottom"/>
          </w:tcPr>
          <w:p w:rsidR="000C2ED5" w:rsidRDefault="000C2ED5">
            <w:pPr>
              <w:rPr>
                <w:sz w:val="24"/>
                <w:szCs w:val="24"/>
              </w:rPr>
            </w:pPr>
          </w:p>
        </w:tc>
        <w:tc>
          <w:tcPr>
            <w:tcW w:w="2140" w:type="dxa"/>
            <w:vAlign w:val="bottom"/>
          </w:tcPr>
          <w:p w:rsidR="000C2ED5" w:rsidRDefault="000C2ED5">
            <w:pPr>
              <w:rPr>
                <w:sz w:val="24"/>
                <w:szCs w:val="24"/>
              </w:rPr>
            </w:pPr>
          </w:p>
        </w:tc>
        <w:tc>
          <w:tcPr>
            <w:tcW w:w="154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stigma of mental health was a barrier to engagement.</w:t>
            </w:r>
          </w:p>
        </w:tc>
        <w:tc>
          <w:tcPr>
            <w:tcW w:w="1220" w:type="dxa"/>
            <w:vAlign w:val="bottom"/>
          </w:tcPr>
          <w:p w:rsidR="000C2ED5" w:rsidRDefault="000C2ED5">
            <w:pPr>
              <w:rPr>
                <w:sz w:val="24"/>
                <w:szCs w:val="24"/>
              </w:rPr>
            </w:pPr>
          </w:p>
        </w:tc>
      </w:tr>
      <w:tr w:rsidR="000C2ED5">
        <w:trPr>
          <w:trHeight w:val="461"/>
        </w:trPr>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60" w:type="dxa"/>
            <w:vAlign w:val="bottom"/>
          </w:tcPr>
          <w:p w:rsidR="000C2ED5" w:rsidRDefault="000C2ED5">
            <w:pPr>
              <w:rPr>
                <w:sz w:val="24"/>
                <w:szCs w:val="24"/>
              </w:rPr>
            </w:pPr>
          </w:p>
        </w:tc>
        <w:tc>
          <w:tcPr>
            <w:tcW w:w="2140" w:type="dxa"/>
            <w:vAlign w:val="bottom"/>
          </w:tcPr>
          <w:p w:rsidR="000C2ED5" w:rsidRDefault="000C2ED5">
            <w:pPr>
              <w:rPr>
                <w:sz w:val="24"/>
                <w:szCs w:val="24"/>
              </w:rPr>
            </w:pPr>
          </w:p>
        </w:tc>
        <w:tc>
          <w:tcPr>
            <w:tcW w:w="154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Identified four additional factors including trait, relating,</w:t>
            </w:r>
          </w:p>
        </w:tc>
        <w:tc>
          <w:tcPr>
            <w:tcW w:w="1220" w:type="dxa"/>
            <w:vAlign w:val="bottom"/>
          </w:tcPr>
          <w:p w:rsidR="000C2ED5" w:rsidRDefault="000C2ED5">
            <w:pPr>
              <w:rPr>
                <w:sz w:val="24"/>
                <w:szCs w:val="24"/>
              </w:rPr>
            </w:pPr>
          </w:p>
        </w:tc>
      </w:tr>
      <w:tr w:rsidR="000C2ED5">
        <w:trPr>
          <w:trHeight w:val="461"/>
        </w:trPr>
        <w:tc>
          <w:tcPr>
            <w:tcW w:w="1200" w:type="dxa"/>
            <w:vAlign w:val="bottom"/>
          </w:tcPr>
          <w:p w:rsidR="000C2ED5" w:rsidRDefault="000C2ED5">
            <w:pPr>
              <w:rPr>
                <w:sz w:val="24"/>
                <w:szCs w:val="24"/>
              </w:rPr>
            </w:pPr>
          </w:p>
        </w:tc>
        <w:tc>
          <w:tcPr>
            <w:tcW w:w="1080" w:type="dxa"/>
            <w:vAlign w:val="bottom"/>
          </w:tcPr>
          <w:p w:rsidR="000C2ED5" w:rsidRDefault="000C2ED5">
            <w:pPr>
              <w:rPr>
                <w:sz w:val="24"/>
                <w:szCs w:val="24"/>
              </w:rPr>
            </w:pPr>
          </w:p>
        </w:tc>
        <w:tc>
          <w:tcPr>
            <w:tcW w:w="1460" w:type="dxa"/>
            <w:vAlign w:val="bottom"/>
          </w:tcPr>
          <w:p w:rsidR="000C2ED5" w:rsidRDefault="000C2ED5">
            <w:pPr>
              <w:rPr>
                <w:sz w:val="24"/>
                <w:szCs w:val="24"/>
              </w:rPr>
            </w:pPr>
          </w:p>
        </w:tc>
        <w:tc>
          <w:tcPr>
            <w:tcW w:w="2060" w:type="dxa"/>
            <w:vAlign w:val="bottom"/>
          </w:tcPr>
          <w:p w:rsidR="000C2ED5" w:rsidRDefault="000C2ED5">
            <w:pPr>
              <w:rPr>
                <w:sz w:val="24"/>
                <w:szCs w:val="24"/>
              </w:rPr>
            </w:pPr>
          </w:p>
        </w:tc>
        <w:tc>
          <w:tcPr>
            <w:tcW w:w="2140" w:type="dxa"/>
            <w:vAlign w:val="bottom"/>
          </w:tcPr>
          <w:p w:rsidR="000C2ED5" w:rsidRDefault="000C2ED5">
            <w:pPr>
              <w:rPr>
                <w:sz w:val="24"/>
                <w:szCs w:val="24"/>
              </w:rPr>
            </w:pPr>
          </w:p>
        </w:tc>
        <w:tc>
          <w:tcPr>
            <w:tcW w:w="1540" w:type="dxa"/>
            <w:vAlign w:val="bottom"/>
          </w:tcPr>
          <w:p w:rsidR="000C2ED5" w:rsidRDefault="000C2ED5">
            <w:pPr>
              <w:rPr>
                <w:sz w:val="24"/>
                <w:szCs w:val="24"/>
              </w:rPr>
            </w:pPr>
          </w:p>
        </w:tc>
        <w:tc>
          <w:tcPr>
            <w:tcW w:w="5460" w:type="dxa"/>
            <w:vAlign w:val="bottom"/>
          </w:tcPr>
          <w:p w:rsidR="000C2ED5" w:rsidRDefault="00485212">
            <w:pPr>
              <w:ind w:left="240"/>
              <w:rPr>
                <w:sz w:val="20"/>
                <w:szCs w:val="20"/>
              </w:rPr>
            </w:pPr>
            <w:r>
              <w:rPr>
                <w:rFonts w:eastAsia="Times New Roman"/>
                <w:sz w:val="20"/>
                <w:szCs w:val="20"/>
              </w:rPr>
              <w:t>comorbidity and physical factors.</w:t>
            </w:r>
          </w:p>
        </w:tc>
        <w:tc>
          <w:tcPr>
            <w:tcW w:w="1220" w:type="dxa"/>
            <w:vAlign w:val="bottom"/>
          </w:tcPr>
          <w:p w:rsidR="000C2ED5" w:rsidRDefault="000C2ED5">
            <w:pPr>
              <w:rPr>
                <w:sz w:val="24"/>
                <w:szCs w:val="24"/>
              </w:rPr>
            </w:pPr>
          </w:p>
        </w:tc>
      </w:tr>
    </w:tbl>
    <w:p w:rsidR="000C2ED5" w:rsidRDefault="000C2ED5">
      <w:pPr>
        <w:spacing w:line="222" w:lineRule="exact"/>
        <w:rPr>
          <w:sz w:val="20"/>
          <w:szCs w:val="20"/>
        </w:rPr>
      </w:pPr>
    </w:p>
    <w:p w:rsidR="000C2ED5" w:rsidRDefault="00485212">
      <w:pPr>
        <w:spacing w:line="441" w:lineRule="auto"/>
        <w:ind w:left="1100" w:right="1140"/>
        <w:rPr>
          <w:sz w:val="20"/>
          <w:szCs w:val="20"/>
        </w:rPr>
      </w:pPr>
      <w:r>
        <w:rPr>
          <w:rFonts w:eastAsia="Times New Roman"/>
          <w:sz w:val="27"/>
          <w:szCs w:val="27"/>
          <w:vertAlign w:val="superscript"/>
        </w:rPr>
        <w:t>a</w:t>
      </w:r>
      <w:r>
        <w:rPr>
          <w:rFonts w:eastAsia="Times New Roman"/>
        </w:rPr>
        <w:t xml:space="preserve">As the focus of the current review is regarding engagement </w:t>
      </w:r>
      <w:r>
        <w:rPr>
          <w:rFonts w:eastAsia="Times New Roman"/>
        </w:rPr>
        <w:t>in forensic samples, findings regarding the non-forensic PD sample implemented within Tetley et al. (2012) study were not reported within this table. For details regarding this, please refer to full text.</w:t>
      </w:r>
    </w:p>
    <w:p w:rsidR="000C2ED5" w:rsidRDefault="00485212">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-8255</wp:posOffset>
                </wp:positionH>
                <wp:positionV relativeFrom="paragraph">
                  <wp:posOffset>-645160</wp:posOffset>
                </wp:positionV>
                <wp:extent cx="1026922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69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F003ED5" id="Shape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5pt,-50.8pt" to="807.9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" o:allowincell="f" filled="t" strokeweight=".48pt">
                <v:stroke joinstyle="miter"/>
                <o:lock v:ext="edit" shapetype="f"/>
              </v:line>
            </w:pict>
          </mc:Fallback>
        </mc:AlternateConten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45" w:lineRule="exact"/>
        <w:rPr>
          <w:sz w:val="20"/>
          <w:szCs w:val="20"/>
        </w:rPr>
      </w:pPr>
    </w:p>
    <w:p w:rsidR="000C2ED5" w:rsidRDefault="00485212">
      <w:pPr>
        <w:ind w:left="14840"/>
        <w:rPr>
          <w:sz w:val="20"/>
          <w:szCs w:val="20"/>
        </w:rPr>
      </w:pPr>
      <w:r>
        <w:rPr>
          <w:rFonts w:eastAsia="Times New Roman"/>
        </w:rPr>
        <w:t>59</w:t>
      </w:r>
    </w:p>
    <w:p w:rsidR="000C2ED5" w:rsidRDefault="000C2ED5">
      <w:pPr>
        <w:sectPr w:rsidR="000C2ED5">
          <w:pgSz w:w="16840" w:h="11906" w:orient="landscape"/>
          <w:pgMar w:top="698" w:right="338" w:bottom="403" w:left="340" w:header="0" w:footer="0" w:gutter="0"/>
          <w:cols w:space="720" w:equalWidth="0">
            <w:col w:w="16160"/>
          </w:cols>
        </w:sectPr>
      </w:pPr>
    </w:p>
    <w:p w:rsidR="000C2ED5" w:rsidRDefault="00485212">
      <w:pPr>
        <w:rPr>
          <w:sz w:val="20"/>
          <w:szCs w:val="20"/>
        </w:rPr>
      </w:pPr>
      <w:bookmarkStart w:id="60" w:name="page61"/>
      <w:bookmarkEnd w:id="60"/>
      <w:r>
        <w:rPr>
          <w:rFonts w:eastAsia="Times New Roman"/>
        </w:rPr>
        <w:lastRenderedPageBreak/>
        <w:t>Treatment Engagement from the Perspective of the Offender</w:t>
      </w: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00" w:lineRule="exact"/>
        <w:rPr>
          <w:sz w:val="20"/>
          <w:szCs w:val="20"/>
        </w:rPr>
      </w:pPr>
    </w:p>
    <w:p w:rsidR="000C2ED5" w:rsidRDefault="000C2ED5">
      <w:pPr>
        <w:spacing w:line="265" w:lineRule="exact"/>
        <w:rPr>
          <w:sz w:val="20"/>
          <w:szCs w:val="20"/>
        </w:rPr>
      </w:pPr>
    </w:p>
    <w:p w:rsidR="000C2ED5" w:rsidRDefault="00485212">
      <w:pPr>
        <w:ind w:right="6"/>
        <w:jc w:val="right"/>
        <w:rPr>
          <w:sz w:val="20"/>
          <w:szCs w:val="20"/>
        </w:rPr>
      </w:pPr>
      <w:r>
        <w:rPr>
          <w:rFonts w:eastAsia="Times New Roman"/>
        </w:rPr>
        <w:t>60</w:t>
      </w:r>
    </w:p>
    <w:sectPr w:rsidR="000C2ED5">
      <w:pgSz w:w="11900" w:h="16838"/>
      <w:pgMar w:top="700" w:right="1440" w:bottom="403"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141F2"/>
    <w:multiLevelType w:val="hybridMultilevel"/>
    <w:tmpl w:val="143232D0"/>
    <w:lvl w:ilvl="0" w:tplc="BA6C7052">
      <w:start w:val="1"/>
      <w:numFmt w:val="bullet"/>
      <w:lvlText w:val="="/>
      <w:lvlJc w:val="left"/>
    </w:lvl>
    <w:lvl w:ilvl="1" w:tplc="5ACA8E16">
      <w:numFmt w:val="decimal"/>
      <w:lvlText w:val=""/>
      <w:lvlJc w:val="left"/>
    </w:lvl>
    <w:lvl w:ilvl="2" w:tplc="8B1E9174">
      <w:numFmt w:val="decimal"/>
      <w:lvlText w:val=""/>
      <w:lvlJc w:val="left"/>
    </w:lvl>
    <w:lvl w:ilvl="3" w:tplc="8CB233B6">
      <w:numFmt w:val="decimal"/>
      <w:lvlText w:val=""/>
      <w:lvlJc w:val="left"/>
    </w:lvl>
    <w:lvl w:ilvl="4" w:tplc="52260190">
      <w:numFmt w:val="decimal"/>
      <w:lvlText w:val=""/>
      <w:lvlJc w:val="left"/>
    </w:lvl>
    <w:lvl w:ilvl="5" w:tplc="67DE48B0">
      <w:numFmt w:val="decimal"/>
      <w:lvlText w:val=""/>
      <w:lvlJc w:val="left"/>
    </w:lvl>
    <w:lvl w:ilvl="6" w:tplc="DEB42586">
      <w:numFmt w:val="decimal"/>
      <w:lvlText w:val=""/>
      <w:lvlJc w:val="left"/>
    </w:lvl>
    <w:lvl w:ilvl="7" w:tplc="079EA7EA">
      <w:numFmt w:val="decimal"/>
      <w:lvlText w:val=""/>
      <w:lvlJc w:val="left"/>
    </w:lvl>
    <w:lvl w:ilvl="8" w:tplc="58809D6A">
      <w:numFmt w:val="decimal"/>
      <w:lvlText w:val=""/>
      <w:lvlJc w:val="left"/>
    </w:lvl>
  </w:abstractNum>
  <w:abstractNum w:abstractNumId="1" w15:restartNumberingAfterBreak="0">
    <w:nsid w:val="3D1B58BA"/>
    <w:multiLevelType w:val="hybridMultilevel"/>
    <w:tmpl w:val="E744B258"/>
    <w:lvl w:ilvl="0" w:tplc="58BEC24C">
      <w:start w:val="1"/>
      <w:numFmt w:val="bullet"/>
      <w:lvlText w:val="&amp;"/>
      <w:lvlJc w:val="left"/>
    </w:lvl>
    <w:lvl w:ilvl="1" w:tplc="508ECF76">
      <w:numFmt w:val="decimal"/>
      <w:lvlText w:val=""/>
      <w:lvlJc w:val="left"/>
    </w:lvl>
    <w:lvl w:ilvl="2" w:tplc="57C69B8E">
      <w:numFmt w:val="decimal"/>
      <w:lvlText w:val=""/>
      <w:lvlJc w:val="left"/>
    </w:lvl>
    <w:lvl w:ilvl="3" w:tplc="2A768050">
      <w:numFmt w:val="decimal"/>
      <w:lvlText w:val=""/>
      <w:lvlJc w:val="left"/>
    </w:lvl>
    <w:lvl w:ilvl="4" w:tplc="EB40B21C">
      <w:numFmt w:val="decimal"/>
      <w:lvlText w:val=""/>
      <w:lvlJc w:val="left"/>
    </w:lvl>
    <w:lvl w:ilvl="5" w:tplc="936AF7DA">
      <w:numFmt w:val="decimal"/>
      <w:lvlText w:val=""/>
      <w:lvlJc w:val="left"/>
    </w:lvl>
    <w:lvl w:ilvl="6" w:tplc="1F1E44CC">
      <w:numFmt w:val="decimal"/>
      <w:lvlText w:val=""/>
      <w:lvlJc w:val="left"/>
    </w:lvl>
    <w:lvl w:ilvl="7" w:tplc="9698DA16">
      <w:numFmt w:val="decimal"/>
      <w:lvlText w:val=""/>
      <w:lvlJc w:val="left"/>
    </w:lvl>
    <w:lvl w:ilvl="8" w:tplc="0DD63BFA">
      <w:numFmt w:val="decimal"/>
      <w:lvlText w:val=""/>
      <w:lvlJc w:val="left"/>
    </w:lvl>
  </w:abstractNum>
  <w:abstractNum w:abstractNumId="2" w15:restartNumberingAfterBreak="0">
    <w:nsid w:val="41B71EFB"/>
    <w:multiLevelType w:val="hybridMultilevel"/>
    <w:tmpl w:val="824896C6"/>
    <w:lvl w:ilvl="0" w:tplc="9E98CA6A">
      <w:start w:val="425"/>
      <w:numFmt w:val="decimal"/>
      <w:lvlText w:val="%1)"/>
      <w:lvlJc w:val="left"/>
    </w:lvl>
    <w:lvl w:ilvl="1" w:tplc="C9185928">
      <w:numFmt w:val="decimal"/>
      <w:lvlText w:val=""/>
      <w:lvlJc w:val="left"/>
    </w:lvl>
    <w:lvl w:ilvl="2" w:tplc="B1186B74">
      <w:numFmt w:val="decimal"/>
      <w:lvlText w:val=""/>
      <w:lvlJc w:val="left"/>
    </w:lvl>
    <w:lvl w:ilvl="3" w:tplc="B6148D36">
      <w:numFmt w:val="decimal"/>
      <w:lvlText w:val=""/>
      <w:lvlJc w:val="left"/>
    </w:lvl>
    <w:lvl w:ilvl="4" w:tplc="CA523DC6">
      <w:numFmt w:val="decimal"/>
      <w:lvlText w:val=""/>
      <w:lvlJc w:val="left"/>
    </w:lvl>
    <w:lvl w:ilvl="5" w:tplc="586455E6">
      <w:numFmt w:val="decimal"/>
      <w:lvlText w:val=""/>
      <w:lvlJc w:val="left"/>
    </w:lvl>
    <w:lvl w:ilvl="6" w:tplc="E174B052">
      <w:numFmt w:val="decimal"/>
      <w:lvlText w:val=""/>
      <w:lvlJc w:val="left"/>
    </w:lvl>
    <w:lvl w:ilvl="7" w:tplc="E05230E4">
      <w:numFmt w:val="decimal"/>
      <w:lvlText w:val=""/>
      <w:lvlJc w:val="left"/>
    </w:lvl>
    <w:lvl w:ilvl="8" w:tplc="F6ACE25C">
      <w:numFmt w:val="decimal"/>
      <w:lvlText w:val=""/>
      <w:lvlJc w:val="left"/>
    </w:lvl>
  </w:abstractNum>
  <w:abstractNum w:abstractNumId="3" w15:restartNumberingAfterBreak="0">
    <w:nsid w:val="46E87CCD"/>
    <w:multiLevelType w:val="hybridMultilevel"/>
    <w:tmpl w:val="951A7BA8"/>
    <w:lvl w:ilvl="0" w:tplc="59EC2E78">
      <w:start w:val="1"/>
      <w:numFmt w:val="bullet"/>
      <w:lvlText w:val="•"/>
      <w:lvlJc w:val="left"/>
    </w:lvl>
    <w:lvl w:ilvl="1" w:tplc="3472499A">
      <w:numFmt w:val="decimal"/>
      <w:lvlText w:val=""/>
      <w:lvlJc w:val="left"/>
    </w:lvl>
    <w:lvl w:ilvl="2" w:tplc="06844082">
      <w:numFmt w:val="decimal"/>
      <w:lvlText w:val=""/>
      <w:lvlJc w:val="left"/>
    </w:lvl>
    <w:lvl w:ilvl="3" w:tplc="4E3A6C86">
      <w:numFmt w:val="decimal"/>
      <w:lvlText w:val=""/>
      <w:lvlJc w:val="left"/>
    </w:lvl>
    <w:lvl w:ilvl="4" w:tplc="E30018F0">
      <w:numFmt w:val="decimal"/>
      <w:lvlText w:val=""/>
      <w:lvlJc w:val="left"/>
    </w:lvl>
    <w:lvl w:ilvl="5" w:tplc="21C4A2B8">
      <w:numFmt w:val="decimal"/>
      <w:lvlText w:val=""/>
      <w:lvlJc w:val="left"/>
    </w:lvl>
    <w:lvl w:ilvl="6" w:tplc="07BC1F9A">
      <w:numFmt w:val="decimal"/>
      <w:lvlText w:val=""/>
      <w:lvlJc w:val="left"/>
    </w:lvl>
    <w:lvl w:ilvl="7" w:tplc="99EC983E">
      <w:numFmt w:val="decimal"/>
      <w:lvlText w:val=""/>
      <w:lvlJc w:val="left"/>
    </w:lvl>
    <w:lvl w:ilvl="8" w:tplc="121AF4B2">
      <w:numFmt w:val="decimal"/>
      <w:lvlText w:val=""/>
      <w:lvlJc w:val="left"/>
    </w:lvl>
  </w:abstractNum>
  <w:abstractNum w:abstractNumId="4" w15:restartNumberingAfterBreak="0">
    <w:nsid w:val="507ED7AB"/>
    <w:multiLevelType w:val="hybridMultilevel"/>
    <w:tmpl w:val="60F64046"/>
    <w:lvl w:ilvl="0" w:tplc="37C4BBDE">
      <w:start w:val="1"/>
      <w:numFmt w:val="bullet"/>
      <w:lvlText w:val="&amp;"/>
      <w:lvlJc w:val="left"/>
    </w:lvl>
    <w:lvl w:ilvl="1" w:tplc="C31A3BA6">
      <w:numFmt w:val="decimal"/>
      <w:lvlText w:val=""/>
      <w:lvlJc w:val="left"/>
    </w:lvl>
    <w:lvl w:ilvl="2" w:tplc="C94AADDA">
      <w:numFmt w:val="decimal"/>
      <w:lvlText w:val=""/>
      <w:lvlJc w:val="left"/>
    </w:lvl>
    <w:lvl w:ilvl="3" w:tplc="1A08FFDA">
      <w:numFmt w:val="decimal"/>
      <w:lvlText w:val=""/>
      <w:lvlJc w:val="left"/>
    </w:lvl>
    <w:lvl w:ilvl="4" w:tplc="D5CA61A2">
      <w:numFmt w:val="decimal"/>
      <w:lvlText w:val=""/>
      <w:lvlJc w:val="left"/>
    </w:lvl>
    <w:lvl w:ilvl="5" w:tplc="110ECA16">
      <w:numFmt w:val="decimal"/>
      <w:lvlText w:val=""/>
      <w:lvlJc w:val="left"/>
    </w:lvl>
    <w:lvl w:ilvl="6" w:tplc="6978BD5A">
      <w:numFmt w:val="decimal"/>
      <w:lvlText w:val=""/>
      <w:lvlJc w:val="left"/>
    </w:lvl>
    <w:lvl w:ilvl="7" w:tplc="9DE263FC">
      <w:numFmt w:val="decimal"/>
      <w:lvlText w:val=""/>
      <w:lvlJc w:val="left"/>
    </w:lvl>
    <w:lvl w:ilvl="8" w:tplc="56626B2C">
      <w:numFmt w:val="decimal"/>
      <w:lvlText w:val=""/>
      <w:lvlJc w:val="left"/>
    </w:lvl>
  </w:abstractNum>
  <w:abstractNum w:abstractNumId="5" w15:restartNumberingAfterBreak="0">
    <w:nsid w:val="515F007C"/>
    <w:multiLevelType w:val="hybridMultilevel"/>
    <w:tmpl w:val="A736606E"/>
    <w:lvl w:ilvl="0" w:tplc="EBD610C0">
      <w:start w:val="1"/>
      <w:numFmt w:val="bullet"/>
      <w:lvlText w:val="&amp;"/>
      <w:lvlJc w:val="left"/>
    </w:lvl>
    <w:lvl w:ilvl="1" w:tplc="E4426894">
      <w:numFmt w:val="decimal"/>
      <w:lvlText w:val=""/>
      <w:lvlJc w:val="left"/>
    </w:lvl>
    <w:lvl w:ilvl="2" w:tplc="6CE64354">
      <w:numFmt w:val="decimal"/>
      <w:lvlText w:val=""/>
      <w:lvlJc w:val="left"/>
    </w:lvl>
    <w:lvl w:ilvl="3" w:tplc="6978B226">
      <w:numFmt w:val="decimal"/>
      <w:lvlText w:val=""/>
      <w:lvlJc w:val="left"/>
    </w:lvl>
    <w:lvl w:ilvl="4" w:tplc="12E63E2C">
      <w:numFmt w:val="decimal"/>
      <w:lvlText w:val=""/>
      <w:lvlJc w:val="left"/>
    </w:lvl>
    <w:lvl w:ilvl="5" w:tplc="7EDC310C">
      <w:numFmt w:val="decimal"/>
      <w:lvlText w:val=""/>
      <w:lvlJc w:val="left"/>
    </w:lvl>
    <w:lvl w:ilvl="6" w:tplc="28E4FA50">
      <w:numFmt w:val="decimal"/>
      <w:lvlText w:val=""/>
      <w:lvlJc w:val="left"/>
    </w:lvl>
    <w:lvl w:ilvl="7" w:tplc="655042EE">
      <w:numFmt w:val="decimal"/>
      <w:lvlText w:val=""/>
      <w:lvlJc w:val="left"/>
    </w:lvl>
    <w:lvl w:ilvl="8" w:tplc="20245F94">
      <w:numFmt w:val="decimal"/>
      <w:lvlText w:val=""/>
      <w:lvlJc w:val="left"/>
    </w:lvl>
  </w:abstractNum>
  <w:abstractNum w:abstractNumId="6" w15:restartNumberingAfterBreak="0">
    <w:nsid w:val="5BD062C2"/>
    <w:multiLevelType w:val="hybridMultilevel"/>
    <w:tmpl w:val="09C0871E"/>
    <w:lvl w:ilvl="0" w:tplc="ED1CE0DE">
      <w:start w:val="1"/>
      <w:numFmt w:val="decimal"/>
      <w:lvlText w:val="%1"/>
      <w:lvlJc w:val="left"/>
    </w:lvl>
    <w:lvl w:ilvl="1" w:tplc="49409374">
      <w:numFmt w:val="decimal"/>
      <w:lvlText w:val=""/>
      <w:lvlJc w:val="left"/>
    </w:lvl>
    <w:lvl w:ilvl="2" w:tplc="591033E8">
      <w:numFmt w:val="decimal"/>
      <w:lvlText w:val=""/>
      <w:lvlJc w:val="left"/>
    </w:lvl>
    <w:lvl w:ilvl="3" w:tplc="CB3A0946">
      <w:numFmt w:val="decimal"/>
      <w:lvlText w:val=""/>
      <w:lvlJc w:val="left"/>
    </w:lvl>
    <w:lvl w:ilvl="4" w:tplc="2A7412F4">
      <w:numFmt w:val="decimal"/>
      <w:lvlText w:val=""/>
      <w:lvlJc w:val="left"/>
    </w:lvl>
    <w:lvl w:ilvl="5" w:tplc="6BBEEE6E">
      <w:numFmt w:val="decimal"/>
      <w:lvlText w:val=""/>
      <w:lvlJc w:val="left"/>
    </w:lvl>
    <w:lvl w:ilvl="6" w:tplc="8A600C10">
      <w:numFmt w:val="decimal"/>
      <w:lvlText w:val=""/>
      <w:lvlJc w:val="left"/>
    </w:lvl>
    <w:lvl w:ilvl="7" w:tplc="1D742DBE">
      <w:numFmt w:val="decimal"/>
      <w:lvlText w:val=""/>
      <w:lvlJc w:val="left"/>
    </w:lvl>
    <w:lvl w:ilvl="8" w:tplc="589CB20A">
      <w:numFmt w:val="decimal"/>
      <w:lvlText w:val=""/>
      <w:lvlJc w:val="left"/>
    </w:lvl>
  </w:abstractNum>
  <w:abstractNum w:abstractNumId="7" w15:restartNumberingAfterBreak="0">
    <w:nsid w:val="7545E146"/>
    <w:multiLevelType w:val="hybridMultilevel"/>
    <w:tmpl w:val="B734DB8C"/>
    <w:lvl w:ilvl="0" w:tplc="4C9A06AE">
      <w:start w:val="1"/>
      <w:numFmt w:val="bullet"/>
      <w:lvlText w:val="&amp;"/>
      <w:lvlJc w:val="left"/>
    </w:lvl>
    <w:lvl w:ilvl="1" w:tplc="8B5CC5D2">
      <w:numFmt w:val="decimal"/>
      <w:lvlText w:val=""/>
      <w:lvlJc w:val="left"/>
    </w:lvl>
    <w:lvl w:ilvl="2" w:tplc="8A905E9A">
      <w:numFmt w:val="decimal"/>
      <w:lvlText w:val=""/>
      <w:lvlJc w:val="left"/>
    </w:lvl>
    <w:lvl w:ilvl="3" w:tplc="C7AA5A50">
      <w:numFmt w:val="decimal"/>
      <w:lvlText w:val=""/>
      <w:lvlJc w:val="left"/>
    </w:lvl>
    <w:lvl w:ilvl="4" w:tplc="22C663A0">
      <w:numFmt w:val="decimal"/>
      <w:lvlText w:val=""/>
      <w:lvlJc w:val="left"/>
    </w:lvl>
    <w:lvl w:ilvl="5" w:tplc="58F290B4">
      <w:numFmt w:val="decimal"/>
      <w:lvlText w:val=""/>
      <w:lvlJc w:val="left"/>
    </w:lvl>
    <w:lvl w:ilvl="6" w:tplc="F76A3016">
      <w:numFmt w:val="decimal"/>
      <w:lvlText w:val=""/>
      <w:lvlJc w:val="left"/>
    </w:lvl>
    <w:lvl w:ilvl="7" w:tplc="48BCC858">
      <w:numFmt w:val="decimal"/>
      <w:lvlText w:val=""/>
      <w:lvlJc w:val="left"/>
    </w:lvl>
    <w:lvl w:ilvl="8" w:tplc="68B0AD3E">
      <w:numFmt w:val="decimal"/>
      <w:lvlText w:val=""/>
      <w:lvlJc w:val="left"/>
    </w:lvl>
  </w:abstractNum>
  <w:abstractNum w:abstractNumId="8" w15:restartNumberingAfterBreak="0">
    <w:nsid w:val="79E2A9E3"/>
    <w:multiLevelType w:val="hybridMultilevel"/>
    <w:tmpl w:val="7B585F1E"/>
    <w:lvl w:ilvl="0" w:tplc="98A80ABE">
      <w:start w:val="6"/>
      <w:numFmt w:val="decimal"/>
      <w:lvlText w:val="(%1)"/>
      <w:lvlJc w:val="left"/>
    </w:lvl>
    <w:lvl w:ilvl="1" w:tplc="87D43152">
      <w:numFmt w:val="decimal"/>
      <w:lvlText w:val=""/>
      <w:lvlJc w:val="left"/>
    </w:lvl>
    <w:lvl w:ilvl="2" w:tplc="7AAA67D0">
      <w:numFmt w:val="decimal"/>
      <w:lvlText w:val=""/>
      <w:lvlJc w:val="left"/>
    </w:lvl>
    <w:lvl w:ilvl="3" w:tplc="0CF096F2">
      <w:numFmt w:val="decimal"/>
      <w:lvlText w:val=""/>
      <w:lvlJc w:val="left"/>
    </w:lvl>
    <w:lvl w:ilvl="4" w:tplc="64BAC02A">
      <w:numFmt w:val="decimal"/>
      <w:lvlText w:val=""/>
      <w:lvlJc w:val="left"/>
    </w:lvl>
    <w:lvl w:ilvl="5" w:tplc="933CE9AA">
      <w:numFmt w:val="decimal"/>
      <w:lvlText w:val=""/>
      <w:lvlJc w:val="left"/>
    </w:lvl>
    <w:lvl w:ilvl="6" w:tplc="DDCA3B38">
      <w:numFmt w:val="decimal"/>
      <w:lvlText w:val=""/>
      <w:lvlJc w:val="left"/>
    </w:lvl>
    <w:lvl w:ilvl="7" w:tplc="33721E94">
      <w:numFmt w:val="decimal"/>
      <w:lvlText w:val=""/>
      <w:lvlJc w:val="left"/>
    </w:lvl>
    <w:lvl w:ilvl="8" w:tplc="6C76544E">
      <w:numFmt w:val="decimal"/>
      <w:lvlText w:val=""/>
      <w:lvlJc w:val="left"/>
    </w:lvl>
  </w:abstractNum>
  <w:num w:numId="1">
    <w:abstractNumId w:val="3"/>
  </w:num>
  <w:num w:numId="2">
    <w:abstractNumId w:val="1"/>
  </w:num>
  <w:num w:numId="3">
    <w:abstractNumId w:val="4"/>
  </w:num>
  <w:num w:numId="4">
    <w:abstractNumId w:val="0"/>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ED5"/>
    <w:rsid w:val="000C2ED5"/>
    <w:rsid w:val="0048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87FB"/>
  <w15:docId w15:val="{CCAFE74E-A3FD-4CA8-B46E-3D649FD5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2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15959</Words>
  <Characters>90967</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3</cp:revision>
  <dcterms:created xsi:type="dcterms:W3CDTF">2018-08-29T11:42:00Z</dcterms:created>
  <dcterms:modified xsi:type="dcterms:W3CDTF">2018-08-29T15:48:00Z</dcterms:modified>
</cp:coreProperties>
</file>