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3B4D1" w14:textId="735207BE" w:rsidR="007B64B2" w:rsidRPr="00F3498C" w:rsidRDefault="00AA6E19" w:rsidP="00B80F61">
      <w:pPr>
        <w:spacing w:after="120" w:line="276" w:lineRule="auto"/>
        <w:jc w:val="center"/>
        <w:rPr>
          <w:rFonts w:eastAsia="Arial Unicode MS" w:cs="Arial Unicode MS"/>
          <w:b/>
          <w:sz w:val="24"/>
        </w:rPr>
      </w:pPr>
      <w:bookmarkStart w:id="0" w:name="_GoBack"/>
      <w:r>
        <w:rPr>
          <w:rFonts w:eastAsia="Arial Unicode MS" w:cs="Arial Unicode MS"/>
          <w:b/>
          <w:sz w:val="24"/>
        </w:rPr>
        <w:t>M</w:t>
      </w:r>
      <w:r w:rsidR="00B80F61">
        <w:rPr>
          <w:rFonts w:eastAsia="Arial Unicode MS" w:cs="Arial Unicode MS"/>
          <w:b/>
          <w:sz w:val="24"/>
        </w:rPr>
        <w:t>echanical pretreatment of waste paper for</w:t>
      </w:r>
      <w:r w:rsidR="007B64B2" w:rsidRPr="00F3498C">
        <w:rPr>
          <w:rFonts w:eastAsia="Arial Unicode MS" w:cs="Arial Unicode MS"/>
          <w:b/>
          <w:sz w:val="24"/>
        </w:rPr>
        <w:t xml:space="preserve"> biogas production</w:t>
      </w:r>
    </w:p>
    <w:bookmarkEnd w:id="0"/>
    <w:p w14:paraId="79A328C0" w14:textId="25020B93" w:rsidR="001838D9" w:rsidRPr="009325C8" w:rsidRDefault="001838D9" w:rsidP="001838D9">
      <w:pPr>
        <w:pStyle w:val="Author"/>
        <w:spacing w:after="240" w:line="276" w:lineRule="auto"/>
        <w:jc w:val="left"/>
        <w:rPr>
          <w:rFonts w:eastAsia="Arial Unicode MS" w:cs="Arial Unicode MS"/>
          <w:szCs w:val="20"/>
          <w:lang w:val="es-ES"/>
        </w:rPr>
      </w:pPr>
      <w:r w:rsidRPr="00F54F05">
        <w:rPr>
          <w:rFonts w:eastAsia="Arial Unicode MS" w:cs="Arial Unicode MS"/>
          <w:szCs w:val="20"/>
          <w:lang w:val="es-ES"/>
        </w:rPr>
        <w:t>C. Rodriguez</w:t>
      </w:r>
      <w:r w:rsidRPr="009325C8">
        <w:rPr>
          <w:rFonts w:eastAsia="Arial Unicode MS" w:cs="Arial Unicode MS"/>
          <w:szCs w:val="20"/>
          <w:vertAlign w:val="superscript"/>
          <w:lang w:val="es-ES"/>
        </w:rPr>
        <w:t>1,</w:t>
      </w:r>
      <w:r w:rsidRPr="00F54F05">
        <w:rPr>
          <w:rFonts w:eastAsia="Arial Unicode MS" w:cs="Arial Unicode MS"/>
          <w:szCs w:val="20"/>
          <w:lang w:val="es-ES"/>
        </w:rPr>
        <w:t>*, A. Alaswad</w:t>
      </w:r>
      <w:r>
        <w:rPr>
          <w:rFonts w:eastAsia="Arial Unicode MS" w:cs="Arial Unicode MS"/>
          <w:szCs w:val="20"/>
          <w:vertAlign w:val="superscript"/>
          <w:lang w:val="es-ES"/>
        </w:rPr>
        <w:t>2</w:t>
      </w:r>
      <w:r w:rsidRPr="00F54F05">
        <w:rPr>
          <w:rFonts w:eastAsia="Arial Unicode MS" w:cs="Arial Unicode MS"/>
          <w:szCs w:val="20"/>
          <w:lang w:val="es-ES"/>
        </w:rPr>
        <w:t>,</w:t>
      </w:r>
      <w:r w:rsidR="000E38A4">
        <w:rPr>
          <w:rFonts w:eastAsia="Arial Unicode MS" w:cs="Arial Unicode MS"/>
          <w:szCs w:val="20"/>
          <w:lang w:val="es-ES"/>
        </w:rPr>
        <w:t xml:space="preserve"> Z. El-Hassan</w:t>
      </w:r>
      <w:r w:rsidR="000E38A4">
        <w:rPr>
          <w:rFonts w:eastAsia="Arial Unicode MS" w:cs="Arial Unicode MS"/>
          <w:szCs w:val="20"/>
          <w:vertAlign w:val="superscript"/>
          <w:lang w:val="es-ES"/>
        </w:rPr>
        <w:t>1</w:t>
      </w:r>
      <w:r w:rsidR="000E38A4">
        <w:rPr>
          <w:rFonts w:eastAsia="Arial Unicode MS" w:cs="Arial Unicode MS"/>
          <w:szCs w:val="20"/>
          <w:lang w:val="es-ES"/>
        </w:rPr>
        <w:t>,</w:t>
      </w:r>
      <w:r w:rsidRPr="00F54F05">
        <w:rPr>
          <w:rFonts w:eastAsia="Arial Unicode MS" w:cs="Arial Unicode MS"/>
          <w:szCs w:val="20"/>
          <w:lang w:val="es-ES"/>
        </w:rPr>
        <w:t xml:space="preserve"> A.G. Olabi</w:t>
      </w:r>
      <w:r>
        <w:rPr>
          <w:rFonts w:eastAsia="Arial Unicode MS" w:cs="Arial Unicode MS"/>
          <w:szCs w:val="20"/>
          <w:vertAlign w:val="superscript"/>
          <w:lang w:val="es-ES"/>
        </w:rPr>
        <w:t>1</w:t>
      </w:r>
    </w:p>
    <w:p w14:paraId="035F33F5" w14:textId="77777777" w:rsidR="001838D9" w:rsidRDefault="001838D9" w:rsidP="001838D9">
      <w:pPr>
        <w:pStyle w:val="BodyText"/>
        <w:spacing w:line="276" w:lineRule="auto"/>
        <w:jc w:val="left"/>
        <w:rPr>
          <w:rFonts w:eastAsia="Arial Unicode MS" w:cs="Arial Unicode MS"/>
          <w:szCs w:val="20"/>
        </w:rPr>
      </w:pPr>
      <w:r>
        <w:rPr>
          <w:rFonts w:eastAsia="Arial Unicode MS" w:cs="Arial Unicode MS"/>
          <w:szCs w:val="20"/>
          <w:vertAlign w:val="superscript"/>
        </w:rPr>
        <w:t xml:space="preserve">1 </w:t>
      </w:r>
      <w:r w:rsidRPr="00F3498C">
        <w:rPr>
          <w:rFonts w:eastAsia="Arial Unicode MS" w:cs="Arial Unicode MS"/>
          <w:szCs w:val="20"/>
        </w:rPr>
        <w:t>Institute of Engineering and Energy Technologies</w:t>
      </w:r>
      <w:r>
        <w:rPr>
          <w:rFonts w:eastAsia="Arial Unicode MS" w:cs="Arial Unicode MS"/>
          <w:szCs w:val="20"/>
        </w:rPr>
        <w:t>,</w:t>
      </w:r>
      <w:r w:rsidRPr="00296765">
        <w:rPr>
          <w:rFonts w:eastAsia="Arial Unicode MS" w:cs="Arial Unicode MS"/>
          <w:szCs w:val="20"/>
        </w:rPr>
        <w:t xml:space="preserve"> School</w:t>
      </w:r>
      <w:r>
        <w:rPr>
          <w:rFonts w:eastAsia="Arial Unicode MS" w:cs="Arial Unicode MS"/>
          <w:szCs w:val="20"/>
        </w:rPr>
        <w:t xml:space="preserve"> of Engineering and Computing</w:t>
      </w:r>
      <w:r w:rsidRPr="00F3498C">
        <w:rPr>
          <w:rFonts w:eastAsia="Arial Unicode MS" w:cs="Arial Unicode MS"/>
          <w:szCs w:val="20"/>
        </w:rPr>
        <w:t>, University of the West of Scotland, Paisley PA1 2BE, UK</w:t>
      </w:r>
      <w:r>
        <w:rPr>
          <w:rFonts w:eastAsia="Arial Unicode MS" w:cs="Arial Unicode MS"/>
          <w:szCs w:val="20"/>
        </w:rPr>
        <w:t>.</w:t>
      </w:r>
    </w:p>
    <w:p w14:paraId="7658E830" w14:textId="77777777" w:rsidR="001838D9" w:rsidRPr="00B4138D" w:rsidRDefault="001838D9" w:rsidP="001838D9">
      <w:pPr>
        <w:pStyle w:val="BodyText"/>
        <w:spacing w:line="276" w:lineRule="auto"/>
        <w:jc w:val="left"/>
        <w:rPr>
          <w:rFonts w:eastAsia="Arial Unicode MS" w:cs="Arial Unicode MS"/>
          <w:color w:val="FF0000"/>
          <w:szCs w:val="20"/>
          <w:lang w:val="en-US"/>
        </w:rPr>
      </w:pPr>
      <w:r>
        <w:rPr>
          <w:rFonts w:eastAsia="Arial Unicode MS" w:cs="Arial Unicode MS"/>
          <w:szCs w:val="20"/>
          <w:vertAlign w:val="superscript"/>
        </w:rPr>
        <w:t>2</w:t>
      </w:r>
      <w:r>
        <w:rPr>
          <w:rFonts w:eastAsia="Arial Unicode MS" w:cs="Arial Unicode MS"/>
          <w:szCs w:val="20"/>
        </w:rPr>
        <w:t xml:space="preserve"> </w:t>
      </w:r>
      <w:r>
        <w:t xml:space="preserve">School of Engineering and the Built Environment, Birmingham City University, </w:t>
      </w:r>
      <w:r w:rsidRPr="009325C8">
        <w:t>Birmingham B5 5JU, UK</w:t>
      </w:r>
      <w:r>
        <w:t>.</w:t>
      </w:r>
    </w:p>
    <w:p w14:paraId="632EA55B" w14:textId="77777777" w:rsidR="007B64B2" w:rsidRPr="00F3498C" w:rsidRDefault="007B64B2" w:rsidP="004963D8">
      <w:pPr>
        <w:pStyle w:val="BodyText"/>
        <w:spacing w:line="276" w:lineRule="auto"/>
        <w:jc w:val="left"/>
        <w:rPr>
          <w:rFonts w:eastAsia="Arial Unicode MS" w:cs="Arial Unicode MS"/>
          <w:color w:val="FF0000"/>
          <w:szCs w:val="20"/>
        </w:rPr>
      </w:pPr>
    </w:p>
    <w:p w14:paraId="0F8A85E1" w14:textId="77777777" w:rsidR="007B64B2" w:rsidRPr="00F3498C" w:rsidRDefault="007B64B2" w:rsidP="00B45AA9">
      <w:pPr>
        <w:pStyle w:val="BodyText"/>
        <w:spacing w:after="240" w:line="276" w:lineRule="auto"/>
        <w:jc w:val="left"/>
        <w:rPr>
          <w:rFonts w:eastAsia="Arial Unicode MS" w:cs="Arial Unicode MS"/>
          <w:szCs w:val="20"/>
        </w:rPr>
      </w:pPr>
      <w:r w:rsidRPr="00F3498C">
        <w:rPr>
          <w:rFonts w:eastAsia="Arial Unicode MS" w:cs="Arial Unicode MS"/>
          <w:szCs w:val="20"/>
        </w:rPr>
        <w:t>Abstract</w:t>
      </w:r>
    </w:p>
    <w:p w14:paraId="503EB8D7" w14:textId="2838ADD8" w:rsidR="0094569D" w:rsidRPr="001838D9" w:rsidRDefault="007B64B2" w:rsidP="00901137">
      <w:pPr>
        <w:spacing w:after="240" w:line="276" w:lineRule="auto"/>
        <w:rPr>
          <w:rFonts w:eastAsia="Arial Unicode MS" w:cs="Arial Unicode MS"/>
          <w:szCs w:val="20"/>
          <w:highlight w:val="yellow"/>
        </w:rPr>
      </w:pPr>
      <w:r w:rsidRPr="00F3498C">
        <w:rPr>
          <w:rFonts w:eastAsia="Arial Unicode MS" w:cs="Arial Unicode MS"/>
          <w:szCs w:val="20"/>
        </w:rPr>
        <w:t>In the anaerobic digestion of lignocellulosic materials such as waste paper, the accessibility of microorganisms to the fermentable sugars is restricted by their complex structure. A mechanical pre-treatment with a Hollander beater was assessed in order to reduce the biomass particle size and to increase the feedstock’ specific surface area available to the microorganisms, and the</w:t>
      </w:r>
      <w:r w:rsidR="002A28FF">
        <w:rPr>
          <w:rFonts w:eastAsia="Arial Unicode MS" w:cs="Arial Unicode MS"/>
          <w:szCs w:val="20"/>
        </w:rPr>
        <w:t>refore improve the biogas yield</w:t>
      </w:r>
      <w:r w:rsidR="007C0F68" w:rsidRPr="002E3C04">
        <w:rPr>
          <w:rFonts w:eastAsia="Arial Unicode MS" w:cs="Arial Unicode MS"/>
          <w:szCs w:val="20"/>
        </w:rPr>
        <w:t>. Pretreatment of</w:t>
      </w:r>
      <w:r w:rsidR="004F69E8" w:rsidRPr="002E3C04">
        <w:rPr>
          <w:rFonts w:eastAsia="Arial Unicode MS" w:cs="Arial Unicode MS"/>
          <w:szCs w:val="20"/>
        </w:rPr>
        <w:t xml:space="preserve"> paper waste for 6</w:t>
      </w:r>
      <w:r w:rsidR="005008E3" w:rsidRPr="002E3C04">
        <w:rPr>
          <w:rFonts w:eastAsia="Arial Unicode MS" w:cs="Arial Unicode MS"/>
          <w:szCs w:val="20"/>
        </w:rPr>
        <w:t>0 min imp</w:t>
      </w:r>
      <w:r w:rsidR="002A28FF">
        <w:rPr>
          <w:rFonts w:eastAsia="Arial Unicode MS" w:cs="Arial Unicode MS"/>
          <w:szCs w:val="20"/>
        </w:rPr>
        <w:t>roves the methane yield by 21</w:t>
      </w:r>
      <w:r w:rsidR="004F69E8" w:rsidRPr="002E3C04">
        <w:rPr>
          <w:rFonts w:eastAsia="Arial Unicode MS" w:cs="Arial Unicode MS"/>
          <w:szCs w:val="20"/>
        </w:rPr>
        <w:t xml:space="preserve">%, from a value of </w:t>
      </w:r>
      <w:r w:rsidR="002A28FF">
        <w:rPr>
          <w:rFonts w:eastAsia="Arial Unicode MS" w:cs="Arial Unicode MS"/>
          <w:szCs w:val="20"/>
          <w:lang w:eastAsia="en-GB"/>
        </w:rPr>
        <w:t>210</w:t>
      </w:r>
      <w:r w:rsidR="005008E3" w:rsidRPr="002E3C04">
        <w:rPr>
          <w:rFonts w:eastAsia="Arial Unicode MS" w:cs="Arial Unicode MS"/>
          <w:szCs w:val="20"/>
          <w:lang w:eastAsia="en-GB"/>
        </w:rPr>
        <w:t xml:space="preserve"> ml/gVS</w:t>
      </w:r>
      <w:r w:rsidR="004F69E8" w:rsidRPr="002E3C04">
        <w:rPr>
          <w:rFonts w:eastAsia="Arial Unicode MS" w:cs="Arial Unicode MS"/>
          <w:szCs w:val="20"/>
          <w:lang w:eastAsia="en-GB"/>
        </w:rPr>
        <w:t xml:space="preserve"> correspondent to untreated paper waste</w:t>
      </w:r>
      <w:r w:rsidR="002A28FF">
        <w:rPr>
          <w:rFonts w:eastAsia="Arial Unicode MS" w:cs="Arial Unicode MS"/>
          <w:szCs w:val="20"/>
          <w:lang w:eastAsia="en-GB"/>
        </w:rPr>
        <w:t xml:space="preserve"> to 254</w:t>
      </w:r>
      <w:r w:rsidR="002E3C04" w:rsidRPr="002E3C04">
        <w:rPr>
          <w:rFonts w:eastAsia="Arial Unicode MS" w:cs="Arial Unicode MS"/>
          <w:szCs w:val="20"/>
          <w:lang w:eastAsia="en-GB"/>
        </w:rPr>
        <w:t xml:space="preserve"> </w:t>
      </w:r>
      <w:r w:rsidR="005008E3" w:rsidRPr="002E3C04">
        <w:rPr>
          <w:rFonts w:eastAsia="Arial Unicode MS" w:cs="Arial Unicode MS"/>
          <w:szCs w:val="20"/>
          <w:lang w:eastAsia="en-GB"/>
        </w:rPr>
        <w:t>ml/gV</w:t>
      </w:r>
      <w:r w:rsidR="004F69E8" w:rsidRPr="002E3C04">
        <w:rPr>
          <w:rFonts w:eastAsia="Arial Unicode MS" w:cs="Arial Unicode MS"/>
          <w:szCs w:val="20"/>
          <w:lang w:eastAsia="en-GB"/>
        </w:rPr>
        <w:t>S.</w:t>
      </w:r>
      <w:r w:rsidR="005008E3" w:rsidRPr="002E3C04">
        <w:rPr>
          <w:rFonts w:eastAsia="Arial Unicode MS" w:cs="Arial Unicode MS"/>
          <w:szCs w:val="20"/>
          <w:lang w:eastAsia="en-GB"/>
        </w:rPr>
        <w:t xml:space="preserve"> 30 min pretreatment </w:t>
      </w:r>
      <w:r w:rsidR="002A28FF">
        <w:rPr>
          <w:rFonts w:eastAsia="Arial Unicode MS" w:cs="Arial Unicode MS"/>
          <w:szCs w:val="20"/>
          <w:lang w:eastAsia="en-GB"/>
        </w:rPr>
        <w:t xml:space="preserve">have no significant effect on the </w:t>
      </w:r>
      <w:r w:rsidR="005008E3" w:rsidRPr="002E3C04">
        <w:rPr>
          <w:rFonts w:eastAsia="Arial Unicode MS" w:cs="Arial Unicode MS"/>
          <w:szCs w:val="20"/>
          <w:lang w:eastAsia="en-GB"/>
        </w:rPr>
        <w:t>methan</w:t>
      </w:r>
      <w:r w:rsidR="002A28FF">
        <w:rPr>
          <w:rFonts w:eastAsia="Arial Unicode MS" w:cs="Arial Unicode MS"/>
          <w:szCs w:val="20"/>
          <w:lang w:eastAsia="en-GB"/>
        </w:rPr>
        <w:t>e yield</w:t>
      </w:r>
      <w:r w:rsidR="005008E3" w:rsidRPr="002E3C04">
        <w:rPr>
          <w:rFonts w:eastAsia="Arial Unicode MS" w:cs="Arial Unicode MS"/>
          <w:szCs w:val="20"/>
          <w:lang w:eastAsia="en-GB"/>
        </w:rPr>
        <w:t xml:space="preserve">. </w:t>
      </w:r>
      <w:r w:rsidRPr="002E3C04">
        <w:rPr>
          <w:rFonts w:eastAsia="Arial Unicode MS" w:cs="Arial Unicode MS"/>
          <w:szCs w:val="20"/>
        </w:rPr>
        <w:t xml:space="preserve"> A re</w:t>
      </w:r>
      <w:r w:rsidR="005008E3" w:rsidRPr="002E3C04">
        <w:rPr>
          <w:rFonts w:eastAsia="Arial Unicode MS" w:cs="Arial Unicode MS"/>
          <w:szCs w:val="20"/>
        </w:rPr>
        <w:t>sponse surface methodology</w:t>
      </w:r>
      <w:r w:rsidRPr="002E3C04">
        <w:rPr>
          <w:rFonts w:eastAsia="Arial Unicode MS" w:cs="Arial Unicode MS"/>
          <w:szCs w:val="20"/>
        </w:rPr>
        <w:t xml:space="preserve"> was used in order to evaluate the</w:t>
      </w:r>
      <w:r w:rsidR="005008E3" w:rsidRPr="002E3C04">
        <w:rPr>
          <w:rFonts w:eastAsia="Arial Unicode MS" w:cs="Arial Unicode MS"/>
          <w:szCs w:val="20"/>
        </w:rPr>
        <w:t xml:space="preserve"> effect of the beating time and feedstock/inoculum ratio on the methane yield. A</w:t>
      </w:r>
      <w:r w:rsidR="002E3C04" w:rsidRPr="002E3C04">
        <w:rPr>
          <w:rFonts w:eastAsia="Arial Unicode MS" w:cs="Arial Unicode MS"/>
          <w:szCs w:val="20"/>
        </w:rPr>
        <w:t>n</w:t>
      </w:r>
      <w:r w:rsidR="005008E3" w:rsidRPr="002E3C04">
        <w:rPr>
          <w:rFonts w:eastAsia="Arial Unicode MS" w:cs="Arial Unicode MS"/>
          <w:szCs w:val="20"/>
        </w:rPr>
        <w:t xml:space="preserve"> optimum methane yield of </w:t>
      </w:r>
      <w:r w:rsidR="002A28FF">
        <w:t>253</w:t>
      </w:r>
      <w:r w:rsidR="002E3C04" w:rsidRPr="002E3C04">
        <w:t xml:space="preserve"> ml/gVS </w:t>
      </w:r>
      <w:r w:rsidR="005008E3" w:rsidRPr="002E3C04">
        <w:t xml:space="preserve">resulted </w:t>
      </w:r>
      <w:r w:rsidR="002E3C04" w:rsidRPr="002E3C04">
        <w:t>at 55</w:t>
      </w:r>
      <w:r w:rsidR="005008E3" w:rsidRPr="002E3C04">
        <w:t xml:space="preserve"> min beating pretreatment and a F/I ratio of 0.3</w:t>
      </w:r>
      <w:r w:rsidR="002E3C04" w:rsidRPr="002E3C04">
        <w:t xml:space="preserve">. </w:t>
      </w:r>
    </w:p>
    <w:p w14:paraId="1146017A" w14:textId="2CF9DC6B" w:rsidR="007B64B2" w:rsidRPr="00F3498C" w:rsidRDefault="007B64B2" w:rsidP="00901137">
      <w:pPr>
        <w:pStyle w:val="BodyText"/>
        <w:spacing w:line="276" w:lineRule="auto"/>
        <w:jc w:val="left"/>
        <w:rPr>
          <w:rFonts w:eastAsia="Arial Unicode MS" w:cs="Arial Unicode MS"/>
          <w:szCs w:val="20"/>
        </w:rPr>
      </w:pPr>
      <w:r w:rsidRPr="00F3498C">
        <w:rPr>
          <w:rFonts w:eastAsia="Arial Unicode MS" w:cs="Arial Unicode MS"/>
          <w:i/>
          <w:szCs w:val="20"/>
        </w:rPr>
        <w:t>Keywords</w:t>
      </w:r>
      <w:r w:rsidR="00B91449">
        <w:rPr>
          <w:rFonts w:eastAsia="Arial Unicode MS" w:cs="Arial Unicode MS"/>
          <w:szCs w:val="20"/>
        </w:rPr>
        <w:t xml:space="preserve">: </w:t>
      </w:r>
      <w:r w:rsidR="001838D9">
        <w:rPr>
          <w:rFonts w:eastAsia="Arial Unicode MS" w:cs="Arial Unicode MS"/>
          <w:szCs w:val="20"/>
        </w:rPr>
        <w:t xml:space="preserve">renewable energy, </w:t>
      </w:r>
      <w:r w:rsidR="00B91449">
        <w:rPr>
          <w:rFonts w:eastAsia="Arial Unicode MS" w:cs="Arial Unicode MS"/>
          <w:szCs w:val="20"/>
        </w:rPr>
        <w:t>b</w:t>
      </w:r>
      <w:r w:rsidRPr="00F3498C">
        <w:rPr>
          <w:rFonts w:eastAsia="Arial Unicode MS" w:cs="Arial Unicode MS"/>
          <w:szCs w:val="20"/>
        </w:rPr>
        <w:t>iog</w:t>
      </w:r>
      <w:r w:rsidR="00B91449">
        <w:rPr>
          <w:rFonts w:eastAsia="Arial Unicode MS" w:cs="Arial Unicode MS"/>
          <w:szCs w:val="20"/>
        </w:rPr>
        <w:t>as</w:t>
      </w:r>
      <w:r w:rsidR="001838D9">
        <w:rPr>
          <w:rFonts w:eastAsia="Arial Unicode MS" w:cs="Arial Unicode MS"/>
          <w:szCs w:val="20"/>
        </w:rPr>
        <w:t>, biomass</w:t>
      </w:r>
      <w:r w:rsidR="00B91449">
        <w:rPr>
          <w:rFonts w:eastAsia="Arial Unicode MS" w:cs="Arial Unicode MS"/>
          <w:szCs w:val="20"/>
        </w:rPr>
        <w:t xml:space="preserve">, waste paper, </w:t>
      </w:r>
      <w:r w:rsidR="001838D9">
        <w:rPr>
          <w:rFonts w:eastAsia="Arial Unicode MS" w:cs="Arial Unicode MS"/>
          <w:szCs w:val="20"/>
        </w:rPr>
        <w:t xml:space="preserve">mechanical </w:t>
      </w:r>
      <w:r w:rsidR="00B91449">
        <w:rPr>
          <w:rFonts w:eastAsia="Arial Unicode MS" w:cs="Arial Unicode MS"/>
          <w:szCs w:val="20"/>
        </w:rPr>
        <w:t>pretreatment, a</w:t>
      </w:r>
      <w:r w:rsidRPr="00F3498C">
        <w:rPr>
          <w:rFonts w:eastAsia="Arial Unicode MS" w:cs="Arial Unicode MS"/>
          <w:szCs w:val="20"/>
        </w:rPr>
        <w:t>naerobic digestion</w:t>
      </w:r>
    </w:p>
    <w:p w14:paraId="45B351FA" w14:textId="77777777" w:rsidR="0094569D" w:rsidRPr="00F3498C" w:rsidRDefault="0094569D" w:rsidP="004963D8">
      <w:pPr>
        <w:pStyle w:val="BodyText"/>
        <w:spacing w:line="276" w:lineRule="auto"/>
        <w:rPr>
          <w:rFonts w:eastAsia="Arial Unicode MS" w:cs="Arial Unicode MS"/>
          <w:szCs w:val="20"/>
        </w:rPr>
      </w:pPr>
    </w:p>
    <w:p w14:paraId="50CCA501" w14:textId="09CC8A02" w:rsidR="00296765" w:rsidRDefault="00296765" w:rsidP="00296765">
      <w:pPr>
        <w:pStyle w:val="BodyText"/>
        <w:spacing w:line="276" w:lineRule="auto"/>
        <w:rPr>
          <w:rFonts w:eastAsia="Arial Unicode MS" w:cs="Arial Unicode MS"/>
          <w:szCs w:val="20"/>
        </w:rPr>
      </w:pPr>
      <w:r w:rsidRPr="00296765">
        <w:rPr>
          <w:rFonts w:eastAsia="Arial Unicode MS" w:cs="Arial Unicode MS"/>
          <w:szCs w:val="20"/>
        </w:rPr>
        <w:t xml:space="preserve">Abbreviations: AD, anaerobic digestion; ANOVA, </w:t>
      </w:r>
      <w:r>
        <w:rPr>
          <w:rFonts w:eastAsia="Arial Unicode MS" w:cs="Arial Unicode MS"/>
          <w:szCs w:val="20"/>
        </w:rPr>
        <w:t>analys</w:t>
      </w:r>
      <w:r w:rsidR="00EF6C4F">
        <w:rPr>
          <w:rFonts w:eastAsia="Arial Unicode MS" w:cs="Arial Unicode MS"/>
          <w:szCs w:val="20"/>
        </w:rPr>
        <w:t xml:space="preserve">is of variance; </w:t>
      </w:r>
      <w:r>
        <w:rPr>
          <w:rFonts w:eastAsia="Arial Unicode MS" w:cs="Arial Unicode MS"/>
          <w:szCs w:val="20"/>
        </w:rPr>
        <w:t xml:space="preserve">BT, </w:t>
      </w:r>
      <w:r w:rsidR="007D4952">
        <w:rPr>
          <w:rFonts w:eastAsia="Arial Unicode MS" w:cs="Arial Unicode MS"/>
          <w:szCs w:val="20"/>
        </w:rPr>
        <w:t>beating time</w:t>
      </w:r>
      <w:r w:rsidRPr="00296765">
        <w:rPr>
          <w:rFonts w:eastAsia="Arial Unicode MS" w:cs="Arial Unicode MS"/>
          <w:szCs w:val="20"/>
        </w:rPr>
        <w:t xml:space="preserve">; </w:t>
      </w:r>
      <w:r w:rsidR="007D4952">
        <w:rPr>
          <w:rFonts w:eastAsia="Arial Unicode MS" w:cs="Arial Unicode MS"/>
          <w:szCs w:val="20"/>
        </w:rPr>
        <w:t xml:space="preserve">CCD, </w:t>
      </w:r>
      <w:r w:rsidR="007D4952">
        <w:t xml:space="preserve">central composite design; </w:t>
      </w:r>
      <w:r w:rsidR="004A4BF1">
        <w:t xml:space="preserve">CHPP, combustion and heat power plant; </w:t>
      </w:r>
      <w:r w:rsidR="007D4952">
        <w:t xml:space="preserve">F/I, feedstock/inoculum; </w:t>
      </w:r>
      <w:r w:rsidR="007D4952">
        <w:rPr>
          <w:rFonts w:eastAsia="Arial Unicode MS" w:cs="Arial Unicode MS"/>
          <w:szCs w:val="20"/>
        </w:rPr>
        <w:t>KDP, potassium dihydrogen p</w:t>
      </w:r>
      <w:r w:rsidR="007D4952" w:rsidRPr="00B45AA9">
        <w:rPr>
          <w:rFonts w:eastAsia="Arial Unicode MS" w:cs="Arial Unicode MS"/>
          <w:szCs w:val="20"/>
        </w:rPr>
        <w:t>hosphate</w:t>
      </w:r>
      <w:r w:rsidR="007D4952">
        <w:rPr>
          <w:rFonts w:eastAsia="Arial Unicode MS" w:cs="Arial Unicode MS"/>
          <w:szCs w:val="20"/>
        </w:rPr>
        <w:t>;</w:t>
      </w:r>
      <w:r w:rsidR="007D4952" w:rsidRPr="00296765">
        <w:rPr>
          <w:rFonts w:eastAsia="Arial Unicode MS" w:cs="Arial Unicode MS"/>
          <w:szCs w:val="20"/>
        </w:rPr>
        <w:t xml:space="preserve"> </w:t>
      </w:r>
      <w:r w:rsidR="007D4952">
        <w:rPr>
          <w:rFonts w:eastAsia="Arial Unicode MS" w:cs="Arial Unicode MS"/>
          <w:szCs w:val="20"/>
        </w:rPr>
        <w:t>MC,</w:t>
      </w:r>
      <w:r w:rsidRPr="00296765">
        <w:rPr>
          <w:rFonts w:eastAsia="Arial Unicode MS" w:cs="Arial Unicode MS"/>
          <w:szCs w:val="20"/>
        </w:rPr>
        <w:t xml:space="preserve"> moi</w:t>
      </w:r>
      <w:r>
        <w:rPr>
          <w:rFonts w:eastAsia="Arial Unicode MS" w:cs="Arial Unicode MS"/>
          <w:szCs w:val="20"/>
        </w:rPr>
        <w:t>sture content</w:t>
      </w:r>
      <w:r w:rsidRPr="00296765">
        <w:rPr>
          <w:rFonts w:eastAsia="Arial Unicode MS" w:cs="Arial Unicode MS"/>
          <w:szCs w:val="20"/>
        </w:rPr>
        <w:t xml:space="preserve">; </w:t>
      </w:r>
      <w:r w:rsidR="004A4BF1">
        <w:rPr>
          <w:rFonts w:eastAsia="Arial Unicode MS" w:cs="Arial Unicode MS"/>
          <w:szCs w:val="20"/>
        </w:rPr>
        <w:t xml:space="preserve">MSW, municipal solid waste; </w:t>
      </w:r>
      <w:r w:rsidRPr="00296765">
        <w:rPr>
          <w:rFonts w:eastAsia="Arial Unicode MS" w:cs="Arial Unicode MS"/>
          <w:szCs w:val="20"/>
        </w:rPr>
        <w:t>RSM, respo</w:t>
      </w:r>
      <w:r>
        <w:rPr>
          <w:rFonts w:eastAsia="Arial Unicode MS" w:cs="Arial Unicode MS"/>
          <w:szCs w:val="20"/>
        </w:rPr>
        <w:t xml:space="preserve">nse surface methodology; </w:t>
      </w:r>
      <w:r w:rsidRPr="00296765">
        <w:rPr>
          <w:rFonts w:eastAsia="Arial Unicode MS" w:cs="Arial Unicode MS"/>
          <w:szCs w:val="20"/>
        </w:rPr>
        <w:t>TS, total so</w:t>
      </w:r>
      <w:r>
        <w:rPr>
          <w:rFonts w:eastAsia="Arial Unicode MS" w:cs="Arial Unicode MS"/>
          <w:szCs w:val="20"/>
        </w:rPr>
        <w:t>lids;</w:t>
      </w:r>
      <w:r w:rsidRPr="00296765">
        <w:rPr>
          <w:rFonts w:eastAsia="Arial Unicode MS" w:cs="Arial Unicode MS"/>
          <w:szCs w:val="20"/>
        </w:rPr>
        <w:t xml:space="preserve"> </w:t>
      </w:r>
      <w:r w:rsidR="004A4BF1">
        <w:rPr>
          <w:rFonts w:eastAsia="Arial Unicode MS" w:cs="Arial Unicode MS"/>
          <w:szCs w:val="20"/>
        </w:rPr>
        <w:t xml:space="preserve">VFA, volatile fatty acids; </w:t>
      </w:r>
      <w:r w:rsidRPr="00296765">
        <w:rPr>
          <w:rFonts w:eastAsia="Arial Unicode MS" w:cs="Arial Unicode MS"/>
          <w:szCs w:val="20"/>
        </w:rPr>
        <w:t>VS, volatile solids</w:t>
      </w:r>
      <w:r w:rsidR="007D4952">
        <w:rPr>
          <w:rFonts w:eastAsia="Arial Unicode MS" w:cs="Arial Unicode MS"/>
          <w:szCs w:val="20"/>
        </w:rPr>
        <w:t>.</w:t>
      </w:r>
      <w:r>
        <w:rPr>
          <w:rFonts w:eastAsia="Arial Unicode MS" w:cs="Arial Unicode MS"/>
          <w:szCs w:val="20"/>
        </w:rPr>
        <w:t xml:space="preserve"> </w:t>
      </w:r>
    </w:p>
    <w:p w14:paraId="641ED2A1" w14:textId="484EEFA2" w:rsidR="00A61655" w:rsidRPr="00296765" w:rsidRDefault="00A61655" w:rsidP="004963D8">
      <w:pPr>
        <w:pStyle w:val="BodyText"/>
        <w:spacing w:line="276" w:lineRule="auto"/>
        <w:rPr>
          <w:rFonts w:eastAsia="Arial Unicode MS" w:cs="Arial Unicode MS"/>
          <w:szCs w:val="20"/>
        </w:rPr>
      </w:pPr>
    </w:p>
    <w:p w14:paraId="0D835A49" w14:textId="2A60730D" w:rsidR="00A61655" w:rsidRDefault="00EF6C4F" w:rsidP="004963D8">
      <w:pPr>
        <w:pStyle w:val="BodyText"/>
        <w:spacing w:line="276" w:lineRule="auto"/>
        <w:rPr>
          <w:rFonts w:eastAsia="Arial Unicode MS" w:cs="Arial Unicode MS"/>
          <w:szCs w:val="20"/>
        </w:rPr>
      </w:pPr>
      <w:r>
        <w:rPr>
          <w:rFonts w:eastAsia="Arial Unicode MS" w:cs="Arial Unicode MS"/>
          <w:szCs w:val="20"/>
        </w:rPr>
        <w:t>* Corresponding author.</w:t>
      </w:r>
    </w:p>
    <w:p w14:paraId="3B753EEB" w14:textId="04BA1549" w:rsidR="00EF6C4F" w:rsidRDefault="00296765" w:rsidP="004963D8">
      <w:pPr>
        <w:pStyle w:val="BodyText"/>
        <w:spacing w:line="276" w:lineRule="auto"/>
        <w:rPr>
          <w:rStyle w:val="Hyperlink"/>
          <w:rFonts w:eastAsia="Arial Unicode MS" w:cs="Arial Unicode MS"/>
          <w:szCs w:val="20"/>
        </w:rPr>
      </w:pPr>
      <w:r>
        <w:rPr>
          <w:rFonts w:eastAsia="Arial Unicode MS" w:cs="Arial Unicode MS"/>
          <w:szCs w:val="20"/>
        </w:rPr>
        <w:t xml:space="preserve">E-mail address: </w:t>
      </w:r>
      <w:hyperlink r:id="rId8" w:history="1">
        <w:r w:rsidR="00EF6C4F" w:rsidRPr="00507620">
          <w:rPr>
            <w:rStyle w:val="Hyperlink"/>
            <w:rFonts w:eastAsia="Arial Unicode MS" w:cs="Arial Unicode MS"/>
            <w:szCs w:val="20"/>
          </w:rPr>
          <w:t>cristina.rodriguez@uws.ac.uk</w:t>
        </w:r>
      </w:hyperlink>
    </w:p>
    <w:p w14:paraId="71CF4EF5" w14:textId="552998FA" w:rsidR="00B573FA" w:rsidRDefault="00B573FA" w:rsidP="004963D8">
      <w:pPr>
        <w:pStyle w:val="BodyText"/>
        <w:spacing w:line="276" w:lineRule="auto"/>
        <w:rPr>
          <w:rStyle w:val="Hyperlink"/>
          <w:rFonts w:eastAsia="Arial Unicode MS" w:cs="Arial Unicode MS"/>
          <w:szCs w:val="20"/>
        </w:rPr>
      </w:pPr>
    </w:p>
    <w:p w14:paraId="37DE9014" w14:textId="77777777" w:rsidR="00B573FA" w:rsidRDefault="00B573FA" w:rsidP="004963D8">
      <w:pPr>
        <w:pStyle w:val="BodyText"/>
        <w:spacing w:line="276" w:lineRule="auto"/>
        <w:rPr>
          <w:rFonts w:eastAsia="Arial Unicode MS" w:cs="Arial Unicode MS"/>
          <w:szCs w:val="20"/>
        </w:rPr>
      </w:pPr>
    </w:p>
    <w:p w14:paraId="35903B69" w14:textId="77777777" w:rsidR="0013554A" w:rsidRPr="00F3498C" w:rsidRDefault="0013554A" w:rsidP="00B45AA9">
      <w:pPr>
        <w:pStyle w:val="Heading1"/>
        <w:spacing w:before="0" w:after="240"/>
        <w:rPr>
          <w:rFonts w:eastAsia="Arial Unicode MS"/>
        </w:rPr>
      </w:pPr>
      <w:r w:rsidRPr="00B45AA9">
        <w:lastRenderedPageBreak/>
        <w:t>introduction</w:t>
      </w:r>
    </w:p>
    <w:p w14:paraId="402CD87B" w14:textId="596EA93A" w:rsidR="009764D4" w:rsidRPr="00B45AA9" w:rsidRDefault="0013554A" w:rsidP="007F45EC">
      <w:pPr>
        <w:spacing w:after="240" w:line="276" w:lineRule="auto"/>
        <w:rPr>
          <w:rFonts w:eastAsia="Arial Unicode MS" w:cs="Arial Unicode MS"/>
          <w:noProof/>
          <w:szCs w:val="20"/>
        </w:rPr>
      </w:pPr>
      <w:r w:rsidRPr="00B45AA9">
        <w:rPr>
          <w:rFonts w:eastAsia="Arial Unicode MS" w:cs="Arial Unicode MS"/>
          <w:noProof/>
          <w:szCs w:val="20"/>
        </w:rPr>
        <w:t>Paper and cardboard are a heterogeneous mixture of plant material such as cellulose</w:t>
      </w:r>
      <w:r w:rsidR="00C305E1">
        <w:rPr>
          <w:rFonts w:eastAsia="Arial Unicode MS" w:cs="Arial Unicode MS"/>
          <w:noProof/>
          <w:szCs w:val="20"/>
        </w:rPr>
        <w:t>, hemi-cellulose, lignin</w:t>
      </w:r>
      <w:r w:rsidRPr="00B45AA9">
        <w:rPr>
          <w:rFonts w:eastAsia="Arial Unicode MS" w:cs="Arial Unicode MS"/>
          <w:noProof/>
          <w:szCs w:val="20"/>
        </w:rPr>
        <w:t xml:space="preserve"> and filling material such as clay and calcium carbonate. Chemical additives (i.e. rosin, alum, starch) are added to mo</w:t>
      </w:r>
      <w:r w:rsidR="00C305E1">
        <w:rPr>
          <w:rFonts w:eastAsia="Arial Unicode MS" w:cs="Arial Unicode MS"/>
          <w:noProof/>
          <w:szCs w:val="20"/>
        </w:rPr>
        <w:t>dify quality of the material and</w:t>
      </w:r>
      <w:r w:rsidRPr="00B45AA9">
        <w:rPr>
          <w:rFonts w:eastAsia="Arial Unicode MS" w:cs="Arial Unicode MS"/>
          <w:noProof/>
          <w:szCs w:val="20"/>
        </w:rPr>
        <w:t xml:space="preserve"> its properties such as brightness, opacity, or glossiness. </w:t>
      </w:r>
      <w:r w:rsidR="005364C7" w:rsidRPr="00B45AA9">
        <w:rPr>
          <w:rFonts w:eastAsia="Arial Unicode MS" w:cs="Arial Unicode MS"/>
          <w:noProof/>
          <w:szCs w:val="20"/>
        </w:rPr>
        <w:t>Cellulose is the major biodegradable fraction of waste paper but lignin is a recalcitrant compound for anaerobic digestion and reduces the bioavailability of the cellulose</w:t>
      </w:r>
      <w:r w:rsidR="00E64AFC" w:rsidRPr="00B45AA9">
        <w:rPr>
          <w:rFonts w:eastAsia="Arial Unicode MS" w:cs="Arial Unicode MS"/>
          <w:noProof/>
          <w:szCs w:val="20"/>
        </w:rPr>
        <w:t xml:space="preserve"> </w:t>
      </w:r>
      <w:r w:rsidR="00E64AFC" w:rsidRPr="00B45AA9">
        <w:rPr>
          <w:rFonts w:eastAsia="Arial Unicode MS" w:cs="Arial Unicode MS"/>
          <w:noProof/>
          <w:szCs w:val="20"/>
        </w:rPr>
        <w:fldChar w:fldCharType="begin" w:fldLock="1"/>
      </w:r>
      <w:r w:rsidR="00404D26">
        <w:rPr>
          <w:rFonts w:eastAsia="Arial Unicode MS" w:cs="Arial Unicode MS"/>
          <w:noProof/>
          <w:szCs w:val="20"/>
        </w:rPr>
        <w:instrText>ADDIN CSL_CITATION { "citationItems" : [ { "id" : "ITEM-1", "itemData" : { "DOI" : "10.1016/j.pecs.2014.01.001", "ISSN" : "03601285", "abstract" : "Lignocellulosic biomass is an abundant organic material that can be used for sustainable production of bioenergy and biofuels such as biogas (about 50\u201375% CH4 and 25\u201350% CO2). Out of all bioconversion technologies for biofuel and bioenergy production, anaerobic digestion (AD) is a most cost-effective bioconversion technology that has been implemented worldwide for commercial production of electricity, heat, and compressed natural gas (CNG) from organic materials. However, the utilization of lignocellulosic biomass for biogas production via anaerobic digestion has not been widely adopted because the complicated structure of the plant cell wall makes it resistant to microbial attack. Pretreatment of recalcitrant lignocellulosic biomass is essential to achieve high biogas yield in the AD process. A number of different pretreatment techniques involving physical, chemical, and biological approaches have been investigated over the past few decades, but there is no report that systematically compares the performance of these pretreatment methods for application on lignocellulosic biomass for biogas production. This paper reviews the methods that have been studied for pretreatment of lignocellulosic biomass for conversion to biogas. It describes the AD process, structural and compositional properties of lignocellulosic biomass, and various pretreatment techniques, including the pretreatment process, parameters, performance, and advantages vs. drawbacks. This paper concludes with the current status and future research perspectives of pretreatment.", "author" : [ { "dropping-particle" : "", "family" : "Zheng", "given" : "Yi", "non-dropping-particle" : "", "parse-names" : false, "suffix" : "" }, { "dropping-particle" : "", "family" : "Zhao", "given" : "Jia", "non-dropping-particle" : "", "parse-names" : false, "suffix" : "" }, { "dropping-particle" : "", "family" : "Xu", "given" : "Fuqing", "non-dropping-particle" : "", "parse-names" : false, "suffix" : "" }, { "dropping-particle" : "", "family" : "Li", "given" : "Yebo", "non-dropping-particle" : "", "parse-names" : false, "suffix" : "" } ], "container-title" : "Progress in Energy and Combustion Science", "id" : "ITEM-1", "issued" : { "date-parts" : [ [ "2014", "6" ] ] }, "page" : "35-53", "title" : "Pretreatment of lignocellulosic biomass for enhanced biogas production", "type" : "article-journal", "volume" : "42" }, "uris" : [ "http://www.mendeley.com/documents/?uuid=8c111ab0-0a13-4fbb-871b-95a214bb6d54" ] } ], "mendeley" : { "formattedCitation" : "(Zheng et al., 2014)", "plainTextFormattedCitation" : "(Zheng et al., 2014)", "previouslyFormattedCitation" : "(Zheng et al., 2014)" }, "properties" : { "noteIndex" : 0 }, "schema" : "https://github.com/citation-style-language/schema/raw/master/csl-citation.json" }</w:instrText>
      </w:r>
      <w:r w:rsidR="00E64AFC" w:rsidRPr="00B45AA9">
        <w:rPr>
          <w:rFonts w:eastAsia="Arial Unicode MS" w:cs="Arial Unicode MS"/>
          <w:noProof/>
          <w:szCs w:val="20"/>
        </w:rPr>
        <w:fldChar w:fldCharType="separate"/>
      </w:r>
      <w:r w:rsidR="00211CB2" w:rsidRPr="00211CB2">
        <w:rPr>
          <w:rFonts w:eastAsia="Arial Unicode MS" w:cs="Arial Unicode MS"/>
          <w:noProof/>
          <w:szCs w:val="20"/>
        </w:rPr>
        <w:t>(Zheng et al., 2014)</w:t>
      </w:r>
      <w:r w:rsidR="00E64AFC" w:rsidRPr="00B45AA9">
        <w:rPr>
          <w:rFonts w:eastAsia="Arial Unicode MS" w:cs="Arial Unicode MS"/>
          <w:noProof/>
          <w:szCs w:val="20"/>
        </w:rPr>
        <w:fldChar w:fldCharType="end"/>
      </w:r>
      <w:r w:rsidRPr="00B45AA9">
        <w:rPr>
          <w:rFonts w:eastAsia="Arial Unicode MS" w:cs="Arial Unicode MS"/>
          <w:noProof/>
          <w:szCs w:val="20"/>
        </w:rPr>
        <w:t>. Residual contents of chemicals used during processing, such</w:t>
      </w:r>
      <w:r w:rsidR="00C305E1">
        <w:rPr>
          <w:rFonts w:eastAsia="Arial Unicode MS" w:cs="Arial Unicode MS"/>
          <w:noProof/>
          <w:szCs w:val="20"/>
        </w:rPr>
        <w:t xml:space="preserve"> as talc or sodium silicate</w:t>
      </w:r>
      <w:r w:rsidRPr="00B45AA9">
        <w:rPr>
          <w:rFonts w:eastAsia="Arial Unicode MS" w:cs="Arial Unicode MS"/>
          <w:noProof/>
          <w:szCs w:val="20"/>
        </w:rPr>
        <w:t xml:space="preserve"> may still be found in the paper product and consequently also in waste paper </w:t>
      </w:r>
      <w:r w:rsidR="00C13CE7" w:rsidRPr="00B45AA9">
        <w:rPr>
          <w:rFonts w:eastAsia="Arial Unicode MS" w:cs="Arial Unicode MS"/>
          <w:noProof/>
          <w:szCs w:val="20"/>
        </w:rPr>
        <w:fldChar w:fldCharType="begin" w:fldLock="1"/>
      </w:r>
      <w:r w:rsidR="00404D26">
        <w:rPr>
          <w:rFonts w:eastAsia="Arial Unicode MS" w:cs="Arial Unicode MS"/>
          <w:noProof/>
          <w:szCs w:val="20"/>
        </w:rPr>
        <w:instrText>ADDIN CSL_CITATION { "citationItems" : [ { "id" : "ITEM-1", "itemData" : { "ISBN" : "8259420295", "author" : [ { "dropping-particle" : "", "family" : "Gran", "given" : "Inge R.", "non-dropping-particle" : "", "parse-names" : false, "suffix" : "" } ], "id" : "ITEM-1", "issued" : { "date-parts" : [ [ "2001" ] ] }, "number-of-pages" : "8-9", "title" : "Characterisation of MSW for Combustion Systems", "type" : "book" }, "uris" : [ "http://www.mendeley.com/documents/?uuid=d1243e1d-c10d-477d-bdd1-0baa28fd50ab" ] }, { "id" : "ITEM-2", "itemData" : { "author" : [ { "dropping-particle" : "", "family" : "Villanueva", "given" : "Alejandro", "non-dropping-particle" : "", "parse-names" : false, "suffix" : "" }, { "dropping-particle" : "", "family" : "Eder", "given" : "Peter", "non-dropping-particle" : "", "parse-names" : false, "suffix" : "" } ], "id" : "ITEM-2", "issued" : { "date-parts" : [ [ "2011" ] ] }, "publisher-place" : "Seville, Spain", "title" : "End-of-waste criteria for waste paper: Technical proposals", "type" : "report" }, "uris" : [ "http://www.mendeley.com/documents/?uuid=3da3a4cd-5225-4062-b920-a867287e4b9a" ] }, { "id" : "ITEM-3", "itemData" : { "author" : [ { "dropping-particle" : "", "family" : "European IPPC Bureau", "given" : "", "non-dropping-particle" : "", "parse-names" : false, "suffix" : "" } ], "id" : "ITEM-3", "issue" : "July", "issued" : { "date-parts" : [ [ "2013" ] ] }, "page" : "899", "title" : "Best Available Techniques (BAT) Reference Document for the Production of Pulp, Paper and Board", "type" : "article-journal" }, "uris" : [ "http://www.mendeley.com/documents/?uuid=c58857e2-767e-40c3-a740-c9244373dc60" ] } ], "mendeley" : { "formattedCitation" : "(European IPPC Bureau, 2013; Gran, 2001; Villanueva and Eder, 2011)", "plainTextFormattedCitation" : "(European IPPC Bureau, 2013; Gran, 2001; Villanueva and Eder, 2011)", "previouslyFormattedCitation" : "(European IPPC Bureau, 2013; Gran, 2001; Villanueva and Eder, 2011)" }, "properties" : { "noteIndex" : 0 }, "schema" : "https://github.com/citation-style-language/schema/raw/master/csl-citation.json" }</w:instrText>
      </w:r>
      <w:r w:rsidR="00C13CE7" w:rsidRPr="00B45AA9">
        <w:rPr>
          <w:rFonts w:eastAsia="Arial Unicode MS" w:cs="Arial Unicode MS"/>
          <w:noProof/>
          <w:szCs w:val="20"/>
        </w:rPr>
        <w:fldChar w:fldCharType="separate"/>
      </w:r>
      <w:r w:rsidR="00211CB2" w:rsidRPr="00211CB2">
        <w:rPr>
          <w:rFonts w:eastAsia="Arial Unicode MS" w:cs="Arial Unicode MS"/>
          <w:noProof/>
          <w:szCs w:val="20"/>
        </w:rPr>
        <w:t>(European IPPC Bureau, 2013; Gran, 2001; Villanueva and Eder, 2011)</w:t>
      </w:r>
      <w:r w:rsidR="00C13CE7" w:rsidRPr="00B45AA9">
        <w:rPr>
          <w:rFonts w:eastAsia="Arial Unicode MS" w:cs="Arial Unicode MS"/>
          <w:noProof/>
          <w:szCs w:val="20"/>
        </w:rPr>
        <w:fldChar w:fldCharType="end"/>
      </w:r>
      <w:r w:rsidR="007F45EC">
        <w:rPr>
          <w:rFonts w:eastAsia="Arial Unicode MS" w:cs="Arial Unicode MS"/>
          <w:noProof/>
          <w:szCs w:val="20"/>
        </w:rPr>
        <w:t xml:space="preserve">. </w:t>
      </w:r>
      <w:r w:rsidRPr="00B45AA9">
        <w:rPr>
          <w:rFonts w:eastAsia="Arial Unicode MS" w:cs="Arial Unicode MS"/>
          <w:szCs w:val="20"/>
        </w:rPr>
        <w:t>In Europe the per capita consumption of paper and board was 137 kg in 2012, in United Kingdom the total consumption was 1,0</w:t>
      </w:r>
      <w:r w:rsidR="00CC3B29">
        <w:rPr>
          <w:rFonts w:eastAsia="Arial Unicode MS" w:cs="Arial Unicode MS"/>
          <w:szCs w:val="20"/>
        </w:rPr>
        <w:t>095,000 tonnes</w:t>
      </w:r>
      <w:r w:rsidRPr="00B45AA9">
        <w:rPr>
          <w:rFonts w:eastAsia="Arial Unicode MS" w:cs="Arial Unicode MS"/>
          <w:szCs w:val="20"/>
        </w:rPr>
        <w:t xml:space="preserve"> </w:t>
      </w:r>
      <w:r w:rsidR="00C13CE7"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"author" : [ { "dropping-particle" : "", "family" : "Magnaghi", "given" : "Giampiero", "non-dropping-particle" : "", "parse-names" : false, "suffix" : "" } ], "id" : "ITEM-1", "issued" : { "date-parts" : [ [ "2014" ] ] }, "publisher-place" : "Brussels", "title" : "RECOVERED PAPER MARKET IN 2012", "type" : "report" }, "uris" : [ "http://www.mendeley.com/documents/?uuid=ea65bd4f-dc25-4541-8e2b-8a9465bd08ea" ] } ], "mendeley" : { "formattedCitation" : "(Magnaghi, 2014)", "plainTextFormattedCitation" : "(Magnaghi, 2014)", "previouslyFormattedCitation" : "(Magnaghi, 2014)" }, "properties" : { "noteIndex" : 0 }, "schema" : "https://github.com/citation-style-language/schema/raw/master/csl-citation.json" }</w:instrText>
      </w:r>
      <w:r w:rsidR="00C13CE7" w:rsidRPr="00B45AA9">
        <w:rPr>
          <w:rFonts w:eastAsia="Arial Unicode MS" w:cs="Arial Unicode MS"/>
          <w:szCs w:val="20"/>
        </w:rPr>
        <w:fldChar w:fldCharType="separate"/>
      </w:r>
      <w:r w:rsidR="00211CB2" w:rsidRPr="00211CB2">
        <w:rPr>
          <w:rFonts w:eastAsia="Arial Unicode MS" w:cs="Arial Unicode MS"/>
          <w:noProof/>
          <w:szCs w:val="20"/>
        </w:rPr>
        <w:t>(Magnaghi, 2014)</w:t>
      </w:r>
      <w:r w:rsidR="00C13CE7" w:rsidRPr="00B45AA9">
        <w:rPr>
          <w:rFonts w:eastAsia="Arial Unicode MS" w:cs="Arial Unicode MS"/>
          <w:szCs w:val="20"/>
        </w:rPr>
        <w:fldChar w:fldCharType="end"/>
      </w:r>
      <w:r w:rsidRPr="00B45AA9">
        <w:rPr>
          <w:rFonts w:eastAsia="Arial Unicode MS" w:cs="Arial Unicode MS"/>
          <w:szCs w:val="20"/>
        </w:rPr>
        <w:t xml:space="preserve">. The biggest source of recovered paper is industry and businesses with the 52% of the total, this </w:t>
      </w:r>
      <w:r w:rsidR="006C2213" w:rsidRPr="00B45AA9">
        <w:rPr>
          <w:rFonts w:eastAsia="Arial Unicode MS" w:cs="Arial Unicode MS"/>
          <w:szCs w:val="20"/>
        </w:rPr>
        <w:t>covers</w:t>
      </w:r>
      <w:r w:rsidRPr="00B45AA9">
        <w:rPr>
          <w:rFonts w:eastAsia="Arial Unicode MS" w:cs="Arial Unicode MS"/>
          <w:szCs w:val="20"/>
        </w:rPr>
        <w:t xml:space="preserve"> the converting losses (cuttings and shavings) and returns of unsold newspapers and magazines. Around 10% comes from offices, and the remaining 38% from households </w:t>
      </w:r>
      <w:r w:rsidR="00C13CE7"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"URL" : "http://www.bir.org/industry/paper/ten-questions-on-paper-recovery-and-recycling/", "accessed" : { "date-parts" : [ [ "2015", "2", "13" ] ] }, "author" : [ { "dropping-particle" : "", "family" : "The Bureau of International Recycling", "given" : "", "non-dropping-particle" : "", "parse-names" : false, "suffix" : "" } ], "id" : "ITEM-1", "issued" : { "date-parts" : [ [ "0" ] ] }, "title" : "Ten questions on paper recovery and recycling", "type" : "webpage" }, "uris" : [ "http://www.mendeley.com/documents/?uuid=1ea02085-7314-4815-9ad0-3861683def98" ] } ], "mendeley" : { "formattedCitation" : "(The Bureau of International Recycling, n.d.)", "plainTextFormattedCitation" : "(The Bureau of International Recycling, n.d.)", "previouslyFormattedCitation" : "(The Bureau of International Recycling, n.d.)" }, "properties" : { "noteIndex" : 0 }, "schema" : "https://github.com/citation-style-language/schema/raw/master/csl-citation.json" }</w:instrText>
      </w:r>
      <w:r w:rsidR="00C13CE7" w:rsidRPr="00B45AA9">
        <w:rPr>
          <w:rFonts w:eastAsia="Arial Unicode MS" w:cs="Arial Unicode MS"/>
          <w:szCs w:val="20"/>
        </w:rPr>
        <w:fldChar w:fldCharType="separate"/>
      </w:r>
      <w:r w:rsidR="00211CB2" w:rsidRPr="00211CB2">
        <w:rPr>
          <w:rFonts w:eastAsia="Arial Unicode MS" w:cs="Arial Unicode MS"/>
          <w:noProof/>
          <w:szCs w:val="20"/>
        </w:rPr>
        <w:t>(The Bureau of International Recycling, n.d.)</w:t>
      </w:r>
      <w:r w:rsidR="00C13CE7" w:rsidRPr="00B45AA9">
        <w:rPr>
          <w:rFonts w:eastAsia="Arial Unicode MS" w:cs="Arial Unicode MS"/>
          <w:szCs w:val="20"/>
        </w:rPr>
        <w:fldChar w:fldCharType="end"/>
      </w:r>
      <w:r w:rsidRPr="00B45AA9">
        <w:rPr>
          <w:rFonts w:eastAsia="Arial Unicode MS" w:cs="Arial Unicode MS"/>
          <w:szCs w:val="20"/>
        </w:rPr>
        <w:t>.</w:t>
      </w:r>
    </w:p>
    <w:p w14:paraId="1379B3A3" w14:textId="2CC11B75" w:rsidR="00515320" w:rsidRPr="00D33581" w:rsidRDefault="00C50A69" w:rsidP="00D33581">
      <w:pPr>
        <w:rPr>
          <w:rFonts w:eastAsia="Arial Unicode MS" w:cs="Arial Unicode MS"/>
          <w:szCs w:val="20"/>
        </w:rPr>
      </w:pPr>
      <w:r>
        <w:rPr>
          <w:rFonts w:eastAsia="Arial Unicode MS" w:cs="Arial Unicode MS"/>
          <w:szCs w:val="20"/>
        </w:rPr>
        <w:t>In United K</w:t>
      </w:r>
      <w:r w:rsidR="00425F0E">
        <w:rPr>
          <w:rFonts w:eastAsia="Arial Unicode MS" w:cs="Arial Unicode MS"/>
          <w:szCs w:val="20"/>
        </w:rPr>
        <w:t>ingdom, w</w:t>
      </w:r>
      <w:r w:rsidR="0013554A" w:rsidRPr="00B45AA9">
        <w:rPr>
          <w:rFonts w:eastAsia="Arial Unicode MS" w:cs="Arial Unicode MS"/>
          <w:szCs w:val="20"/>
        </w:rPr>
        <w:t xml:space="preserve">aste paper is mainly </w:t>
      </w:r>
      <w:r w:rsidR="00CC3B29" w:rsidRPr="00CC3B29">
        <w:rPr>
          <w:rFonts w:eastAsia="Arial Unicode MS" w:cs="Arial Unicode MS"/>
          <w:szCs w:val="20"/>
        </w:rPr>
        <w:t>disposal to landfill</w:t>
      </w:r>
      <w:r w:rsidR="00392EA2" w:rsidRPr="00B45AA9">
        <w:rPr>
          <w:rFonts w:eastAsia="Arial Unicode MS" w:cs="Arial Unicode MS"/>
          <w:szCs w:val="20"/>
        </w:rPr>
        <w:t>, becoming the major contributor to municipal solid waste by both volume</w:t>
      </w:r>
      <w:r w:rsidR="009764D4" w:rsidRPr="00B45AA9">
        <w:rPr>
          <w:rFonts w:eastAsia="Arial Unicode MS" w:cs="Arial Unicode MS"/>
          <w:szCs w:val="20"/>
        </w:rPr>
        <w:t xml:space="preserve"> (reaching the 50%) and weight</w:t>
      </w:r>
      <w:r w:rsidR="007A139A" w:rsidRPr="00B45AA9">
        <w:rPr>
          <w:rFonts w:eastAsia="Arial Unicode MS" w:cs="Arial Unicode MS"/>
          <w:szCs w:val="20"/>
        </w:rPr>
        <w:t xml:space="preserve">. </w:t>
      </w:r>
      <w:r w:rsidR="00425F0E">
        <w:rPr>
          <w:rFonts w:eastAsia="Arial Unicode MS" w:cs="Arial Unicode MS"/>
          <w:szCs w:val="20"/>
        </w:rPr>
        <w:t>T</w:t>
      </w:r>
      <w:r w:rsidR="007A139A" w:rsidRPr="00B45AA9">
        <w:rPr>
          <w:rFonts w:eastAsia="Arial Unicode MS" w:cs="Arial Unicode MS"/>
          <w:szCs w:val="20"/>
        </w:rPr>
        <w:t>he space for approved and licensed landfills will run out</w:t>
      </w:r>
      <w:r w:rsidR="007A3810">
        <w:rPr>
          <w:rFonts w:eastAsia="Arial Unicode MS" w:cs="Arial Unicode MS"/>
          <w:szCs w:val="20"/>
        </w:rPr>
        <w:t xml:space="preserve"> by </w:t>
      </w:r>
      <w:r w:rsidR="007A3810" w:rsidRPr="007A3810">
        <w:rPr>
          <w:rFonts w:eastAsia="Arial Unicode MS" w:cs="Arial Unicode MS"/>
          <w:szCs w:val="20"/>
        </w:rPr>
        <w:t>20</w:t>
      </w:r>
      <w:r w:rsidR="007A3810">
        <w:rPr>
          <w:rFonts w:eastAsia="Arial Unicode MS" w:cs="Arial Unicode MS"/>
          <w:szCs w:val="20"/>
        </w:rPr>
        <w:t>20</w:t>
      </w:r>
      <w:r w:rsidR="007A3810" w:rsidRPr="007A3810">
        <w:t xml:space="preserve"> </w:t>
      </w:r>
      <w:r w:rsidR="007A3810" w:rsidRPr="007A3810">
        <w:fldChar w:fldCharType="begin" w:fldLock="1"/>
      </w:r>
      <w:r w:rsidR="00404D26">
        <w:instrText>ADDIN CSL_CITATION { "citationItems" : [ { "id" : "ITEM-1", "itemData" : { "author" : [ { "dropping-particle" : "", "family" : "Infraestructure and Projects Authority", "given" : "", "non-dropping-particle" : "", "parse-names" : false, "suffix" : "" } ], "id" : "ITEM-1", "issued" : { "date-parts" : [ [ "2016" ] ] }, "publisher-place" : "London", "title" : "National Infrastructure Delivery Plan 2016\u20132021", "type" : "report" }, "uris" : [ "http://www.mendeley.com/documents/?uuid=a6672ad8-2d8e-362c-b5cb-c1f7a163c715" ] } ], "mendeley" : { "formattedCitation" : "(Infraestructure and Projects Authority, 2016)", "plainTextFormattedCitation" : "(Infraestructure and Projects Authority, 2016)", "previouslyFormattedCitation" : "(Infraestructure and Projects Authority, 2016)" }, "properties" : { "noteIndex" : 0 }, "schema" : "https://github.com/citation-style-language/schema/raw/master/csl-citation.json" }</w:instrText>
      </w:r>
      <w:r w:rsidR="007A3810" w:rsidRPr="007A3810">
        <w:fldChar w:fldCharType="separate"/>
      </w:r>
      <w:r w:rsidR="00211CB2" w:rsidRPr="00211CB2">
        <w:rPr>
          <w:noProof/>
        </w:rPr>
        <w:t>(Infraestructure and Projects Authority, 2016)</w:t>
      </w:r>
      <w:r w:rsidR="007A3810" w:rsidRPr="007A3810">
        <w:fldChar w:fldCharType="end"/>
      </w:r>
      <w:r w:rsidR="00392EA2" w:rsidRPr="007A3810">
        <w:rPr>
          <w:rFonts w:eastAsia="Arial Unicode MS" w:cs="Arial Unicode MS"/>
          <w:szCs w:val="20"/>
        </w:rPr>
        <w:t xml:space="preserve">. This </w:t>
      </w:r>
      <w:r w:rsidR="00392EA2" w:rsidRPr="00B45AA9">
        <w:rPr>
          <w:rFonts w:eastAsia="Arial Unicode MS" w:cs="Arial Unicode MS"/>
          <w:szCs w:val="20"/>
        </w:rPr>
        <w:t>fact alongside with leaching and greenhouse gases emissions fr</w:t>
      </w:r>
      <w:r w:rsidR="004A2CEC">
        <w:rPr>
          <w:rFonts w:eastAsia="Arial Unicode MS" w:cs="Arial Unicode MS"/>
          <w:szCs w:val="20"/>
        </w:rPr>
        <w:t>om the landfills requires</w:t>
      </w:r>
      <w:r w:rsidR="00392EA2" w:rsidRPr="00B45AA9">
        <w:rPr>
          <w:rFonts w:eastAsia="Arial Unicode MS" w:cs="Arial Unicode MS"/>
          <w:szCs w:val="20"/>
        </w:rPr>
        <w:t xml:space="preserve"> other ways of waste paper treatment. </w:t>
      </w:r>
      <w:r w:rsidR="009764D4" w:rsidRPr="00B45AA9">
        <w:rPr>
          <w:rFonts w:eastAsia="Arial Unicode MS" w:cs="Arial Unicode MS"/>
          <w:szCs w:val="20"/>
        </w:rPr>
        <w:t xml:space="preserve">A major way of paper waste </w:t>
      </w:r>
      <w:r w:rsidR="0013554A" w:rsidRPr="00B45AA9">
        <w:rPr>
          <w:rFonts w:eastAsia="Arial Unicode MS" w:cs="Arial Unicode MS"/>
          <w:szCs w:val="20"/>
        </w:rPr>
        <w:t xml:space="preserve">recycling </w:t>
      </w:r>
      <w:r w:rsidR="009764D4" w:rsidRPr="00B45AA9">
        <w:rPr>
          <w:rFonts w:eastAsia="Arial Unicode MS" w:cs="Arial Unicode MS"/>
          <w:szCs w:val="20"/>
        </w:rPr>
        <w:t xml:space="preserve">is </w:t>
      </w:r>
      <w:r w:rsidR="0013554A" w:rsidRPr="00B45AA9">
        <w:rPr>
          <w:rFonts w:eastAsia="Arial Unicode MS" w:cs="Arial Unicode MS"/>
          <w:szCs w:val="20"/>
        </w:rPr>
        <w:t>in paper mills,</w:t>
      </w:r>
      <w:r w:rsidR="009764D4" w:rsidRPr="00B45AA9">
        <w:rPr>
          <w:rFonts w:eastAsia="Arial Unicode MS" w:cs="Arial Unicode MS"/>
          <w:szCs w:val="20"/>
        </w:rPr>
        <w:t xml:space="preserve"> but</w:t>
      </w:r>
      <w:r w:rsidR="0013554A" w:rsidRPr="00B45AA9">
        <w:rPr>
          <w:rFonts w:eastAsia="Arial Unicode MS" w:cs="Arial Unicode MS"/>
          <w:szCs w:val="20"/>
        </w:rPr>
        <w:t xml:space="preserve"> some other uses are being investigated such as construction materials </w:t>
      </w:r>
      <w:r w:rsidR="00C13CE7"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"author" : [ { "dropping-particle" : "", "family" : "Folorunso", "given" : "O.P.", "non-dropping-particle" : "", "parse-names" : false, "suffix" : "" }, { "dropping-particle" : "", "family" : "Anyata", "given" : "B.U.", "non-dropping-particle" : "", "parse-names" : false, "suffix" : "" } ], "container-title" : "Research Journal of Applied Sciences", "id" : "ITEM-1", "issue" : "5", "issued" : { "date-parts" : [ [ "2007" ] ] }, "page" : "584-586", "title" : "Potential uses of waste paper/sludge as a ceiling material", "type" : "article-journal", "volume" : "2" }, "uris" : [ "http://www.mendeley.com/documents/?uuid=b7cd4bdd-a662-4f9e-be5c-e9fa51d52b71" ] }, { "id" : "ITEM-2", "itemData" : { "DOI" : "10.1016/j.enbuild.2014.02.006", "ISSN" : "03787788", "abstract" : "In this paper, the thermal behavior of hollow clay bricks made up of paper waste has been studied and their thermal performance has been optimized. On the one hand, both strength and thermal properties of different paper waste concentrations have been obtained by means of laboratory tests. Thermal conductivity of the microporous brick materials with additives produced in this study reduced from 0.68W/mK to 0.39W/mK compared with that of the sample without additives. On the other hand, the finite element method (FEM) has been applied to the nonlinear numerical thermal analysis of three different hollow bricks, including radiation and convection phenomena inside holes. Next, using the design of experiments (DOE) over the FEM models, several parameters such as the material conductivity, the convection and radiation properties and the mean brick temperature have been studied. In general, the thermal resistance is a nonlinear function that depends on the geometry of the recesses, the material properties and the temperature distribution. In all analyzed cases, minimizing the material thermal conductivity of bricks and decreasing the recesses surface radiation emissivity caused a lower thermal transmittance in the brick. Finally, the most important conclusions and the main findings of this research are exposed.", "author" : [ { "dropping-particle" : "", "family" : "Sutcu", "given" : "Mucahit", "non-dropping-particle" : "", "parse-names" : false, "suffix" : "" }, { "dropping-particle" : "", "family" : "Coz D\u00edaz", "given" : "Juan Jos\u00e9", "non-dropping-particle" : "del", "parse-names" : false, "suffix" : "" }, { "dropping-particle" : "", "family" : "\u00c1lvarez Rabanal", "given" : "Felipe Pedro", "non-dropping-particle" : "", "parse-names" : false, "suffix" : "" }, { "dropping-particle" : "", "family" : "Gencel", "given" : "Osman", "non-dropping-particle" : "", "parse-names" : false, "suffix" : "" }, { "dropping-particle" : "", "family" : "Akkurt", "given" : "Sedat", "non-dropping-particle" : "", "parse-names" : false, "suffix" : "" } ], "container-title" : "Energy and Buildings", "id" : "ITEM-2", "issued" : { "date-parts" : [ [ "2014", "6" ] ] }, "page" : "96-108", "title" : "Thermal performance optimization of hollow clay bricks made up of paper waste", "type" : "article-journal", "volume" : "75" }, "uris" : [ "http://www.mendeley.com/documents/?uuid=add95f04-f90e-4a3c-b97f-3cb98f93ec13" ] } ], "mendeley" : { "formattedCitation" : "(Folorunso and Anyata, 2007; Sutcu et al., 2014)", "plainTextFormattedCitation" : "(Folorunso and Anyata, 2007; Sutcu et al., 2014)", "previouslyFormattedCitation" : "(Folorunso and Anyata, 2007; Sutcu et al., 2014)" }, "properties" : { "noteIndex" : 0 }, "schema" : "https://github.com/citation-style-language/schema/raw/master/csl-citation.json" }</w:instrText>
      </w:r>
      <w:r w:rsidR="00C13CE7" w:rsidRPr="00B45AA9">
        <w:rPr>
          <w:rFonts w:eastAsia="Arial Unicode MS" w:cs="Arial Unicode MS"/>
          <w:szCs w:val="20"/>
        </w:rPr>
        <w:fldChar w:fldCharType="separate"/>
      </w:r>
      <w:r w:rsidR="00211CB2" w:rsidRPr="00211CB2">
        <w:rPr>
          <w:rFonts w:eastAsia="Arial Unicode MS" w:cs="Arial Unicode MS"/>
          <w:noProof/>
          <w:szCs w:val="20"/>
          <w:lang w:val="es-ES"/>
        </w:rPr>
        <w:t>(Folorunso and Anyata, 2007; Sutcu et al., 2014)</w:t>
      </w:r>
      <w:r w:rsidR="00C13CE7" w:rsidRPr="00B45AA9">
        <w:rPr>
          <w:rFonts w:eastAsia="Arial Unicode MS" w:cs="Arial Unicode MS"/>
          <w:szCs w:val="20"/>
        </w:rPr>
        <w:fldChar w:fldCharType="end"/>
      </w:r>
      <w:r w:rsidR="004A2CEC">
        <w:rPr>
          <w:rFonts w:eastAsia="Arial Unicode MS" w:cs="Arial Unicode MS"/>
          <w:szCs w:val="20"/>
          <w:lang w:val="es-ES"/>
        </w:rPr>
        <w:t>,</w:t>
      </w:r>
      <w:r w:rsidR="0013554A" w:rsidRPr="00B45AA9">
        <w:rPr>
          <w:rFonts w:eastAsia="Arial Unicode MS" w:cs="Arial Unicode MS"/>
          <w:szCs w:val="20"/>
          <w:lang w:val="es-ES"/>
        </w:rPr>
        <w:t xml:space="preserve"> animal bedding </w:t>
      </w:r>
      <w:r w:rsidR="00C13CE7" w:rsidRPr="00B45AA9">
        <w:rPr>
          <w:rFonts w:eastAsia="Arial Unicode MS" w:cs="Arial Unicode MS"/>
          <w:szCs w:val="20"/>
        </w:rPr>
        <w:fldChar w:fldCharType="begin" w:fldLock="1"/>
      </w:r>
      <w:r w:rsidR="00404D26">
        <w:rPr>
          <w:rFonts w:eastAsia="Arial Unicode MS" w:cs="Arial Unicode MS"/>
          <w:szCs w:val="20"/>
          <w:lang w:val="es-ES"/>
        </w:rPr>
        <w:instrText>ADDIN CSL_CITATION { "citationItems" : [ { "id" : "ITEM-1", "itemData" : { "DOI" : "10.3168/jds.S0022-0302(00)74887-9", "ISSN" : "0022-0302", "PMID" : "10714873", "abstract" : "Because of continuing concerns about the safety and the suitability of recycled newspaper as an animal bedding material, municipal curbside-collected newspaper was processed into chopped and pelleted forms for comparison studies with wheat straw and kiln-dried pinewood shavings. Measurements included nutrient, heavy metal, dioxin and furan content, particle size distribution, density, combustion potential, and water-holding capacity. Recycled newspaper, straw, and wood shavings tested below or equivalent to National Research Council dietary tolerance levels and US Environmental Protection Agency toxic equivalent levels. Small particle size distribution was shavings &gt; straw &gt; all forms of newspaper. The density of pelleted newspaper was 50-fold greater than that of chopped newspaper and straw and 15-fold greater than shavings. In simulated flash burns, chopped newspaper, straw, and shavings ignited, and flames spread rapidly in newspaper and shavings and lasted the longest in shavings. Pelleted newspaper did not ignite. Chopped and pelleted forms of newspaper and wood shavings had higher water holding capacities (&gt;400%) than did straw (200%). Animal industries can, in confidence, utilize recycled newspaper as an animal bedding material, providing that sources of low toxicity are identified, and suitable processed forms are produced.", "author" : [ { "dropping-particle" : "", "family" : "Ward", "given" : "P L", "non-dropping-particle" : "", "parse-names" : false, "suffix" : "" }, { "dropping-particle" : "", "family" : "Wohlt", "given" : "J E", "non-dropping-particle" : "", "parse-names" : false, "suffix" : "" }, { "dropping-particle" : "", "family" : "Zajac", "given" : "P K", "non-dropping-particle" : "", "parse-names" : false, "suffix" : "" }, { "dropping-particle" : "", "family" : "Cooper", "given" : "K R", "non-dropping-particle" : "", "parse-names" : false, "suffix" : "" } ], "container-title" : "Journal of dairy science", "id" : "ITEM-1", "issue" : "2", "issued" : { "date-parts" : [ [ "2000", "2" ] ] }, "page" : "359-67", "title" : "Chemical and physical properties of processed newspaper compared to wheat straw and wood shavings as animal bedding.", "type" : "article-journal", "volume" : "83" }, "uris" : [ "http://www.mendeley.com/documents/?uuid=a965bc18-cb24-4d78-b0b5-3aab38dba58d" ] } ], "mendeley" : { "formattedCitation" : "(Ward et al., 2000)", "plainTextFormattedCitation" : "(Ward et al., 2000)", "previouslyFormattedCitation" : "(Ward et al., 2000)" }, "properties" : { "noteIndex" : 0 }, "schema" : "https://github.com/citation-style-language/schema/raw/master/csl-citation.json" }</w:instrText>
      </w:r>
      <w:r w:rsidR="00C13CE7" w:rsidRPr="00B45AA9">
        <w:rPr>
          <w:rFonts w:eastAsia="Arial Unicode MS" w:cs="Arial Unicode MS"/>
          <w:szCs w:val="20"/>
        </w:rPr>
        <w:fldChar w:fldCharType="separate"/>
      </w:r>
      <w:r w:rsidR="00211CB2" w:rsidRPr="00211CB2">
        <w:rPr>
          <w:rFonts w:eastAsia="Arial Unicode MS" w:cs="Arial Unicode MS"/>
          <w:noProof/>
          <w:szCs w:val="20"/>
        </w:rPr>
        <w:t>(Ward et al., 2000)</w:t>
      </w:r>
      <w:r w:rsidR="00C13CE7" w:rsidRPr="00B45AA9">
        <w:rPr>
          <w:rFonts w:eastAsia="Arial Unicode MS" w:cs="Arial Unicode MS"/>
          <w:szCs w:val="20"/>
        </w:rPr>
        <w:fldChar w:fldCharType="end"/>
      </w:r>
      <w:r w:rsidR="0013554A" w:rsidRPr="00B45AA9">
        <w:rPr>
          <w:rFonts w:eastAsia="Arial Unicode MS" w:cs="Arial Unicode MS"/>
          <w:szCs w:val="20"/>
        </w:rPr>
        <w:t xml:space="preserve">, composting </w:t>
      </w:r>
      <w:r w:rsidR="00C13CE7"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"10.1016/j.wasman.2008.11.025", "ISSN" : "0956-053X", "PMID" : "19138509", "abstract" : "The presence of paper in municipal solid waste (MSW) interferes with the efficiency of composting plants. The compost feedstock to these plants is between 12% and 27% paper on a dry weight basis, with an initial C:N ratio ranging from 32:1 to 57:1. Tests of the last aerobic biodegradability (LAB) of the type of paper present in paper and cardboard packaging were carried out, following UNE-EN 14046 standards. The results obtained, measured through the quantity of CO(2) generated over 45 days, compared with the maximum that could be produced (ThCO(2)), showed that the presence of paper retards, to a great degree, the biodegradation of organic material in general. Specifically, the presence of papers with a degradation D (%) &gt;60% at 45 days (white (W) and recycled paper (R)) could be allowed, but always in proportions that did not exceed 27% in dry weight. These results can be achieved with an industrial level process, pre-treated by trituration.", "author" : [ { "dropping-particle" : "", "family" : "Alvarez", "given" : "J V L\u00f3pez", "non-dropping-particle" : "", "parse-names" : false, "suffix" : "" }, { "dropping-particle" : "", "family" : "Larrucea", "given" : "M Aguilar", "non-dropping-particle" : "", "parse-names" : false, "suffix" : "" }, { "dropping-particle" : "", "family" : "Berm\u00fadez", "given" : "P Arraiza", "non-dropping-particle" : "", "parse-names" : false, "suffix" : "" }, { "dropping-particle" : "", "family" : "Chicote", "given" : "B Le\u00f3n", "non-dropping-particle" : "", "parse-names" : false, "suffix" : "" } ], "container-title" : "Waste management (New York, N.Y.)", "id" : "ITEM-1", "issue" : "5", "issued" : { "date-parts" : [ [ "2009", "5" ] ] }, "page" : "1514-9", "title" : "Biodegradation of paper waste under controlled composting conditions.", "type" : "article-journal", "volume" : "29" }, "uris" : [ "http://www.mendeley.com/documents/?uuid=f5ac3fd1-cb2f-42dc-8f2d-b6d525eb0b68" ] } ], "mendeley" : { "formattedCitation" : "(Alvarez et al., 2009)", "plainTextFormattedCitation" : "(Alvarez et al., 2009)", "previouslyFormattedCitation" : "(Alvarez et al., 2009)" }, "properties" : { "noteIndex" : 0 }, "schema" : "https://github.com/citation-style-language/schema/raw/master/csl-citation.json" }</w:instrText>
      </w:r>
      <w:r w:rsidR="00C13CE7" w:rsidRPr="00B45AA9">
        <w:rPr>
          <w:rFonts w:eastAsia="Arial Unicode MS" w:cs="Arial Unicode MS"/>
          <w:szCs w:val="20"/>
        </w:rPr>
        <w:fldChar w:fldCharType="separate"/>
      </w:r>
      <w:r w:rsidR="00211CB2" w:rsidRPr="00211CB2">
        <w:rPr>
          <w:rFonts w:eastAsia="Arial Unicode MS" w:cs="Arial Unicode MS"/>
          <w:noProof/>
          <w:szCs w:val="20"/>
        </w:rPr>
        <w:t>(Alvarez et al., 2009)</w:t>
      </w:r>
      <w:r w:rsidR="00C13CE7" w:rsidRPr="00B45AA9">
        <w:rPr>
          <w:rFonts w:eastAsia="Arial Unicode MS" w:cs="Arial Unicode MS"/>
          <w:szCs w:val="20"/>
        </w:rPr>
        <w:fldChar w:fldCharType="end"/>
      </w:r>
      <w:r w:rsidR="0013554A" w:rsidRPr="00B45AA9">
        <w:rPr>
          <w:rFonts w:eastAsia="Arial Unicode MS" w:cs="Arial Unicode MS"/>
          <w:szCs w:val="20"/>
        </w:rPr>
        <w:t xml:space="preserve"> or as a fuel </w:t>
      </w:r>
      <w:r w:rsidR="00C13CE7"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"10.1016/j.biortech.2013.11.030", "ISSN" : "1873-2976", "PMID" : "24314601", "abstract" : "Enzymatic hydrolysis of waste paper is becoming a perspective way to obtain raw material for production of liquid biofuels. Reducing sugars solutions that arise from the process of saccharification are a precursors for following or simultaneous fermentation to ethanol. Different types of waste paper were evaluated, in terms of composition and usability, in order to select the appropriate type of the waste paper for the enzymatic hydrolysis process. Novozymes\u00ae enzymes NS50013 and NS50010 were used in a laboratory scale trials. Technological conditions, which seem to be the most suitable for hydrolysis after testing on cellulose pulp and filter paper, were applied to hydrolysis of widely available waste papers - offset paper, cardboard, recycled paper in two qualities, matte MYsol offset paper and for comparison again on model materials. The highest yields were achieved for the cardboard, which was further tested using various pretreatment combinations in purpose of increasing the hydrolysis yields.", "author" : [ { "dropping-particle" : "", "family" : "Brummer", "given" : "Vladimir", "non-dropping-particle" : "", "parse-names" : false, "suffix" : "" }, { "dropping-particle" : "", "family" : "Jurena", "given" : "Tomas", "non-dropping-particle" : "", "parse-names" : false, "suffix" : "" }, { "dropping-particle" : "", "family" : "Hlavacek", "given" : "Viliam", "non-dropping-particle" : "", "parse-names" : false, "suffix" : "" }, { "dropping-particle" : "", "family" : "Omelkova", "given" : "Jirina", "non-dropping-particle" : "", "parse-names" : false, "suffix" : "" }, { "dropping-particle" : "", "family" : "Bebar", "given" : "Ladislav", "non-dropping-particle" : "", "parse-names" : false, "suffix" : "" }, { "dropping-particle" : "", "family" : "Gabriel", "given" : "Petr", "non-dropping-particle" : "", "parse-names" : false, "suffix" : "" }, { "dropping-particle" : "", "family" : "Stehlik", "given" : "Petr", "non-dropping-particle" : "", "parse-names" : false, "suffix" : "" } ], "container-title" : "Bioresource technology", "id" : "ITEM-1", "issued" : { "date-parts" : [ [ "2014", "1" ] ] }, "page" : "543-7", "title" : "Enzymatic hydrolysis of pretreated waste paper--source of raw material for production of liquid biofuels.", "type" : "article-journal", "volume" : "152" }, "uris" : [ "http://www.mendeley.com/documents/?uuid=48bf0a7c-615a-48c8-8f14-b01c4ade458e" ] }, { "id" : "ITEM-2", "itemData" : { "DOI" : "10.1016/S0378-3820(00)00092-8", "ISSN" : "03783820", "abstract" : "High-pressure binderless compaction of five types of waste paper typically found in municipal solid waste (MSW) stream, including corrugated board, newsprint, office paper, commercial printing, and non-corrugated box board, were studied. A piston-and-mold (punch-and-die) process was used and compaction was performed under room temperature and at pressures ranging from 34 to 138 MPa. The waste papers were compacted into 49-mm-diameter logs both separately and in mixture under various moisture contents and pressures. The properties of the logs including compressive strength, abrasion resistance, impact resistance, and combustion characteristics were tested. It was found that the waste paper mixture with moisture content ranging from 5% to 20% can be easily compacted into logs of good quality under pressures above 70 MPa. When the pressure is above 100 MPa and the moisture content of the waste paper is lower than 10%, logs with dry densities greater than 1 g/cm3 can be produced. The optimum moisture content for making abrasion-resistant and impact-resistant logs with high compressive strength is in the neighborhood of 15%. Compaction pressure of around 70 MPa was found to be cost-effective for the production of good quality logs from waste paper. The logs made from the waste paper have a heating value equivalent to that of lignite fuels, and can be co-fired with coal in power plants.", "author" : [ { "dropping-particle" : "", "family" : "Li", "given" : "Yadong", "non-dropping-particle" : "", "parse-names" : false, "suffix" : "" }, { "dropping-particle" : "", "family" : "Liu", "given" : "Henry", "non-dropping-particle" : "", "parse-names" : false, "suffix" : "" } ], "container-title" : "Fuel Processing Technology", "id" : "ITEM-2", "issue" : "1", "issued" : { "date-parts" : [ [ "2000", "6" ] ] }, "page" : "11-21", "title" : "High-pressure binderless compaction of waste paper to form useful fuel", "type" : "article-journal", "volume" : "67" }, "uris" : [ "http://www.mendeley.com/documents/?uuid=4c2351b0-eb31-410d-be3d-2c7d5b3ac627" ] } ], "mendeley" : { "formattedCitation" : "(Brummer et al., 2014; Li and Liu, 2000)", "plainTextFormattedCitation" : "(Brummer et al., 2014; Li and Liu, 2000)", "previouslyFormattedCitation" : "(Brummer et al., 2014; Li and Liu, 2000)" }, "properties" : { "noteIndex" : 0 }, "schema" : "https://github.com/citation-style-language/schema/raw/master/csl-citation.json" }</w:instrText>
      </w:r>
      <w:r w:rsidR="00C13CE7" w:rsidRPr="00B45AA9">
        <w:rPr>
          <w:rFonts w:eastAsia="Arial Unicode MS" w:cs="Arial Unicode MS"/>
          <w:szCs w:val="20"/>
        </w:rPr>
        <w:fldChar w:fldCharType="separate"/>
      </w:r>
      <w:r w:rsidR="00211CB2" w:rsidRPr="00211CB2">
        <w:rPr>
          <w:rFonts w:eastAsia="Arial Unicode MS" w:cs="Arial Unicode MS"/>
          <w:noProof/>
          <w:szCs w:val="20"/>
        </w:rPr>
        <w:t>(Brummer et al., 2014; Li and Liu, 2000)</w:t>
      </w:r>
      <w:r w:rsidR="00C13CE7" w:rsidRPr="00B45AA9">
        <w:rPr>
          <w:rFonts w:eastAsia="Arial Unicode MS" w:cs="Arial Unicode MS"/>
          <w:szCs w:val="20"/>
        </w:rPr>
        <w:fldChar w:fldCharType="end"/>
      </w:r>
      <w:r w:rsidR="0013554A" w:rsidRPr="00B45AA9">
        <w:rPr>
          <w:rFonts w:eastAsia="Arial Unicode MS" w:cs="Arial Unicode MS"/>
          <w:szCs w:val="20"/>
        </w:rPr>
        <w:t xml:space="preserve">. Many studies have been carried out about the anaerobic digestion of pulp and paper sludge </w:t>
      </w:r>
      <w:r w:rsidR="00C13CE7"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"10.1016/j.apcbee.2014.01.012", "ISSN" : "22126708", "abstract" : "Pulp and paper industry generates large quantity of sludge, up to 1 m3 /ton paper produced. Anaerobic digestion (AD) is a potential treatment to stabilize sludge and produce biogas for renewable energy. The aim of this study was to investigate the potential of AD of paper sludge (PS) generated from primary and secondary wastewater treatment and to compare the effect of cow manure to paper sludge. For the reactor with PS only, biogas production was observed starting on the 5th day with 6.3% of methane with a steady increase. The cumulative methane yield attained to 14.7ml/g volatile solid (VS) until day 28. The second reactor containing PS and cow manure produced methane 269ml/g VS until day 28. This study shows a more optimal AD process of paper sludge mixed with cow manure due to a more optimum C/N ratio and also higher VS.", "author" : [ { "dropping-particle" : "", "family" : "Priadi", "given" : "Cindy", "non-dropping-particle" : "", "parse-names" : false, "suffix" : "" }, { "dropping-particle" : "", "family" : "Wulandari", "given" : "Dwica", "non-dropping-particle" : "", "parse-names" : false, "suffix" : "" }, { "dropping-particle" : "", "family" : "Rahmatika", "given" : "Iftita", "non-dropping-particle" : "", "parse-names" : false, "suffix" : "" }, { "dropping-particle" : "", "family" : "Moersidik", "given" : "Setyo Sarwanto", "non-dropping-particle" : "", "parse-names" : false, "suffix" : "" } ], "container-title" : "APCBEE Procedia", "id" : "ITEM-1", "issued" : { "date-parts" : [ [ "2014" ] ] }, "page" : "65-69", "title" : "Biogas Production in the Anaerobic Digestion of Paper Sludge", "type" : "article-journal", "volume" : "9" }, "uris" : [ "http://www.mendeley.com/documents/?uuid=eb5427a9-8f98-4b37-88d4-6a345de6120d" ] }, { "id" : "ITEM-2", "itemData" : { "DOI" : "10.1016/j.biombioe.2011.10.001", "ISSN" : "09619534", "abstract" : "Anaerobic digestion of pulp and paper sludge (PPS) and monosodium glutamate waste liquor (MGWL) was studied in completely stirred tank reactors (CSTR) at 37\u00a0\u00b1\u00a02\u00a0\u00b0C. This work focused on the effect of increased organic loading rate (OLR) on the methane production in long-term experiments. For OLR in the range of (1.5\u20135.0)\u00a0kg\u00a0m\u22123\u00a0d\u22121 based on VS fed, VFA and SCOD concentrations decreased for the first 10 days and then kept stable at about 2.3\u00a0kg\u00a0m\u22123 and 4.0\u00a0kg\u00a0m\u22123 respectively until to the critical OLR of 5.0\u00a0kg\u00a0m\u22123\u00a0d\u22121; and the methane generation rate enhanced to 0.838\u00a0m3\u00a0m\u22123\u00a0d\u22121 during this period until to the reactor failure. Additionally, reaction rate constant k and sludge retention time (SRT) are described on the basis of a mass balance in a CSTR followed a first order kinetic equation. In the present study, values for ym and k were obtained as 0.733\u00a0m3\u00a0kg\u22121 of removed VS and 0.07\u00a0d\u22121, respectively. The simple model can apply for dimensioning a CSTR digesting of organic wastes from pulp and paper industries, food processing industries, sewage treatment plants or biogas crops.", "author" : [ { "dropping-particle" : "", "family" : "Lin", "given" : "Yunqin", "non-dropping-particle" : "", "parse-names" : false, "suffix" : "" }, { "dropping-particle" : "", "family" : "Wang", "given" : "Dehan", "non-dropping-particle" : "", "parse-names" : false, "suffix" : "" }, { "dropping-particle" : "", "family" : "Li", "given" : "Qing", "non-dropping-particle" : "", "parse-names" : false, "suffix" : "" }, { "dropping-particle" : "", "family" : "Huang", "given" : "Lijian", "non-dropping-particle" : "", "parse-names" : false, "suffix" : "" } ], "container-title" : "Biomass and Bioenergy", "id" : "ITEM-2", "issue" : "12", "issued" : { "date-parts" : [ [ "2011", "12" ] ] }, "page" : "4862-4867", "title" : "Kinetic study of mesophilic anaerobic digestion of pulp &amp; paper sludge", "type" : "article-journal", "volume" : "35" }, "uris" : [ "http://www.mendeley.com/documents/?uuid=f493be34-f6c1-4572-8177-e34663618fdd" ] }, { "id" : "ITEM-3", "itemData" : { "DOI" : "10.1016/j.watres.2014.07.022", "ISSN" : "1879-2448", "PMID" : "25150519", "abstract" : "Pulp and paper mills generate large amounts of waste organic matter that may be converted to renewable energy in form of methane. The anaerobic treatment of mill wastewater is widely accepted however, usually only applied to few selected streams. Chemical oxygen demand (COD) removal rates in full-scale reactors range between 30 and 90%, and methane yields are 0.30-0.40 m(3) kg(-1) COD removed. Highest COD removal rates are achieved with condensate streams from chemical pulping (75-90%) and paper mill effluents (60-80%). Numerous laboratory and pilot-scale studies have shown that, contrary to common perception, most other mill effluents are also to some extent anaerobically treatable. Even for difficult-to-digest streams such as bleaching effluents COD removal rates range between 15 and 90%, depending on the extent of dilution prior to anaerobic treatment, and the applied experimental setting. Co-digestion of different streams containing diverse substrate can level out and diminish toxicity, and may lead to a more robust microbial community. Furthermore, the microbial population has the ability to become acclimated and adapted to adverse conditions. Stress situations such as toxic shock loads or temporary organic overloading may be tolerated by an adapted community, whereas they could lead to process disturbance with an un-adapted community. Therefore, anaerobic treatment of wastewater containing elevated levels of inhibitors or toxicants should be initiated by an acclimation/adaptation period that can last between a few weeks and several months. In order to gain more insight into the underlying processes of microbial acclimation/adaptation and co-digestion, future research should focus on the relationship between wastewater composition, reactor operation and microbial community dynamics. The potential for engineering and managing the microbial resource is still largely untapped. Unlike in wastewater treatment, anaerobic digestion of mill biosludge (waste activated sludge) and primary sludge is still in its infancy. Current research is mainly focused on developing efficient pretreatment methods that enable fast hydrolysis of complex organic matter, shorter sludge residence times and as a consequence, smaller sludge digesters. Previous experimental studies indicate that the anaerobic digestibility of non-pretreated biosludge from pulp and paper mills varies widely, with volatile solids (VS) removal rates of 21-55% and specific methane yields ranging betwe\u2026", "author" : [ { "dropping-particle" : "", "family" : "Meyer", "given" : "Torsten", "non-dropping-particle" : "", "parse-names" : false, "suffix" : "" }, { "dropping-particle" : "", "family" : "Edwards", "given" : "Elizabeth A", "non-dropping-particle" : "", "parse-names" : false, "suffix" : "" } ], "container-title" : "Water research", "id" : "ITEM-3", "issued" : { "date-parts" : [ [ "2014", "11", "15" ] ] }, "page" : "321-49", "title" : "Anaerobic digestion of pulp and paper mill wastewater and sludge.", "type" : "article-journal", "volume" : "65" }, "uris" : [ "http://www.mendeley.com/documents/?uuid=1932428c-3e89-4dd8-9355-8b64172a9199" ] }, { "id" : "ITEM-4", "itemData" : { "author" : [ { "dropping-particle" : "", "family" : "Szeinbaum", "given" : "Nadia", "non-dropping-particle" : "", "parse-names" : false, "suffix" : "" } ], "id" : "ITEM-4", "issued" : { "date-parts" : [ [ "2009" ] ] }, "publisher" : "Georgia Institute of Technology", "title" : "Assessment of anaerobic treatment of select waste streams in paper manufacturing operations", "type" : "thesis" }, "uris" : [ "http://www.mendeley.com/documents/?uuid=dceb5da4-9fc8-4b4d-a36e-1c33af8793aa" ] } ], "mendeley" : { "formattedCitation" : "(Lin et al., 2011; Meyer and Edwards, 2014; Priadi et al., 2014; Szeinbaum, 2009)", "plainTextFormattedCitation" : "(Lin et al., 2011; Meyer and Edwards, 2014; Priadi et al., 2014; Szeinbaum, 2009)", "previouslyFormattedCitation" : "(Lin et al., 2011; Meyer and Edwards, 2014; Priadi et al., 2014; Szeinbaum, 2009)" }, "properties" : { "noteIndex" : 0 }, "schema" : "https://github.com/citation-style-language/schema/raw/master/csl-citation.json" }</w:instrText>
      </w:r>
      <w:r w:rsidR="00C13CE7" w:rsidRPr="00B45AA9">
        <w:rPr>
          <w:rFonts w:eastAsia="Arial Unicode MS" w:cs="Arial Unicode MS"/>
          <w:szCs w:val="20"/>
        </w:rPr>
        <w:fldChar w:fldCharType="separate"/>
      </w:r>
      <w:r w:rsidR="00211CB2" w:rsidRPr="00211CB2">
        <w:rPr>
          <w:rFonts w:eastAsia="Arial Unicode MS" w:cs="Arial Unicode MS"/>
          <w:noProof/>
          <w:szCs w:val="20"/>
        </w:rPr>
        <w:t>(Lin et al., 2011; Meyer and Edwards, 2014; Priadi et al., 2014; Szeinbaum, 2009)</w:t>
      </w:r>
      <w:r w:rsidR="00C13CE7" w:rsidRPr="00B45AA9">
        <w:rPr>
          <w:rFonts w:eastAsia="Arial Unicode MS" w:cs="Arial Unicode MS"/>
          <w:szCs w:val="20"/>
        </w:rPr>
        <w:fldChar w:fldCharType="end"/>
      </w:r>
      <w:r w:rsidR="0013554A" w:rsidRPr="00B45AA9">
        <w:rPr>
          <w:rFonts w:eastAsia="Arial Unicode MS" w:cs="Arial Unicode MS"/>
          <w:szCs w:val="20"/>
        </w:rPr>
        <w:t xml:space="preserve"> and municipal solid waste (MSW) (partially composed by paper and cardboard) </w:t>
      </w:r>
      <w:r w:rsidR="00C13CE7"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"10.1016/0961-9534(95)00043-7", "ISSN" : "09619534", "abstract" : "A pilot study was conducted to assess the biodegradable organic fraction of municipal solid waste (BOF/MSW) as a substrate in a high-solids anaerobic digestion process. Results obtained indicate that a typical BOF/MSW in the United States is deficient in most macro and micro-nutrients required for robust and stable digestion. The BOF/MSW was supplemented with nutrient-rich organic wastes such as wastewater treatment plant sludges, dairy manure, and synthetic chemical solutions to correct nutritional deficiencies. The combined addition of wastewater treatment plant sludge and dairy manure to a typical BOF/MSW significantly elevated the gas production rate and enhanced the process stability. Microbial nutrient requirements are identified and nutrient concentrations for stable operation are quantified.", "author" : [ { "dropping-particle" : "", "family" : "Kayhanian", "given" : "M.", "non-dropping-particle" : "", "parse-names" : false, "suffix" : "" }, { "dropping-particle" : "", "family" : "Rich", "given" : "D.", "non-dropping-particle" : "", "parse-names" : false, "suffix" : "" } ], "container-title" : "Biomass and Bioenergy", "id" : "ITEM-1", "issue" : "6", "issued" : { "date-parts" : [ [ "1995", "1" ] ] }, "page" : "433-444", "title" : "Pilot-scale high solids thermophilic anaerobic digestion of municipal solid waste with an emphasis on nutrient requirements", "type" : "article-journal", "volume" : "8" }, "uris" : [ "http://www.mendeley.com/documents/?uuid=eaaabffa-5089-413f-9573-009c967b38ae" ] }, { "id" : "ITEM-2", "itemData" : { "DOI" : "10.1016/j.biortech.2012.08.084", "ISSN" : "1873-2976", "PMID" : "23026339", "abstract" : "This study investigated different solid retention time (SRT) on municipal solid waste (MSW) anaerobic digestion with various MSW incinerator fly ash (FA) and bottom ash (BA) addition. Results showed that biogas production rates (BPRs, \u2248 200 to \u2248 400 mL/gVS) with organic loading rate of \u2248 0.053 gVS/gVS(reactor) (Day 1-435, SRT 20 days, SRT20) at FA 1g/d (FA1), BA 12 g/d (BA12) and BA 24 g/d (BA24) dosed bioreactors increased after adaptation. BPRs with SRT10 and SRT5 decreased while BPRs with SRT40 showed to increase compared to initial BPRs (\u2248 200 mL/gVS) with SRT20. SRT5 operation reduced the BPRs (\u2248 10 - \u2248 90 mL/gVS) significantly and only BA12 and BA24 dosed bioreactors could recover the BPRs (\u2248 100 - \u2248 200 mL/gVS) after SRT20 operation (Day 613-617) compared to FA1 and FA3 and control. Released levels of Co, Mo and W at BA12 and BA24 dosed bioreactors showed most potential to improve MSW anaerobic digestion.", "author" : [ { "dropping-particle" : "", "family" : "Lo", "given" : "H M", "non-dropping-particle" : "", "parse-names" : false, "suffix" : "" }, { "dropping-particle" : "", "family" : "Chiu", "given" : "H Y", "non-dropping-particle" : "", "parse-names" : false, "suffix" : "" }, { "dropping-particle" : "", "family" : "Lo", "given" : "S W", "non-dropping-particle" : "", "parse-names" : false, "suffix" : "" }, { "dropping-particle" : "", "family" : "Lo", "given" : "F C", "non-dropping-particle" : "", "parse-names" : false, "suffix" : "" } ], "container-title" : "Bioresource technology", "id" : "ITEM-2", "issued" : { "date-parts" : [ [ "2012", "12" ] ] }, "page" : "233-8", "title" : "Effects of different SRT on anaerobic digestion of MSW dosed with various MSWI ashes.", "type" : "article-journal", "volume" : "125" }, "uris" : [ "http://www.mendeley.com/documents/?uuid=4f869b03-d01e-4eaf-931b-e29f617f8904" ] } ], "mendeley" : { "formattedCitation" : "(Kayhanian and Rich, 1995; Lo et al., 2012)", "plainTextFormattedCitation" : "(Kayhanian and Rich, 1995; Lo et al., 2012)", "previouslyFormattedCitation" : "(Kayhanian and Rich, 1995; Lo et al., 2012)" }, "properties" : { "noteIndex" : 0 }, "schema" : "https://github.com/citation-style-language/schema/raw/master/csl-citation.json" }</w:instrText>
      </w:r>
      <w:r w:rsidR="00C13CE7" w:rsidRPr="00B45AA9">
        <w:rPr>
          <w:rFonts w:eastAsia="Arial Unicode MS" w:cs="Arial Unicode MS"/>
          <w:szCs w:val="20"/>
        </w:rPr>
        <w:fldChar w:fldCharType="separate"/>
      </w:r>
      <w:r w:rsidR="00211CB2" w:rsidRPr="00211CB2">
        <w:rPr>
          <w:rFonts w:eastAsia="Arial Unicode MS" w:cs="Arial Unicode MS"/>
          <w:noProof/>
          <w:szCs w:val="20"/>
        </w:rPr>
        <w:t>(Kayhanian and Rich, 1995; Lo et al., 2012)</w:t>
      </w:r>
      <w:r w:rsidR="00C13CE7" w:rsidRPr="00B45AA9">
        <w:rPr>
          <w:rFonts w:eastAsia="Arial Unicode MS" w:cs="Arial Unicode MS"/>
          <w:szCs w:val="20"/>
        </w:rPr>
        <w:fldChar w:fldCharType="end"/>
      </w:r>
      <w:r w:rsidR="0013554A" w:rsidRPr="00B45AA9">
        <w:rPr>
          <w:rFonts w:eastAsia="Arial Unicode MS" w:cs="Arial Unicode MS"/>
          <w:szCs w:val="20"/>
        </w:rPr>
        <w:t xml:space="preserve">. </w:t>
      </w:r>
      <w:r w:rsidR="00E65496" w:rsidRPr="00E65496">
        <w:rPr>
          <w:rFonts w:eastAsia="Arial Unicode MS" w:cs="Arial Unicode MS"/>
          <w:szCs w:val="20"/>
        </w:rPr>
        <w:t>In anaerobic digestion, hydrolysis appears to be the rate-limiting step highly particulate waste, like paper waste</w:t>
      </w:r>
      <w:r w:rsidR="00706DF4" w:rsidRPr="00B45AA9">
        <w:rPr>
          <w:rFonts w:eastAsia="Arial Unicode MS" w:cs="Arial Unicode MS"/>
          <w:szCs w:val="20"/>
        </w:rPr>
        <w:t xml:space="preserve"> </w:t>
      </w:r>
      <w:r w:rsidR="00706DF4"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"ISBN" : "9789054104179", "author" : [ { "dropping-particle" : "", "family" : "Palenzuela Roll\u00f3n", "given" : "A.", "non-dropping-particle" : "", "parse-names" : false, "suffix" : "" } ], "id" : "ITEM-1", "issued" : { "date-parts" : [ [ "1999", "8", "5" ] ] }, "language" : "eng", "publisher" : "A.A.Balkema, P.O.Box 1675,3000 BR Rotterdam, Netherlands", "title" : "Anaerobic digestion of fish processing wastewaters with special emphasis on hydrolysis of suspended solids", "type" : "thesis" }, "uris" : [ "http://www.mendeley.com/documents/?uuid=d979ca3e-c2e0-4573-b013-9c997347c29c" ] } ], "mendeley" : { "formattedCitation" : "(Palenzuela Roll\u00f3n, 1999)", "plainTextFormattedCitation" : "(Palenzuela Roll\u00f3n, 1999)", "previouslyFormattedCitation" : "(Palenzuela Roll\u00f3n, 1999)" }, "properties" : { "noteIndex" : 0 }, "schema" : "https://github.com/citation-style-language/schema/raw/master/csl-citation.json" }</w:instrText>
      </w:r>
      <w:r w:rsidR="00706DF4" w:rsidRPr="00B45AA9">
        <w:rPr>
          <w:rFonts w:eastAsia="Arial Unicode MS" w:cs="Arial Unicode MS"/>
          <w:szCs w:val="20"/>
        </w:rPr>
        <w:fldChar w:fldCharType="separate"/>
      </w:r>
      <w:r w:rsidR="00211CB2" w:rsidRPr="00211CB2">
        <w:rPr>
          <w:rFonts w:eastAsia="Arial Unicode MS" w:cs="Arial Unicode MS"/>
          <w:noProof/>
          <w:szCs w:val="20"/>
        </w:rPr>
        <w:t>(Palenzuela Rollón, 1999)</w:t>
      </w:r>
      <w:r w:rsidR="00706DF4" w:rsidRPr="00B45AA9">
        <w:rPr>
          <w:rFonts w:eastAsia="Arial Unicode MS" w:cs="Arial Unicode MS"/>
          <w:szCs w:val="20"/>
        </w:rPr>
        <w:fldChar w:fldCharType="end"/>
      </w:r>
      <w:r w:rsidR="009764D4" w:rsidRPr="00B45AA9">
        <w:rPr>
          <w:rFonts w:eastAsia="Arial Unicode MS" w:cs="Arial Unicode MS"/>
          <w:szCs w:val="20"/>
        </w:rPr>
        <w:t xml:space="preserve">. During this stage the degradation of </w:t>
      </w:r>
      <w:r w:rsidR="00425F0E">
        <w:rPr>
          <w:rFonts w:eastAsia="Arial Unicode MS" w:cs="Arial Unicode MS"/>
          <w:szCs w:val="20"/>
        </w:rPr>
        <w:t xml:space="preserve">cellulose and </w:t>
      </w:r>
      <w:r w:rsidR="009764D4" w:rsidRPr="00B45AA9">
        <w:rPr>
          <w:rFonts w:eastAsia="Arial Unicode MS" w:cs="Arial Unicode MS"/>
          <w:szCs w:val="20"/>
        </w:rPr>
        <w:t xml:space="preserve">recalcitrant compounds like </w:t>
      </w:r>
      <w:r w:rsidR="008463BE" w:rsidRPr="00B45AA9">
        <w:rPr>
          <w:rFonts w:eastAsia="Arial Unicode MS" w:cs="Arial Unicode MS"/>
          <w:szCs w:val="20"/>
        </w:rPr>
        <w:t>lignin occurs</w:t>
      </w:r>
      <w:r w:rsidR="009764D4" w:rsidRPr="00B45AA9">
        <w:rPr>
          <w:rFonts w:eastAsia="Arial Unicode MS" w:cs="Arial Unicode MS"/>
          <w:szCs w:val="20"/>
        </w:rPr>
        <w:t>. Hydrolysis depends on multiple factors such as the particle sizes of the substrate, pH and enzymatic permeability of the substrate’s membranes</w:t>
      </w:r>
      <w:r w:rsidR="0075109C">
        <w:rPr>
          <w:rFonts w:eastAsia="Arial Unicode MS" w:cs="Arial Unicode MS"/>
          <w:szCs w:val="20"/>
        </w:rPr>
        <w:t xml:space="preserve"> </w:t>
      </w:r>
      <w:r w:rsidR="0075109C">
        <w:rPr>
          <w:rFonts w:eastAsia="Arial Unicode MS" w:cs="Arial Unicode MS"/>
          <w:szCs w:val="20"/>
        </w:rPr>
        <w:fldChar w:fldCharType="begin" w:fldLock="1"/>
      </w:r>
      <w:r w:rsidR="00A8001A">
        <w:rPr>
          <w:rFonts w:eastAsia="Arial Unicode MS" w:cs="Arial Unicode MS"/>
          <w:szCs w:val="20"/>
        </w:rPr>
        <w:instrText>ADDIN CSL_CITATION { "citationItems" : [ { "id" : "ITEM-1", "itemData" : { "DOI" : "10.1016/j.energy.2014.08.086", "ISSN" : "03605442", "author" : [ { "dropping-particle" : "", "family" : "Tedesco", "given" : "Silvia", "non-dropping-particle" : "", "parse-names" : false, "suffix" : "" }, { "dropping-particle" : "", "family" : "Lochlainn", "given" : "Dubhaltach", "non-dropping-particle" : "Mac", "parse-names" : false, "suffix" : "" }, { "dropping-particle" : "", "family" : "Olabi", "given" : "Abdul Ghani", "non-dropping-particle" : "", "parse-names" : false, "suffix" : "" } ], "container-title" : "Energy", "id" : "ITEM-1", "issued" : { "date-parts" : [ [ "2014", "11" ] ] }, "page" : "857-862", "publisher" : "Elsevier Ltd", "title" : "Particle size reduction optimization of Laminaria spp. biomass for enhanced methane production", "type" : "article-journal", "volume" : "76" }, "uris" : [ "http://www.mendeley.com/documents/?uuid=b423d277-1592-4210-bbbd-7dd53811ce21" ] }, { "id" : "ITEM-2", "itemData" : { "DOI" : "10.1016/j.rser.2014.11.052", "ISSN" : "13640321", "abstract" : "The objective of this work is to provide a comprehensive study on algal biomass as feedstock for biogas production. Algae-derived biofuels are seen as one of the most promising solutions to mitigate climate change and as alternative to fast depleting of fossil fuels and oil reserves. Microalgae and macroalgae underwent an intense academic and industrial research, thanks to their capability to overcome the drawbacks related to the first and second generations of biomass resources. Major advantages of algae are: no competition with food crops for arable land, high growth rates, low fractions of lignin which reduces the need for energy-intensive pretreatment and compatibility with biorefinery approach implementation. However, some disadvantages such as the presence of high water content, seasonal chemical composition and the occurrence of inhibitory phenomena during anaerobic digestion, make algal biofuels not yet economically feasible although they are more environment friendly than fossil fuels.", "author" : [ { "dropping-particle" : "", "family" : "Montingelli", "given" : "M.E.", "non-dropping-particle" : "", "parse-names" : false, "suffix" : "" }, { "dropping-particle" : "", "family" : "Tedesco", "given" : "S.", "non-dropping-particle" : "", "parse-names" : false, "suffix" : "" }, { "dropping-particle" : "", "family" : "Olabi", "given" : "A.G.", "non-dropping-particle" : "", "parse-names" : false, "suffix" : "" } ], "container-title" : "Renewable and Sustainable Energy Reviews", "id" : "ITEM-2", "issued" : { "date-parts" : [ [ "2015" ] ] }, "page" : "961-972", "title" : "Biogas production from algal biomass: A review", "type" : "article-journal", "volume" : "43" }, "uris" : [ "http://www.mendeley.com/documents/?uuid=775a3be6-75b7-303e-a3a7-db4dca6a8af5" ] } ], "mendeley" : { "formattedCitation" : "(Montingelli et al., 2015; Silvia Tedesco et al., 2014)", "plainTextFormattedCitation" : "(Montingelli et al., 2015; Silvia Tedesco et al., 2014)", "previouslyFormattedCitation" : "(Montingelli et al., 2015; Silvia Tedesco et al., 2014)" }, "properties" : { "noteIndex" : 0 }, "schema" : "https://github.com/citation-style-language/schema/raw/master/csl-citation.json" }</w:instrText>
      </w:r>
      <w:r w:rsidR="0075109C">
        <w:rPr>
          <w:rFonts w:eastAsia="Arial Unicode MS" w:cs="Arial Unicode MS"/>
          <w:szCs w:val="20"/>
        </w:rPr>
        <w:fldChar w:fldCharType="separate"/>
      </w:r>
      <w:r w:rsidR="00A8001A" w:rsidRPr="00A8001A">
        <w:rPr>
          <w:rFonts w:eastAsia="Arial Unicode MS" w:cs="Arial Unicode MS"/>
          <w:noProof/>
          <w:szCs w:val="20"/>
        </w:rPr>
        <w:t>(Montingelli et al., 2015; Silvia Tedesco et al., 2014)</w:t>
      </w:r>
      <w:r w:rsidR="0075109C">
        <w:rPr>
          <w:rFonts w:eastAsia="Arial Unicode MS" w:cs="Arial Unicode MS"/>
          <w:szCs w:val="20"/>
        </w:rPr>
        <w:fldChar w:fldCharType="end"/>
      </w:r>
      <w:r w:rsidR="009764D4" w:rsidRPr="00B45AA9">
        <w:rPr>
          <w:rFonts w:eastAsia="Arial Unicode MS" w:cs="Arial Unicode MS"/>
          <w:szCs w:val="20"/>
        </w:rPr>
        <w:t xml:space="preserve">. </w:t>
      </w:r>
      <w:r w:rsidR="00515320" w:rsidRPr="00B45AA9">
        <w:rPr>
          <w:rFonts w:eastAsia="Arial Unicode MS" w:cs="Arial Unicode MS"/>
          <w:szCs w:val="20"/>
        </w:rPr>
        <w:t>T</w:t>
      </w:r>
      <w:r w:rsidR="009764D4" w:rsidRPr="00B45AA9">
        <w:rPr>
          <w:rFonts w:eastAsia="Arial Unicode MS" w:cs="Arial Unicode MS"/>
          <w:szCs w:val="20"/>
        </w:rPr>
        <w:t>he availability of the substrates for the enzymatic attack will be achiev</w:t>
      </w:r>
      <w:r w:rsidR="00515320" w:rsidRPr="00B45AA9">
        <w:rPr>
          <w:rFonts w:eastAsia="Arial Unicode MS" w:cs="Arial Unicode MS"/>
          <w:szCs w:val="20"/>
        </w:rPr>
        <w:t>ed</w:t>
      </w:r>
      <w:r w:rsidR="009764D4" w:rsidRPr="00B45AA9">
        <w:rPr>
          <w:rFonts w:eastAsia="Arial Unicode MS" w:cs="Arial Unicode MS"/>
          <w:szCs w:val="20"/>
        </w:rPr>
        <w:t xml:space="preserve"> through the increment of the specific surface area and </w:t>
      </w:r>
      <w:r w:rsidR="006C2213" w:rsidRPr="00B45AA9">
        <w:rPr>
          <w:rFonts w:eastAsia="Arial Unicode MS" w:cs="Arial Unicode MS"/>
          <w:szCs w:val="20"/>
        </w:rPr>
        <w:t>breakdown</w:t>
      </w:r>
      <w:r w:rsidR="009764D4" w:rsidRPr="00B45AA9">
        <w:rPr>
          <w:rFonts w:eastAsia="Arial Unicode MS" w:cs="Arial Unicode MS"/>
          <w:szCs w:val="20"/>
        </w:rPr>
        <w:t xml:space="preserve"> the crystalline structure.</w:t>
      </w:r>
      <w:r w:rsidR="00515320" w:rsidRPr="00B45AA9">
        <w:rPr>
          <w:rFonts w:eastAsia="Arial Unicode MS" w:cs="Arial Unicode MS"/>
          <w:szCs w:val="20"/>
        </w:rPr>
        <w:t xml:space="preserve"> </w:t>
      </w:r>
      <w:r w:rsidR="009764D4" w:rsidRPr="00B45AA9">
        <w:rPr>
          <w:rFonts w:eastAsia="Arial Unicode MS" w:cs="Arial Unicode MS"/>
          <w:szCs w:val="20"/>
        </w:rPr>
        <w:t>In recent years differe</w:t>
      </w:r>
      <w:r w:rsidR="00706DF4" w:rsidRPr="00B45AA9">
        <w:rPr>
          <w:rFonts w:eastAsia="Arial Unicode MS" w:cs="Arial Unicode MS"/>
          <w:szCs w:val="20"/>
        </w:rPr>
        <w:t>nt technologies for biomass pre</w:t>
      </w:r>
      <w:r w:rsidR="009764D4" w:rsidRPr="00B45AA9">
        <w:rPr>
          <w:rFonts w:eastAsia="Arial Unicode MS" w:cs="Arial Unicode MS"/>
          <w:szCs w:val="20"/>
        </w:rPr>
        <w:t>treatment have been developed in order to increase the availability of substrate for anaerobic digestion</w:t>
      </w:r>
      <w:r w:rsidR="00706DF4" w:rsidRPr="00B45AA9">
        <w:rPr>
          <w:rFonts w:eastAsia="Arial Unicode MS" w:cs="Arial Unicode MS"/>
          <w:szCs w:val="20"/>
        </w:rPr>
        <w:t xml:space="preserve"> </w:t>
      </w:r>
      <w:r w:rsidR="00706DF4"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"10.1021/ie801542g", "ISSN" : "0888-5885", "abstract" : "Biofuels produced from various lignocellulosic materials, such as wood, agricultural, or forest residues, have the potential to be a valuable substitute for, or complement to, gasoline. Many physicochemical structural and compositional factors hinder the hydrolysis of cellulose present in biomass to sugars and other organic compounds that can later be converted to fuels. The goal of pretreatment is to make the cellulose accessible to hydrolysis for conversion to fuels. Various pretreatment techniques change the physical and chemical structure of the lignocellulosic biomass and improve hydrolysis rates. During the past few years a large number of pretreatment methods have been developed, including alkali treatment, ammonia explosion, and others. Many methods have been shown to result in high sugar yields, above 90% of the theoretical yield for lignocellulosic biomasses such as woods, grasses, corn, and so on. In this review, we discuss the various pretreatment process methods and the recent literature that has reported on the use of these technologies for pretreatment of various lignocellulosic biomasses. Biofuels produced from various lignocellulosic materials, such as wood, agricultural, or forest residues, have the potential to be a valuable substitute for, or complement to, gasoline. Many physicochemical structural and compositional factors hinder the hydrolysis of cellulose present in biomass to sugars and other organic compounds that can later be converted to fuels. The goal of pretreatment is to make the cellulose accessible to hydrolysis for conversion to fuels. Various pretreatment techniques change the physical and chemical structure of the lignocellulosic biomass and improve hydrolysis rates. During the past few years a large number of pretreatment methods have been developed, including alkali treatment, ammonia explosion, and others. Many methods have been shown to result in high sugar yields, above 90% of the theoretical yield for lignocellulosic biomasses such as woods, grasses, corn, and so on. In this review, we discuss the various pretreatment process methods and the recent literature that has reported on the use of these technologies for pretreatment of various lignocellulosic biomasses.", "author" : [ { "dropping-particle" : "", "family" : "Kumar", "given" : "Parveen", "non-dropping-particle" : "", "parse-names" : false, "suffix" : "" }, { "dropping-particle" : "", "family" : "Barrett", "given" : "Diane M.", "non-dropping-particle" : "", "parse-names" : false, "suffix" : "" }, { "dropping-particle" : "", "family" : "Delwiche", "given" : "Michael J.", "non-dropping-particle" : "", "parse-names" : false, "suffix" : "" }, { "dropping-particle" : "", "family" : "Stroeve", "given" : "Pieter", "non-dropping-particle" : "", "parse-names" : false, "suffix" : "" } ], "container-title" : "Industrial &amp; Engineering Chemistry Research", "id" : "ITEM-1", "issue" : "8", "issued" : { "date-parts" : [ [ "2009", "4", "15" ] ] }, "page" : "3713-3729", "publisher" : "American Chemical Society", "title" : "Methods for Pretreatment of Lignocellulosic Biomass for Efficient Hydrolysis and Biofuel Production", "type" : "article-journal", "volume" : "48" }, "uris" : [ "http://www.mendeley.com/documents/?uuid=939abbd4-6064-4841-8a7d-8d872c3d25b2" ] }, { "id" : "ITEM-2", "itemData" : { "author" : [ { "dropping-particle" : "", "family" : "Menind", "given" : "A", "non-dropping-particle" : "", "parse-names" : false, "suffix" : "" }, { "dropping-particle" : "", "family" : "Normak", "given" : "A", "non-dropping-particle" : "", "parse-names" : false, "suffix" : "" } ], "id" : "ITEM-2", "issued" : { "date-parts" : [ [ "2008" ] ] }, "number-of-pages" : "155-164", "title" : "Study on Grinding Biomass as Pre-treatment for Biogasification", "type" : "report" }, "uris" : [ "http://www.mendeley.com/documents/?uuid=96208745-70c7-4a23-8ba7-ec22dd73d79e" ] } ], "mendeley" : { "formattedCitation" : "(Kumar et al., 2009; Menind and Normak, 2008)", "plainTextFormattedCitation" : "(Kumar et al., 2009; Menind and Normak, 2008)", "previouslyFormattedCitation" : "(Kumar et al., 2009; Menind and Normak, 2008)" }, "properties" : { "noteIndex" : 0 }, "schema" : "https://github.com/citation-style-language/schema/raw/master/csl-citation.json" }</w:instrText>
      </w:r>
      <w:r w:rsidR="00706DF4" w:rsidRPr="00B45AA9">
        <w:rPr>
          <w:rFonts w:eastAsia="Arial Unicode MS" w:cs="Arial Unicode MS"/>
          <w:szCs w:val="20"/>
        </w:rPr>
        <w:fldChar w:fldCharType="separate"/>
      </w:r>
      <w:r w:rsidR="00211CB2" w:rsidRPr="00211CB2">
        <w:rPr>
          <w:rFonts w:eastAsia="Arial Unicode MS" w:cs="Arial Unicode MS"/>
          <w:noProof/>
          <w:szCs w:val="20"/>
        </w:rPr>
        <w:t>(Kumar et al., 2009; Menind and Normak, 2008)</w:t>
      </w:r>
      <w:r w:rsidR="00706DF4" w:rsidRPr="00B45AA9">
        <w:rPr>
          <w:rFonts w:eastAsia="Arial Unicode MS" w:cs="Arial Unicode MS"/>
          <w:szCs w:val="20"/>
        </w:rPr>
        <w:fldChar w:fldCharType="end"/>
      </w:r>
      <w:r w:rsidR="009764D4" w:rsidRPr="00B45AA9">
        <w:rPr>
          <w:rFonts w:eastAsia="Arial Unicode MS" w:cs="Arial Unicode MS"/>
          <w:szCs w:val="20"/>
        </w:rPr>
        <w:t>. Breaking down lignin, disrupting the crystalline structure of cellulose and increasing its surface can be attained by pre-treatment methods, so that micro-organisms can more easily access the cellulose</w:t>
      </w:r>
      <w:r w:rsidR="00515320" w:rsidRPr="00B45AA9">
        <w:rPr>
          <w:rFonts w:eastAsia="Arial Unicode MS" w:cs="Arial Unicode MS"/>
          <w:szCs w:val="20"/>
        </w:rPr>
        <w:t xml:space="preserve"> </w:t>
      </w:r>
      <w:r w:rsidR="00515320"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"10.1016/j.rser.2014.04.047", "ISSN" : "13640321", "abstract" : "Lignocelluloses are often a major or sometimes the sole components in different waste streams from various sources such as industries, forestry, agriculture and municipalities. It represents an as-of-yet untapped source of fermentable sugars for significant industrial use. Many physico-chemical, structural and compositional factors hinder the hydrolysis of components present in the biomass to sugars and other organic compounds that can later be converted into fuels. During the past few years, a large number of chemical pretreatment methods including lime, acid, steam explosion, sulfur dioxide explosion, ammonia fiber explosion, ionic liquid and others have been developed for efficient pretreatment of biomass. Many pretreatment methods have shown high sugar yields i.e. more than 90% of the theoretical yield from lignocelluloses. In this review, we discuss various chemical pretreatment processes, feasibility of the processes at industrial scale in terms of the mechanisms involved, advantages, disadvantages and economic assessment. It is not possible to define the best pretreatment method as it depends on many factors such as type of lignocellulosic biomass, process parameters, environmental impact, economical feasibility, etc. However, some of these chemical pretreatments have disadvantages such as formation of inhibitory compounds especially furfural and 5-hydroxyl methyl furfural (HMF).", "author" : [ { "dropping-particle" : "", "family" : "Behera", "given" : "Shuvashish", "non-dropping-particle" : "", "parse-names" : false, "suffix" : "" }, { "dropping-particle" : "", "family" : "Arora", "given" : "Richa", "non-dropping-particle" : "", "parse-names" : false, "suffix" : "" }, { "dropping-particle" : "", "family" : "Nandhagopal", "given" : "N.", "non-dropping-particle" : "", "parse-names" : false, "suffix" : "" }, { "dropping-particle" : "", "family" : "Kumar", "given" : "Sachin", "non-dropping-particle" : "", "parse-names" : false, "suffix" : "" } ], "container-title" : "Renewable and Sustainable Energy Reviews", "id" : "ITEM-1", "issued" : { "date-parts" : [ [ "2014", "8" ] ] }, "page" : "91-106", "title" : "Importance of chemical pretreatment for bioconversion of lignocellulosic biomass", "type" : "article-journal", "volume" : "36" }, "uris" : [ "http://www.mendeley.com/documents/?uuid=9ffb3f08-5d14-4ef3-87a4-325db736e010" ] } ], "mendeley" : { "formattedCitation" : "(Behera et al., 2014)", "plainTextFormattedCitation" : "(Behera et al., 2014)", "previouslyFormattedCitation" : "(Behera et al., 2014)" }, "properties" : { "noteIndex" : 0 }, "schema" : "https://github.com/citation-style-language/schema/raw/master/csl-citation.json" }</w:instrText>
      </w:r>
      <w:r w:rsidR="00515320" w:rsidRPr="00B45AA9">
        <w:rPr>
          <w:rFonts w:eastAsia="Arial Unicode MS" w:cs="Arial Unicode MS"/>
          <w:szCs w:val="20"/>
        </w:rPr>
        <w:fldChar w:fldCharType="separate"/>
      </w:r>
      <w:r w:rsidR="00211CB2" w:rsidRPr="00211CB2">
        <w:rPr>
          <w:rFonts w:eastAsia="Arial Unicode MS" w:cs="Arial Unicode MS"/>
          <w:noProof/>
          <w:szCs w:val="20"/>
        </w:rPr>
        <w:t>(Behera et al., 2014)</w:t>
      </w:r>
      <w:r w:rsidR="00515320" w:rsidRPr="00B45AA9">
        <w:rPr>
          <w:rFonts w:eastAsia="Arial Unicode MS" w:cs="Arial Unicode MS"/>
          <w:szCs w:val="20"/>
        </w:rPr>
        <w:fldChar w:fldCharType="end"/>
      </w:r>
      <w:r w:rsidR="009764D4" w:rsidRPr="00B45AA9">
        <w:rPr>
          <w:rFonts w:eastAsia="Arial Unicode MS" w:cs="Arial Unicode MS"/>
          <w:szCs w:val="20"/>
        </w:rPr>
        <w:t xml:space="preserve">. Although performing pre-treatment makes the process more complicated and expensive, it can improve the process efficiency </w:t>
      </w:r>
      <w:r w:rsidR="009764D4" w:rsidRPr="00B45AA9">
        <w:rPr>
          <w:rFonts w:eastAsia="Arial Unicode MS" w:cs="Arial Unicode MS"/>
          <w:szCs w:val="20"/>
        </w:rPr>
        <w:lastRenderedPageBreak/>
        <w:t>and reduce the whole cost so that a positive energy balance can be obtained compared with non-pre-treated biomass</w:t>
      </w:r>
      <w:r w:rsidR="00515320" w:rsidRPr="00B45AA9">
        <w:rPr>
          <w:rFonts w:eastAsia="Arial Unicode MS" w:cs="Arial Unicode MS"/>
          <w:szCs w:val="20"/>
        </w:rPr>
        <w:t xml:space="preserve"> </w:t>
      </w:r>
      <w:r w:rsidR="00515320"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"10.1016/j.biortech.2008.05.027", "ISSN" : "1873-2976", "PMID" : "18599291", "abstract" : "Lignocellulosic biomass represents a rather unused source for biogas and ethanol production. Many factors, like lignin content, crystallinity of cellulose, and particle size, limit the digestibility of the hemicellulose and cellulose present in the lignocellulosic biomass. Pretreatments have as a goal to improve the digestibility of the lignocellulosic biomass. Each pretreatment has its own effect(s) on the cellulose, hemicellulose and lignin; the three main components of lignocellulosic biomass. This paper reviews the different effect(s) of several pretreatments on the three main parts of the lignocellulosic biomass to improve its digestibility. Steam pretreatment, lime pretreatment, liquid hot water pretreatments and ammonia based pretreatments are concluded to be pretreatments with high potentials. The main effects are dissolving hemicellulose and alteration of lignin structure, providing an improved accessibility of the cellulose for hydrolytic enzymes.", "author" : [ { "dropping-particle" : "", "family" : "Hendriks", "given" : "a T W M", "non-dropping-particle" : "", "parse-names" : false, "suffix" : "" }, { "dropping-particle" : "", "family" : "Zeeman", "given" : "G", "non-dropping-particle" : "", "parse-names" : false, "suffix" : "" } ], "container-title" : "Bioresource technology", "id" : "ITEM-1", "issue" : "1", "issued" : { "date-parts" : [ [ "2009", "1" ] ] }, "page" : "10-8", "title" : "Pretreatments to enhance the digestibility of lignocellulosic biomass.", "type" : "article-journal", "volume" : "100" }, "uris" : [ "http://www.mendeley.com/documents/?uuid=9b40d30f-530a-4804-a90c-fbc5469970fc" ] }, { "id" : "ITEM-2", "itemData" : { "DOI" : "10.1016/j.fuproc.2015.06.027", "ISSN" : "03783820", "abstract" : "Biogas is one essential renewable energy source which can replace natural gas after its purification. Biogas is produced from different biomass materials though the anaerobic digestion process. Algae are considered as a feedstock for biogas production, which does not compete with food production and does not need large areas of arable land and fresh water resources. In order to improve the biogas production, pre-treatment techniques have been investigated to disrupt the structure of algae increasing the availability of substrates. In this paper, a review of these pre-treatment methods is presented. Pre-treatment methods are categorised into mechanical, ultrasound and micro-wave, thermal, chemical, biological and combined groups. The effect of the application of each of the studied techniques on the biogas yield and the energy balance is discussed. A comparison of the used techniques is carried out, and discussed.", "author" : [ { "dropping-particle" : "", "family" : "Rodriguez", "given" : "C.", "non-dropping-particle" : "", "parse-names" : false, "suffix" : "" }, { "dropping-particle" : "", "family" : "Alaswad", "given" : "A.", "non-dropping-particle" : "", "parse-names" : false, "suffix" : "" }, { "dropping-particle" : "", "family" : "Mooney", "given" : "J.", "non-dropping-particle" : "", "parse-names" : false, "suffix" : "" }, { "dropping-particle" : "", "family" : "Prescott", "given" : "T.", "non-dropping-particle" : "", "parse-names" : false, "suffix" : "" }, { "dropping-particle" : "", "family" : "Olabi", "given" : "A.G.", "non-dropping-particle" : "", "parse-names" : false, "suffix" : "" } ], "container-title" : "Fuel Processing Technology", "id" : "ITEM-2", "issued" : { "date-parts" : [ [ "2015", "6" ] ] }, "page" : "765-779", "title" : "Pre-treatment techniques used for anaerobic digestion of algae", "type" : "article-journal", "volume" : "138" }, "uris" : [ "http://www.mendeley.com/documents/?uuid=8de40fc2-df7a-4353-a652-453234f77178" ] } ], "mendeley" : { "formattedCitation" : "(Hendriks and Zeeman, 2009; Rodriguez et al., 2015)", "plainTextFormattedCitation" : "(Hendriks and Zeeman, 2009; Rodriguez et al., 2015)", "previouslyFormattedCitation" : "(Hendriks and Zeeman, 2009; Rodriguez et al., 2015)" }, "properties" : { "noteIndex" : 0 }, "schema" : "https://github.com/citation-style-language/schema/raw/master/csl-citation.json" }</w:instrText>
      </w:r>
      <w:r w:rsidR="00515320" w:rsidRPr="00B45AA9">
        <w:rPr>
          <w:rFonts w:eastAsia="Arial Unicode MS" w:cs="Arial Unicode MS"/>
          <w:szCs w:val="20"/>
        </w:rPr>
        <w:fldChar w:fldCharType="separate"/>
      </w:r>
      <w:r w:rsidR="00211CB2" w:rsidRPr="00211CB2">
        <w:rPr>
          <w:rFonts w:eastAsia="Arial Unicode MS" w:cs="Arial Unicode MS"/>
          <w:noProof/>
          <w:szCs w:val="20"/>
        </w:rPr>
        <w:t>(Hendriks and Zeeman, 2009; Rodriguez et al., 2015)</w:t>
      </w:r>
      <w:r w:rsidR="00515320" w:rsidRPr="00B45AA9">
        <w:rPr>
          <w:rFonts w:eastAsia="Arial Unicode MS" w:cs="Arial Unicode MS"/>
          <w:szCs w:val="20"/>
        </w:rPr>
        <w:fldChar w:fldCharType="end"/>
      </w:r>
      <w:r w:rsidR="00515320" w:rsidRPr="00B45AA9">
        <w:rPr>
          <w:rFonts w:eastAsia="Arial Unicode MS" w:cs="Arial Unicode MS"/>
          <w:szCs w:val="20"/>
        </w:rPr>
        <w:t xml:space="preserve">. </w:t>
      </w:r>
      <w:r w:rsidR="009764D4" w:rsidRPr="00B45AA9">
        <w:rPr>
          <w:rFonts w:eastAsia="Arial Unicode MS" w:cs="Arial Unicode MS"/>
          <w:szCs w:val="20"/>
        </w:rPr>
        <w:t xml:space="preserve">Mechanical, </w:t>
      </w:r>
      <w:r w:rsidR="00864587" w:rsidRPr="00B45AA9">
        <w:rPr>
          <w:rFonts w:eastAsia="Arial Unicode MS" w:cs="Arial Unicode MS"/>
          <w:szCs w:val="20"/>
        </w:rPr>
        <w:t>ultrasounds, microwave, thermal, chemical and biological are</w:t>
      </w:r>
      <w:r w:rsidR="00515320" w:rsidRPr="00B45AA9">
        <w:rPr>
          <w:rFonts w:eastAsia="Arial Unicode MS" w:cs="Arial Unicode MS"/>
          <w:szCs w:val="20"/>
        </w:rPr>
        <w:t xml:space="preserve"> the main pretreatment methods applied</w:t>
      </w:r>
      <w:r w:rsidR="00115CEB">
        <w:rPr>
          <w:rFonts w:eastAsia="Arial Unicode MS" w:cs="Arial Unicode MS"/>
          <w:szCs w:val="20"/>
        </w:rPr>
        <w:t xml:space="preserve"> </w:t>
      </w:r>
      <w:r w:rsidR="00115CEB">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"10.1016/j.rser.2016.02.022", "ISSN" : "18790690", "abstract" : "Grass is being considered as a potential feedstock for biogas production, due to its low water consumption compared to other crops, and the fact that it can be cultivated in non-arable lands, avoiding the direct competition with food crops. However, biogas production is limited by the characteristics of the feedstock; in particular its complex lignocellulosic structure. Hence, different pretreatment methods are being investigated for grass structure disruption before undergoing the anaerobic digestion process. The aim of this paper is to review current knowledge on pretreatment techniques used for grassland biomass. Pretreatment techniques were categorized into mechanical, microwave, thermal, chemical and biological groups. The effect of the application of each studied methods on the biogas yield and on the energy balance is discussed. A further comparison between the covered techniques was revealed.", "author" : [ { "dropping-particle" : "", "family" : "Rodriguez", "given" : "Cristina", "non-dropping-particle" : "", "parse-names" : false, "suffix" : "" }, { "dropping-particle" : "", "family" : "Alaswad", "given" : "A.", "non-dropping-particle" : "", "parse-names" : false, "suffix" : "" }, { "dropping-particle" : "", "family" : "Benyounis", "given" : "K. Y.", "non-dropping-particle" : "", "parse-names" : false, "suffix" : "" }, { "dropping-particle" : "", "family" : "Olabi", "given" : "A. G.", "non-dropping-particle" : "", "parse-names" : false, "suffix" : "" } ], "container-title" : "Renewable and Sustainable Energy Reviews", "id" : "ITEM-1", "issue" : "2", "issued" : { "date-parts" : [ [ "2016" ] ] }, "page" : "1193-1204", "title" : "Pretreatment techniques used in biogas production from grass", "type" : "article-journal", "volume" : "68" }, "uris" : [ "http://www.mendeley.com/documents/?uuid=a7e3f223-d2fe-33f1-8916-83acc5b5496d" ] }, { "id" : "ITEM-2", "itemData" : { "DOI" : "ISSN 1847-7178", "abstract" : "The anaerobic digestion of algal biomass is restricted by its complex lignocellulosic structure. In order to reduce the feedstock particle size and to increase the biomass\u2019 specific surface area available to the microorganisms, this paper investigates the mechanical pretreatment effect on the anaerobic digestion process of P. canaliculata seaweeds using the response surface methodology (RSM). Results show that a 60 mins of mechanical pre-treatment has resulted in 74% improvement of methane yield compared with the methane yield obtained from untreated algae. A multi-objective optimization study was carried out with the aim of maximizing the methane yield while minimizing the pretreatment cost. The optimal solution was achieved at 50 min of pretreatment where the net energy at this point was found 2.49 Wh/gVS, a value 28% higher than for untreated algae", "author" : [ { "dropping-particle" : "", "family" : "Rodriguez", "given" : "C.", "non-dropping-particle" : "", "parse-names" : false, "suffix" : "" }, { "dropping-particle" : "", "family" : "Alaswad", "given" : "A.", "non-dropping-particle" : "", "parse-names" : false, "suffix" : "" }, { "dropping-particle" : "", "family" : "El-Hassan", "given" : "Z.", "non-dropping-particle" : "", "parse-names" : false, "suffix" : "" }, { "dropping-particle" : "", "family" : "Olabi", "given" : "A.", "non-dropping-particle" : "", "parse-names" : false, "suffix" : "" } ], "container-title" : "11th Conference on Sustainable Development of Energy, Water and Environment Systems, SDEWES", "editor" : [ { "dropping-particle" : "", "family" : "Ban", "given" : "Marco", "non-dropping-particle" : "", "parse-names" : false, "suffix" : "" }, { "dropping-particle" : "", "family" : "Dui\u0107", "given" : "Neven", "non-dropping-particle" : "", "parse-names" : false, "suffix" : "" }, { "dropping-particle" : "", "family" : "Costa", "given" : "Mario", "non-dropping-particle" : "", "parse-names" : false, "suffix" : "" }, { "dropping-particle" : "", "family" : "Schneider", "given" : "Daniel Rolph", "non-dropping-particle" : "", "parse-names" : false, "suffix" : "" }, { "dropping-particle" : "", "family" : "Guzovi\u0107", "given" : "Zvonimir", "non-dropping-particle" : "", "parse-names" : false, "suffix" : "" } ], "id" : "ITEM-2", "issued" : { "date-parts" : [ [ "2016" ] ] }, "page" : "0679 1-12", "publisher" : "Faculty of Mechanical Engineering and Naval Architecture, Zagreb", "publisher-place" : "Lisbon", "title" : "Optimization of the anaerobic digestion process of mechanically pretreated algae", "type" : "paper-conference" }, "uris" : [ "http://www.mendeley.com/documents/?uuid=c7dddef0-37e5-4396-be5e-962371ac1e8b" ] } ], "mendeley" : { "formattedCitation" : "(C. Rodriguez et al., 2016; Cristina Rodriguez et al., 2016)", "plainTextFormattedCitation" : "(C. Rodriguez et al., 2016; Cristina Rodriguez et al., 2016)", "previouslyFormattedCitation" : "(C. Rodriguez et al., 2016; Cristina Rodriguez et al., 2016)" }, "properties" : { "noteIndex" : 0 }, "schema" : "https://github.com/citation-style-language/schema/raw/master/csl-citation.json" }</w:instrText>
      </w:r>
      <w:r w:rsidR="00115CEB">
        <w:rPr>
          <w:rFonts w:eastAsia="Arial Unicode MS" w:cs="Arial Unicode MS"/>
          <w:szCs w:val="20"/>
        </w:rPr>
        <w:fldChar w:fldCharType="separate"/>
      </w:r>
      <w:r w:rsidR="00211CB2" w:rsidRPr="00211CB2">
        <w:rPr>
          <w:rFonts w:eastAsia="Arial Unicode MS" w:cs="Arial Unicode MS"/>
          <w:noProof/>
          <w:szCs w:val="20"/>
        </w:rPr>
        <w:t>(C. Rodriguez et al., 2016; Cristina Rodriguez et al., 2016)</w:t>
      </w:r>
      <w:r w:rsidR="00115CEB">
        <w:rPr>
          <w:rFonts w:eastAsia="Arial Unicode MS" w:cs="Arial Unicode MS"/>
          <w:szCs w:val="20"/>
        </w:rPr>
        <w:fldChar w:fldCharType="end"/>
      </w:r>
      <w:r w:rsidR="00515320" w:rsidRPr="00B45AA9">
        <w:rPr>
          <w:rFonts w:eastAsia="Arial Unicode MS" w:cs="Arial Unicode MS"/>
          <w:szCs w:val="20"/>
        </w:rPr>
        <w:t>.</w:t>
      </w:r>
      <w:r w:rsidR="00254076">
        <w:rPr>
          <w:rFonts w:eastAsia="Arial Unicode MS" w:cs="Arial Unicode MS"/>
          <w:szCs w:val="20"/>
        </w:rPr>
        <w:t xml:space="preserve"> Mechanical techniques are the most efficient pretreatment for biomass with complex structures</w:t>
      </w:r>
      <w:r w:rsidR="00840C5D">
        <w:rPr>
          <w:rFonts w:eastAsia="Arial Unicode MS" w:cs="Arial Unicode MS"/>
          <w:szCs w:val="20"/>
        </w:rPr>
        <w:t>, milling sisal fibres up to 2mm of particle size improved the methane yield by 23%</w:t>
      </w:r>
      <w:r w:rsidR="007633B9">
        <w:rPr>
          <w:rFonts w:eastAsia="Arial Unicode MS" w:cs="Arial Unicode MS"/>
          <w:szCs w:val="20"/>
        </w:rPr>
        <w:t xml:space="preserve"> </w:t>
      </w:r>
      <w:r w:rsidR="007633B9">
        <w:rPr>
          <w:rFonts w:eastAsia="Arial Unicode MS" w:cs="Arial Unicode MS"/>
          <w:szCs w:val="20"/>
        </w:rPr>
        <w:fldChar w:fldCharType="begin" w:fldLock="1"/>
      </w:r>
      <w:r w:rsidR="007633B9">
        <w:rPr>
          <w:rFonts w:eastAsia="Arial Unicode MS" w:cs="Arial Unicode MS"/>
          <w:szCs w:val="20"/>
        </w:rPr>
        <w:instrText>ADDIN CSL_CITATION { "citationItems" : [ { "id" : "ITEM-1", "itemData" : { "DOI" : "10.1016/j.renene.2005.10.015", "ISSN" : "09601481", "abstract" : "The degradation and biogas production potential of sisal fibre waste could be significantly increased by pre-treatment for reduction of particle size. Batch-wise anaerobic digestion of sisal fibre waste was carried out in 1-l digesters with fibre sizes ranging from 2 to 100mm, at an ambient temperature of 33\u00b0C. Sediment from a stabilisation pond at a sisal production plant was used as starter seed. Total fibre degradation increased from 31% to 70% for the 2mm fibres, compared to untreated sisal fibres. Furthermore, the results confirmed that methane yield was inversely proportional to particle size. Methane yield increased by 23% when the fibres were cut to 2mm size and was 0.22m3 CH4/kg volatile solids, compared to 0.18m3 CH4/kg volatile solids for untreated fibres. By anaerobic digestion and biogas production, the 148,000tonne of waste sisal fibres generated annually in Tanzania could yield 22millionm3 of methane, and an additional 5millionm3 of methane if pre-treatment by size reduction to 2mm was applied.", "author" : [ { "dropping-particle" : "", "family" : "Mshandete", "given" : "Anthony", "non-dropping-particle" : "", "parse-names" : false, "suffix" : "" }, { "dropping-particle" : "", "family" : "Bj\u00f6rnsson", "given" : "Lovisa", "non-dropping-particle" : "", "parse-names" : false, "suffix" : "" }, { "dropping-particle" : "", "family" : "Kivaisi", "given" : "Amelia K.", "non-dropping-particle" : "", "parse-names" : false, "suffix" : "" }, { "dropping-particle" : "", "family" : "Rubindamayugi", "given" : "M.S.T.", "non-dropping-particle" : "", "parse-names" : false, "suffix" : "" }, { "dropping-particle" : "", "family" : "Mattiasson", "given" : "Bo", "non-dropping-particle" : "", "parse-names" : false, "suffix" : "" } ], "container-title" : "Renewable Energy", "id" : "ITEM-1", "issue" : "14", "issued" : { "date-parts" : [ [ "2006", "11" ] ] }, "page" : "2385-2392", "title" : "Effect of particle size on biogas yield from sisal fibre waste", "type" : "article-journal", "volume" : "31" }, "uris" : [ "http://www.mendeley.com/documents/?uuid=a5f4f92e-656a-44d5-8569-e2b1253a9975" ] } ], "mendeley" : { "formattedCitation" : "(Mshandete et al., 2006)", "plainTextFormattedCitation" : "(Mshandete et al., 2006)", "previouslyFormattedCitation" : "(Mshandete et al., 2006)" }, "properties" : { "noteIndex" : 0 }, "schema" : "https://github.com/citation-style-language/schema/raw/master/csl-citation.json" }</w:instrText>
      </w:r>
      <w:r w:rsidR="007633B9">
        <w:rPr>
          <w:rFonts w:eastAsia="Arial Unicode MS" w:cs="Arial Unicode MS"/>
          <w:szCs w:val="20"/>
        </w:rPr>
        <w:fldChar w:fldCharType="separate"/>
      </w:r>
      <w:r w:rsidR="007633B9" w:rsidRPr="007633B9">
        <w:rPr>
          <w:rFonts w:eastAsia="Arial Unicode MS" w:cs="Arial Unicode MS"/>
          <w:noProof/>
          <w:szCs w:val="20"/>
        </w:rPr>
        <w:t>(Mshandete et al., 2006)</w:t>
      </w:r>
      <w:r w:rsidR="007633B9">
        <w:rPr>
          <w:rFonts w:eastAsia="Arial Unicode MS" w:cs="Arial Unicode MS"/>
          <w:szCs w:val="20"/>
        </w:rPr>
        <w:fldChar w:fldCharType="end"/>
      </w:r>
      <w:r w:rsidR="007633B9">
        <w:rPr>
          <w:rFonts w:eastAsia="Arial Unicode MS" w:cs="Arial Unicode MS"/>
          <w:szCs w:val="20"/>
        </w:rPr>
        <w:t>, the use of two</w:t>
      </w:r>
      <w:r w:rsidR="007633B9" w:rsidRPr="007633B9">
        <w:rPr>
          <w:rFonts w:eastAsia="Arial Unicode MS" w:cs="Arial Unicode MS"/>
          <w:szCs w:val="20"/>
        </w:rPr>
        <w:t xml:space="preserve"> commercially available heavy plates,</w:t>
      </w:r>
      <w:r w:rsidR="007633B9">
        <w:rPr>
          <w:rFonts w:eastAsia="Arial Unicode MS" w:cs="Arial Unicode MS"/>
          <w:szCs w:val="20"/>
        </w:rPr>
        <w:t xml:space="preserve"> </w:t>
      </w:r>
      <w:r w:rsidR="007633B9" w:rsidRPr="007633B9">
        <w:rPr>
          <w:rFonts w:eastAsia="Arial Unicode MS" w:cs="Arial Unicode MS"/>
          <w:szCs w:val="20"/>
        </w:rPr>
        <w:t xml:space="preserve">resulted in 25% increase in the methane yield </w:t>
      </w:r>
      <w:r w:rsidR="007633B9">
        <w:rPr>
          <w:rFonts w:eastAsia="Arial Unicode MS" w:cs="Arial Unicode MS"/>
          <w:szCs w:val="20"/>
        </w:rPr>
        <w:t xml:space="preserve">of </w:t>
      </w:r>
      <w:r w:rsidR="007633B9" w:rsidRPr="007633B9">
        <w:rPr>
          <w:rFonts w:eastAsia="Arial Unicode MS" w:cs="Arial Unicode MS"/>
          <w:szCs w:val="20"/>
        </w:rPr>
        <w:t>ensiled meadow grass compared to the untreated</w:t>
      </w:r>
      <w:r w:rsidR="007633B9">
        <w:rPr>
          <w:rFonts w:eastAsia="Arial Unicode MS" w:cs="Arial Unicode MS"/>
          <w:szCs w:val="20"/>
        </w:rPr>
        <w:t xml:space="preserve"> feedstock </w:t>
      </w:r>
      <w:r w:rsidR="007633B9">
        <w:rPr>
          <w:rFonts w:eastAsia="Arial Unicode MS" w:cs="Arial Unicode MS"/>
          <w:szCs w:val="20"/>
        </w:rPr>
        <w:fldChar w:fldCharType="begin" w:fldLock="1"/>
      </w:r>
      <w:r w:rsidR="005D7A60">
        <w:rPr>
          <w:rFonts w:eastAsia="Arial Unicode MS" w:cs="Arial Unicode MS"/>
          <w:szCs w:val="20"/>
        </w:rPr>
        <w:instrText>ADDIN CSL_CITATION { "citationItems" : [ { "id" : "ITEM-1", "itemData" : { "DOI" : "10.1016/j.biortech.2015.02.025", "ISSN" : "1873-2976", "PMID" : "25710572", "abstract" : "As the biogas sector is rapidly expanding, there is an increasing need in finding new alternative feedstock to biogas plants. Meadow grass can be a suitable co-substrate and if ensiled it can be supplied to biogas plants continuously throughout the year. Nevertheless, this substrate is quite recalcitrant and therefore efficient pretreatment is needed to permit easy access of microbes to the degradable components. In this study, different mechanical pretreatment methods were applied on ensiled meadow grass to investigate their effect on biomass biodegradability. All the tested pretreatments increased the methane productivity and the increase ranged from 8% to 25%. The best mechanical pretreatment was the usage of two coarse mesh grating plates. Additionally, simple analytical methods were conducted to investigate the possibility of rapidly determining the methane yield of meadow grass. Among the methods, electrical conductivity test showed the most promising calibration statistics (R(2)=0.68).", "author" : [ { "dropping-particle" : "", "family" : "Tsapekos", "given" : "P", "non-dropping-particle" : "", "parse-names" : false, "suffix" : "" }, { "dropping-particle" : "", "family" : "Kougias", "given" : "P G", "non-dropping-particle" : "", "parse-names" : false, "suffix" : "" }, { "dropping-particle" : "", "family" : "Angelidaki", "given" : "I", "non-dropping-particle" : "", "parse-names" : false, "suffix" : "" } ], "container-title" : "Bioresource technology", "id" : "ITEM-1", "issued" : { "date-parts" : [ [ "2015", "2", "13" ] ] }, "page" : "329-335", "title" : "Biogas production from ensiled meadow grass; effect of mechanical pretreatments and rapid determination of substrate biodegradability via physicochemical methods.", "type" : "article-journal", "volume" : "182C" }, "uris" : [ "http://www.mendeley.com/documents/?uuid=6de6d377-aadb-490b-81ce-d587412e0a10" ] } ], "mendeley" : { "formattedCitation" : "(Tsapekos et al., 2015)", "plainTextFormattedCitation" : "(Tsapekos et al., 2015)", "previouslyFormattedCitation" : "(Tsapekos et al., 2015)" }, "properties" : { "noteIndex" : 0 }, "schema" : "https://github.com/citation-style-language/schema/raw/master/csl-citation.json" }</w:instrText>
      </w:r>
      <w:r w:rsidR="007633B9">
        <w:rPr>
          <w:rFonts w:eastAsia="Arial Unicode MS" w:cs="Arial Unicode MS"/>
          <w:szCs w:val="20"/>
        </w:rPr>
        <w:fldChar w:fldCharType="separate"/>
      </w:r>
      <w:r w:rsidR="007633B9" w:rsidRPr="007633B9">
        <w:rPr>
          <w:rFonts w:eastAsia="Arial Unicode MS" w:cs="Arial Unicode MS"/>
          <w:noProof/>
          <w:szCs w:val="20"/>
        </w:rPr>
        <w:t>(Tsapekos et al., 2015)</w:t>
      </w:r>
      <w:r w:rsidR="007633B9">
        <w:rPr>
          <w:rFonts w:eastAsia="Arial Unicode MS" w:cs="Arial Unicode MS"/>
          <w:szCs w:val="20"/>
        </w:rPr>
        <w:fldChar w:fldCharType="end"/>
      </w:r>
      <w:r w:rsidR="007633B9">
        <w:rPr>
          <w:rFonts w:eastAsia="Arial Unicode MS" w:cs="Arial Unicode MS"/>
          <w:szCs w:val="20"/>
        </w:rPr>
        <w:t xml:space="preserve">. </w:t>
      </w:r>
      <w:r w:rsidR="005D7A60">
        <w:rPr>
          <w:rFonts w:ascii="Arial" w:hAnsi="Arial" w:cs="Arial"/>
          <w:color w:val="2E2E2E"/>
          <w:shd w:val="clear" w:color="auto" w:fill="FFFFFF"/>
        </w:rPr>
        <w:t xml:space="preserve">Mechanically milled rice straw achieved a 85% extra methane than untreated material </w:t>
      </w:r>
      <w:r w:rsidR="005D7A60">
        <w:rPr>
          <w:rFonts w:ascii="Arial" w:hAnsi="Arial" w:cs="Arial"/>
          <w:color w:val="2E2E2E"/>
          <w:shd w:val="clear" w:color="auto" w:fill="FFFFFF"/>
        </w:rPr>
        <w:fldChar w:fldCharType="begin" w:fldLock="1"/>
      </w:r>
      <w:r w:rsidR="00457AB0">
        <w:rPr>
          <w:rFonts w:ascii="Arial" w:hAnsi="Arial" w:cs="Arial"/>
          <w:color w:val="2E2E2E"/>
          <w:shd w:val="clear" w:color="auto" w:fill="FFFFFF"/>
        </w:rPr>
        <w:instrText>ADDIN CSL_CITATION { "citationItems" : [ { "id" : "ITEM-1", "itemData" : { "DOI" : "10.1016/j.biortech.2016.06.029", "ISSN" : "09608524", "abstract" : "Rice straw was mechanically milled using a process consuming 1.9MJ/kg-biomass, and 10g/L of unmilled or milled rice straw was used as the carbon source for methane fermentation in a digester containing carbon fiber textile as the supporting material. Milling increased methane production from 226 to 419mL/L/day at an organic loading rate of 2180mg-dichromate chemical oxygen demand/L/day, corresponding to 260mLCH4/gVS. Storage of the fermentation effluent at room temperature decreased the weight of the milled rice straw residue from 3.81 to 1.00g/L. The supernatant of the effluent was subjected to nanofiltration. The black concentrates deposited on the nanofiltration membranes contained 53.0\u201357.9% lignin. Solution nuclear magnetic resonance showed that lignin aromatic components such as p-hydroxyphenyl (H), guaiacyl (G), and syringyl (S) were retained primarily, and major lignin interunit structures such as the \u03b2\u2013O\u20134-H/G unit were absent. This combinational process will aid the complete utilization of rice straw.", "author" : [ { "dropping-particle" : "", "family" : "Sasaki", "given" : "Kengo", "non-dropping-particle" : "", "parse-names" : false, "suffix" : "" }, { "dropping-particle" : "", "family" : "Okamoto", "given" : "Mami", "non-dropping-particle" : "", "parse-names" : false, "suffix" : "" }, { "dropping-particle" : "", "family" : "Shirai", "given" : "Tomokazu", "non-dropping-particle" : "", "parse-names" : false, "suffix" : "" }, { "dropping-particle" : "", "family" : "Tsuge", "given" : "Yota", "non-dropping-particle" : "", "parse-names" : false, "suffix" : "" }, { "dropping-particle" : "", "family" : "Fujino", "given" : "Ayami", "non-dropping-particle" : "", "parse-names" : false, "suffix" : "" }, { "dropping-particle" : "", "family" : "Sasaki", "given" : "Daisuke", "non-dropping-particle" : "", "parse-names" : false, "suffix" : "" }, { "dropping-particle" : "", "family" : "Morita", "given" : "Masahiko", "non-dropping-particle" : "", "parse-names" : false, "suffix" : "" }, { "dropping-particle" : "", "family" : "Matsuda", "given" : "Fumio", "non-dropping-particle" : "", "parse-names" : false, "suffix" : "" }, { "dropping-particle" : "", "family" : "Kikuchi", "given" : "Jun", "non-dropping-particle" : "", "parse-names" : false, "suffix" : "" }, { "dropping-particle" : "", "family" : "Kondo", "given" : "Akihiko", "non-dropping-particle" : "", "parse-names" : false, "suffix" : "" } ], "container-title" : "Bioresource Technology", "id" : "ITEM-1", "issued" : { "date-parts" : [ [ "2016" ] ] }, "page" : "830-837", "title" : "Toward the complete utilization of rice straw: Methane fermentation and lignin recovery by a combinational process involving mechanical milling, supporting material and nanofiltration", "type" : "article-journal", "volume" : "216" }, "uris" : [ "http://www.mendeley.com/documents/?uuid=1398730d-d2dc-3018-b099-237a727bc399" ] } ], "mendeley" : { "formattedCitation" : "(Sasaki et al., 2016)", "plainTextFormattedCitation" : "(Sasaki et al., 2016)", "previouslyFormattedCitation" : "(Sasaki et al., 2016)" }, "properties" : { "noteIndex" : 0 }, "schema" : "https://github.com/citation-style-language/schema/raw/master/csl-citation.json" }</w:instrText>
      </w:r>
      <w:r w:rsidR="005D7A60">
        <w:rPr>
          <w:rFonts w:ascii="Arial" w:hAnsi="Arial" w:cs="Arial"/>
          <w:color w:val="2E2E2E"/>
          <w:shd w:val="clear" w:color="auto" w:fill="FFFFFF"/>
        </w:rPr>
        <w:fldChar w:fldCharType="separate"/>
      </w:r>
      <w:r w:rsidR="005D7A60" w:rsidRPr="005D7A60">
        <w:rPr>
          <w:rFonts w:ascii="Arial" w:hAnsi="Arial" w:cs="Arial"/>
          <w:noProof/>
          <w:color w:val="2E2E2E"/>
          <w:shd w:val="clear" w:color="auto" w:fill="FFFFFF"/>
        </w:rPr>
        <w:t>(Sasaki et al., 2016)</w:t>
      </w:r>
      <w:r w:rsidR="005D7A60">
        <w:rPr>
          <w:rFonts w:ascii="Arial" w:hAnsi="Arial" w:cs="Arial"/>
          <w:color w:val="2E2E2E"/>
          <w:shd w:val="clear" w:color="auto" w:fill="FFFFFF"/>
        </w:rPr>
        <w:fldChar w:fldCharType="end"/>
      </w:r>
      <w:r w:rsidR="005D7A60">
        <w:rPr>
          <w:rFonts w:ascii="Arial" w:hAnsi="Arial" w:cs="Arial"/>
          <w:color w:val="2E2E2E"/>
          <w:shd w:val="clear" w:color="auto" w:fill="FFFFFF"/>
        </w:rPr>
        <w:t>.</w:t>
      </w:r>
      <w:r w:rsidR="005D7A60">
        <w:t xml:space="preserve"> </w:t>
      </w:r>
      <w:r w:rsidR="00840C5D">
        <w:t xml:space="preserve">Beating pretreatment with a Hollander beater for 15 min improved the biogas yield of macroalgaes </w:t>
      </w:r>
      <w:r w:rsidR="00840C5D" w:rsidRPr="00AD373B">
        <w:t>Laminaria sp.</w:t>
      </w:r>
      <w:r w:rsidR="00840C5D">
        <w:t xml:space="preserve"> by 36% and Ascophyllum nodosum by 26% </w:t>
      </w:r>
      <w:r w:rsidR="00840C5D">
        <w:fldChar w:fldCharType="begin" w:fldLock="1"/>
      </w:r>
      <w:r w:rsidR="00A8001A">
        <w:instrText>ADDIN CSL_CITATION { "citationItems" : [ { "id" : "ITEM-1", "itemData" : { "DOI" : "10.1016/j.enconman.2015.11.008", "ISSN" : "01968904", "abstract" : "The objective of this study was to evaluate the effect of beating (BT), ball milling (BM) and microwave pretreatment (MW) on the conversion of the macroalgae Laminaria spp. into biogas by anaerobic digestion (AD). The AD was carried out in batch at 38\u00b11\u00b0C, over an incubation time of 25days. After 3days of digestion the BT pretreated samples yielded the best result by achieving a methane increase of up to 37% with respect to the raw seaweed. At 25days, both BM and MW pretreatment lowered the methane yield with respect to the raw seaweed. Since BT produced higher methane yields with respect to the untreated sample, it was considered for energy balance analysis. After 3days of digestion, the BT resulted in an energy gain of 28%, while at the end of digestion the break-even point was reached.", "author" : [ { "dropping-particle" : "", "family" : "Montingelli", "given" : "M.E.", "non-dropping-particle" : "", "parse-names" : false, "suffix" : "" }, { "dropping-particle" : "", "family" : "Benyounis", "given" : "K.Y.", "non-dropping-particle" : "", "parse-names" : false, "suffix" : "" }, { "dropping-particle" : "", "family" : "Stokes", "given" : "J.", "non-dropping-particle" : "", "parse-names" : false, "suffix" : "" }, { "dropping-particle" : "", "family" : "Olabi", "given" : "A.G.", "non-dropping-particle" : "", "parse-names" : false, "suffix" : "" } ], "container-title" : "Energy Conversion and Management", "id" : "ITEM-1", "issued" : { "date-parts" : [ [ "2016" ] ] }, "page" : "202-209", "title" : "Pretreatment of macroalgal biomass for biogas production", "type" : "article-journal", "volume" : "108" }, "uris" : [ "http://www.mendeley.com/documents/?uuid=4f68c26e-adcc-3747-8e69-7277d6c33506" ] }, { "id" : "ITEM-2", "itemData" : { "DOI" : "10.1016/j.energy.2016.10.132", "ISSN" : "03605442", "abstract" : "The European Commission opened a discussion about limiting first generation food based biofuels in favour of advanced biofuels. The main reason was to limit the uncertainty in estimates of indirect land use change emissions (ILUC) of food based biofuels. Brown seaweeds represent a valuable solution. The lack of lignin makes them suitable for degradation processes such as anaerobic digestion (AD). The main output of AD is biogas which can be upgraded to biomethane and used as a transport fuel. The most common Irish brown seaweeds namely Laminaria sp. and Ascophyllum nodosum were subject to AD. The effects of beating pretreatment time (5\u201310\u201315\u00a0min) and changes in the seaweeds volatile solids (VS) concentration (1\u20132.5\u20134%) on methane production were investigated through a response surface methodology (RSM). Laminaria sp. showed the highest methane yield of 240\u00a0ml\u00a0CH4\u00a0g\u22121 VS when the pretreatment time was set at 15\u00a0min and at VS concentration of 2.5%. In the case of Ascophyllum nodosum, the best yield of 169\u00a0mL\u00a0CH4\u00a0g\u22121 VS was found at the longest pretreatment time tested and at the minimum concentration of VS. The RSM analysis revealed that the VS concentration had the strongest impact on the methane yield.", "author" : [ { "dropping-particle" : "", "family" : "Montingelli", "given" : "M.E.", "non-dropping-particle" : "", "parse-names" : false, "suffix" : "" }, { "dropping-particle" : "", "family" : "Benyounis", "given" : "K.Y.", "non-dropping-particle" : "", "parse-names" : false, "suffix" : "" }, { "dropping-particle" : "", "family" : "Quilty", "given" : "B.", "non-dropping-particle" : "", "parse-names" : false, "suffix" : "" }, { "dropping-particle" : "", "family" : "Stokes", "given" : "J.", "non-dropping-particle" : "", "parse-names" : false, "suffix" : "" }, { "dropping-particle" : "", "family" : "Olabi", "given" : "A.G.", "non-dropping-particle" : "", "parse-names" : false, "suffix" : "" } ], "container-title" : "Energy", "id" : "ITEM-2", "issued" : { "date-parts" : [ [ "2017" ] ] }, "page" : "1079-1089", "title" : "Influence of mechanical pretreatment and organic concentration of Irish brown seaweed for methane production", "type" : "article-journal", "volume" : "118" }, "uris" : [ "http://www.mendeley.com/documents/?uuid=4888977e-c1d2-3337-b7fd-af6f896ef171" ] } ], "mendeley" : { "formattedCitation" : "(M.E. Montingelli et al., 2016; Montingelli et al., 2017)", "plainTextFormattedCitation" : "(M.E. Montingelli et al., 2016; Montingelli et al., 2017)", "previouslyFormattedCitation" : "(M.E. Montingelli et al., 2016a, 2016b)" }, "properties" : { "noteIndex" : 0 }, "schema" : "https://github.com/citation-style-language/schema/raw/master/csl-citation.json" }</w:instrText>
      </w:r>
      <w:r w:rsidR="00840C5D">
        <w:fldChar w:fldCharType="separate"/>
      </w:r>
      <w:r w:rsidR="00A8001A" w:rsidRPr="00A8001A">
        <w:rPr>
          <w:noProof/>
        </w:rPr>
        <w:t>(M.E. Montingelli et al., 2016; Montingelli et al., 2017)</w:t>
      </w:r>
      <w:r w:rsidR="00840C5D">
        <w:fldChar w:fldCharType="end"/>
      </w:r>
      <w:r w:rsidR="00840C5D">
        <w:t>.</w:t>
      </w:r>
    </w:p>
    <w:p w14:paraId="3EED3C99" w14:textId="6A42A073" w:rsidR="00515320" w:rsidRPr="00B45AA9" w:rsidRDefault="0013554A" w:rsidP="00B23FCF">
      <w:pPr>
        <w:spacing w:before="240" w:line="276" w:lineRule="auto"/>
        <w:rPr>
          <w:rFonts w:eastAsia="Arial Unicode MS" w:cs="Arial Unicode MS"/>
          <w:szCs w:val="20"/>
        </w:rPr>
      </w:pPr>
      <w:r w:rsidRPr="00B45AA9">
        <w:rPr>
          <w:rFonts w:eastAsia="Arial Unicode MS" w:cs="Arial Unicode MS"/>
          <w:szCs w:val="20"/>
        </w:rPr>
        <w:t>Only two pretreatment</w:t>
      </w:r>
      <w:r w:rsidR="00B23FCF">
        <w:rPr>
          <w:rFonts w:eastAsia="Arial Unicode MS" w:cs="Arial Unicode MS"/>
          <w:szCs w:val="20"/>
        </w:rPr>
        <w:t xml:space="preserve"> techniques</w:t>
      </w:r>
      <w:r w:rsidRPr="00B45AA9">
        <w:rPr>
          <w:rFonts w:eastAsia="Arial Unicode MS" w:cs="Arial Unicode MS"/>
          <w:szCs w:val="20"/>
        </w:rPr>
        <w:t xml:space="preserve"> have been </w:t>
      </w:r>
      <w:r w:rsidR="00B23FCF">
        <w:rPr>
          <w:rFonts w:eastAsia="Arial Unicode MS" w:cs="Arial Unicode MS"/>
          <w:szCs w:val="20"/>
        </w:rPr>
        <w:t>reported in the literature</w:t>
      </w:r>
      <w:r w:rsidRPr="00B45AA9">
        <w:rPr>
          <w:rFonts w:eastAsia="Arial Unicode MS" w:cs="Arial Unicode MS"/>
          <w:szCs w:val="20"/>
        </w:rPr>
        <w:t xml:space="preserve"> to improve the biodegradability of paper and cardboard: mechanical and biological. The mechanical pretreatment consisted in shred the paper and cardboard fraction of municipal solid waste before anaerobic digestion but </w:t>
      </w:r>
      <w:r w:rsidR="003D4B77">
        <w:rPr>
          <w:rFonts w:eastAsia="Arial Unicode MS" w:cs="Arial Unicode MS"/>
          <w:szCs w:val="20"/>
        </w:rPr>
        <w:t xml:space="preserve">it has </w:t>
      </w:r>
      <w:r w:rsidRPr="00B45AA9">
        <w:rPr>
          <w:rFonts w:eastAsia="Arial Unicode MS" w:cs="Arial Unicode MS"/>
          <w:szCs w:val="20"/>
        </w:rPr>
        <w:t xml:space="preserve">no significant effect on biogas yields and on kinetics </w:t>
      </w:r>
      <w:r w:rsidR="00C13CE7"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"10.1016/j.biortech.2009.07.034", "ISSN" : "1873-2976", "PMID" : "19762233", "abstract" : "Paper and cardboard stand for the major biodegradable organic fraction of most of municipal solid waste (MSW). This article aims at discussing the possible positive impact of a thin shredding of this fraction on its biodegradability under mesophilic anaerobic conditions, either for landfilling or for digestion in industrial reactors. For that purpose, BMP tests were performed on two types of paper and cardboard mixtures: one sorted from a complex landfill French MSW income, one built from source separated papers and cardboards. For both of these substrates, comparison was made between assays on large pieces of waste and assays on tiny shredded waste (powder particles of less than 1mm diameter). For the second substrate, assays at two different inoculation levels were performed. All results are discussed both in terms of maximal methane conversion yields and in terms of kinetic rates. The main conclusion is that shredding does not improve methane potential of paper and cardboard, neither the biogas production rates. This leads the authors to put forward the hypothesis that shredding does not significantly either increase enzyme accessibility to cellulose nor favor the surface bacterial colonization, although it strongly affects the macrostructure of the waste.", "author" : [ { "dropping-particle" : "", "family" : "Pommier", "given" : "S\u00e9bastien", "non-dropping-particle" : "", "parse-names" : false, "suffix" : "" }, { "dropping-particle" : "", "family" : "Llamas", "given" : "Angela Ma\u00f1as", "non-dropping-particle" : "", "parse-names" : false, "suffix" : "" }, { "dropping-particle" : "", "family" : "Lefebvre", "given" : "Xavier", "non-dropping-particle" : "", "parse-names" : false, "suffix" : "" } ], "container-title" : "Bioresource technology", "id" : "ITEM-1", "issue" : "2", "issued" : { "date-parts" : [ [ "2010", "1" ] ] }, "page" : "463-8", "title" : "Analysis of the outcome of shredding pretreatment on the anaerobic biodegradability of paper and cardboard materials.", "type" : "article-journal", "volume" : "101" }, "uris" : [ "http://www.mendeley.com/documents/?uuid=240be68a-45d5-4832-9354-bdbc2414c736" ] } ], "mendeley" : { "formattedCitation" : "(Pommier et al., 2010)", "plainTextFormattedCitation" : "(Pommier et al., 2010)", "previouslyFormattedCitation" : "(Pommier et al., 2010)" }, "properties" : { "noteIndex" : 0 }, "schema" : "https://github.com/citation-style-language/schema/raw/master/csl-citation.json" }</w:instrText>
      </w:r>
      <w:r w:rsidR="00C13CE7" w:rsidRPr="00B45AA9">
        <w:rPr>
          <w:rFonts w:eastAsia="Arial Unicode MS" w:cs="Arial Unicode MS"/>
          <w:szCs w:val="20"/>
        </w:rPr>
        <w:fldChar w:fldCharType="separate"/>
      </w:r>
      <w:r w:rsidR="00211CB2" w:rsidRPr="00211CB2">
        <w:rPr>
          <w:rFonts w:eastAsia="Arial Unicode MS" w:cs="Arial Unicode MS"/>
          <w:noProof/>
          <w:szCs w:val="20"/>
        </w:rPr>
        <w:t>(Pommier et al., 2010)</w:t>
      </w:r>
      <w:r w:rsidR="00C13CE7" w:rsidRPr="00B45AA9">
        <w:rPr>
          <w:rFonts w:eastAsia="Arial Unicode MS" w:cs="Arial Unicode MS"/>
          <w:szCs w:val="20"/>
        </w:rPr>
        <w:fldChar w:fldCharType="end"/>
      </w:r>
      <w:r w:rsidR="00F61D17">
        <w:rPr>
          <w:rFonts w:eastAsia="Arial Unicode MS" w:cs="Arial Unicode MS"/>
          <w:szCs w:val="20"/>
        </w:rPr>
        <w:t>. Better results were</w:t>
      </w:r>
      <w:r w:rsidR="00706DF4" w:rsidRPr="00B45AA9">
        <w:rPr>
          <w:rFonts w:eastAsia="Arial Unicode MS" w:cs="Arial Unicode MS"/>
          <w:szCs w:val="20"/>
        </w:rPr>
        <w:t xml:space="preserve"> obtained</w:t>
      </w:r>
      <w:r w:rsidR="001838D9">
        <w:rPr>
          <w:rFonts w:eastAsia="Arial Unicode MS" w:cs="Arial Unicode MS"/>
          <w:szCs w:val="20"/>
        </w:rPr>
        <w:t xml:space="preserve"> when filter paper, waste</w:t>
      </w:r>
      <w:r w:rsidR="00706DF4" w:rsidRPr="00B45AA9">
        <w:rPr>
          <w:rFonts w:eastAsia="Arial Unicode MS" w:cs="Arial Unicode MS"/>
          <w:szCs w:val="20"/>
        </w:rPr>
        <w:t xml:space="preserve"> paper</w:t>
      </w:r>
      <w:r w:rsidRPr="00B45AA9">
        <w:rPr>
          <w:rFonts w:eastAsia="Arial Unicode MS" w:cs="Arial Unicode MS"/>
          <w:szCs w:val="20"/>
        </w:rPr>
        <w:t>, ne</w:t>
      </w:r>
      <w:r w:rsidR="00706DF4" w:rsidRPr="00B45AA9">
        <w:rPr>
          <w:rFonts w:eastAsia="Arial Unicode MS" w:cs="Arial Unicode MS"/>
          <w:szCs w:val="20"/>
        </w:rPr>
        <w:t>wspaper and cardboard</w:t>
      </w:r>
      <w:r w:rsidRPr="00B45AA9">
        <w:rPr>
          <w:rFonts w:eastAsia="Arial Unicode MS" w:cs="Arial Unicode MS"/>
          <w:szCs w:val="20"/>
        </w:rPr>
        <w:t xml:space="preserve"> were pretreated with a thermophilic </w:t>
      </w:r>
      <w:r w:rsidR="006C2213" w:rsidRPr="00B45AA9">
        <w:rPr>
          <w:rFonts w:eastAsia="Arial Unicode MS" w:cs="Arial Unicode MS"/>
          <w:szCs w:val="20"/>
        </w:rPr>
        <w:t>cellulo</w:t>
      </w:r>
      <w:r w:rsidR="006C2213">
        <w:rPr>
          <w:rFonts w:eastAsia="Arial Unicode MS" w:cs="Arial Unicode MS"/>
          <w:szCs w:val="20"/>
        </w:rPr>
        <w:t>se-degrading</w:t>
      </w:r>
      <w:r w:rsidR="00E7263B">
        <w:rPr>
          <w:rFonts w:eastAsia="Arial Unicode MS" w:cs="Arial Unicode MS"/>
          <w:szCs w:val="20"/>
        </w:rPr>
        <w:t xml:space="preserve"> consortium (MC1). A</w:t>
      </w:r>
      <w:r w:rsidRPr="00B45AA9">
        <w:rPr>
          <w:rFonts w:eastAsia="Arial Unicode MS" w:cs="Arial Unicode MS"/>
          <w:szCs w:val="20"/>
        </w:rPr>
        <w:t xml:space="preserve">fter 55 days of anaerobic digestion, the methane yield of pretreated </w:t>
      </w:r>
      <w:r w:rsidR="001838D9">
        <w:rPr>
          <w:rFonts w:eastAsia="Arial Unicode MS" w:cs="Arial Unicode MS"/>
          <w:szCs w:val="20"/>
        </w:rPr>
        <w:t>filter paper, waste</w:t>
      </w:r>
      <w:r w:rsidR="00706DF4" w:rsidRPr="00B45AA9">
        <w:rPr>
          <w:rFonts w:eastAsia="Arial Unicode MS" w:cs="Arial Unicode MS"/>
          <w:szCs w:val="20"/>
        </w:rPr>
        <w:t xml:space="preserve"> paper, newspaper and cardboard </w:t>
      </w:r>
      <w:r w:rsidRPr="00B45AA9">
        <w:rPr>
          <w:rFonts w:eastAsia="Arial Unicode MS" w:cs="Arial Unicode MS"/>
          <w:szCs w:val="20"/>
        </w:rPr>
        <w:t>were 277, 287, 192, and 231 ml CH</w:t>
      </w:r>
      <w:r w:rsidRPr="00D33581">
        <w:rPr>
          <w:rFonts w:eastAsia="Arial Unicode MS" w:cs="Arial Unicode MS"/>
          <w:szCs w:val="20"/>
          <w:vertAlign w:val="subscript"/>
        </w:rPr>
        <w:t>4</w:t>
      </w:r>
      <w:r w:rsidRPr="00B45AA9">
        <w:rPr>
          <w:rFonts w:eastAsia="Arial Unicode MS" w:cs="Arial Unicode MS"/>
          <w:szCs w:val="20"/>
        </w:rPr>
        <w:t>/gVS respectively, with corresponding increases of</w:t>
      </w:r>
      <w:r w:rsidR="002A28FF">
        <w:rPr>
          <w:rFonts w:eastAsia="Arial Unicode MS" w:cs="Arial Unicode MS"/>
          <w:szCs w:val="20"/>
        </w:rPr>
        <w:t xml:space="preserve"> 33%, 34%, 156%, and 141</w:t>
      </w:r>
      <w:r w:rsidRPr="00B45AA9">
        <w:rPr>
          <w:rFonts w:eastAsia="Arial Unicode MS" w:cs="Arial Unicode MS"/>
          <w:szCs w:val="20"/>
        </w:rPr>
        <w:t>%</w:t>
      </w:r>
      <w:r w:rsidR="003B0957">
        <w:rPr>
          <w:rFonts w:eastAsia="Arial Unicode MS" w:cs="Arial Unicode MS"/>
          <w:szCs w:val="20"/>
        </w:rPr>
        <w:t xml:space="preserve"> </w:t>
      </w:r>
      <w:r w:rsidR="004A4BF1">
        <w:rPr>
          <w:rFonts w:eastAsia="Arial Unicode MS" w:cs="Arial Unicode MS"/>
          <w:szCs w:val="20"/>
        </w:rPr>
        <w:t xml:space="preserve">with respect to the untreated materials </w:t>
      </w:r>
      <w:r w:rsidR="003B0957"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"10.1016/j.biortech.2012.05.058", "ISSN" : "1873-2976", "PMID" : "22705535", "abstract" : "A microbial consortium MC1 was used to pretreat filter paper, office paper, newspaper, and cardboard to enhance methane production. The results of pretreatment indicated that sCOD of hydrolysates of the four substrates increased significantly in the early stage, and peaked on day 7. During pretreatment, ethanol, acetic acid, propionic acid, butyric acid, and glycerol were the predominant volatile organic products in hydrolysates. MC1 had strong degradation ability on the four substrates, and the weight loss of filter paper, office paper, newspaper, and cardboard reached 78.3%, 80.5%, 39.7%, and 49.7%, respectively. The results of anaerobic digestion showed that methane production yields and rates of the four substrates significantly increased after pretreatment. This study is the first attempt to explore the microbial pretreatment method for anaerobic digestion of waste paper and cardboard. Microbial consortium pretreatment could be an effective method for enhancing methane production of waste paper and cardboard into bioenergy.", "author" : [ { "dropping-particle" : "", "family" : "Yuan", "given" : "Xufeng", "non-dropping-particle" : "", "parse-names" : false, "suffix" : "" }, { "dropping-particle" : "", "family" : "Cao", "given" : "Yanzhuan", "non-dropping-particle" : "", "parse-names" : false, "suffix" : "" }, { "dropping-particle" : "", "family" : "Li", "given" : "Jiajia", "non-dropping-particle" : "", "parse-names" : false, "suffix" : "" }, { "dropping-particle" : "", "family" : "Wen", "given" : "Boting", "non-dropping-particle" : "", "parse-names" : false, "suffix" : "" }, { "dropping-particle" : "", "family" : "Zhu", "given" : "Wanbin", "non-dropping-particle" : "", "parse-names" : false, "suffix" : "" }, { "dropping-particle" : "", "family" : "Wang", "given" : "Xiaofen", "non-dropping-particle" : "", "parse-names" : false, "suffix" : "" }, { "dropping-particle" : "", "family" : "Cui", "given" : "Zongjun", "non-dropping-particle" : "", "parse-names" : false, "suffix" : "" } ], "container-title" : "Bioresource technology", "id" : "ITEM-1", "issued" : { "date-parts" : [ [ "2012", "8" ] ] }, "page" : "281-8", "title" : "Effect of pretreatment by a microbial consortium on methane production of waste paper and cardboard.", "type" : "article-journal", "volume" : "118" }, "uris" : [ "http://www.mendeley.com/documents/?uuid=07bd0604-05ee-4305-86ad-6b5c201f1b42" ] } ], "mendeley" : { "formattedCitation" : "(Yuan et al., 2012)", "plainTextFormattedCitation" : "(Yuan et al., 2012)", "previouslyFormattedCitation" : "(Yuan et al., 2012)" }, "properties" : { "noteIndex" : 0 }, "schema" : "https://github.com/citation-style-language/schema/raw/master/csl-citation.json" }</w:instrText>
      </w:r>
      <w:r w:rsidR="003B0957" w:rsidRPr="00B45AA9">
        <w:rPr>
          <w:rFonts w:eastAsia="Arial Unicode MS" w:cs="Arial Unicode MS"/>
          <w:szCs w:val="20"/>
        </w:rPr>
        <w:fldChar w:fldCharType="separate"/>
      </w:r>
      <w:r w:rsidR="00211CB2" w:rsidRPr="00211CB2">
        <w:rPr>
          <w:rFonts w:eastAsia="Arial Unicode MS" w:cs="Arial Unicode MS"/>
          <w:noProof/>
          <w:szCs w:val="20"/>
        </w:rPr>
        <w:t>(Yuan et al., 2012)</w:t>
      </w:r>
      <w:r w:rsidR="003B0957" w:rsidRPr="00B45AA9">
        <w:rPr>
          <w:rFonts w:eastAsia="Arial Unicode MS" w:cs="Arial Unicode MS"/>
          <w:szCs w:val="20"/>
        </w:rPr>
        <w:fldChar w:fldCharType="end"/>
      </w:r>
      <w:r w:rsidR="00E7263B">
        <w:rPr>
          <w:rFonts w:eastAsia="Arial Unicode MS" w:cs="Arial Unicode MS"/>
          <w:szCs w:val="20"/>
        </w:rPr>
        <w:t>. H</w:t>
      </w:r>
      <w:r w:rsidR="00C33A9C">
        <w:rPr>
          <w:rFonts w:eastAsia="Arial Unicode MS" w:cs="Arial Unicode MS"/>
          <w:szCs w:val="20"/>
        </w:rPr>
        <w:t>owever biological pretreatments are slow processes</w:t>
      </w:r>
      <w:r w:rsidR="00C33A9C" w:rsidRPr="00C33A9C">
        <w:rPr>
          <w:rFonts w:eastAsia="Arial Unicode MS" w:cs="Arial Unicode MS"/>
          <w:szCs w:val="20"/>
        </w:rPr>
        <w:t>, usually</w:t>
      </w:r>
      <w:r w:rsidR="00C33A9C">
        <w:rPr>
          <w:rFonts w:eastAsia="Arial Unicode MS" w:cs="Arial Unicode MS"/>
          <w:szCs w:val="20"/>
        </w:rPr>
        <w:t xml:space="preserve"> with residence times of 10–14 days, they require</w:t>
      </w:r>
      <w:r w:rsidR="00C33A9C" w:rsidRPr="00C33A9C">
        <w:rPr>
          <w:rFonts w:eastAsia="Arial Unicode MS" w:cs="Arial Unicode MS"/>
          <w:szCs w:val="20"/>
        </w:rPr>
        <w:t xml:space="preserve"> large amount of s</w:t>
      </w:r>
      <w:r w:rsidR="00C33A9C">
        <w:rPr>
          <w:rFonts w:eastAsia="Arial Unicode MS" w:cs="Arial Unicode MS"/>
          <w:szCs w:val="20"/>
        </w:rPr>
        <w:t xml:space="preserve">pace and </w:t>
      </w:r>
      <w:r w:rsidR="003B0957">
        <w:rPr>
          <w:rFonts w:eastAsia="Arial Unicode MS" w:cs="Arial Unicode MS"/>
          <w:szCs w:val="20"/>
        </w:rPr>
        <w:t xml:space="preserve">each feedstock requires a specific enzyme, </w:t>
      </w:r>
      <w:r w:rsidR="003B0957" w:rsidRPr="003B0957">
        <w:rPr>
          <w:rFonts w:eastAsia="Arial Unicode MS" w:cs="Arial Unicode MS"/>
          <w:szCs w:val="20"/>
        </w:rPr>
        <w:t>forcing</w:t>
      </w:r>
      <w:r w:rsidR="003B0957">
        <w:rPr>
          <w:rFonts w:eastAsia="Arial Unicode MS" w:cs="Arial Unicode MS"/>
          <w:szCs w:val="20"/>
        </w:rPr>
        <w:t xml:space="preserve"> to study an e</w:t>
      </w:r>
      <w:r w:rsidR="003B0957" w:rsidRPr="003B0957">
        <w:rPr>
          <w:rFonts w:eastAsia="Arial Unicode MS" w:cs="Arial Unicode MS"/>
          <w:szCs w:val="20"/>
        </w:rPr>
        <w:t>nzyme-substrate specificit</w:t>
      </w:r>
      <w:r w:rsidR="003B0957">
        <w:rPr>
          <w:rFonts w:eastAsia="Arial Unicode MS" w:cs="Arial Unicode MS"/>
          <w:szCs w:val="20"/>
        </w:rPr>
        <w:t>y</w:t>
      </w:r>
      <w:r w:rsidRPr="00B45AA9">
        <w:rPr>
          <w:rFonts w:eastAsia="Arial Unicode MS" w:cs="Arial Unicode MS"/>
          <w:szCs w:val="20"/>
        </w:rPr>
        <w:t xml:space="preserve"> </w:t>
      </w:r>
      <w:r w:rsidR="003B0957">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"10.1016/j.fuproc.2015.06.027", "ISSN" : "03783820", "abstract" : "Biogas is one essential renewable energy source which can replace natural gas after its purification. Biogas is produced from different biomass materials though the anaerobic digestion process. Algae are considered as a feedstock for biogas production, which does not compete with food production and does not need large areas of arable land and fresh water resources. In order to improve the biogas production, pre-treatment techniques have been investigated to disrupt the structure of algae increasing the availability of substrates. In this paper, a review of these pre-treatment methods is presented. Pre-treatment methods are categorised into mechanical, ultrasound and micro-wave, thermal, chemical, biological and combined groups. The effect of the application of each of the studied techniques on the biogas yield and the energy balance is discussed. A comparison of the used techniques is carried out, and discussed.", "author" : [ { "dropping-particle" : "", "family" : "Rodriguez", "given" : "C.", "non-dropping-particle" : "", "parse-names" : false, "suffix" : "" }, { "dropping-particle" : "", "family" : "Alaswad", "given" : "A.", "non-dropping-particle" : "", "parse-names" : false, "suffix" : "" }, { "dropping-particle" : "", "family" : "Mooney", "given" : "J.", "non-dropping-particle" : "", "parse-names" : false, "suffix" : "" }, { "dropping-particle" : "", "family" : "Prescott", "given" : "T.", "non-dropping-particle" : "", "parse-names" : false, "suffix" : "" }, { "dropping-particle" : "", "family" : "Olabi", "given" : "A.G.", "non-dropping-particle" : "", "parse-names" : false, "suffix" : "" } ], "container-title" : "Fuel Processing Technology", "id" : "ITEM-1", "issued" : { "date-parts" : [ [ "2015", "6" ] ] }, "page" : "765-779", "title" : "Pre-treatment techniques used for anaerobic digestion of algae", "type" : "article-journal", "volume" : "138" }, "uris" : [ "http://www.mendeley.com/documents/?uuid=8de40fc2-df7a-4353-a652-453234f77178" ] } ], "mendeley" : { "formattedCitation" : "(Rodriguez et al., 2015)", "plainTextFormattedCitation" : "(Rodriguez et al., 2015)", "previouslyFormattedCitation" : "(Rodriguez et al., 2015)" }, "properties" : { "noteIndex" : 0 }, "schema" : "https://github.com/citation-style-language/schema/raw/master/csl-citation.json" }</w:instrText>
      </w:r>
      <w:r w:rsidR="003B0957">
        <w:rPr>
          <w:rFonts w:eastAsia="Arial Unicode MS" w:cs="Arial Unicode MS"/>
          <w:szCs w:val="20"/>
        </w:rPr>
        <w:fldChar w:fldCharType="separate"/>
      </w:r>
      <w:r w:rsidR="00211CB2" w:rsidRPr="00211CB2">
        <w:rPr>
          <w:rFonts w:eastAsia="Arial Unicode MS" w:cs="Arial Unicode MS"/>
          <w:noProof/>
          <w:szCs w:val="20"/>
        </w:rPr>
        <w:t>(Rodriguez et al., 2015)</w:t>
      </w:r>
      <w:r w:rsidR="003B0957">
        <w:rPr>
          <w:rFonts w:eastAsia="Arial Unicode MS" w:cs="Arial Unicode MS"/>
          <w:szCs w:val="20"/>
        </w:rPr>
        <w:fldChar w:fldCharType="end"/>
      </w:r>
      <w:r w:rsidR="00116BF7">
        <w:rPr>
          <w:rFonts w:eastAsia="Arial Unicode MS" w:cs="Arial Unicode MS"/>
          <w:szCs w:val="20"/>
        </w:rPr>
        <w:t>.</w:t>
      </w:r>
      <w:r w:rsidR="007505F6">
        <w:rPr>
          <w:rFonts w:eastAsia="Arial Unicode MS" w:cs="Arial Unicode MS"/>
          <w:szCs w:val="20"/>
        </w:rPr>
        <w:t xml:space="preserve"> </w:t>
      </w:r>
    </w:p>
    <w:p w14:paraId="13481FF6" w14:textId="28308A47" w:rsidR="006F393F" w:rsidRPr="00B45AA9" w:rsidRDefault="0013554A" w:rsidP="00B45AA9">
      <w:pPr>
        <w:spacing w:before="240" w:line="276" w:lineRule="auto"/>
        <w:rPr>
          <w:rFonts w:eastAsia="Arial Unicode MS" w:cs="Arial Unicode MS"/>
          <w:szCs w:val="20"/>
        </w:rPr>
      </w:pPr>
      <w:r w:rsidRPr="00B45AA9">
        <w:rPr>
          <w:rFonts w:eastAsia="Arial Unicode MS" w:cs="Arial Unicode MS"/>
          <w:szCs w:val="20"/>
        </w:rPr>
        <w:t>This paper investigates the improvements provided by a Hollander beater pretreatment. This technique is based on the same ‘comminution’ concept proposed by all o</w:t>
      </w:r>
      <w:r w:rsidR="00B172CA" w:rsidRPr="00B45AA9">
        <w:rPr>
          <w:rFonts w:eastAsia="Arial Unicode MS" w:cs="Arial Unicode MS"/>
          <w:szCs w:val="20"/>
        </w:rPr>
        <w:t>ther mechanical treatments</w:t>
      </w:r>
      <w:r w:rsidRPr="00B45AA9">
        <w:rPr>
          <w:rFonts w:eastAsia="Arial Unicode MS" w:cs="Arial Unicode MS"/>
          <w:szCs w:val="20"/>
        </w:rPr>
        <w:t>. The Hollander beater has never been used as mechanical pretrea</w:t>
      </w:r>
      <w:r w:rsidR="00B172CA" w:rsidRPr="00B45AA9">
        <w:rPr>
          <w:rFonts w:eastAsia="Arial Unicode MS" w:cs="Arial Unicode MS"/>
          <w:szCs w:val="20"/>
        </w:rPr>
        <w:t>tment machine on paper wastes</w:t>
      </w:r>
      <w:r w:rsidRPr="00B45AA9">
        <w:rPr>
          <w:rFonts w:eastAsia="Arial Unicode MS" w:cs="Arial Unicode MS"/>
          <w:szCs w:val="20"/>
        </w:rPr>
        <w:t xml:space="preserve">. Seeing that this proposed pretreatment has already proved its effectiveness when applied to </w:t>
      </w:r>
      <w:r w:rsidR="00B172CA" w:rsidRPr="00B45AA9">
        <w:rPr>
          <w:rFonts w:eastAsia="Arial Unicode MS" w:cs="Arial Unicode MS"/>
          <w:szCs w:val="20"/>
        </w:rPr>
        <w:t xml:space="preserve">seaweed biomass with an improvement in biogas yield  up to 20% </w:t>
      </w:r>
      <w:r w:rsidR="00B172CA"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"10.1016/j.energy.2013.01.071", "ISSN" : "03605442", "author" : [ { "dropping-particle" : "", "family" : "Tedesco", "given" : "S.", "non-dropping-particle" : "", "parse-names" : false, "suffix" : "" }, { "dropping-particle" : "", "family" : "Benyounis", "given" : "K.Y.", "non-dropping-particle" : "", "parse-names" : false, "suffix" : "" }, { "dropping-particle" : "", "family" : "Olabi", "given" : "a.G.", "non-dropping-particle" : "", "parse-names" : false, "suffix" : "" } ], "container-title" : "Energy", "id" : "ITEM-1", "issued" : { "date-parts" : [ [ "2013", "11" ] ] }, "page" : "27-33", "publisher" : "Elsevier Ltd", "title" : "Mechanical pretreatment effects on macroalgae-derived biogas production in co-digestion with sludge in Ireland", "type" : "article-journal", "volume" : "61" }, "uris" : [ "http://www.mendeley.com/documents/?uuid=b59cb417-9947-41d9-8392-201d6bba8e4e" ] }, { "id" : "ITEM-2", "itemData" : { "DOI" : "10.1016/j.renene.2013.08.023", "ISSN" : "09601481", "author" : [ { "dropping-particle" : "", "family" : "Tedesco", "given" : "S.", "non-dropping-particle" : "", "parse-names" : false, "suffix" : "" }, { "dropping-particle" : "", "family" : "Marrero Barroso", "given" : "T.", "non-dropping-particle" : "", "parse-names" : false, "suffix" : "" }, { "dropping-particle" : "", "family" : "Olabi", "given" : "a.G.", "non-dropping-particle" : "", "parse-names" : false, "suffix" : "" } ], "container-title" : "Renewable Energy", "id" : "ITEM-2", "issued" : { "date-parts" : [ [ "2014", "2" ] ] }, "page" : "527-534", "publisher" : "Elsevier Ltd", "title" : "Optimization of mechanical pre-treatment of Laminariaceae spp. biomass-derived biogas", "type" : "article-journal", "volume" : "62" }, "uris" : [ "http://www.mendeley.com/documents/?uuid=3ff821de-013c-4aa3-907f-3fa936f84a4c" ] } ], "mendeley" : { "formattedCitation" : "(S. Tedesco et al., 2014; Tedesco et al., 2013)", "plainTextFormattedCitation" : "(S. Tedesco et al., 2014; Tedesco et al., 2013)", "previouslyFormattedCitation" : "(S. Tedesco et al., 2014; Tedesco et al., 2013)" }, "properties" : { "noteIndex" : 0 }, "schema" : "https://github.com/citation-style-language/schema/raw/master/csl-citation.json" }</w:instrText>
      </w:r>
      <w:r w:rsidR="00B172CA" w:rsidRPr="00B45AA9">
        <w:rPr>
          <w:rFonts w:eastAsia="Arial Unicode MS" w:cs="Arial Unicode MS"/>
          <w:szCs w:val="20"/>
        </w:rPr>
        <w:fldChar w:fldCharType="separate"/>
      </w:r>
      <w:r w:rsidR="00211CB2" w:rsidRPr="00211CB2">
        <w:rPr>
          <w:rFonts w:eastAsia="Arial Unicode MS" w:cs="Arial Unicode MS"/>
          <w:noProof/>
          <w:szCs w:val="20"/>
        </w:rPr>
        <w:t>(S. Tedesco et al., 2014; Tedesco et al., 2013)</w:t>
      </w:r>
      <w:r w:rsidR="00B172CA" w:rsidRPr="00B45AA9">
        <w:rPr>
          <w:rFonts w:eastAsia="Arial Unicode MS" w:cs="Arial Unicode MS"/>
          <w:szCs w:val="20"/>
        </w:rPr>
        <w:fldChar w:fldCharType="end"/>
      </w:r>
      <w:r w:rsidR="00B172CA" w:rsidRPr="00B45AA9">
        <w:rPr>
          <w:rFonts w:eastAsia="Arial Unicode MS" w:cs="Arial Unicode MS"/>
          <w:szCs w:val="20"/>
        </w:rPr>
        <w:t>, in this study it has been applied to paper wastes in batch mode</w:t>
      </w:r>
      <w:r w:rsidRPr="00B45AA9">
        <w:rPr>
          <w:rFonts w:eastAsia="Arial Unicode MS" w:cs="Arial Unicode MS"/>
          <w:szCs w:val="20"/>
        </w:rPr>
        <w:t xml:space="preserve">. </w:t>
      </w:r>
    </w:p>
    <w:p w14:paraId="72DFB2A0" w14:textId="77777777" w:rsidR="0013554A" w:rsidRPr="00B45AA9" w:rsidRDefault="0013554A" w:rsidP="00B45AA9">
      <w:pPr>
        <w:pStyle w:val="Heading1"/>
        <w:spacing w:before="240" w:line="276" w:lineRule="auto"/>
        <w:rPr>
          <w:rFonts w:eastAsia="Arial Unicode MS" w:cs="Arial Unicode MS"/>
        </w:rPr>
      </w:pPr>
      <w:r w:rsidRPr="00B45AA9">
        <w:rPr>
          <w:rFonts w:eastAsia="Arial Unicode MS" w:cs="Arial Unicode MS"/>
        </w:rPr>
        <w:lastRenderedPageBreak/>
        <w:t>MATERIALS AND METHODS</w:t>
      </w:r>
    </w:p>
    <w:p w14:paraId="0AD4A528" w14:textId="6F0AE6D0" w:rsidR="002A2147" w:rsidRPr="00B45AA9" w:rsidRDefault="00167D48" w:rsidP="00B45AA9">
      <w:pPr>
        <w:pStyle w:val="Heading2"/>
        <w:spacing w:before="240" w:line="276" w:lineRule="auto"/>
        <w:rPr>
          <w:rFonts w:eastAsia="Arial Unicode MS" w:cs="Arial Unicode MS"/>
        </w:rPr>
      </w:pPr>
      <w:r w:rsidRPr="00B45AA9">
        <w:rPr>
          <w:rFonts w:eastAsia="Arial Unicode MS" w:cs="Arial Unicode MS"/>
        </w:rPr>
        <w:t xml:space="preserve">Feedstock </w:t>
      </w:r>
      <w:r>
        <w:rPr>
          <w:rFonts w:eastAsia="Arial Unicode MS" w:cs="Arial Unicode MS"/>
        </w:rPr>
        <w:t>and</w:t>
      </w:r>
      <w:r w:rsidR="00C07E2A">
        <w:rPr>
          <w:rFonts w:eastAsia="Arial Unicode MS" w:cs="Arial Unicode MS"/>
        </w:rPr>
        <w:t xml:space="preserve"> inoculum</w:t>
      </w:r>
    </w:p>
    <w:p w14:paraId="19894195" w14:textId="77777777" w:rsidR="00E2391E" w:rsidRDefault="002A2147" w:rsidP="00E2391E">
      <w:pPr>
        <w:spacing w:after="240" w:line="276" w:lineRule="auto"/>
        <w:rPr>
          <w:rFonts w:eastAsia="Arial Unicode MS" w:cs="Arial Unicode MS"/>
          <w:szCs w:val="20"/>
        </w:rPr>
      </w:pPr>
      <w:r w:rsidRPr="00B45AA9">
        <w:rPr>
          <w:rFonts w:eastAsia="Arial Unicode MS" w:cs="Arial Unicode MS"/>
          <w:szCs w:val="20"/>
        </w:rPr>
        <w:t xml:space="preserve">Waste paper was collected from recycle bins at the School of Computing and Engineering at the University of West of Scotland (UWS) in Paisley, Scotland (Figure 1). This paper was mostly one side </w:t>
      </w:r>
      <w:r w:rsidR="001838D9">
        <w:rPr>
          <w:rFonts w:eastAsia="Arial Unicode MS" w:cs="Arial Unicode MS"/>
          <w:szCs w:val="20"/>
        </w:rPr>
        <w:t>printed and was cut by a</w:t>
      </w:r>
      <w:r w:rsidRPr="00B45AA9">
        <w:rPr>
          <w:rFonts w:eastAsia="Arial Unicode MS" w:cs="Arial Unicode MS"/>
          <w:szCs w:val="20"/>
        </w:rPr>
        <w:t xml:space="preserve"> shredder Fellowes Powershred C-320 in 0.6 x 29.7 cm pieces. </w:t>
      </w:r>
      <w:r w:rsidR="00E2391E" w:rsidRPr="00E2391E">
        <w:rPr>
          <w:rFonts w:eastAsia="Arial Unicode MS" w:cs="Arial Unicode MS"/>
          <w:szCs w:val="20"/>
        </w:rPr>
        <w:t>The sludge used as inoculum was provided by the Energen Biogas Plant (Cumbernauld, Scotland), and stored in a fridge at 4°C. The plant uses food and food processing residues as a feedstock, the process is carried out under thermophilic conditions.</w:t>
      </w:r>
    </w:p>
    <w:p w14:paraId="7DCA157C" w14:textId="41A5AD39" w:rsidR="005F4E7F" w:rsidRDefault="002A2147" w:rsidP="00E2391E">
      <w:pPr>
        <w:spacing w:after="240" w:line="276" w:lineRule="auto"/>
      </w:pPr>
      <w:r w:rsidRPr="00B45AA9">
        <w:rPr>
          <w:rFonts w:eastAsia="Arial Unicode MS" w:cs="Arial Unicode MS"/>
          <w:noProof/>
          <w:szCs w:val="20"/>
          <w:lang w:eastAsia="en-GB"/>
        </w:rPr>
        <w:drawing>
          <wp:inline distT="0" distB="0" distL="0" distR="0" wp14:anchorId="2872E858" wp14:editId="5B483F26">
            <wp:extent cx="5970278" cy="180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8341" cy="1799641"/>
                    </a:xfrm>
                    <a:prstGeom prst="rect">
                      <a:avLst/>
                    </a:prstGeom>
                    <a:noFill/>
                    <a:ln>
                      <a:noFill/>
                    </a:ln>
                  </pic:spPr>
                </pic:pic>
              </a:graphicData>
            </a:graphic>
          </wp:inline>
        </w:drawing>
      </w:r>
    </w:p>
    <w:p w14:paraId="0EC65741" w14:textId="380D04FD" w:rsidR="002A2147" w:rsidRPr="00B45AA9" w:rsidRDefault="005F4E7F" w:rsidP="005F4E7F">
      <w:pPr>
        <w:pStyle w:val="Caption"/>
        <w:rPr>
          <w:szCs w:val="20"/>
        </w:rPr>
      </w:pPr>
      <w:r>
        <w:t xml:space="preserve">Figure </w:t>
      </w:r>
      <w:r>
        <w:fldChar w:fldCharType="begin"/>
      </w:r>
      <w:r>
        <w:instrText xml:space="preserve"> SEQ Figure \* ARABIC </w:instrText>
      </w:r>
      <w:r>
        <w:fldChar w:fldCharType="separate"/>
      </w:r>
      <w:r w:rsidR="001C364E">
        <w:rPr>
          <w:noProof/>
        </w:rPr>
        <w:t>1</w:t>
      </w:r>
      <w:r>
        <w:fldChar w:fldCharType="end"/>
      </w:r>
      <w:r w:rsidR="002A2147" w:rsidRPr="00B45AA9">
        <w:rPr>
          <w:szCs w:val="20"/>
        </w:rPr>
        <w:t xml:space="preserve">. </w:t>
      </w:r>
      <w:r w:rsidR="002A2147" w:rsidRPr="005F4E7F">
        <w:rPr>
          <w:b w:val="0"/>
          <w:szCs w:val="20"/>
        </w:rPr>
        <w:t>Shredded paper (before pretreatment) and paper pulp (after pretreatment).</w:t>
      </w:r>
    </w:p>
    <w:p w14:paraId="605E9304" w14:textId="0AB1EC0F" w:rsidR="00C07E2A" w:rsidRPr="00C07E2A" w:rsidRDefault="00C07E2A" w:rsidP="00C07E2A">
      <w:pPr>
        <w:spacing w:line="276" w:lineRule="auto"/>
        <w:rPr>
          <w:rFonts w:eastAsia="Arial Unicode MS" w:cs="Arial Unicode MS"/>
          <w:szCs w:val="20"/>
        </w:rPr>
      </w:pPr>
      <w:r w:rsidRPr="00B45AA9">
        <w:rPr>
          <w:rFonts w:eastAsia="Arial Unicode MS" w:cs="Arial Unicode MS"/>
          <w:szCs w:val="20"/>
        </w:rPr>
        <w:t>T</w:t>
      </w:r>
      <w:r>
        <w:rPr>
          <w:rFonts w:eastAsia="Arial Unicode MS" w:cs="Arial Unicode MS"/>
          <w:szCs w:val="20"/>
        </w:rPr>
        <w:t>he total solids (TS) and volatile solids (VS) of the waste paper were calculated by duplicate and were obtained by submitting ra</w:t>
      </w:r>
      <w:r w:rsidR="002A28FF">
        <w:rPr>
          <w:rFonts w:eastAsia="Arial Unicode MS" w:cs="Arial Unicode MS"/>
          <w:szCs w:val="20"/>
        </w:rPr>
        <w:t>ndom samples of pretreated waste paper</w:t>
      </w:r>
      <w:r w:rsidRPr="00B45AA9">
        <w:rPr>
          <w:rFonts w:eastAsia="Arial Unicode MS" w:cs="Arial Unicode MS"/>
          <w:szCs w:val="20"/>
        </w:rPr>
        <w:t xml:space="preserve"> at 105°C</w:t>
      </w:r>
      <w:r>
        <w:rPr>
          <w:rFonts w:eastAsia="Arial Unicode MS" w:cs="Arial Unicode MS"/>
          <w:szCs w:val="20"/>
        </w:rPr>
        <w:t xml:space="preserve"> (for TS) and 550</w:t>
      </w:r>
      <w:r w:rsidRPr="00B45AA9">
        <w:rPr>
          <w:rFonts w:eastAsia="Arial Unicode MS" w:cs="Arial Unicode MS"/>
          <w:szCs w:val="20"/>
        </w:rPr>
        <w:t>°C</w:t>
      </w:r>
      <w:r>
        <w:rPr>
          <w:rFonts w:eastAsia="Arial Unicode MS" w:cs="Arial Unicode MS"/>
          <w:szCs w:val="20"/>
        </w:rPr>
        <w:t xml:space="preserve"> (for VS)</w:t>
      </w:r>
      <w:r w:rsidRPr="00B45AA9">
        <w:rPr>
          <w:rFonts w:eastAsia="Arial Unicode MS" w:cs="Arial Unicode MS"/>
          <w:szCs w:val="20"/>
        </w:rPr>
        <w:t xml:space="preserve"> until constant </w:t>
      </w:r>
      <w:r w:rsidRPr="0028613B">
        <w:rPr>
          <w:rFonts w:eastAsia="Arial Unicode MS" w:cs="Arial Unicode MS"/>
          <w:szCs w:val="20"/>
        </w:rPr>
        <w:t>weight.</w:t>
      </w:r>
      <w:r>
        <w:rPr>
          <w:rFonts w:eastAsia="Arial Unicode MS" w:cs="Arial Unicode MS"/>
          <w:szCs w:val="20"/>
        </w:rPr>
        <w:t xml:space="preserve"> The sludge’s </w:t>
      </w:r>
      <w:r w:rsidRPr="00803C71">
        <w:rPr>
          <w:szCs w:val="20"/>
        </w:rPr>
        <w:t>characterization</w:t>
      </w:r>
      <w:r>
        <w:rPr>
          <w:szCs w:val="20"/>
        </w:rPr>
        <w:t xml:space="preserve"> is provided by the supplier. </w:t>
      </w:r>
      <w:r w:rsidRPr="0028613B">
        <w:rPr>
          <w:rFonts w:eastAsia="Arial Unicode MS" w:cs="Arial Unicode MS"/>
          <w:szCs w:val="20"/>
        </w:rPr>
        <w:t>The methane production</w:t>
      </w:r>
      <w:r w:rsidRPr="00B45AA9">
        <w:rPr>
          <w:rFonts w:eastAsia="Arial Unicode MS" w:cs="Arial Unicode MS"/>
          <w:szCs w:val="20"/>
        </w:rPr>
        <w:t xml:space="preserve"> </w:t>
      </w:r>
      <w:r>
        <w:rPr>
          <w:rFonts w:eastAsia="Arial Unicode MS" w:cs="Arial Unicode MS"/>
          <w:szCs w:val="20"/>
        </w:rPr>
        <w:t>is</w:t>
      </w:r>
      <w:r w:rsidRPr="00B45AA9">
        <w:rPr>
          <w:rFonts w:eastAsia="Arial Unicode MS" w:cs="Arial Unicode MS"/>
          <w:szCs w:val="20"/>
        </w:rPr>
        <w:t xml:space="preserve"> provide</w:t>
      </w:r>
      <w:r>
        <w:rPr>
          <w:rFonts w:eastAsia="Arial Unicode MS" w:cs="Arial Unicode MS"/>
          <w:szCs w:val="20"/>
        </w:rPr>
        <w:t>d</w:t>
      </w:r>
      <w:r w:rsidRPr="00B45AA9">
        <w:rPr>
          <w:rFonts w:eastAsia="Arial Unicode MS" w:cs="Arial Unicode MS"/>
          <w:szCs w:val="20"/>
        </w:rPr>
        <w:t xml:space="preserve"> in term</w:t>
      </w:r>
      <w:r>
        <w:rPr>
          <w:rFonts w:eastAsia="Arial Unicode MS" w:cs="Arial Unicode MS"/>
          <w:szCs w:val="20"/>
        </w:rPr>
        <w:t>s</w:t>
      </w:r>
      <w:r w:rsidRPr="00B45AA9">
        <w:rPr>
          <w:rFonts w:eastAsia="Arial Unicode MS" w:cs="Arial Unicode MS"/>
          <w:szCs w:val="20"/>
        </w:rPr>
        <w:t xml:space="preserve"> of</w:t>
      </w:r>
      <w:r>
        <w:rPr>
          <w:rFonts w:eastAsia="Arial Unicode MS" w:cs="Arial Unicode MS"/>
          <w:szCs w:val="20"/>
        </w:rPr>
        <w:t xml:space="preserve"> volume per gram of VS (ml/gVS</w:t>
      </w:r>
      <w:r w:rsidRPr="00B45AA9">
        <w:rPr>
          <w:rFonts w:eastAsia="Arial Unicode MS" w:cs="Arial Unicode MS"/>
          <w:szCs w:val="20"/>
        </w:rPr>
        <w:t xml:space="preserve">). </w:t>
      </w:r>
      <w:r>
        <w:rPr>
          <w:rFonts w:eastAsia="Arial Unicode MS" w:cs="Arial Unicode MS"/>
          <w:szCs w:val="20"/>
        </w:rPr>
        <w:t>T</w:t>
      </w:r>
      <w:r>
        <w:t xml:space="preserve">he </w:t>
      </w:r>
      <w:r w:rsidRPr="0015621C">
        <w:rPr>
          <w:szCs w:val="20"/>
        </w:rPr>
        <w:t>characterization</w:t>
      </w:r>
      <w:r>
        <w:t xml:space="preserve"> of the paper and the sludge is </w:t>
      </w:r>
      <w:r w:rsidRPr="004777C2">
        <w:t>detailed in Table 1.</w:t>
      </w:r>
      <w:r w:rsidRPr="004777C2">
        <w:rPr>
          <w:rFonts w:eastAsia="Arial Unicode MS" w:cs="Arial Unicode MS"/>
          <w:szCs w:val="20"/>
        </w:rPr>
        <w:t xml:space="preserve"> </w:t>
      </w:r>
    </w:p>
    <w:p w14:paraId="15FF2B5B" w14:textId="6A61DB18" w:rsidR="00C07E2A" w:rsidRDefault="00C07E2A" w:rsidP="00C07E2A">
      <w:pPr>
        <w:pStyle w:val="Caption"/>
        <w:keepNext/>
      </w:pPr>
      <w:r>
        <w:t xml:space="preserve">Table </w:t>
      </w:r>
      <w:r>
        <w:fldChar w:fldCharType="begin"/>
      </w:r>
      <w:r>
        <w:instrText xml:space="preserve"> SEQ Table \* ARABIC </w:instrText>
      </w:r>
      <w:r>
        <w:fldChar w:fldCharType="separate"/>
      </w:r>
      <w:r w:rsidR="00211CB2">
        <w:rPr>
          <w:noProof/>
        </w:rPr>
        <w:t>1</w:t>
      </w:r>
      <w:r>
        <w:fldChar w:fldCharType="end"/>
      </w:r>
      <w:r>
        <w:t xml:space="preserve">. </w:t>
      </w:r>
      <w:r w:rsidR="00F06507">
        <w:rPr>
          <w:b w:val="0"/>
        </w:rPr>
        <w:t>Waste p</w:t>
      </w:r>
      <w:r w:rsidR="00BD351B">
        <w:rPr>
          <w:b w:val="0"/>
        </w:rPr>
        <w:t>aper</w:t>
      </w:r>
      <w:r w:rsidRPr="00803C71">
        <w:rPr>
          <w:b w:val="0"/>
        </w:rPr>
        <w:t xml:space="preserve"> and </w:t>
      </w:r>
      <w:r w:rsidRPr="00803C71">
        <w:rPr>
          <w:b w:val="0"/>
          <w:szCs w:val="20"/>
        </w:rPr>
        <w:t>sludge characterization.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1417"/>
        <w:gridCol w:w="1610"/>
        <w:gridCol w:w="1934"/>
        <w:gridCol w:w="1838"/>
      </w:tblGrid>
      <w:tr w:rsidR="00C07E2A" w:rsidRPr="005145C0" w14:paraId="5E7808A4" w14:textId="77777777" w:rsidTr="00D33581">
        <w:trPr>
          <w:trHeight w:val="482"/>
          <w:jc w:val="center"/>
        </w:trPr>
        <w:tc>
          <w:tcPr>
            <w:tcW w:w="2484" w:type="dxa"/>
            <w:tcBorders>
              <w:top w:val="single" w:sz="4" w:space="0" w:color="auto"/>
              <w:bottom w:val="single" w:sz="4" w:space="0" w:color="auto"/>
            </w:tcBorders>
            <w:vAlign w:val="center"/>
          </w:tcPr>
          <w:p w14:paraId="792EF395" w14:textId="77777777" w:rsidR="00C07E2A" w:rsidRDefault="00C07E2A" w:rsidP="00D35470">
            <w:r w:rsidRPr="00911399">
              <w:rPr>
                <w:rFonts w:eastAsia="Arial Unicode MS" w:cs="Arial Unicode MS"/>
                <w:szCs w:val="20"/>
              </w:rPr>
              <w:t>Parameters</w:t>
            </w:r>
          </w:p>
        </w:tc>
        <w:tc>
          <w:tcPr>
            <w:tcW w:w="1417" w:type="dxa"/>
            <w:tcBorders>
              <w:top w:val="single" w:sz="4" w:space="0" w:color="auto"/>
              <w:bottom w:val="single" w:sz="4" w:space="0" w:color="auto"/>
            </w:tcBorders>
            <w:vAlign w:val="center"/>
          </w:tcPr>
          <w:p w14:paraId="19439DCE" w14:textId="77777777" w:rsidR="00C07E2A" w:rsidRDefault="00C07E2A" w:rsidP="00D35470">
            <w:pPr>
              <w:jc w:val="center"/>
            </w:pPr>
            <w:r>
              <w:rPr>
                <w:rFonts w:eastAsia="Arial Unicode MS" w:cs="Arial Unicode MS"/>
                <w:szCs w:val="20"/>
              </w:rPr>
              <w:t>Sludge</w:t>
            </w:r>
          </w:p>
        </w:tc>
        <w:tc>
          <w:tcPr>
            <w:tcW w:w="1610" w:type="dxa"/>
            <w:tcBorders>
              <w:top w:val="single" w:sz="4" w:space="0" w:color="auto"/>
              <w:bottom w:val="single" w:sz="4" w:space="0" w:color="auto"/>
            </w:tcBorders>
            <w:vAlign w:val="center"/>
          </w:tcPr>
          <w:p w14:paraId="5209B948" w14:textId="41487C33" w:rsidR="00C07E2A" w:rsidRDefault="00C07E2A" w:rsidP="00D35470">
            <w:pPr>
              <w:jc w:val="center"/>
              <w:rPr>
                <w:rFonts w:eastAsia="Arial Unicode MS" w:cs="Arial Unicode MS"/>
                <w:szCs w:val="20"/>
              </w:rPr>
            </w:pPr>
            <w:r w:rsidRPr="00911399">
              <w:rPr>
                <w:rFonts w:eastAsia="Arial Unicode MS" w:cs="Arial Unicode MS"/>
                <w:szCs w:val="20"/>
              </w:rPr>
              <w:t>Untreated</w:t>
            </w:r>
            <w:r>
              <w:rPr>
                <w:rFonts w:eastAsia="Arial Unicode MS" w:cs="Arial Unicode MS"/>
                <w:szCs w:val="20"/>
              </w:rPr>
              <w:t xml:space="preserve"> paper</w:t>
            </w:r>
          </w:p>
        </w:tc>
        <w:tc>
          <w:tcPr>
            <w:tcW w:w="1934" w:type="dxa"/>
            <w:tcBorders>
              <w:top w:val="single" w:sz="4" w:space="0" w:color="auto"/>
              <w:bottom w:val="single" w:sz="4" w:space="0" w:color="auto"/>
            </w:tcBorders>
            <w:vAlign w:val="center"/>
          </w:tcPr>
          <w:p w14:paraId="5A15EA01" w14:textId="77777777" w:rsidR="00C07E2A" w:rsidRPr="00911399" w:rsidRDefault="00C07E2A" w:rsidP="00D35470">
            <w:pPr>
              <w:jc w:val="center"/>
              <w:rPr>
                <w:rFonts w:eastAsia="Arial Unicode MS" w:cs="Arial Unicode MS"/>
                <w:szCs w:val="20"/>
              </w:rPr>
            </w:pPr>
            <w:r>
              <w:rPr>
                <w:rFonts w:eastAsia="Arial Unicode MS" w:cs="Arial Unicode MS"/>
                <w:szCs w:val="20"/>
              </w:rPr>
              <w:t>30 min</w:t>
            </w:r>
          </w:p>
          <w:p w14:paraId="15BF02F4" w14:textId="2BD8DFE1" w:rsidR="00C07E2A" w:rsidRDefault="00C07E2A" w:rsidP="00D35470">
            <w:pPr>
              <w:jc w:val="center"/>
              <w:rPr>
                <w:rFonts w:eastAsia="Arial Unicode MS" w:cs="Arial Unicode MS"/>
                <w:szCs w:val="20"/>
              </w:rPr>
            </w:pPr>
            <w:r>
              <w:rPr>
                <w:rFonts w:eastAsia="Arial Unicode MS" w:cs="Arial Unicode MS"/>
                <w:szCs w:val="20"/>
              </w:rPr>
              <w:t>pret. paper</w:t>
            </w:r>
          </w:p>
        </w:tc>
        <w:tc>
          <w:tcPr>
            <w:tcW w:w="1838" w:type="dxa"/>
            <w:tcBorders>
              <w:top w:val="single" w:sz="4" w:space="0" w:color="auto"/>
              <w:bottom w:val="single" w:sz="4" w:space="0" w:color="auto"/>
            </w:tcBorders>
            <w:vAlign w:val="center"/>
          </w:tcPr>
          <w:p w14:paraId="5BE11545" w14:textId="77777777" w:rsidR="00C07E2A" w:rsidRPr="00911399" w:rsidRDefault="00C07E2A" w:rsidP="00D35470">
            <w:pPr>
              <w:jc w:val="center"/>
              <w:rPr>
                <w:rFonts w:eastAsia="Arial Unicode MS" w:cs="Arial Unicode MS"/>
                <w:szCs w:val="20"/>
              </w:rPr>
            </w:pPr>
            <w:r>
              <w:rPr>
                <w:rFonts w:eastAsia="Arial Unicode MS" w:cs="Arial Unicode MS"/>
                <w:szCs w:val="20"/>
              </w:rPr>
              <w:t>60 min</w:t>
            </w:r>
          </w:p>
          <w:p w14:paraId="64F9CE9B" w14:textId="2F7018C2" w:rsidR="00C07E2A" w:rsidRDefault="00C07E2A" w:rsidP="00D35470">
            <w:pPr>
              <w:jc w:val="center"/>
              <w:rPr>
                <w:rFonts w:eastAsia="Arial Unicode MS" w:cs="Arial Unicode MS"/>
                <w:szCs w:val="20"/>
              </w:rPr>
            </w:pPr>
            <w:r>
              <w:rPr>
                <w:rFonts w:eastAsia="Arial Unicode MS" w:cs="Arial Unicode MS"/>
                <w:szCs w:val="20"/>
              </w:rPr>
              <w:t>pret. paper</w:t>
            </w:r>
          </w:p>
        </w:tc>
      </w:tr>
      <w:tr w:rsidR="00C07E2A" w:rsidRPr="005145C0" w14:paraId="6F8344E5" w14:textId="77777777" w:rsidTr="00D33581">
        <w:trPr>
          <w:jc w:val="center"/>
        </w:trPr>
        <w:tc>
          <w:tcPr>
            <w:tcW w:w="2484" w:type="dxa"/>
            <w:tcBorders>
              <w:top w:val="single" w:sz="4" w:space="0" w:color="auto"/>
            </w:tcBorders>
          </w:tcPr>
          <w:p w14:paraId="3DF070D7" w14:textId="77777777" w:rsidR="00C07E2A" w:rsidRPr="005145C0" w:rsidRDefault="00C07E2A" w:rsidP="00D35470">
            <w:pPr>
              <w:spacing w:line="276" w:lineRule="auto"/>
              <w:rPr>
                <w:rFonts w:eastAsia="Arial Unicode MS" w:cs="Arial Unicode MS"/>
                <w:szCs w:val="20"/>
              </w:rPr>
            </w:pPr>
            <w:r>
              <w:rPr>
                <w:rFonts w:eastAsia="Arial Unicode MS" w:cs="Arial Unicode MS"/>
                <w:szCs w:val="20"/>
              </w:rPr>
              <w:t>Total Solids</w:t>
            </w:r>
            <w:r w:rsidRPr="005145C0">
              <w:rPr>
                <w:rFonts w:eastAsia="Arial Unicode MS" w:cs="Arial Unicode MS"/>
                <w:szCs w:val="20"/>
              </w:rPr>
              <w:t xml:space="preserve"> (%)</w:t>
            </w:r>
          </w:p>
        </w:tc>
        <w:tc>
          <w:tcPr>
            <w:tcW w:w="1417" w:type="dxa"/>
            <w:tcBorders>
              <w:top w:val="single" w:sz="4" w:space="0" w:color="auto"/>
            </w:tcBorders>
            <w:vAlign w:val="center"/>
          </w:tcPr>
          <w:p w14:paraId="4C25CC36" w14:textId="1C55B2BB" w:rsidR="00C07E2A" w:rsidRPr="005145C0" w:rsidRDefault="005C19D5" w:rsidP="00C07E2A">
            <w:pPr>
              <w:spacing w:line="276" w:lineRule="auto"/>
              <w:jc w:val="center"/>
              <w:rPr>
                <w:rFonts w:eastAsia="Arial Unicode MS" w:cs="Arial Unicode MS"/>
                <w:color w:val="000000"/>
                <w:szCs w:val="20"/>
              </w:rPr>
            </w:pPr>
            <w:r>
              <w:rPr>
                <w:rFonts w:eastAsia="Arial Unicode MS" w:cs="Arial Unicode MS"/>
                <w:color w:val="000000"/>
                <w:szCs w:val="20"/>
              </w:rPr>
              <w:t>5</w:t>
            </w:r>
          </w:p>
        </w:tc>
        <w:tc>
          <w:tcPr>
            <w:tcW w:w="1610" w:type="dxa"/>
            <w:tcBorders>
              <w:top w:val="single" w:sz="4" w:space="0" w:color="auto"/>
            </w:tcBorders>
          </w:tcPr>
          <w:p w14:paraId="611800DE" w14:textId="594C5F92" w:rsidR="00C07E2A" w:rsidRDefault="00C07E2A" w:rsidP="00C07E2A">
            <w:pPr>
              <w:spacing w:line="276" w:lineRule="auto"/>
              <w:jc w:val="center"/>
              <w:rPr>
                <w:rFonts w:eastAsia="Arial Unicode MS" w:cs="Arial Unicode MS"/>
                <w:color w:val="000000"/>
                <w:szCs w:val="20"/>
              </w:rPr>
            </w:pPr>
            <w:r w:rsidRPr="00C32A15">
              <w:t>9</w:t>
            </w:r>
            <w:r w:rsidR="005C19D5">
              <w:t>5</w:t>
            </w:r>
          </w:p>
        </w:tc>
        <w:tc>
          <w:tcPr>
            <w:tcW w:w="1934" w:type="dxa"/>
            <w:tcBorders>
              <w:top w:val="single" w:sz="4" w:space="0" w:color="auto"/>
            </w:tcBorders>
          </w:tcPr>
          <w:p w14:paraId="70E628E6" w14:textId="61FB3FD3" w:rsidR="00C07E2A" w:rsidRDefault="005C19D5" w:rsidP="00C07E2A">
            <w:pPr>
              <w:spacing w:line="276" w:lineRule="auto"/>
              <w:jc w:val="center"/>
              <w:rPr>
                <w:rFonts w:eastAsia="Arial Unicode MS" w:cs="Arial Unicode MS"/>
                <w:color w:val="000000"/>
                <w:szCs w:val="20"/>
              </w:rPr>
            </w:pPr>
            <w:r>
              <w:t>3</w:t>
            </w:r>
          </w:p>
        </w:tc>
        <w:tc>
          <w:tcPr>
            <w:tcW w:w="1838" w:type="dxa"/>
            <w:tcBorders>
              <w:top w:val="single" w:sz="4" w:space="0" w:color="auto"/>
            </w:tcBorders>
          </w:tcPr>
          <w:p w14:paraId="48BC011B" w14:textId="7ECC6F0B" w:rsidR="00C07E2A" w:rsidRDefault="005C19D5" w:rsidP="00C07E2A">
            <w:pPr>
              <w:spacing w:line="276" w:lineRule="auto"/>
              <w:jc w:val="center"/>
              <w:rPr>
                <w:rFonts w:eastAsia="Arial Unicode MS" w:cs="Arial Unicode MS"/>
                <w:color w:val="000000"/>
                <w:szCs w:val="20"/>
              </w:rPr>
            </w:pPr>
            <w:r>
              <w:t>3</w:t>
            </w:r>
          </w:p>
        </w:tc>
      </w:tr>
      <w:tr w:rsidR="00C07E2A" w:rsidRPr="005145C0" w14:paraId="0A77EF18" w14:textId="77777777" w:rsidTr="00D33581">
        <w:trPr>
          <w:jc w:val="center"/>
        </w:trPr>
        <w:tc>
          <w:tcPr>
            <w:tcW w:w="2484" w:type="dxa"/>
          </w:tcPr>
          <w:p w14:paraId="19F6E819" w14:textId="258448D8" w:rsidR="00C07E2A" w:rsidRPr="005145C0" w:rsidRDefault="00C07E2A" w:rsidP="00D35470">
            <w:pPr>
              <w:spacing w:line="276" w:lineRule="auto"/>
              <w:rPr>
                <w:rFonts w:eastAsia="Arial Unicode MS" w:cs="Arial Unicode MS"/>
                <w:szCs w:val="20"/>
              </w:rPr>
            </w:pPr>
            <w:r>
              <w:rPr>
                <w:rFonts w:eastAsia="Arial Unicode MS" w:cs="Arial Unicode MS"/>
                <w:szCs w:val="20"/>
              </w:rPr>
              <w:t>Volatile Solids</w:t>
            </w:r>
            <w:r w:rsidRPr="005145C0">
              <w:rPr>
                <w:rFonts w:eastAsia="Arial Unicode MS" w:cs="Arial Unicode MS"/>
                <w:szCs w:val="20"/>
              </w:rPr>
              <w:t xml:space="preserve"> (%</w:t>
            </w:r>
            <w:r w:rsidR="00222335">
              <w:rPr>
                <w:rFonts w:eastAsia="Arial Unicode MS" w:cs="Arial Unicode MS"/>
                <w:szCs w:val="20"/>
              </w:rPr>
              <w:t xml:space="preserve"> of TS</w:t>
            </w:r>
            <w:r w:rsidRPr="005145C0">
              <w:rPr>
                <w:rFonts w:eastAsia="Arial Unicode MS" w:cs="Arial Unicode MS"/>
                <w:szCs w:val="20"/>
              </w:rPr>
              <w:t>)</w:t>
            </w:r>
          </w:p>
        </w:tc>
        <w:tc>
          <w:tcPr>
            <w:tcW w:w="1417" w:type="dxa"/>
            <w:vAlign w:val="center"/>
          </w:tcPr>
          <w:p w14:paraId="3032D7EE" w14:textId="03CD00B2" w:rsidR="00C07E2A" w:rsidRPr="005145C0" w:rsidRDefault="00C07E2A" w:rsidP="00C07E2A">
            <w:pPr>
              <w:spacing w:line="276" w:lineRule="auto"/>
              <w:jc w:val="center"/>
              <w:rPr>
                <w:rFonts w:eastAsia="Arial Unicode MS" w:cs="Arial Unicode MS"/>
                <w:color w:val="000000"/>
                <w:szCs w:val="20"/>
              </w:rPr>
            </w:pPr>
            <w:r>
              <w:rPr>
                <w:rFonts w:eastAsia="Arial Unicode MS" w:cs="Arial Unicode MS"/>
                <w:color w:val="000000"/>
                <w:szCs w:val="20"/>
              </w:rPr>
              <w:t>6</w:t>
            </w:r>
            <w:r w:rsidR="005C19D5">
              <w:rPr>
                <w:rFonts w:eastAsia="Arial Unicode MS" w:cs="Arial Unicode MS"/>
                <w:color w:val="000000"/>
                <w:szCs w:val="20"/>
              </w:rPr>
              <w:t>3</w:t>
            </w:r>
          </w:p>
        </w:tc>
        <w:tc>
          <w:tcPr>
            <w:tcW w:w="1610" w:type="dxa"/>
          </w:tcPr>
          <w:p w14:paraId="29929EED" w14:textId="255019DB" w:rsidR="00C07E2A" w:rsidRDefault="00C07E2A" w:rsidP="00C07E2A">
            <w:pPr>
              <w:spacing w:line="276" w:lineRule="auto"/>
              <w:jc w:val="center"/>
              <w:rPr>
                <w:rFonts w:eastAsia="Arial Unicode MS" w:cs="Arial Unicode MS"/>
                <w:color w:val="000000"/>
                <w:szCs w:val="20"/>
              </w:rPr>
            </w:pPr>
            <w:r w:rsidRPr="00C32A15">
              <w:t>9</w:t>
            </w:r>
            <w:r w:rsidR="005C19D5">
              <w:t>9</w:t>
            </w:r>
          </w:p>
        </w:tc>
        <w:tc>
          <w:tcPr>
            <w:tcW w:w="1934" w:type="dxa"/>
          </w:tcPr>
          <w:p w14:paraId="78E7BF4A" w14:textId="54EFB770" w:rsidR="00C07E2A" w:rsidRDefault="00C07E2A" w:rsidP="00C07E2A">
            <w:pPr>
              <w:spacing w:line="276" w:lineRule="auto"/>
              <w:jc w:val="center"/>
              <w:rPr>
                <w:rFonts w:eastAsia="Arial Unicode MS" w:cs="Arial Unicode MS"/>
                <w:color w:val="000000"/>
                <w:szCs w:val="20"/>
              </w:rPr>
            </w:pPr>
            <w:r w:rsidRPr="00C32A15">
              <w:t>97</w:t>
            </w:r>
          </w:p>
        </w:tc>
        <w:tc>
          <w:tcPr>
            <w:tcW w:w="1838" w:type="dxa"/>
          </w:tcPr>
          <w:p w14:paraId="6DA267E0" w14:textId="0D512095" w:rsidR="00C07E2A" w:rsidRDefault="00C07E2A" w:rsidP="00C07E2A">
            <w:pPr>
              <w:spacing w:line="276" w:lineRule="auto"/>
              <w:jc w:val="center"/>
              <w:rPr>
                <w:rFonts w:eastAsia="Arial Unicode MS" w:cs="Arial Unicode MS"/>
                <w:color w:val="000000"/>
                <w:szCs w:val="20"/>
              </w:rPr>
            </w:pPr>
            <w:r w:rsidRPr="00C32A15">
              <w:t>97</w:t>
            </w:r>
          </w:p>
        </w:tc>
      </w:tr>
      <w:tr w:rsidR="00C07E2A" w:rsidRPr="005145C0" w14:paraId="03BC9AB1" w14:textId="77777777" w:rsidTr="00D33581">
        <w:trPr>
          <w:jc w:val="center"/>
        </w:trPr>
        <w:tc>
          <w:tcPr>
            <w:tcW w:w="2484" w:type="dxa"/>
          </w:tcPr>
          <w:p w14:paraId="361C22CB" w14:textId="7915A80A" w:rsidR="00C07E2A" w:rsidRPr="005145C0" w:rsidRDefault="00C07E2A" w:rsidP="00D35470">
            <w:pPr>
              <w:spacing w:line="276" w:lineRule="auto"/>
              <w:rPr>
                <w:rFonts w:eastAsia="Arial Unicode MS" w:cs="Arial Unicode MS"/>
                <w:szCs w:val="20"/>
              </w:rPr>
            </w:pPr>
            <w:r w:rsidRPr="005145C0">
              <w:rPr>
                <w:rFonts w:eastAsia="Arial Unicode MS" w:cs="Arial Unicode MS"/>
                <w:szCs w:val="20"/>
              </w:rPr>
              <w:t>Ash content (%</w:t>
            </w:r>
            <w:r w:rsidR="00222335">
              <w:rPr>
                <w:rFonts w:eastAsia="Arial Unicode MS" w:cs="Arial Unicode MS"/>
                <w:szCs w:val="20"/>
              </w:rPr>
              <w:t xml:space="preserve"> of TS</w:t>
            </w:r>
            <w:r w:rsidRPr="005145C0">
              <w:rPr>
                <w:rFonts w:eastAsia="Arial Unicode MS" w:cs="Arial Unicode MS"/>
                <w:szCs w:val="20"/>
              </w:rPr>
              <w:t>)</w:t>
            </w:r>
          </w:p>
        </w:tc>
        <w:tc>
          <w:tcPr>
            <w:tcW w:w="1417" w:type="dxa"/>
            <w:vAlign w:val="center"/>
          </w:tcPr>
          <w:p w14:paraId="706F8CA0" w14:textId="7C5BA80D" w:rsidR="00C07E2A" w:rsidRPr="005145C0" w:rsidRDefault="00C07E2A" w:rsidP="00C07E2A">
            <w:pPr>
              <w:spacing w:line="276" w:lineRule="auto"/>
              <w:jc w:val="center"/>
              <w:rPr>
                <w:rFonts w:eastAsia="Arial Unicode MS" w:cs="Arial Unicode MS"/>
                <w:color w:val="000000"/>
                <w:szCs w:val="20"/>
              </w:rPr>
            </w:pPr>
            <w:r>
              <w:rPr>
                <w:rFonts w:eastAsia="Arial Unicode MS" w:cs="Arial Unicode MS"/>
                <w:color w:val="000000"/>
                <w:szCs w:val="20"/>
              </w:rPr>
              <w:t>3</w:t>
            </w:r>
            <w:r w:rsidR="005C19D5">
              <w:rPr>
                <w:rFonts w:eastAsia="Arial Unicode MS" w:cs="Arial Unicode MS"/>
                <w:color w:val="000000"/>
                <w:szCs w:val="20"/>
              </w:rPr>
              <w:t>7</w:t>
            </w:r>
          </w:p>
        </w:tc>
        <w:tc>
          <w:tcPr>
            <w:tcW w:w="1610" w:type="dxa"/>
          </w:tcPr>
          <w:p w14:paraId="0272CFE3" w14:textId="4DD40FEB" w:rsidR="00C07E2A" w:rsidRDefault="00C07E2A" w:rsidP="00C07E2A">
            <w:pPr>
              <w:spacing w:line="276" w:lineRule="auto"/>
              <w:jc w:val="center"/>
              <w:rPr>
                <w:rFonts w:eastAsia="Arial Unicode MS" w:cs="Arial Unicode MS"/>
                <w:color w:val="000000"/>
                <w:szCs w:val="20"/>
              </w:rPr>
            </w:pPr>
            <w:r w:rsidRPr="00C32A15">
              <w:t>1</w:t>
            </w:r>
          </w:p>
        </w:tc>
        <w:tc>
          <w:tcPr>
            <w:tcW w:w="1934" w:type="dxa"/>
          </w:tcPr>
          <w:p w14:paraId="099DF163" w14:textId="783C8D74" w:rsidR="00C07E2A" w:rsidRDefault="005C19D5" w:rsidP="00C07E2A">
            <w:pPr>
              <w:spacing w:line="276" w:lineRule="auto"/>
              <w:jc w:val="center"/>
              <w:rPr>
                <w:rFonts w:eastAsia="Arial Unicode MS" w:cs="Arial Unicode MS"/>
                <w:color w:val="000000"/>
                <w:szCs w:val="20"/>
              </w:rPr>
            </w:pPr>
            <w:r>
              <w:t>3</w:t>
            </w:r>
          </w:p>
        </w:tc>
        <w:tc>
          <w:tcPr>
            <w:tcW w:w="1838" w:type="dxa"/>
          </w:tcPr>
          <w:p w14:paraId="0B42261B" w14:textId="42F7D74F" w:rsidR="00C07E2A" w:rsidRDefault="005C19D5" w:rsidP="00C07E2A">
            <w:pPr>
              <w:spacing w:line="276" w:lineRule="auto"/>
              <w:jc w:val="center"/>
              <w:rPr>
                <w:rFonts w:eastAsia="Arial Unicode MS" w:cs="Arial Unicode MS"/>
                <w:color w:val="000000"/>
                <w:szCs w:val="20"/>
              </w:rPr>
            </w:pPr>
            <w:r>
              <w:t>3</w:t>
            </w:r>
          </w:p>
        </w:tc>
      </w:tr>
    </w:tbl>
    <w:p w14:paraId="3BA4557B" w14:textId="77777777" w:rsidR="002A2147" w:rsidRPr="00B45AA9" w:rsidRDefault="002A2147" w:rsidP="00B45AA9">
      <w:pPr>
        <w:pStyle w:val="BodyText"/>
        <w:spacing w:line="276" w:lineRule="auto"/>
        <w:rPr>
          <w:rFonts w:eastAsia="Arial Unicode MS" w:cs="Arial Unicode MS"/>
          <w:szCs w:val="20"/>
        </w:rPr>
      </w:pPr>
    </w:p>
    <w:p w14:paraId="2A701BF6" w14:textId="77777777" w:rsidR="0013554A" w:rsidRPr="00B45AA9" w:rsidRDefault="000C19AD" w:rsidP="00B45AA9">
      <w:pPr>
        <w:pStyle w:val="Heading2"/>
        <w:spacing w:line="276" w:lineRule="auto"/>
        <w:rPr>
          <w:rFonts w:eastAsia="Arial Unicode MS" w:cs="Arial Unicode MS"/>
        </w:rPr>
      </w:pPr>
      <w:r w:rsidRPr="00B45AA9">
        <w:rPr>
          <w:rFonts w:eastAsia="Arial Unicode MS" w:cs="Arial Unicode MS"/>
        </w:rPr>
        <w:lastRenderedPageBreak/>
        <w:t>Hollander b</w:t>
      </w:r>
      <w:r w:rsidR="0013554A" w:rsidRPr="00B45AA9">
        <w:rPr>
          <w:rFonts w:eastAsia="Arial Unicode MS" w:cs="Arial Unicode MS"/>
        </w:rPr>
        <w:t>eater</w:t>
      </w:r>
      <w:r w:rsidRPr="00B45AA9">
        <w:rPr>
          <w:rFonts w:eastAsia="Arial Unicode MS" w:cs="Arial Unicode MS"/>
        </w:rPr>
        <w:t xml:space="preserve"> pretreatment</w:t>
      </w:r>
    </w:p>
    <w:p w14:paraId="29ED82C3" w14:textId="16F61453" w:rsidR="00F3498C" w:rsidRPr="00B45AA9" w:rsidRDefault="008838B1" w:rsidP="00B45AA9">
      <w:pPr>
        <w:spacing w:before="240" w:line="276" w:lineRule="auto"/>
        <w:rPr>
          <w:rFonts w:eastAsia="Arial Unicode MS" w:cs="Arial Unicode MS"/>
          <w:szCs w:val="20"/>
        </w:rPr>
      </w:pPr>
      <w:r w:rsidRPr="00B45AA9">
        <w:rPr>
          <w:rFonts w:eastAsia="Arial Unicode MS" w:cs="Arial Unicode MS"/>
          <w:szCs w:val="20"/>
        </w:rPr>
        <w:t xml:space="preserve">The </w:t>
      </w:r>
      <w:r w:rsidR="005364C7" w:rsidRPr="00B45AA9">
        <w:rPr>
          <w:rFonts w:eastAsia="Arial Unicode MS" w:cs="Arial Unicode MS"/>
          <w:szCs w:val="20"/>
        </w:rPr>
        <w:t xml:space="preserve">machine </w:t>
      </w:r>
      <w:r w:rsidR="00296765">
        <w:rPr>
          <w:rFonts w:eastAsia="Arial Unicode MS" w:cs="Arial Unicode MS"/>
          <w:szCs w:val="20"/>
        </w:rPr>
        <w:t>consists of a modified Hollander</w:t>
      </w:r>
      <w:r w:rsidR="005364C7" w:rsidRPr="00B45AA9">
        <w:rPr>
          <w:rFonts w:eastAsia="Arial Unicode MS" w:cs="Arial Unicode MS"/>
          <w:szCs w:val="20"/>
        </w:rPr>
        <w:t xml:space="preserve"> </w:t>
      </w:r>
      <w:r w:rsidR="006E6E53">
        <w:rPr>
          <w:rFonts w:eastAsia="Arial Unicode MS" w:cs="Arial Unicode MS"/>
          <w:szCs w:val="20"/>
        </w:rPr>
        <w:t>beater</w:t>
      </w:r>
      <w:r w:rsidR="005364C7" w:rsidRPr="00B45AA9">
        <w:rPr>
          <w:rFonts w:eastAsia="Arial Unicode MS" w:cs="Arial Unicode MS"/>
          <w:szCs w:val="20"/>
        </w:rPr>
        <w:t xml:space="preserve"> (</w:t>
      </w:r>
      <w:r w:rsidR="002A2147" w:rsidRPr="00B45AA9">
        <w:rPr>
          <w:rFonts w:eastAsia="Arial Unicode MS" w:cs="Arial Unicode MS"/>
          <w:szCs w:val="20"/>
        </w:rPr>
        <w:t>Figure 2</w:t>
      </w:r>
      <w:r w:rsidRPr="00B45AA9">
        <w:rPr>
          <w:rFonts w:eastAsia="Arial Unicode MS" w:cs="Arial Unicode MS"/>
          <w:szCs w:val="20"/>
        </w:rPr>
        <w:t>).</w:t>
      </w:r>
      <w:r w:rsidR="00E64AFC" w:rsidRPr="00B45AA9">
        <w:rPr>
          <w:rFonts w:eastAsia="Arial Unicode MS" w:cs="Arial Unicode MS"/>
          <w:szCs w:val="20"/>
        </w:rPr>
        <w:t xml:space="preserve"> This beater is normally used in the paper industry </w:t>
      </w:r>
      <w:r w:rsidR="00E64AFC"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"ISBN" : "978-9525216080", "author" : [ { "dropping-particle" : "", "family" : "Lumiainen", "given" : "Jorma", "non-dropping-particle" : "", "parse-names" : false, "suffix" : "" } ], "container-title" : "Papermaking, Part 1: Stock Preparation &amp; Wet End", "editor" : [ { "dropping-particle" : "", "family" : "Paulapuro", "given" : "Hannu", "non-dropping-particle" : "", "parse-names" : false, "suffix" : "" } ], "id" : "ITEM-1", "issued" : { "date-parts" : [ [ "2000" ] ] }, "page" : "87-105", "publisher" : "Tappi", "title" : "Refining of chemical pulp", "type" : "chapter" }, "uris" : [ "http://www.mendeley.com/documents/?uuid=a18ec58e-17a2-4d8e-9ce0-17defa4655c2" ] } ], "mendeley" : { "formattedCitation" : "(Lumiainen, 2000)", "plainTextFormattedCitation" : "(Lumiainen, 2000)", "previouslyFormattedCitation" : "(Lumiainen, 2000)" }, "properties" : { "noteIndex" : 0 }, "schema" : "https://github.com/citation-style-language/schema/raw/master/csl-citation.json" }</w:instrText>
      </w:r>
      <w:r w:rsidR="00E64AFC" w:rsidRPr="00B45AA9">
        <w:rPr>
          <w:rFonts w:eastAsia="Arial Unicode MS" w:cs="Arial Unicode MS"/>
          <w:szCs w:val="20"/>
        </w:rPr>
        <w:fldChar w:fldCharType="separate"/>
      </w:r>
      <w:r w:rsidR="00211CB2" w:rsidRPr="00211CB2">
        <w:rPr>
          <w:rFonts w:eastAsia="Arial Unicode MS" w:cs="Arial Unicode MS"/>
          <w:noProof/>
          <w:szCs w:val="20"/>
        </w:rPr>
        <w:t>(Lumiainen, 2000)</w:t>
      </w:r>
      <w:r w:rsidR="00E64AFC" w:rsidRPr="00B45AA9">
        <w:rPr>
          <w:rFonts w:eastAsia="Arial Unicode MS" w:cs="Arial Unicode MS"/>
          <w:szCs w:val="20"/>
        </w:rPr>
        <w:fldChar w:fldCharType="end"/>
      </w:r>
      <w:r w:rsidR="004203EF" w:rsidRPr="00B45AA9">
        <w:rPr>
          <w:rFonts w:eastAsia="Arial Unicode MS" w:cs="Arial Unicode MS"/>
          <w:szCs w:val="20"/>
        </w:rPr>
        <w:t>.</w:t>
      </w:r>
      <w:r w:rsidR="00F3498C" w:rsidRPr="00B45AA9">
        <w:rPr>
          <w:rFonts w:eastAsia="Arial Unicode MS" w:cs="Arial Unicode MS"/>
          <w:szCs w:val="20"/>
        </w:rPr>
        <w:t xml:space="preserve"> Most of the mechanical pretreatment</w:t>
      </w:r>
      <w:r w:rsidR="005F15A6">
        <w:rPr>
          <w:rFonts w:eastAsia="Arial Unicode MS" w:cs="Arial Unicode MS"/>
          <w:szCs w:val="20"/>
        </w:rPr>
        <w:t>s</w:t>
      </w:r>
      <w:r w:rsidR="00F3498C" w:rsidRPr="00B45AA9">
        <w:rPr>
          <w:rFonts w:eastAsia="Arial Unicode MS" w:cs="Arial Unicode MS"/>
          <w:szCs w:val="20"/>
        </w:rPr>
        <w:t xml:space="preserve"> </w:t>
      </w:r>
      <w:r w:rsidR="00B45AA9">
        <w:rPr>
          <w:rFonts w:eastAsia="Arial Unicode MS" w:cs="Arial Unicode MS"/>
          <w:szCs w:val="20"/>
        </w:rPr>
        <w:t xml:space="preserve">can </w:t>
      </w:r>
      <w:r w:rsidR="00425F0E">
        <w:rPr>
          <w:rFonts w:eastAsia="Arial Unicode MS" w:cs="Arial Unicode MS"/>
          <w:szCs w:val="20"/>
        </w:rPr>
        <w:t xml:space="preserve">be done in </w:t>
      </w:r>
      <w:r w:rsidR="00F3498C" w:rsidRPr="00B45AA9">
        <w:rPr>
          <w:rFonts w:eastAsia="Arial Unicode MS" w:cs="Arial Unicode MS"/>
          <w:szCs w:val="20"/>
        </w:rPr>
        <w:t>existing facilities previously used for other purposes and other materials</w:t>
      </w:r>
      <w:r w:rsidR="005F15A6">
        <w:rPr>
          <w:rFonts w:eastAsia="Arial Unicode MS" w:cs="Arial Unicode MS"/>
          <w:szCs w:val="20"/>
        </w:rPr>
        <w:t>.</w:t>
      </w:r>
      <w:r w:rsidR="00F3498C" w:rsidRPr="00B45AA9">
        <w:rPr>
          <w:rFonts w:eastAsia="Arial Unicode MS" w:cs="Arial Unicode MS"/>
          <w:szCs w:val="20"/>
        </w:rPr>
        <w:t xml:space="preserve"> </w:t>
      </w:r>
      <w:r w:rsidR="00453143">
        <w:rPr>
          <w:rFonts w:eastAsia="Arial Unicode MS" w:cs="Arial Unicode MS"/>
          <w:szCs w:val="20"/>
        </w:rPr>
        <w:t xml:space="preserve">This </w:t>
      </w:r>
      <w:r w:rsidR="00453143" w:rsidRPr="00B45AA9">
        <w:rPr>
          <w:rFonts w:eastAsia="Arial Unicode MS" w:cs="Arial Unicode MS"/>
          <w:szCs w:val="20"/>
        </w:rPr>
        <w:t>is</w:t>
      </w:r>
      <w:r w:rsidR="00B45AA9">
        <w:rPr>
          <w:rFonts w:eastAsia="Arial Unicode MS" w:cs="Arial Unicode MS"/>
          <w:szCs w:val="20"/>
        </w:rPr>
        <w:t xml:space="preserve"> a great advantage as </w:t>
      </w:r>
      <w:r w:rsidR="00E26424">
        <w:rPr>
          <w:rFonts w:eastAsia="Arial Unicode MS" w:cs="Arial Unicode MS"/>
          <w:szCs w:val="20"/>
        </w:rPr>
        <w:t>these facilities</w:t>
      </w:r>
      <w:r w:rsidR="00425F0E">
        <w:rPr>
          <w:rFonts w:eastAsia="Arial Unicode MS" w:cs="Arial Unicode MS"/>
          <w:szCs w:val="20"/>
        </w:rPr>
        <w:t xml:space="preserve"> </w:t>
      </w:r>
      <w:r w:rsidR="00B45AA9">
        <w:rPr>
          <w:rFonts w:eastAsia="Arial Unicode MS" w:cs="Arial Unicode MS"/>
          <w:szCs w:val="20"/>
        </w:rPr>
        <w:t xml:space="preserve">only need </w:t>
      </w:r>
      <w:r w:rsidR="00B45AA9" w:rsidRPr="00B45AA9">
        <w:rPr>
          <w:rFonts w:eastAsia="Arial Unicode MS" w:cs="Arial Unicode MS"/>
          <w:szCs w:val="20"/>
        </w:rPr>
        <w:t>with minor changes or adjustments</w:t>
      </w:r>
      <w:r w:rsidR="00425F0E">
        <w:rPr>
          <w:rFonts w:eastAsia="Arial Unicode MS" w:cs="Arial Unicode MS"/>
          <w:szCs w:val="20"/>
        </w:rPr>
        <w:t xml:space="preserve"> in order to </w:t>
      </w:r>
      <w:r w:rsidR="00E26424">
        <w:rPr>
          <w:rFonts w:eastAsia="Arial Unicode MS" w:cs="Arial Unicode MS"/>
          <w:szCs w:val="20"/>
        </w:rPr>
        <w:t>use</w:t>
      </w:r>
      <w:r w:rsidR="00425F0E">
        <w:rPr>
          <w:rFonts w:eastAsia="Arial Unicode MS" w:cs="Arial Unicode MS"/>
          <w:szCs w:val="20"/>
        </w:rPr>
        <w:t xml:space="preserve"> them in the biomass pretreatment process</w:t>
      </w:r>
      <w:r w:rsidR="00B45AA9">
        <w:rPr>
          <w:rFonts w:eastAsia="Arial Unicode MS" w:cs="Arial Unicode MS"/>
          <w:szCs w:val="20"/>
        </w:rPr>
        <w:t xml:space="preserve">. </w:t>
      </w:r>
    </w:p>
    <w:p w14:paraId="17BE36E1" w14:textId="7B815137" w:rsidR="002A2147" w:rsidRPr="00B45AA9" w:rsidRDefault="00667D96" w:rsidP="00B45AA9">
      <w:pPr>
        <w:spacing w:after="240" w:line="276" w:lineRule="auto"/>
        <w:rPr>
          <w:rFonts w:eastAsia="Arial Unicode MS" w:cs="Arial Unicode MS"/>
          <w:szCs w:val="20"/>
        </w:rPr>
      </w:pPr>
      <w:r w:rsidRPr="00116BF7">
        <w:t>T</w:t>
      </w:r>
      <w:r w:rsidR="00A52C6E" w:rsidRPr="00116BF7">
        <w:t xml:space="preserve">he </w:t>
      </w:r>
      <w:r w:rsidRPr="00116BF7">
        <w:t>feedstock</w:t>
      </w:r>
      <w:r w:rsidR="00A52C6E" w:rsidRPr="00116BF7">
        <w:t xml:space="preserve"> </w:t>
      </w:r>
      <w:r w:rsidRPr="00116BF7">
        <w:t>is</w:t>
      </w:r>
      <w:r w:rsidR="00A52C6E" w:rsidRPr="00116BF7">
        <w:t xml:space="preserve"> exposed to the shear action </w:t>
      </w:r>
      <w:r w:rsidR="00E2391E">
        <w:t xml:space="preserve">in the beater, </w:t>
      </w:r>
      <w:r w:rsidR="004203EF" w:rsidRPr="00116BF7">
        <w:rPr>
          <w:rFonts w:eastAsia="Arial Unicode MS" w:cs="Arial Unicode MS"/>
          <w:szCs w:val="20"/>
        </w:rPr>
        <w:t xml:space="preserve">blades and grooves exercise </w:t>
      </w:r>
      <w:r w:rsidR="004203EF" w:rsidRPr="00B45AA9">
        <w:rPr>
          <w:rFonts w:eastAsia="Arial Unicode MS" w:cs="Arial Unicode MS"/>
          <w:szCs w:val="20"/>
        </w:rPr>
        <w:t>a cutting action while the high pressure and speed reached under the drum beat</w:t>
      </w:r>
      <w:r w:rsidR="008454B7">
        <w:rPr>
          <w:rFonts w:eastAsia="Arial Unicode MS" w:cs="Arial Unicode MS"/>
          <w:szCs w:val="20"/>
        </w:rPr>
        <w:t>s</w:t>
      </w:r>
      <w:r w:rsidR="004203EF" w:rsidRPr="00B45AA9">
        <w:rPr>
          <w:rFonts w:eastAsia="Arial Unicode MS" w:cs="Arial Unicode MS"/>
          <w:szCs w:val="20"/>
        </w:rPr>
        <w:t xml:space="preserve"> the mixture.</w:t>
      </w:r>
      <w:r w:rsidR="00E2391E">
        <w:rPr>
          <w:rFonts w:eastAsia="Arial Unicode MS" w:cs="Arial Unicode MS"/>
          <w:szCs w:val="20"/>
        </w:rPr>
        <w:t xml:space="preserve"> </w:t>
      </w:r>
      <w:r w:rsidR="008838B1" w:rsidRPr="00B45AA9">
        <w:rPr>
          <w:rFonts w:eastAsia="Arial Unicode MS" w:cs="Arial Unicode MS"/>
          <w:szCs w:val="20"/>
        </w:rPr>
        <w:t>The biomass should be soaked</w:t>
      </w:r>
      <w:r w:rsidR="00600551" w:rsidRPr="00B45AA9">
        <w:rPr>
          <w:rFonts w:eastAsia="Arial Unicode MS" w:cs="Arial Unicode MS"/>
          <w:szCs w:val="20"/>
        </w:rPr>
        <w:t xml:space="preserve"> prior its treatment in the beater</w:t>
      </w:r>
      <w:r w:rsidR="004203EF" w:rsidRPr="00B45AA9">
        <w:rPr>
          <w:rFonts w:eastAsia="Arial Unicode MS" w:cs="Arial Unicode MS"/>
          <w:szCs w:val="20"/>
        </w:rPr>
        <w:t>, in the case of paper as it is a thin and absorbent m</w:t>
      </w:r>
      <w:r w:rsidR="003C34E4">
        <w:rPr>
          <w:rFonts w:eastAsia="Arial Unicode MS" w:cs="Arial Unicode MS"/>
          <w:szCs w:val="20"/>
        </w:rPr>
        <w:t>aterial, it can be soaked for one</w:t>
      </w:r>
      <w:r w:rsidR="004203EF" w:rsidRPr="00B45AA9">
        <w:rPr>
          <w:rFonts w:eastAsia="Arial Unicode MS" w:cs="Arial Unicode MS"/>
          <w:szCs w:val="20"/>
        </w:rPr>
        <w:t xml:space="preserve"> hour</w:t>
      </w:r>
      <w:r w:rsidR="00F3498C" w:rsidRPr="00B45AA9">
        <w:rPr>
          <w:rFonts w:eastAsia="Arial Unicode MS" w:cs="Arial Unicode MS"/>
          <w:szCs w:val="20"/>
        </w:rPr>
        <w:t xml:space="preserve"> </w:t>
      </w:r>
      <w:r w:rsidR="00F3498C" w:rsidRPr="00B45AA9">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"author" : [ { "dropping-particle" : "", "family" : "Cerda", "given" : "Manuel", "non-dropping-particle" : "", "parse-names" : false, "suffix" : "" } ], "edition" : "First", "id" : "ITEM-1", "issued" : { "date-parts" : [ [ "2008" ] ] }, "number-of-pages" : "2", "publisher" : "Universitat de Valencia", "publisher-place" : "Valencia", "title" : "Arqueologia industrial", "type" : "book" }, "uris" : [ "http://www.mendeley.com/documents/?uuid=042c70a9-0652-4fa1-a6a6-19c49dae5fbf" ] }, { "id" : "ITEM-2", "itemData" : { "abstract" : "In this paper we explore current access to and barriers to health information for consumers. We discuss how computers and other developments in information technology are ushering in the era of consumer health informatics, and the potential that lies ahead. It is clear that we witness a period in which the public will have unprecedented ability to access information and to participate actively in evidence-based health care. We propose that consumer health informatics be regarded as a whole new academic discipline, one that should be devoted to the exploration of the new possibilities that informatics is creating for consumers in relation to health and health care issues.", "author" : [ { "dropping-particle" : "", "family" : "Osorio", "given" : "Gaston Amavi", "non-dropping-particle" : "", "parse-names" : false, "suffix" : "" } ], "id" : "ITEM-2", "issued" : { "date-parts" : [ [ "2010" ] ] }, "publisher" : "Universidad Austral de Chile", "title" : "An\u00e1lisis FMECA a sistema de posicionamiento de platinas de refinadora de pulpa de papel dise\u00f1ada para papelera Gubelin Ltda.", "type" : "thesis" }, "uris" : [ "http://www.mendeley.com/documents/?uuid=51a24edd-0364-4cd1-87af-0e8a11ef60fe" ] } ], "mendeley" : { "formattedCitation" : "(Cerda, 2008; Osorio, 2010)", "plainTextFormattedCitation" : "(Cerda, 2008; Osorio, 2010)", "previouslyFormattedCitation" : "(Cerda, 2008; Osorio, 2010)" }, "properties" : { "noteIndex" : 0 }, "schema" : "https://github.com/citation-style-language/schema/raw/master/csl-citation.json" }</w:instrText>
      </w:r>
      <w:r w:rsidR="00F3498C" w:rsidRPr="00B45AA9">
        <w:rPr>
          <w:rFonts w:eastAsia="Arial Unicode MS" w:cs="Arial Unicode MS"/>
          <w:szCs w:val="20"/>
        </w:rPr>
        <w:fldChar w:fldCharType="separate"/>
      </w:r>
      <w:r w:rsidR="00211CB2" w:rsidRPr="00211CB2">
        <w:rPr>
          <w:rFonts w:eastAsia="Arial Unicode MS" w:cs="Arial Unicode MS"/>
          <w:noProof/>
          <w:szCs w:val="20"/>
        </w:rPr>
        <w:t>(Cerda, 2008; Osorio, 2010)</w:t>
      </w:r>
      <w:r w:rsidR="00F3498C" w:rsidRPr="00B45AA9">
        <w:rPr>
          <w:rFonts w:eastAsia="Arial Unicode MS" w:cs="Arial Unicode MS"/>
          <w:szCs w:val="20"/>
        </w:rPr>
        <w:fldChar w:fldCharType="end"/>
      </w:r>
      <w:r w:rsidR="004203EF" w:rsidRPr="00B45AA9">
        <w:rPr>
          <w:rFonts w:eastAsia="Arial Unicode MS" w:cs="Arial Unicode MS"/>
          <w:szCs w:val="20"/>
        </w:rPr>
        <w:t>.</w:t>
      </w:r>
      <w:r w:rsidR="008838B1" w:rsidRPr="00B45AA9">
        <w:rPr>
          <w:rFonts w:eastAsia="Arial Unicode MS" w:cs="Arial Unicode MS"/>
          <w:szCs w:val="20"/>
        </w:rPr>
        <w:t xml:space="preserve"> The capacity of the beater is about </w:t>
      </w:r>
      <w:r w:rsidR="00643593">
        <w:rPr>
          <w:rFonts w:eastAsia="Arial Unicode MS" w:cs="Arial Unicode MS"/>
          <w:szCs w:val="20"/>
        </w:rPr>
        <w:t>1 kg</w:t>
      </w:r>
      <w:r w:rsidR="008838B1" w:rsidRPr="00B45AA9">
        <w:rPr>
          <w:rFonts w:eastAsia="Arial Unicode MS" w:cs="Arial Unicode MS"/>
          <w:szCs w:val="20"/>
        </w:rPr>
        <w:t xml:space="preserve"> of dry biomass, but this can vary depending upon the type of feedstock</w:t>
      </w:r>
      <w:r w:rsidR="00600551" w:rsidRPr="00B45AA9">
        <w:rPr>
          <w:rFonts w:eastAsia="Arial Unicode MS" w:cs="Arial Unicode MS"/>
          <w:szCs w:val="20"/>
        </w:rPr>
        <w:t xml:space="preserve">. </w:t>
      </w:r>
    </w:p>
    <w:p w14:paraId="15D597DA" w14:textId="77777777" w:rsidR="005F4E7F" w:rsidRDefault="002A2147" w:rsidP="005F4E7F">
      <w:pPr>
        <w:keepNext/>
        <w:spacing w:before="100" w:beforeAutospacing="1" w:after="100" w:afterAutospacing="1" w:line="276" w:lineRule="auto"/>
        <w:jc w:val="center"/>
      </w:pPr>
      <w:r w:rsidRPr="00B45AA9">
        <w:rPr>
          <w:rFonts w:eastAsia="Arial Unicode MS" w:cs="Arial Unicode MS"/>
          <w:noProof/>
          <w:color w:val="FF0000"/>
          <w:szCs w:val="20"/>
          <w:lang w:eastAsia="en-GB"/>
        </w:rPr>
        <w:drawing>
          <wp:inline distT="0" distB="0" distL="0" distR="0" wp14:anchorId="7DAB8412" wp14:editId="59EB0CC4">
            <wp:extent cx="4587822" cy="303474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2058"/>
                    <a:stretch/>
                  </pic:blipFill>
                  <pic:spPr bwMode="auto">
                    <a:xfrm>
                      <a:off x="0" y="0"/>
                      <a:ext cx="4607088" cy="3047492"/>
                    </a:xfrm>
                    <a:prstGeom prst="rect">
                      <a:avLst/>
                    </a:prstGeom>
                    <a:noFill/>
                    <a:ln>
                      <a:noFill/>
                    </a:ln>
                    <a:extLst>
                      <a:ext uri="{53640926-AAD7-44D8-BBD7-CCE9431645EC}">
                        <a14:shadowObscured xmlns:a14="http://schemas.microsoft.com/office/drawing/2010/main"/>
                      </a:ext>
                    </a:extLst>
                  </pic:spPr>
                </pic:pic>
              </a:graphicData>
            </a:graphic>
          </wp:inline>
        </w:drawing>
      </w:r>
    </w:p>
    <w:p w14:paraId="3AA2D94F" w14:textId="30E13CED" w:rsidR="002A2147" w:rsidRPr="005F4E7F" w:rsidRDefault="005F4E7F" w:rsidP="005F4E7F">
      <w:pPr>
        <w:pStyle w:val="Caption"/>
        <w:rPr>
          <w:color w:val="FF0000"/>
          <w:szCs w:val="20"/>
        </w:rPr>
      </w:pPr>
      <w:r>
        <w:t xml:space="preserve">Figure </w:t>
      </w:r>
      <w:r>
        <w:fldChar w:fldCharType="begin"/>
      </w:r>
      <w:r>
        <w:instrText xml:space="preserve"> SEQ Figure \* ARABIC </w:instrText>
      </w:r>
      <w:r>
        <w:fldChar w:fldCharType="separate"/>
      </w:r>
      <w:r w:rsidR="001C364E">
        <w:rPr>
          <w:noProof/>
        </w:rPr>
        <w:t>2</w:t>
      </w:r>
      <w:r>
        <w:fldChar w:fldCharType="end"/>
      </w:r>
      <w:r w:rsidR="002A2147" w:rsidRPr="007D044B">
        <w:rPr>
          <w:b w:val="0"/>
          <w:szCs w:val="20"/>
        </w:rPr>
        <w:t>.</w:t>
      </w:r>
      <w:r w:rsidR="002A2147" w:rsidRPr="00B45AA9">
        <w:rPr>
          <w:szCs w:val="20"/>
        </w:rPr>
        <w:t xml:space="preserve"> </w:t>
      </w:r>
      <w:r w:rsidR="002A2147" w:rsidRPr="005F4E7F">
        <w:rPr>
          <w:b w:val="0"/>
          <w:szCs w:val="20"/>
        </w:rPr>
        <w:t>Hollander beater in operation wit</w:t>
      </w:r>
      <w:r w:rsidR="009A2C3E">
        <w:rPr>
          <w:b w:val="0"/>
          <w:szCs w:val="20"/>
        </w:rPr>
        <w:t>h waste paper.</w:t>
      </w:r>
    </w:p>
    <w:p w14:paraId="791D6E99" w14:textId="0411C2B8" w:rsidR="00C143A6" w:rsidRPr="00B45AA9" w:rsidRDefault="00890196" w:rsidP="00B45AA9">
      <w:pPr>
        <w:spacing w:before="100" w:beforeAutospacing="1" w:after="100" w:afterAutospacing="1" w:line="276" w:lineRule="auto"/>
        <w:rPr>
          <w:rFonts w:eastAsia="Arial Unicode MS" w:cs="Arial Unicode MS"/>
          <w:szCs w:val="20"/>
        </w:rPr>
      </w:pPr>
      <w:r w:rsidRPr="00B45AA9">
        <w:rPr>
          <w:rFonts w:eastAsia="Arial Unicode MS" w:cs="Arial Unicode MS"/>
          <w:szCs w:val="20"/>
        </w:rPr>
        <w:t>Samples were taken at 3</w:t>
      </w:r>
      <w:r w:rsidR="004719CA">
        <w:rPr>
          <w:rFonts w:eastAsia="Arial Unicode MS" w:cs="Arial Unicode MS"/>
          <w:szCs w:val="20"/>
        </w:rPr>
        <w:t>0</w:t>
      </w:r>
      <w:r w:rsidRPr="00B45AA9">
        <w:rPr>
          <w:rFonts w:eastAsia="Arial Unicode MS" w:cs="Arial Unicode MS"/>
          <w:szCs w:val="20"/>
        </w:rPr>
        <w:t xml:space="preserve"> and 6</w:t>
      </w:r>
      <w:r w:rsidR="004719CA">
        <w:rPr>
          <w:rFonts w:eastAsia="Arial Unicode MS" w:cs="Arial Unicode MS"/>
          <w:szCs w:val="20"/>
        </w:rPr>
        <w:t>0 min</w:t>
      </w:r>
      <w:r w:rsidRPr="00B45AA9">
        <w:rPr>
          <w:rFonts w:eastAsia="Arial Unicode MS" w:cs="Arial Unicode MS"/>
          <w:szCs w:val="20"/>
        </w:rPr>
        <w:t xml:space="preserve"> of beating pretreatment.</w:t>
      </w:r>
      <w:r w:rsidR="008838B1" w:rsidRPr="00B45AA9">
        <w:rPr>
          <w:rFonts w:eastAsia="Arial Unicode MS" w:cs="Arial Unicode MS"/>
          <w:szCs w:val="20"/>
        </w:rPr>
        <w:t xml:space="preserve"> </w:t>
      </w:r>
      <w:r w:rsidRPr="00B45AA9">
        <w:rPr>
          <w:rFonts w:eastAsia="Arial Unicode MS" w:cs="Arial Unicode MS"/>
          <w:szCs w:val="20"/>
        </w:rPr>
        <w:t>The samples were taken from the bend before the bladed drum in the middle of both the width and height of the channel to take the most representative sample.</w:t>
      </w:r>
    </w:p>
    <w:p w14:paraId="5C2222E5" w14:textId="40BCDFD3" w:rsidR="0013554A" w:rsidRPr="00B45AA9" w:rsidRDefault="00B573FA" w:rsidP="00B45AA9">
      <w:pPr>
        <w:pStyle w:val="Heading2"/>
        <w:spacing w:before="240" w:line="276" w:lineRule="auto"/>
        <w:rPr>
          <w:rFonts w:eastAsia="Arial Unicode MS" w:cs="Arial Unicode MS"/>
        </w:rPr>
      </w:pPr>
      <w:r>
        <w:rPr>
          <w:rFonts w:eastAsia="Arial Unicode MS" w:cs="Arial Unicode MS"/>
        </w:rPr>
        <w:lastRenderedPageBreak/>
        <w:t>Experimental set-up</w:t>
      </w:r>
    </w:p>
    <w:p w14:paraId="464DF237" w14:textId="6C491C52" w:rsidR="00935BC1" w:rsidRPr="00B45AA9" w:rsidRDefault="0013554A" w:rsidP="00B45AA9">
      <w:pPr>
        <w:spacing w:before="240" w:after="100" w:afterAutospacing="1" w:line="276" w:lineRule="auto"/>
        <w:rPr>
          <w:rFonts w:eastAsia="Arial Unicode MS" w:cs="Arial Unicode MS"/>
          <w:szCs w:val="20"/>
        </w:rPr>
      </w:pPr>
      <w:r w:rsidRPr="00B45AA9">
        <w:rPr>
          <w:rFonts w:eastAsia="Arial Unicode MS" w:cs="Arial Unicode MS"/>
          <w:szCs w:val="20"/>
        </w:rPr>
        <w:t>The bioreactor</w:t>
      </w:r>
      <w:r w:rsidR="00890196" w:rsidRPr="00B45AA9">
        <w:rPr>
          <w:rFonts w:eastAsia="Arial Unicode MS" w:cs="Arial Unicode MS"/>
          <w:szCs w:val="20"/>
        </w:rPr>
        <w:t>s consist</w:t>
      </w:r>
      <w:r w:rsidR="00AC0C30" w:rsidRPr="00B45AA9">
        <w:rPr>
          <w:rFonts w:eastAsia="Arial Unicode MS" w:cs="Arial Unicode MS"/>
          <w:szCs w:val="20"/>
        </w:rPr>
        <w:t>ed</w:t>
      </w:r>
      <w:r w:rsidRPr="00B45AA9">
        <w:rPr>
          <w:rFonts w:eastAsia="Arial Unicode MS" w:cs="Arial Unicode MS"/>
          <w:szCs w:val="20"/>
        </w:rPr>
        <w:t xml:space="preserve"> of </w:t>
      </w:r>
      <w:r w:rsidR="00556FFB" w:rsidRPr="00B45AA9">
        <w:rPr>
          <w:rFonts w:eastAsia="Arial Unicode MS" w:cs="Arial Unicode MS"/>
          <w:szCs w:val="20"/>
        </w:rPr>
        <w:t>500</w:t>
      </w:r>
      <w:r w:rsidR="00B073F3">
        <w:rPr>
          <w:rFonts w:eastAsia="Arial Unicode MS" w:cs="Arial Unicode MS"/>
          <w:szCs w:val="20"/>
        </w:rPr>
        <w:t xml:space="preserve"> </w:t>
      </w:r>
      <w:r w:rsidR="00556FFB" w:rsidRPr="00B45AA9">
        <w:rPr>
          <w:rFonts w:eastAsia="Arial Unicode MS" w:cs="Arial Unicode MS"/>
          <w:szCs w:val="20"/>
        </w:rPr>
        <w:t>ml Erlenmeyer flasks with working volume of 400</w:t>
      </w:r>
      <w:r w:rsidR="00B073F3">
        <w:rPr>
          <w:rFonts w:eastAsia="Arial Unicode MS" w:cs="Arial Unicode MS"/>
          <w:szCs w:val="20"/>
        </w:rPr>
        <w:t xml:space="preserve"> </w:t>
      </w:r>
      <w:r w:rsidR="00556FFB" w:rsidRPr="00B45AA9">
        <w:rPr>
          <w:rFonts w:eastAsia="Arial Unicode MS" w:cs="Arial Unicode MS"/>
          <w:szCs w:val="20"/>
        </w:rPr>
        <w:t xml:space="preserve">ml </w:t>
      </w:r>
      <w:r w:rsidRPr="00B45AA9">
        <w:rPr>
          <w:rFonts w:eastAsia="Arial Unicode MS" w:cs="Arial Unicode MS"/>
          <w:szCs w:val="20"/>
        </w:rPr>
        <w:t xml:space="preserve">connected through a system of valves and plastic pipes to airtight </w:t>
      </w:r>
      <w:r w:rsidR="00556FFB" w:rsidRPr="00B45AA9">
        <w:rPr>
          <w:rFonts w:eastAsia="Arial Unicode MS" w:cs="Arial Unicode MS"/>
          <w:szCs w:val="20"/>
        </w:rPr>
        <w:t>Linde PLASTIGAS</w:t>
      </w:r>
      <w:r w:rsidRPr="00B45AA9">
        <w:rPr>
          <w:rFonts w:eastAsia="Arial Unicode MS" w:cs="Arial Unicode MS"/>
          <w:szCs w:val="20"/>
        </w:rPr>
        <w:t xml:space="preserve"> bags for biogas collection (</w:t>
      </w:r>
      <w:r w:rsidR="00890196" w:rsidRPr="00B45AA9">
        <w:rPr>
          <w:rFonts w:eastAsia="Arial Unicode MS" w:cs="Arial Unicode MS"/>
          <w:szCs w:val="20"/>
        </w:rPr>
        <w:t>Figure 3</w:t>
      </w:r>
      <w:r w:rsidRPr="00B45AA9">
        <w:rPr>
          <w:rFonts w:eastAsia="Arial Unicode MS" w:cs="Arial Unicode MS"/>
          <w:szCs w:val="20"/>
        </w:rPr>
        <w:t>). To clear up any trace of oxygen from the system and preserve the a</w:t>
      </w:r>
      <w:r w:rsidR="00AC0C30" w:rsidRPr="00B45AA9">
        <w:rPr>
          <w:rFonts w:eastAsia="Arial Unicode MS" w:cs="Arial Unicode MS"/>
          <w:szCs w:val="20"/>
        </w:rPr>
        <w:t>naerobic conditions, nitrogen was</w:t>
      </w:r>
      <w:r w:rsidRPr="00B45AA9">
        <w:rPr>
          <w:rFonts w:eastAsia="Arial Unicode MS" w:cs="Arial Unicode MS"/>
          <w:szCs w:val="20"/>
        </w:rPr>
        <w:t xml:space="preserve"> flushed </w:t>
      </w:r>
      <w:r w:rsidR="005F15A6">
        <w:rPr>
          <w:rFonts w:eastAsia="Arial Unicode MS" w:cs="Arial Unicode MS"/>
          <w:szCs w:val="20"/>
        </w:rPr>
        <w:t xml:space="preserve">into the reactors headspace during 5 min and then removed. This operation was done three </w:t>
      </w:r>
      <w:r w:rsidR="002462F1">
        <w:rPr>
          <w:rFonts w:eastAsia="Arial Unicode MS" w:cs="Arial Unicode MS"/>
          <w:szCs w:val="20"/>
        </w:rPr>
        <w:t xml:space="preserve">times. </w:t>
      </w:r>
      <w:r w:rsidR="00AC0C30" w:rsidRPr="00B45AA9">
        <w:rPr>
          <w:rFonts w:eastAsia="Arial Unicode MS" w:cs="Arial Unicode MS"/>
          <w:szCs w:val="20"/>
        </w:rPr>
        <w:t>The reactors were</w:t>
      </w:r>
      <w:r w:rsidRPr="00B45AA9">
        <w:rPr>
          <w:rFonts w:eastAsia="Arial Unicode MS" w:cs="Arial Unicode MS"/>
          <w:szCs w:val="20"/>
        </w:rPr>
        <w:t xml:space="preserve"> </w:t>
      </w:r>
      <w:r w:rsidR="00B8416E" w:rsidRPr="00B45AA9">
        <w:rPr>
          <w:rFonts w:eastAsia="Arial Unicode MS" w:cs="Arial Unicode MS"/>
          <w:szCs w:val="20"/>
        </w:rPr>
        <w:t>placed in a water-bath to keep a mesophilic temperature of</w:t>
      </w:r>
      <w:r w:rsidRPr="00B45AA9">
        <w:rPr>
          <w:rFonts w:eastAsia="Arial Unicode MS" w:cs="Arial Unicode MS"/>
          <w:szCs w:val="20"/>
        </w:rPr>
        <w:t xml:space="preserve"> 37°C.</w:t>
      </w:r>
    </w:p>
    <w:p w14:paraId="5D6BC225" w14:textId="77777777" w:rsidR="005F4E7F" w:rsidRDefault="00CC248B" w:rsidP="005F4E7F">
      <w:pPr>
        <w:keepNext/>
        <w:spacing w:line="276" w:lineRule="auto"/>
        <w:jc w:val="center"/>
      </w:pPr>
      <w:r w:rsidRPr="00B45AA9">
        <w:rPr>
          <w:rFonts w:eastAsia="Arial Unicode MS" w:cs="Arial Unicode MS"/>
          <w:noProof/>
          <w:szCs w:val="20"/>
          <w:lang w:eastAsia="en-GB"/>
        </w:rPr>
        <w:drawing>
          <wp:inline distT="0" distB="0" distL="0" distR="0" wp14:anchorId="0AE38A28" wp14:editId="5637E6D0">
            <wp:extent cx="4488469" cy="2544417"/>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517" cy="2559183"/>
                    </a:xfrm>
                    <a:prstGeom prst="rect">
                      <a:avLst/>
                    </a:prstGeom>
                    <a:noFill/>
                    <a:ln>
                      <a:noFill/>
                    </a:ln>
                  </pic:spPr>
                </pic:pic>
              </a:graphicData>
            </a:graphic>
          </wp:inline>
        </w:drawing>
      </w:r>
    </w:p>
    <w:p w14:paraId="27418794" w14:textId="2AABDF20" w:rsidR="00CC248B" w:rsidRPr="00B45AA9" w:rsidRDefault="005F4E7F" w:rsidP="005F4E7F">
      <w:pPr>
        <w:pStyle w:val="Caption"/>
        <w:rPr>
          <w:szCs w:val="20"/>
        </w:rPr>
      </w:pPr>
      <w:r>
        <w:t xml:space="preserve">Figure </w:t>
      </w:r>
      <w:r>
        <w:fldChar w:fldCharType="begin"/>
      </w:r>
      <w:r>
        <w:instrText xml:space="preserve"> SEQ Figure \* ARABIC </w:instrText>
      </w:r>
      <w:r>
        <w:fldChar w:fldCharType="separate"/>
      </w:r>
      <w:r w:rsidR="001C364E">
        <w:rPr>
          <w:noProof/>
        </w:rPr>
        <w:t>3</w:t>
      </w:r>
      <w:r>
        <w:fldChar w:fldCharType="end"/>
      </w:r>
      <w:r>
        <w:t xml:space="preserve">. </w:t>
      </w:r>
      <w:r w:rsidR="00B45AA9" w:rsidRPr="005F4E7F">
        <w:rPr>
          <w:b w:val="0"/>
          <w:szCs w:val="20"/>
        </w:rPr>
        <w:t>Anaerobic r</w:t>
      </w:r>
      <w:r w:rsidR="00CC248B" w:rsidRPr="005F4E7F">
        <w:rPr>
          <w:b w:val="0"/>
          <w:szCs w:val="20"/>
        </w:rPr>
        <w:t xml:space="preserve">eactors with </w:t>
      </w:r>
      <w:r w:rsidR="00B45AA9" w:rsidRPr="005F4E7F">
        <w:rPr>
          <w:b w:val="0"/>
          <w:szCs w:val="20"/>
        </w:rPr>
        <w:t xml:space="preserve">biogas </w:t>
      </w:r>
      <w:r w:rsidR="00CC248B" w:rsidRPr="005F4E7F">
        <w:rPr>
          <w:b w:val="0"/>
          <w:szCs w:val="20"/>
        </w:rPr>
        <w:t>collection systems.</w:t>
      </w:r>
    </w:p>
    <w:p w14:paraId="35706413" w14:textId="5A6C64F2" w:rsidR="00A7551B" w:rsidRPr="00A7551B" w:rsidRDefault="00A7551B" w:rsidP="00A7551B">
      <w:pPr>
        <w:spacing w:before="240" w:line="276" w:lineRule="auto"/>
        <w:rPr>
          <w:rFonts w:eastAsia="Arial Unicode MS" w:cs="Arial Unicode MS"/>
          <w:szCs w:val="20"/>
        </w:rPr>
      </w:pPr>
      <w:r w:rsidRPr="009177E5">
        <w:rPr>
          <w:rFonts w:eastAsia="Arial Unicode MS" w:cs="Arial Unicode MS"/>
          <w:szCs w:val="20"/>
        </w:rPr>
        <w:t xml:space="preserve">Reactors were fed with a fixed amount of 200ml of sludge (inoculum), </w:t>
      </w:r>
      <w:r>
        <w:rPr>
          <w:rFonts w:eastAsia="Arial Unicode MS" w:cs="Arial Unicode MS"/>
          <w:szCs w:val="20"/>
        </w:rPr>
        <w:t xml:space="preserve">while different </w:t>
      </w:r>
      <w:r w:rsidRPr="009177E5">
        <w:rPr>
          <w:rFonts w:eastAsia="Arial Unicode MS" w:cs="Arial Unicode MS"/>
          <w:szCs w:val="20"/>
        </w:rPr>
        <w:t>quantit</w:t>
      </w:r>
      <w:r>
        <w:rPr>
          <w:rFonts w:eastAsia="Arial Unicode MS" w:cs="Arial Unicode MS"/>
          <w:szCs w:val="20"/>
        </w:rPr>
        <w:t xml:space="preserve">ies of pulp (beated </w:t>
      </w:r>
      <w:r w:rsidRPr="00A7551B">
        <w:rPr>
          <w:rFonts w:eastAsia="Arial Unicode MS" w:cs="Arial Unicode MS"/>
          <w:szCs w:val="20"/>
        </w:rPr>
        <w:t>paper) were required to have different F/I ratios as (0.3, 0.5 and 0.7). The pH was adjusted to 7.00</w:t>
      </w:r>
      <w:r w:rsidRPr="00A7551B">
        <w:rPr>
          <w:rFonts w:eastAsia="Arial Unicode MS" w:cs="Arial Unicode MS" w:hint="eastAsia"/>
          <w:szCs w:val="20"/>
        </w:rPr>
        <w:t>±</w:t>
      </w:r>
      <w:r w:rsidRPr="00A7551B">
        <w:rPr>
          <w:rFonts w:eastAsia="Arial Unicode MS" w:cs="Arial Unicode MS"/>
          <w:szCs w:val="20"/>
        </w:rPr>
        <w:t>0.15 with potassium dihydrogen phosphate (KDP) as a buffer solution. The reactors corresponding t</w:t>
      </w:r>
      <w:r w:rsidR="00AF7E61">
        <w:rPr>
          <w:rFonts w:eastAsia="Arial Unicode MS" w:cs="Arial Unicode MS"/>
          <w:szCs w:val="20"/>
        </w:rPr>
        <w:t>o the untreated samples were fe</w:t>
      </w:r>
      <w:r w:rsidRPr="00A7551B">
        <w:rPr>
          <w:rFonts w:eastAsia="Arial Unicode MS" w:cs="Arial Unicode MS"/>
          <w:szCs w:val="20"/>
        </w:rPr>
        <w:t xml:space="preserve">d with shredded paper. In order to assess the inoculum contribution to the methane production, control batches were prepared in the same way except for the </w:t>
      </w:r>
      <w:r w:rsidR="0040383A" w:rsidRPr="00A7551B">
        <w:rPr>
          <w:rFonts w:eastAsia="Arial Unicode MS" w:cs="Arial Unicode MS"/>
          <w:szCs w:val="20"/>
        </w:rPr>
        <w:t>paper</w:t>
      </w:r>
      <w:r w:rsidRPr="00A7551B">
        <w:rPr>
          <w:rFonts w:eastAsia="Arial Unicode MS" w:cs="Arial Unicode MS"/>
          <w:szCs w:val="20"/>
        </w:rPr>
        <w:t xml:space="preserve"> addition. Flasks were daily shaken during the process in order to favour the degasification of the substrate and the contact between the biomass and the inoculum. Each test was conducted </w:t>
      </w:r>
      <w:r w:rsidR="005C19D5">
        <w:rPr>
          <w:rFonts w:eastAsia="Arial Unicode MS" w:cs="Arial Unicode MS"/>
          <w:szCs w:val="20"/>
        </w:rPr>
        <w:t>by duplicated</w:t>
      </w:r>
      <w:r w:rsidRPr="00A7551B">
        <w:rPr>
          <w:rFonts w:eastAsia="Arial Unicode MS" w:cs="Arial Unicode MS"/>
          <w:szCs w:val="20"/>
        </w:rPr>
        <w:t>, and the average results were reported in this paper.</w:t>
      </w:r>
    </w:p>
    <w:p w14:paraId="138D326F" w14:textId="6BF51477" w:rsidR="0013554A" w:rsidRPr="00B45AA9" w:rsidRDefault="00AC0C30" w:rsidP="00B45AA9">
      <w:pPr>
        <w:spacing w:before="240" w:line="276" w:lineRule="auto"/>
        <w:rPr>
          <w:rFonts w:eastAsia="Arial Unicode MS" w:cs="Arial Unicode MS"/>
          <w:szCs w:val="20"/>
        </w:rPr>
      </w:pPr>
      <w:r w:rsidRPr="00A7551B">
        <w:rPr>
          <w:rFonts w:eastAsia="Arial Unicode MS" w:cs="Arial Unicode MS"/>
          <w:szCs w:val="20"/>
        </w:rPr>
        <w:t>For gas volume measurement was used</w:t>
      </w:r>
      <w:r w:rsidRPr="00B45AA9">
        <w:rPr>
          <w:rFonts w:eastAsia="Arial Unicode MS" w:cs="Arial Unicode MS"/>
          <w:szCs w:val="20"/>
        </w:rPr>
        <w:t xml:space="preserve"> a graduated upside-down cylinder connected to a bubbling flask in order to maintain the necessary oxygen-free conditions and avoid air infiltrations.</w:t>
      </w:r>
      <w:r w:rsidR="009C7CAC">
        <w:rPr>
          <w:rFonts w:eastAsia="Arial Unicode MS" w:cs="Arial Unicode MS"/>
          <w:szCs w:val="20"/>
        </w:rPr>
        <w:t xml:space="preserve"> </w:t>
      </w:r>
      <w:r w:rsidR="009C7CAC">
        <w:t>A gas</w:t>
      </w:r>
      <w:r w:rsidR="009C7CAC" w:rsidRPr="009A5133">
        <w:t xml:space="preserve"> analyser (Drager X-Am 7000</w:t>
      </w:r>
      <w:r w:rsidR="009C7CAC">
        <w:t>.) was used to</w:t>
      </w:r>
      <w:r w:rsidR="009C7CAC">
        <w:rPr>
          <w:rFonts w:eastAsia="Arial Unicode MS" w:cs="Arial Unicode MS"/>
          <w:szCs w:val="20"/>
        </w:rPr>
        <w:t xml:space="preserve"> </w:t>
      </w:r>
      <w:r w:rsidR="009C7CAC">
        <w:t>determine</w:t>
      </w:r>
      <w:r w:rsidR="009C7CAC" w:rsidRPr="0098167C">
        <w:t xml:space="preserve"> </w:t>
      </w:r>
      <w:r w:rsidR="009C7CAC">
        <w:t xml:space="preserve">the </w:t>
      </w:r>
      <w:r w:rsidR="009C7CAC" w:rsidRPr="0098167C">
        <w:t>biochemical composition of the obtained biogas</w:t>
      </w:r>
      <w:r w:rsidR="009C7CAC">
        <w:t xml:space="preserve"> </w:t>
      </w:r>
      <w:r w:rsidR="00F03EDC" w:rsidRPr="00B45AA9">
        <w:rPr>
          <w:rFonts w:eastAsia="Arial Unicode MS" w:cs="Arial Unicode MS"/>
          <w:szCs w:val="20"/>
        </w:rPr>
        <w:t>The digestion was stopped according</w:t>
      </w:r>
      <w:r w:rsidR="005F15A6">
        <w:rPr>
          <w:rFonts w:eastAsia="Arial Unicode MS" w:cs="Arial Unicode MS"/>
          <w:szCs w:val="20"/>
        </w:rPr>
        <w:t xml:space="preserve"> to </w:t>
      </w:r>
      <w:r w:rsidR="005F15A6" w:rsidRPr="00B45AA9">
        <w:rPr>
          <w:rFonts w:eastAsia="Arial Unicode MS" w:cs="Arial Unicode MS"/>
          <w:szCs w:val="20"/>
        </w:rPr>
        <w:t xml:space="preserve"> </w:t>
      </w:r>
      <w:r w:rsidR="005F15A6" w:rsidRPr="00B45AA9">
        <w:rPr>
          <w:rFonts w:eastAsia="Arial Unicode MS" w:cs="Arial Unicode MS"/>
          <w:szCs w:val="20"/>
        </w:rPr>
        <w:fldChar w:fldCharType="begin" w:fldLock="1"/>
      </w:r>
      <w:r w:rsidR="005F15A6">
        <w:rPr>
          <w:rFonts w:eastAsia="Arial Unicode MS" w:cs="Arial Unicode MS"/>
          <w:szCs w:val="20"/>
        </w:rPr>
        <w:instrText>ADDIN CSL_CITATION { "citationItems" : [ { "id" : "ITEM-1", "itemData" : { "abstract" : "In recent years there has been a considerable increase in the production and use of biogas as a result of the Renewable Energy Sources Act. This act applies not only to installations which include co-fermentation (that is, simultaneous fermentation of material flows of different origins) but also to systems for the mono- fermentation of particular material flows (such as semi-liquid manure). In the design and operational optimization of installations of this kind, reference is generally made to the operating results obtained from corresponding fermentation and other tests \u2013 together with data and information from existing plants as also the practical experience gained from these. However, results from the fermentation tests which have so far been conducted in the laboratory cannot simply be interpreted since these tests are often based on different test conditions and in some cases certain terms have not as yet been clearly demarcated from each other. On the other hand, the results obtained by various institutions (some of which have also been published) for certain parameters characterizing the fermenting properties of the substrates available can- not in most cases be compared directly \u2013 this is on ac- count of the frequently different methods and proce- dures used for measuring one and the same material parameter. In addition it should be mentioned that bi- ogas substrates are often described differently by dif- ferent people, thus making it more difficult for the processor and the supplier of such materials to com- municate efficiently. Another problem area is that it is not possible to obtain comparable results unless sam- ples defined as representative by standard guidelines are taken from the corresponding material flows. These shortcomings and the frequent non-compara- bility of results constrain a more extensive biogas production and utilization and thus hinder further ex- pansion of the market in this sector. As a contribution to remedying this unfortunate situation the present guideline provides rules and instructions for practical use which offer possible solutions for and informa- tion about the unresolved questions addressed. Not until installations for biogas generation and utiliza- tion can be planned, constructed and run in the me- dium term as professionally and successfully as the established conventional energy installations \u2013 and here a reliable database permitting description and characterization of the material flows used is the e\u2026", "author" : [ { "dropping-particle" : "", "family" : "VDI-Gesellschaft Energietechnik", "given" : "", "non-dropping-particle" : "", "parse-names" : false, "suffix" : "" } ], "id" : "ITEM-1", "issued" : { "date-parts" : [ [ "2006" ] ] }, "publisher" : "VDI-Gesellschaft Energietechnik", "publisher-place" : "Dusseldorf", "title" : "Fermentation of organic materials Characterisation of the substrate, sampling, collection of material data, fermentation tests", "type" : "report" }, "uris" : [ "http://www.mendeley.com/documents/?uuid=d4219b5f-ff00-4eae-8c01-8a413cbbdddb" ] } ], "mendeley" : { "formattedCitation" : "(VDI-Gesellschaft Energietechnik, 2006)", "plainTextFormattedCitation" : "(VDI-Gesellschaft Energietechnik, 2006)", "previouslyFormattedCitation" : "(VDI-Gesellschaft Energietechnik, 2006)" }, "properties" : { "noteIndex" : 0 }, "schema" : "https://github.com/citation-style-language/schema/raw/master/csl-citation.json" }</w:instrText>
      </w:r>
      <w:r w:rsidR="005F15A6" w:rsidRPr="00B45AA9">
        <w:rPr>
          <w:rFonts w:eastAsia="Arial Unicode MS" w:cs="Arial Unicode MS"/>
          <w:szCs w:val="20"/>
        </w:rPr>
        <w:fldChar w:fldCharType="separate"/>
      </w:r>
      <w:r w:rsidR="005F15A6" w:rsidRPr="00211CB2">
        <w:rPr>
          <w:rFonts w:eastAsia="Arial Unicode MS" w:cs="Arial Unicode MS"/>
          <w:noProof/>
          <w:szCs w:val="20"/>
        </w:rPr>
        <w:t>(VDI-Gesellschaft Energietechnik, 2006)</w:t>
      </w:r>
      <w:r w:rsidR="005F15A6" w:rsidRPr="00B45AA9">
        <w:rPr>
          <w:rFonts w:eastAsia="Arial Unicode MS" w:cs="Arial Unicode MS"/>
          <w:szCs w:val="20"/>
        </w:rPr>
        <w:fldChar w:fldCharType="end"/>
      </w:r>
      <w:r w:rsidR="00F03EDC" w:rsidRPr="00B45AA9">
        <w:rPr>
          <w:rFonts w:eastAsia="Arial Unicode MS" w:cs="Arial Unicode MS"/>
          <w:szCs w:val="20"/>
        </w:rPr>
        <w:t xml:space="preserve"> when the </w:t>
      </w:r>
      <w:r w:rsidR="005F15A6">
        <w:rPr>
          <w:rFonts w:eastAsia="Arial Unicode MS" w:cs="Arial Unicode MS"/>
          <w:szCs w:val="20"/>
        </w:rPr>
        <w:t xml:space="preserve">daily </w:t>
      </w:r>
      <w:r w:rsidR="00F03EDC" w:rsidRPr="00B45AA9">
        <w:rPr>
          <w:rFonts w:eastAsia="Arial Unicode MS" w:cs="Arial Unicode MS"/>
          <w:szCs w:val="20"/>
        </w:rPr>
        <w:t xml:space="preserve">biogas </w:t>
      </w:r>
      <w:r w:rsidR="00F03EDC" w:rsidRPr="00B45AA9">
        <w:rPr>
          <w:rFonts w:eastAsia="Arial Unicode MS" w:cs="Arial Unicode MS"/>
          <w:szCs w:val="20"/>
        </w:rPr>
        <w:lastRenderedPageBreak/>
        <w:t>production rate was found to be less than 1%</w:t>
      </w:r>
      <w:r w:rsidRPr="00B45AA9">
        <w:rPr>
          <w:rFonts w:eastAsia="Arial Unicode MS" w:cs="Arial Unicode MS"/>
          <w:szCs w:val="20"/>
        </w:rPr>
        <w:t xml:space="preserve"> of the overall volume produced.</w:t>
      </w:r>
      <w:r w:rsidR="00F03EDC" w:rsidRPr="00B45AA9">
        <w:rPr>
          <w:rFonts w:eastAsia="Arial Unicode MS" w:cs="Arial Unicode MS"/>
          <w:szCs w:val="20"/>
        </w:rPr>
        <w:t xml:space="preserve"> </w:t>
      </w:r>
      <w:r w:rsidR="00B8416E" w:rsidRPr="00B45AA9">
        <w:rPr>
          <w:rFonts w:eastAsia="Arial Unicode MS" w:cs="Arial Unicode MS"/>
          <w:szCs w:val="20"/>
        </w:rPr>
        <w:t>The biogas volumes are given for a dry gas in standard conditions of temperature (</w:t>
      </w:r>
      <w:r w:rsidRPr="00B45AA9">
        <w:rPr>
          <w:rFonts w:eastAsia="Arial Unicode MS" w:cs="Arial Unicode MS"/>
          <w:szCs w:val="20"/>
        </w:rPr>
        <w:t>0</w:t>
      </w:r>
      <w:r w:rsidR="00630269" w:rsidRPr="00B45AA9">
        <w:rPr>
          <w:rFonts w:eastAsia="Arial Unicode MS" w:cs="Arial Unicode MS"/>
          <w:szCs w:val="20"/>
        </w:rPr>
        <w:t>°C) and pressure (1 atm).</w:t>
      </w:r>
      <w:r w:rsidR="0011724F" w:rsidRPr="00B45AA9">
        <w:rPr>
          <w:rFonts w:eastAsia="Arial Unicode MS" w:cs="Arial Unicode MS"/>
          <w:szCs w:val="20"/>
        </w:rPr>
        <w:t xml:space="preserve"> </w:t>
      </w:r>
      <w:r w:rsidR="00955C8D" w:rsidRPr="00C04932">
        <w:t xml:space="preserve">As the biogas produced is saturated with water vapour, the water content was removed from the results as well. </w:t>
      </w:r>
      <w:r w:rsidR="00955C8D" w:rsidRPr="00C43D0D">
        <w:rPr>
          <w:rFonts w:eastAsia="Arial Unicode MS" w:cs="Arial Unicode MS"/>
          <w:szCs w:val="20"/>
        </w:rPr>
        <w:t xml:space="preserve"> The inoculum contribution to biogas production was never higher </w:t>
      </w:r>
      <w:r w:rsidR="00955C8D" w:rsidRPr="00625C45">
        <w:rPr>
          <w:rFonts w:eastAsia="Arial Unicode MS" w:cs="Arial Unicode MS"/>
          <w:szCs w:val="20"/>
        </w:rPr>
        <w:t>than 10%</w:t>
      </w:r>
    </w:p>
    <w:p w14:paraId="2AD497A1" w14:textId="77777777" w:rsidR="00B45AA9" w:rsidRPr="00B45AA9" w:rsidRDefault="0013554A" w:rsidP="00B45AA9">
      <w:pPr>
        <w:pStyle w:val="Heading2"/>
        <w:spacing w:after="240" w:line="276" w:lineRule="auto"/>
        <w:rPr>
          <w:rFonts w:eastAsia="Arial Unicode MS"/>
        </w:rPr>
      </w:pPr>
      <w:r w:rsidRPr="00B45AA9">
        <w:rPr>
          <w:rFonts w:eastAsia="Arial Unicode MS"/>
        </w:rPr>
        <w:t xml:space="preserve">Design of </w:t>
      </w:r>
      <w:r w:rsidRPr="00B45AA9">
        <w:t>experiments</w:t>
      </w:r>
    </w:p>
    <w:p w14:paraId="38C9C405" w14:textId="4A2600CB" w:rsidR="001079D4" w:rsidRDefault="0013554A" w:rsidP="00A87E01">
      <w:pPr>
        <w:spacing w:line="276" w:lineRule="auto"/>
      </w:pPr>
      <w:r w:rsidRPr="00B45AA9">
        <w:rPr>
          <w:rFonts w:eastAsia="Arial Unicode MS" w:cs="Arial Unicode MS"/>
          <w:szCs w:val="20"/>
        </w:rPr>
        <w:t xml:space="preserve">The </w:t>
      </w:r>
      <w:r w:rsidR="00A26B9B" w:rsidRPr="00B45AA9">
        <w:rPr>
          <w:rFonts w:eastAsia="Arial Unicode MS" w:cs="Arial Unicode MS"/>
          <w:szCs w:val="20"/>
        </w:rPr>
        <w:t>experiment was</w:t>
      </w:r>
      <w:r w:rsidRPr="00B45AA9">
        <w:rPr>
          <w:rFonts w:eastAsia="Arial Unicode MS" w:cs="Arial Unicode MS"/>
          <w:szCs w:val="20"/>
        </w:rPr>
        <w:t xml:space="preserve"> planned according to a response surface methodology (RSM) fo</w:t>
      </w:r>
      <w:r w:rsidR="00A26B9B" w:rsidRPr="00B45AA9">
        <w:rPr>
          <w:rFonts w:eastAsia="Arial Unicode MS" w:cs="Arial Unicode MS"/>
          <w:szCs w:val="20"/>
        </w:rPr>
        <w:t xml:space="preserve">r two factors, beating time and </w:t>
      </w:r>
      <w:r w:rsidR="00643593">
        <w:rPr>
          <w:rFonts w:eastAsia="Arial Unicode MS" w:cs="Arial Unicode MS"/>
          <w:szCs w:val="20"/>
        </w:rPr>
        <w:t>F/I ratio</w:t>
      </w:r>
      <w:r w:rsidRPr="00B45AA9">
        <w:rPr>
          <w:rFonts w:eastAsia="Arial Unicode MS" w:cs="Arial Unicode MS"/>
          <w:szCs w:val="20"/>
        </w:rPr>
        <w:t xml:space="preserve"> wi</w:t>
      </w:r>
      <w:r w:rsidR="00A26B9B" w:rsidRPr="00B45AA9">
        <w:rPr>
          <w:rFonts w:eastAsia="Arial Unicode MS" w:cs="Arial Unicode MS"/>
          <w:szCs w:val="20"/>
        </w:rPr>
        <w:t>th three levels; the response was</w:t>
      </w:r>
      <w:r w:rsidRPr="00B45AA9">
        <w:rPr>
          <w:rFonts w:eastAsia="Arial Unicode MS" w:cs="Arial Unicode MS"/>
          <w:szCs w:val="20"/>
        </w:rPr>
        <w:t xml:space="preserve"> the biogas product</w:t>
      </w:r>
      <w:r w:rsidR="003C34E4">
        <w:rPr>
          <w:rFonts w:eastAsia="Arial Unicode MS" w:cs="Arial Unicode MS"/>
          <w:szCs w:val="20"/>
        </w:rPr>
        <w:t>ion per</w:t>
      </w:r>
      <w:r w:rsidR="00A26B9B" w:rsidRPr="00B45AA9">
        <w:rPr>
          <w:rFonts w:eastAsia="Arial Unicode MS" w:cs="Arial Unicode MS"/>
          <w:szCs w:val="20"/>
        </w:rPr>
        <w:t xml:space="preserve"> g of </w:t>
      </w:r>
      <w:r w:rsidR="00393996">
        <w:rPr>
          <w:rFonts w:eastAsia="Arial Unicode MS" w:cs="Arial Unicode MS"/>
          <w:szCs w:val="20"/>
        </w:rPr>
        <w:t>volatile solids (VS)</w:t>
      </w:r>
      <w:r w:rsidRPr="00B45AA9">
        <w:rPr>
          <w:rFonts w:eastAsia="Arial Unicode MS" w:cs="Arial Unicode MS"/>
          <w:szCs w:val="20"/>
        </w:rPr>
        <w:t xml:space="preserve">. </w:t>
      </w:r>
      <w:r w:rsidR="00457AB0">
        <w:t>RSM is characterized by high adherence to the experimental data describing the reality being studied, the method captures accurate efficient approxima</w:t>
      </w:r>
      <w:r w:rsidR="00C079E5">
        <w:t>tions for accurate data</w:t>
      </w:r>
      <w:r w:rsidR="00457AB0">
        <w:t xml:space="preserve"> from numerical or practical experiments at discrete data points in the design space </w:t>
      </w:r>
      <w:r w:rsidR="00457AB0">
        <w:fldChar w:fldCharType="begin" w:fldLock="1"/>
      </w:r>
      <w:r w:rsidR="00C079E5">
        <w:instrText>ADDIN CSL_CITATION { "citationItems" : [ { "id" : "ITEM-1", "itemData" : { "DOI" : "10.1016/j.advengsoft.2007.03.012", "ISSN" : "09659978", "author" : [ { "dropping-particle" : "", "family" : "Benyounis", "given" : "K.Y.", "non-dropping-particle" : "", "parse-names" : false, "suffix" : "" }, { "dropping-particle" : "", "family" : "Olabi", "given" : "A.G.", "non-dropping-particle" : "", "parse-names" : false, "suffix" : "" } ], "container-title" : "Advances in Engineering Software", "id" : "ITEM-1", "issue" : "6", "issued" : { "date-parts" : [ [ "2008", "6" ] ] }, "page" : "483-496", "title" : "Optimization of different welding processes using statistical and numerical approaches \u2013 A reference guide", "type" : "article-journal", "volume" : "39" }, "uris" : [ "http://www.mendeley.com/documents/?uuid=241df7b3-a722-383c-869c-881013849e2b" ] } ], "mendeley" : { "formattedCitation" : "(Benyounis and Olabi, 2008)", "plainTextFormattedCitation" : "(Benyounis and Olabi, 2008)", "previouslyFormattedCitation" : "(Benyounis and Olabi, 2008)" }, "properties" : { "noteIndex" : 0 }, "schema" : "https://github.com/citation-style-language/schema/raw/master/csl-citation.json" }</w:instrText>
      </w:r>
      <w:r w:rsidR="00457AB0">
        <w:fldChar w:fldCharType="separate"/>
      </w:r>
      <w:r w:rsidR="00457AB0" w:rsidRPr="00457AB0">
        <w:rPr>
          <w:noProof/>
        </w:rPr>
        <w:t>(Benyounis and Olabi, 2008)</w:t>
      </w:r>
      <w:r w:rsidR="00457AB0">
        <w:fldChar w:fldCharType="end"/>
      </w:r>
      <w:r w:rsidR="00C079E5">
        <w:t>. Moreover,</w:t>
      </w:r>
      <w:r w:rsidR="00C079E5" w:rsidRPr="0048172F">
        <w:t xml:space="preserve"> RSM </w:t>
      </w:r>
      <w:r w:rsidR="00C079E5">
        <w:t>methods are able</w:t>
      </w:r>
      <w:r w:rsidR="00C079E5" w:rsidRPr="0048172F">
        <w:t xml:space="preserve"> to exhibit the factor contributions from the coefficients in the regression mo</w:t>
      </w:r>
      <w:r w:rsidR="00C079E5">
        <w:t>del and identify</w:t>
      </w:r>
      <w:r w:rsidR="00C079E5" w:rsidRPr="0048172F">
        <w:t xml:space="preserve"> the insignifican</w:t>
      </w:r>
      <w:r w:rsidR="00C079E5">
        <w:t xml:space="preserve">t factors </w:t>
      </w:r>
      <w:r w:rsidR="00C079E5" w:rsidRPr="0048172F">
        <w:t>and thereby can reduce the complexity of the problem</w:t>
      </w:r>
      <w:r w:rsidR="00C079E5">
        <w:t xml:space="preserve"> </w:t>
      </w:r>
      <w:r w:rsidR="00C079E5">
        <w:fldChar w:fldCharType="begin" w:fldLock="1"/>
      </w:r>
      <w:r w:rsidR="00A87E01">
        <w:instrText>ADDIN CSL_CITATION { "citationItems" : [ { "id" : "ITEM-1", "itemData" : { "DOI" : "10.1016/j.energy.2016.10.132", "ISSN" : "03605442", "abstract" : "The European Commission opened a discussion about limiting first generation food based biofuels in favour of advanced biofuels. The main reason was to limit the uncertainty in estimates of indirect land use change emissions (ILUC) of food based biofuels. Brown seaweeds represent a valuable solution. The lack of lignin makes them suitable for degradation processes such as anaerobic digestion (AD). The main output of AD is biogas which can be upgraded to biomethane and used as a transport fuel. The most common Irish brown seaweeds namely Laminaria sp. and Ascophyllum nodosum were subject to AD. The effects of beating pretreatment time (5\u201310\u201315\u00a0min) and changes in the seaweeds volatile solids (VS) concentration (1\u20132.5\u20134%) on methane production were investigated through a response surface methodology (RSM). Laminaria sp. showed the highest methane yield of 240\u00a0ml\u00a0CH4\u00a0g\u22121 VS when the pretreatment time was set at 15\u00a0min and at VS concentration of 2.5%. In the case of Ascophyllum nodosum, the best yield of 169\u00a0mL\u00a0CH4\u00a0g\u22121 VS was found at the longest pretreatment time tested and at the minimum concentration of VS. The RSM analysis revealed that the VS concentration had the strongest impact on the methane yield.", "author" : [ { "dropping-particle" : "", "family" : "Montingelli", "given" : "M.E.", "non-dropping-particle" : "", "parse-names" : false, "suffix" : "" }, { "dropping-particle" : "", "family" : "Benyounis", "given" : "K.Y.", "non-dropping-particle" : "", "parse-names" : false, "suffix" : "" }, { "dropping-particle" : "", "family" : "Quilty", "given" : "B.", "non-dropping-particle" : "", "parse-names" : false, "suffix" : "" }, { "dropping-particle" : "", "family" : "Stokes", "given" : "J.", "non-dropping-particle" : "", "parse-names" : false, "suffix" : "" }, { "dropping-particle" : "", "family" : "Olabi", "given" : "A.G.", "non-dropping-particle" : "", "parse-names" : false, "suffix" : "" } ], "container-title" : "Energy", "id" : "ITEM-1", "issued" : { "date-parts" : [ [ "2017" ] ] }, "page" : "1079-1089", "title" : "Influence of mechanical pretreatment and organic concentration of Irish brown seaweed for methane production", "type" : "article-journal", "volume" : "118" }, "uris" : [ "http://www.mendeley.com/documents/?uuid=4888977e-c1d2-3337-b7fd-af6f896ef171" ] } ], "mendeley" : { "formattedCitation" : "(Montingelli et al., 2017)", "plainTextFormattedCitation" : "(Montingelli et al., 2017)", "previouslyFormattedCitation" : "(Montingelli et al., 2017)" }, "properties" : { "noteIndex" : 0 }, "schema" : "https://github.com/citation-style-language/schema/raw/master/csl-citation.json" }</w:instrText>
      </w:r>
      <w:r w:rsidR="00C079E5">
        <w:fldChar w:fldCharType="separate"/>
      </w:r>
      <w:r w:rsidR="00A87E01" w:rsidRPr="00A87E01">
        <w:rPr>
          <w:noProof/>
        </w:rPr>
        <w:t>(Montingelli et al., 2017)</w:t>
      </w:r>
      <w:r w:rsidR="00C079E5">
        <w:fldChar w:fldCharType="end"/>
      </w:r>
      <w:r w:rsidR="00C079E5">
        <w:t xml:space="preserve">. </w:t>
      </w:r>
      <w:r w:rsidR="00C767BF" w:rsidRPr="00B45AA9">
        <w:rPr>
          <w:rFonts w:eastAsia="Arial Unicode MS" w:cs="Arial Unicode MS"/>
          <w:szCs w:val="20"/>
        </w:rPr>
        <w:t>R</w:t>
      </w:r>
      <w:r w:rsidR="00C767BF" w:rsidRPr="00B45AA9">
        <w:rPr>
          <w:rStyle w:val="current-selection"/>
          <w:rFonts w:eastAsia="Arial Unicode MS" w:cs="Arial Unicode MS"/>
          <w:spacing w:val="1"/>
          <w:szCs w:val="20"/>
        </w:rPr>
        <w:t>esponse</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surface</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methodology</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consists</w:t>
      </w:r>
      <w:r w:rsidR="00C767BF" w:rsidRPr="00B45AA9">
        <w:rPr>
          <w:rFonts w:eastAsia="Arial Unicode MS" w:cs="Arial Unicode MS"/>
          <w:szCs w:val="20"/>
        </w:rPr>
        <w:t xml:space="preserve"> </w:t>
      </w:r>
      <w:r w:rsidR="00C767BF" w:rsidRPr="00B45AA9">
        <w:rPr>
          <w:rStyle w:val="current-selection"/>
          <w:rFonts w:eastAsia="Arial Unicode MS" w:cs="Arial Unicode MS"/>
          <w:szCs w:val="20"/>
        </w:rPr>
        <w:t>of</w:t>
      </w:r>
      <w:r w:rsidR="00C767BF" w:rsidRPr="00B45AA9">
        <w:rPr>
          <w:rStyle w:val="a"/>
          <w:rFonts w:eastAsia="Arial Unicode MS" w:cs="Arial Unicode MS"/>
          <w:szCs w:val="20"/>
        </w:rPr>
        <w:t xml:space="preserve"> </w:t>
      </w:r>
      <w:r w:rsidR="00C767BF" w:rsidRPr="00B45AA9">
        <w:rPr>
          <w:rStyle w:val="current-selection"/>
          <w:rFonts w:eastAsia="Arial Unicode MS" w:cs="Arial Unicode MS"/>
          <w:szCs w:val="20"/>
        </w:rPr>
        <w:t>a</w:t>
      </w:r>
      <w:r w:rsidR="00C767BF" w:rsidRPr="00B45AA9">
        <w:rPr>
          <w:rStyle w:val="a"/>
          <w:rFonts w:eastAsia="Arial Unicode MS" w:cs="Arial Unicode MS"/>
          <w:szCs w:val="20"/>
        </w:rPr>
        <w:t xml:space="preserve"> </w:t>
      </w:r>
      <w:r w:rsidR="00C767BF" w:rsidRPr="00B45AA9">
        <w:rPr>
          <w:rStyle w:val="current-selection"/>
          <w:rFonts w:eastAsia="Arial Unicode MS" w:cs="Arial Unicode MS"/>
          <w:szCs w:val="20"/>
        </w:rPr>
        <w:t>group</w:t>
      </w:r>
      <w:r w:rsidR="00C767BF" w:rsidRPr="00B45AA9">
        <w:rPr>
          <w:rStyle w:val="a"/>
          <w:rFonts w:eastAsia="Arial Unicode MS" w:cs="Arial Unicode MS"/>
          <w:szCs w:val="20"/>
        </w:rPr>
        <w:t xml:space="preserve"> </w:t>
      </w:r>
      <w:r w:rsidR="00C767BF" w:rsidRPr="00B45AA9">
        <w:rPr>
          <w:rStyle w:val="current-selection"/>
          <w:rFonts w:eastAsia="Arial Unicode MS" w:cs="Arial Unicode MS"/>
          <w:szCs w:val="20"/>
        </w:rPr>
        <w:t>of</w:t>
      </w:r>
      <w:r w:rsidR="00C767BF" w:rsidRPr="00B45AA9">
        <w:rPr>
          <w:rStyle w:val="a"/>
          <w:rFonts w:eastAsia="Arial Unicode MS" w:cs="Arial Unicode MS"/>
          <w:szCs w:val="20"/>
        </w:rPr>
        <w:t xml:space="preserve"> </w:t>
      </w:r>
      <w:r w:rsidR="00C767BF" w:rsidRPr="00B45AA9">
        <w:rPr>
          <w:rStyle w:val="current-selection"/>
          <w:rFonts w:eastAsia="Arial Unicode MS" w:cs="Arial Unicode MS"/>
          <w:szCs w:val="20"/>
        </w:rPr>
        <w:t>mathematical</w:t>
      </w:r>
      <w:r w:rsidR="00C767BF" w:rsidRPr="00B45AA9">
        <w:rPr>
          <w:rStyle w:val="a"/>
          <w:rFonts w:eastAsia="Arial Unicode MS" w:cs="Arial Unicode MS"/>
          <w:szCs w:val="20"/>
        </w:rPr>
        <w:t xml:space="preserve"> </w:t>
      </w:r>
      <w:r w:rsidR="00C767BF" w:rsidRPr="00B45AA9">
        <w:rPr>
          <w:rStyle w:val="current-selection"/>
          <w:rFonts w:eastAsia="Arial Unicode MS" w:cs="Arial Unicode MS"/>
          <w:szCs w:val="20"/>
        </w:rPr>
        <w:t>and</w:t>
      </w:r>
      <w:r w:rsidR="00C767BF" w:rsidRPr="00B45AA9">
        <w:rPr>
          <w:rStyle w:val="a"/>
          <w:rFonts w:eastAsia="Arial Unicode MS" w:cs="Arial Unicode MS"/>
          <w:szCs w:val="20"/>
        </w:rPr>
        <w:t xml:space="preserve"> </w:t>
      </w:r>
      <w:r w:rsidR="00C767BF" w:rsidRPr="00B45AA9">
        <w:rPr>
          <w:rStyle w:val="current-selection"/>
          <w:rFonts w:eastAsia="Arial Unicode MS" w:cs="Arial Unicode MS"/>
          <w:szCs w:val="20"/>
        </w:rPr>
        <w:t>statistical</w:t>
      </w:r>
      <w:r w:rsidR="00C767BF" w:rsidRPr="00B45AA9">
        <w:rPr>
          <w:rFonts w:eastAsia="Arial Unicode MS" w:cs="Arial Unicode MS"/>
          <w:szCs w:val="20"/>
        </w:rPr>
        <w:t xml:space="preserve"> </w:t>
      </w:r>
      <w:r w:rsidR="00C767BF" w:rsidRPr="00B45AA9">
        <w:rPr>
          <w:rStyle w:val="current-selection"/>
          <w:rFonts w:eastAsia="Arial Unicode MS" w:cs="Arial Unicode MS"/>
          <w:spacing w:val="1"/>
          <w:szCs w:val="20"/>
        </w:rPr>
        <w:t>techniques</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used</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in</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the</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development</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of</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an</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adequate</w:t>
      </w:r>
      <w:r w:rsidR="00C767BF" w:rsidRPr="00B45AA9">
        <w:rPr>
          <w:rFonts w:eastAsia="Arial Unicode MS" w:cs="Arial Unicode MS"/>
          <w:szCs w:val="20"/>
        </w:rPr>
        <w:t xml:space="preserve"> </w:t>
      </w:r>
      <w:r w:rsidR="00C767BF" w:rsidRPr="00B45AA9">
        <w:rPr>
          <w:rStyle w:val="current-selection"/>
          <w:rFonts w:eastAsia="Arial Unicode MS" w:cs="Arial Unicode MS"/>
          <w:spacing w:val="1"/>
          <w:szCs w:val="20"/>
        </w:rPr>
        <w:t>functional</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relationship</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between</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a</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response</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of</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interest,</w:t>
      </w:r>
      <w:r w:rsidR="00C767BF" w:rsidRPr="00B45AA9">
        <w:rPr>
          <w:rFonts w:eastAsia="Arial Unicode MS" w:cs="Arial Unicode MS"/>
          <w:szCs w:val="20"/>
        </w:rPr>
        <w:t xml:space="preserve"> </w:t>
      </w:r>
      <w:r w:rsidR="00C767BF" w:rsidRPr="00B45AA9">
        <w:rPr>
          <w:rStyle w:val="current-selection"/>
          <w:rFonts w:eastAsia="Arial Unicode MS" w:cs="Arial Unicode MS"/>
          <w:i/>
          <w:szCs w:val="20"/>
        </w:rPr>
        <w:t>y</w:t>
      </w:r>
      <w:r w:rsidR="00C767BF" w:rsidRPr="00B45AA9">
        <w:rPr>
          <w:rStyle w:val="current-selection"/>
          <w:rFonts w:eastAsia="Arial Unicode MS" w:cs="Arial Unicode MS"/>
          <w:spacing w:val="1"/>
          <w:szCs w:val="20"/>
        </w:rPr>
        <w:t>,</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and</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a</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number</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of</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associated</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control</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(or</w:t>
      </w:r>
      <w:r w:rsidR="00C767BF" w:rsidRPr="00B45AA9">
        <w:rPr>
          <w:rStyle w:val="a"/>
          <w:rFonts w:eastAsia="Arial Unicode MS" w:cs="Arial Unicode MS"/>
          <w:spacing w:val="1"/>
          <w:szCs w:val="20"/>
        </w:rPr>
        <w:t xml:space="preserve"> </w:t>
      </w:r>
      <w:r w:rsidR="00C767BF" w:rsidRPr="00B45AA9">
        <w:rPr>
          <w:rStyle w:val="current-selection"/>
          <w:rFonts w:eastAsia="Arial Unicode MS" w:cs="Arial Unicode MS"/>
          <w:spacing w:val="1"/>
          <w:szCs w:val="20"/>
        </w:rPr>
        <w:t>input)</w:t>
      </w:r>
      <w:r w:rsidR="00C767BF" w:rsidRPr="00B45AA9">
        <w:rPr>
          <w:rFonts w:eastAsia="Arial Unicode MS" w:cs="Arial Unicode MS"/>
          <w:szCs w:val="20"/>
        </w:rPr>
        <w:t xml:space="preserve"> </w:t>
      </w:r>
      <w:r w:rsidR="00C767BF" w:rsidRPr="00B45AA9">
        <w:rPr>
          <w:rStyle w:val="current-selection"/>
          <w:rFonts w:eastAsia="Arial Unicode MS" w:cs="Arial Unicode MS"/>
          <w:szCs w:val="20"/>
        </w:rPr>
        <w:t>variables</w:t>
      </w:r>
      <w:r w:rsidR="00C767BF" w:rsidRPr="00B45AA9">
        <w:rPr>
          <w:rStyle w:val="a"/>
          <w:rFonts w:eastAsia="Arial Unicode MS" w:cs="Arial Unicode MS"/>
          <w:szCs w:val="20"/>
        </w:rPr>
        <w:t xml:space="preserve"> </w:t>
      </w:r>
      <w:r w:rsidR="00C767BF" w:rsidRPr="00B45AA9">
        <w:rPr>
          <w:rStyle w:val="current-selection"/>
          <w:rFonts w:eastAsia="Arial Unicode MS" w:cs="Arial Unicode MS"/>
          <w:szCs w:val="20"/>
        </w:rPr>
        <w:t>denoted by</w:t>
      </w:r>
      <w:r w:rsidR="00C767BF" w:rsidRPr="00B45AA9">
        <w:rPr>
          <w:rStyle w:val="a"/>
          <w:rFonts w:eastAsia="Arial Unicode MS" w:cs="Arial Unicode MS"/>
          <w:szCs w:val="20"/>
        </w:rPr>
        <w:t xml:space="preserve"> </w:t>
      </w:r>
      <w:r w:rsidR="00C767BF" w:rsidRPr="00B45AA9">
        <w:rPr>
          <w:rStyle w:val="ffa"/>
          <w:rFonts w:eastAsia="Arial Unicode MS" w:cs="Arial Unicode MS"/>
          <w:i/>
          <w:szCs w:val="20"/>
        </w:rPr>
        <w:t>x</w:t>
      </w:r>
      <w:r w:rsidR="00C767BF" w:rsidRPr="00B45AA9">
        <w:rPr>
          <w:rStyle w:val="current-selection"/>
          <w:rFonts w:eastAsia="Arial Unicode MS" w:cs="Arial Unicode MS"/>
          <w:i/>
          <w:szCs w:val="20"/>
          <w:vertAlign w:val="subscript"/>
        </w:rPr>
        <w:t>1</w:t>
      </w:r>
      <w:r w:rsidR="00C767BF" w:rsidRPr="00B45AA9">
        <w:rPr>
          <w:rStyle w:val="current-selection"/>
          <w:rFonts w:eastAsia="Arial Unicode MS" w:cs="Arial Unicode MS"/>
          <w:i/>
          <w:szCs w:val="20"/>
        </w:rPr>
        <w:t>,</w:t>
      </w:r>
      <w:r w:rsidR="00C767BF" w:rsidRPr="00B45AA9">
        <w:rPr>
          <w:rStyle w:val="a"/>
          <w:rFonts w:eastAsia="Arial Unicode MS" w:cs="Arial Unicode MS"/>
          <w:i/>
          <w:szCs w:val="20"/>
        </w:rPr>
        <w:t xml:space="preserve"> </w:t>
      </w:r>
      <w:r w:rsidR="00C767BF" w:rsidRPr="00B45AA9">
        <w:rPr>
          <w:rStyle w:val="ffa"/>
          <w:rFonts w:eastAsia="Arial Unicode MS" w:cs="Arial Unicode MS"/>
          <w:i/>
          <w:szCs w:val="20"/>
        </w:rPr>
        <w:t>x</w:t>
      </w:r>
      <w:r w:rsidR="00C767BF" w:rsidRPr="00B45AA9">
        <w:rPr>
          <w:rStyle w:val="current-selection"/>
          <w:rFonts w:eastAsia="Arial Unicode MS" w:cs="Arial Unicode MS"/>
          <w:i/>
          <w:szCs w:val="20"/>
          <w:vertAlign w:val="subscript"/>
        </w:rPr>
        <w:t>2</w:t>
      </w:r>
      <w:r w:rsidR="00C767BF" w:rsidRPr="00B45AA9">
        <w:rPr>
          <w:rStyle w:val="current-selection"/>
          <w:rFonts w:eastAsia="Arial Unicode MS" w:cs="Arial Unicode MS"/>
          <w:i/>
          <w:szCs w:val="20"/>
        </w:rPr>
        <w:t>,</w:t>
      </w:r>
      <w:r w:rsidR="00A26B9B" w:rsidRPr="00B45AA9">
        <w:rPr>
          <w:rStyle w:val="a"/>
          <w:rFonts w:eastAsia="Arial Unicode MS" w:cs="Arial Unicode MS"/>
          <w:i/>
          <w:szCs w:val="20"/>
        </w:rPr>
        <w:t>…</w:t>
      </w:r>
      <w:r w:rsidR="00C767BF" w:rsidRPr="00B45AA9">
        <w:rPr>
          <w:rStyle w:val="current-selection"/>
          <w:rFonts w:eastAsia="Arial Unicode MS" w:cs="Arial Unicode MS"/>
          <w:i/>
          <w:szCs w:val="20"/>
        </w:rPr>
        <w:t>,</w:t>
      </w:r>
      <w:r w:rsidR="00C767BF" w:rsidRPr="00B45AA9">
        <w:rPr>
          <w:rStyle w:val="a"/>
          <w:rFonts w:eastAsia="Arial Unicode MS" w:cs="Arial Unicode MS"/>
          <w:i/>
          <w:szCs w:val="20"/>
        </w:rPr>
        <w:t xml:space="preserve"> </w:t>
      </w:r>
      <w:r w:rsidR="00C767BF" w:rsidRPr="00B45AA9">
        <w:rPr>
          <w:rStyle w:val="ffa"/>
          <w:rFonts w:eastAsia="Arial Unicode MS" w:cs="Arial Unicode MS"/>
          <w:i/>
          <w:szCs w:val="20"/>
        </w:rPr>
        <w:t>x</w:t>
      </w:r>
      <w:r w:rsidR="00C767BF" w:rsidRPr="00B45AA9">
        <w:rPr>
          <w:rStyle w:val="current-selection"/>
          <w:rFonts w:eastAsia="Arial Unicode MS" w:cs="Arial Unicode MS"/>
          <w:i/>
          <w:szCs w:val="20"/>
          <w:vertAlign w:val="subscript"/>
        </w:rPr>
        <w:t>k</w:t>
      </w:r>
      <w:r w:rsidR="00A26B9B" w:rsidRPr="00B45AA9">
        <w:rPr>
          <w:rStyle w:val="current-selection"/>
          <w:rFonts w:eastAsia="Arial Unicode MS" w:cs="Arial Unicode MS"/>
          <w:i/>
          <w:szCs w:val="20"/>
          <w:vertAlign w:val="subscript"/>
        </w:rPr>
        <w:t>.</w:t>
      </w:r>
      <w:r w:rsidR="00A26B9B" w:rsidRPr="00B45AA9">
        <w:rPr>
          <w:rFonts w:eastAsia="Arial Unicode MS" w:cs="Arial Unicode MS"/>
          <w:i/>
          <w:szCs w:val="20"/>
        </w:rPr>
        <w:t xml:space="preserve">. </w:t>
      </w:r>
      <w:r w:rsidR="00E07FF0">
        <w:t>Usually, a secon</w:t>
      </w:r>
      <w:r w:rsidR="00572FD2">
        <w:t>d order polynomial as shown in E</w:t>
      </w:r>
      <w:r w:rsidR="00E07FF0">
        <w:t>qua</w:t>
      </w:r>
      <w:r w:rsidR="00572FD2">
        <w:t>tion 1</w:t>
      </w:r>
      <w:r w:rsidR="00E07FF0">
        <w:t xml:space="preserve"> is used in RSM to describe the true functional relationship between the independent variables and the response surface</w:t>
      </w:r>
      <w:r w:rsidR="00C079E5">
        <w:t>:</w:t>
      </w:r>
    </w:p>
    <w:p w14:paraId="11FE0064" w14:textId="77777777" w:rsidR="00C079E5" w:rsidRPr="00D33581" w:rsidRDefault="00C079E5" w:rsidP="00D33581"/>
    <w:p w14:paraId="2F71C710" w14:textId="5B1E54CB" w:rsidR="00260A5F" w:rsidRPr="009D56D2" w:rsidRDefault="006B0161" w:rsidP="009D56D2">
      <w:pPr>
        <w:pStyle w:val="BodyText"/>
        <w:keepNext/>
        <w:spacing w:after="240" w:line="276" w:lineRule="auto"/>
        <w:jc w:val="right"/>
      </w:pPr>
      <w:r w:rsidRPr="00B45AA9">
        <w:rPr>
          <w:rFonts w:eastAsia="Arial Unicode MS" w:cs="Arial Unicode MS"/>
          <w:position w:val="-14"/>
          <w:szCs w:val="20"/>
        </w:rPr>
        <w:object w:dxaOrig="3760" w:dyaOrig="400" w14:anchorId="399EA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1pt;height:20.2pt" o:ole="">
            <v:imagedata r:id="rId12" o:title=""/>
          </v:shape>
          <o:OLEObject Type="Embed" ProgID="Equation.3" ShapeID="_x0000_i1025" DrawAspect="Content" ObjectID="_1571030681" r:id="rId13"/>
        </w:object>
      </w:r>
      <w:r w:rsidR="009D56D2">
        <w:rPr>
          <w:rFonts w:eastAsia="Arial Unicode MS" w:cs="Arial Unicode MS"/>
          <w:szCs w:val="20"/>
        </w:rPr>
        <w:t xml:space="preserve">             </w:t>
      </w:r>
      <w:r w:rsidR="00277384">
        <w:rPr>
          <w:rFonts w:eastAsia="Arial Unicode MS" w:cs="Arial Unicode MS"/>
          <w:szCs w:val="20"/>
        </w:rPr>
        <w:t xml:space="preserve">  </w:t>
      </w:r>
      <w:r w:rsidR="009D56D2">
        <w:rPr>
          <w:rFonts w:eastAsia="Arial Unicode MS" w:cs="Arial Unicode MS"/>
          <w:szCs w:val="20"/>
        </w:rPr>
        <w:t xml:space="preserve">                               </w:t>
      </w:r>
      <w:r w:rsidR="009D56D2">
        <w:t>(</w:t>
      </w:r>
      <w:r w:rsidR="009D56D2">
        <w:fldChar w:fldCharType="begin"/>
      </w:r>
      <w:r w:rsidR="009D56D2">
        <w:instrText xml:space="preserve"> SEQ ( \* ARABIC </w:instrText>
      </w:r>
      <w:r w:rsidR="009D56D2">
        <w:fldChar w:fldCharType="separate"/>
      </w:r>
      <w:r w:rsidR="00211CB2">
        <w:rPr>
          <w:noProof/>
        </w:rPr>
        <w:t>1</w:t>
      </w:r>
      <w:r w:rsidR="009D56D2">
        <w:fldChar w:fldCharType="end"/>
      </w:r>
      <w:r w:rsidR="009D56D2">
        <w:t>)</w:t>
      </w:r>
    </w:p>
    <w:p w14:paraId="2E316FEF" w14:textId="3EF11559" w:rsidR="009F54A9" w:rsidRPr="009D56D2" w:rsidRDefault="0013554A" w:rsidP="00393996">
      <w:pPr>
        <w:pStyle w:val="BodyText"/>
        <w:spacing w:line="276" w:lineRule="auto"/>
        <w:jc w:val="left"/>
      </w:pPr>
      <w:r w:rsidRPr="00B45AA9">
        <w:rPr>
          <w:rFonts w:eastAsia="Arial Unicode MS" w:cs="Arial Unicode MS"/>
          <w:szCs w:val="20"/>
        </w:rPr>
        <w:t>where the values of the model coefficients b</w:t>
      </w:r>
      <w:r w:rsidRPr="00B45AA9">
        <w:rPr>
          <w:rFonts w:eastAsia="Arial Unicode MS" w:cs="Arial Unicode MS"/>
          <w:szCs w:val="20"/>
          <w:vertAlign w:val="subscript"/>
        </w:rPr>
        <w:t>0</w:t>
      </w:r>
      <w:r w:rsidRPr="00B45AA9">
        <w:rPr>
          <w:rFonts w:eastAsia="Arial Unicode MS" w:cs="Arial Unicode MS"/>
          <w:szCs w:val="20"/>
        </w:rPr>
        <w:t>, b</w:t>
      </w:r>
      <w:r w:rsidRPr="00B45AA9">
        <w:rPr>
          <w:rFonts w:eastAsia="Arial Unicode MS" w:cs="Arial Unicode MS"/>
          <w:szCs w:val="20"/>
          <w:vertAlign w:val="subscript"/>
        </w:rPr>
        <w:t>i</w:t>
      </w:r>
      <w:r w:rsidRPr="00B45AA9">
        <w:rPr>
          <w:rFonts w:eastAsia="Arial Unicode MS" w:cs="Arial Unicode MS"/>
          <w:szCs w:val="20"/>
        </w:rPr>
        <w:t>, b</w:t>
      </w:r>
      <w:r w:rsidRPr="00B45AA9">
        <w:rPr>
          <w:rFonts w:eastAsia="Arial Unicode MS" w:cs="Arial Unicode MS"/>
          <w:szCs w:val="20"/>
          <w:vertAlign w:val="subscript"/>
        </w:rPr>
        <w:t>ii</w:t>
      </w:r>
      <w:r w:rsidRPr="00B45AA9">
        <w:rPr>
          <w:rFonts w:eastAsia="Arial Unicode MS" w:cs="Arial Unicode MS"/>
          <w:szCs w:val="20"/>
        </w:rPr>
        <w:t xml:space="preserve"> and b</w:t>
      </w:r>
      <w:r w:rsidRPr="00B45AA9">
        <w:rPr>
          <w:rFonts w:eastAsia="Arial Unicode MS" w:cs="Arial Unicode MS"/>
          <w:szCs w:val="20"/>
          <w:vertAlign w:val="subscript"/>
        </w:rPr>
        <w:t>ij</w:t>
      </w:r>
      <w:r w:rsidRPr="00B45AA9">
        <w:rPr>
          <w:rFonts w:eastAsia="Arial Unicode MS" w:cs="Arial Unicode MS"/>
          <w:szCs w:val="20"/>
        </w:rPr>
        <w:t xml:space="preserve"> are estimated using regression analysis</w:t>
      </w:r>
      <w:r w:rsidR="005A55C0">
        <w:rPr>
          <w:rFonts w:eastAsia="Arial Unicode MS" w:cs="Arial Unicode MS"/>
          <w:szCs w:val="20"/>
        </w:rPr>
        <w:t xml:space="preserve"> </w:t>
      </w:r>
      <w:r w:rsidR="005A55C0">
        <w:rPr>
          <w:rFonts w:eastAsia="Arial Unicode MS" w:cs="Arial Unicode MS"/>
          <w:szCs w:val="20"/>
        </w:rPr>
        <w:fldChar w:fldCharType="begin" w:fldLock="1"/>
      </w:r>
      <w:r w:rsidR="00A8001A">
        <w:rPr>
          <w:rFonts w:eastAsia="Arial Unicode MS" w:cs="Arial Unicode MS"/>
          <w:szCs w:val="20"/>
        </w:rPr>
        <w:instrText>ADDIN CSL_CITATION { "citationItems" : [ { "id" : "ITEM-1", "itemData" : { "DOI" : "10.1016/j.apenergy.2016.05.150", "ISSN" : "03062619", "abstract" : "Brown seaweeds are a suitable substrate for biogas production through anaerobic digestion (AD). Since the carbohydrates\u2019 content is subjected to a seasonal variation, this research aimed to select the best harvesting period of beach cast brown seaweed Laminaria sp. for methane production, while optimising the use of a beating pretreatment and the organic substrate concentration. Response surface methodology (RSM) was used to estimate the effect of the beating pretreatment in terms of pretreatment time (5\u201310\u201315min) and organic matter concentration in terms of volatile solids (VS) (1\u20132.5\u20134%) on methane production. The highest methane yield of 342\u00b117mlg\u22121 VS was observed during November at 1% of VS and after 5min of pretreatment, while the lowest yields were registered in March with an average of 163\u00b128mlg\u22121 VS. However, an enhancement of 47% with respect to the untreated sample was achieved at 2.5% of VS and after 15min of pretreatment, in March.", "author" : [ { "dropping-particle" : "", "family" : "Montingelli", "given" : "Maria E.", "non-dropping-particle" : "", "parse-names" : false, "suffix" : "" }, { "dropping-particle" : "", "family" : "Benyounis", "given" : "Khaled Y.", "non-dropping-particle" : "", "parse-names" : false, "suffix" : "" }, { "dropping-particle" : "", "family" : "Quilty", "given" : "Brid", "non-dropping-particle" : "", "parse-names" : false, "suffix" : "" }, { "dropping-particle" : "", "family" : "Stokes", "given" : "Joseph", "non-dropping-particle" : "", "parse-names" : false, "suffix" : "" }, { "dropping-particle" : "", "family" : "Olabi", "given" : "Abdul G.", "non-dropping-particle" : "", "parse-names" : false, "suffix" : "" } ], "container-title" : "Applied Energy", "id" : "ITEM-1", "issued" : { "date-parts" : [ [ "2016" ] ] }, "page" : "671-682", "title" : "Optimisation of biogas production from the macroalgae Laminaria sp. at different periods of harvesting in Ireland", "type" : "article-journal", "volume" : "177" }, "uris" : [ "http://www.mendeley.com/documents/?uuid=d45c1ccc-141d-38d7-81c8-faf1fd104771" ] } ], "mendeley" : { "formattedCitation" : "(Maria E. Montingelli et al., 2016)", "plainTextFormattedCitation" : "(Maria E. Montingelli et al., 2016)", "previouslyFormattedCitation" : "(Maria E. Montingelli et al., 2016)" }, "properties" : { "noteIndex" : 0 }, "schema" : "https://github.com/citation-style-language/schema/raw/master/csl-citation.json" }</w:instrText>
      </w:r>
      <w:r w:rsidR="005A55C0">
        <w:rPr>
          <w:rFonts w:eastAsia="Arial Unicode MS" w:cs="Arial Unicode MS"/>
          <w:szCs w:val="20"/>
        </w:rPr>
        <w:fldChar w:fldCharType="separate"/>
      </w:r>
      <w:r w:rsidR="00A87E01" w:rsidRPr="00A87E01">
        <w:rPr>
          <w:rFonts w:eastAsia="Arial Unicode MS" w:cs="Arial Unicode MS"/>
          <w:noProof/>
          <w:szCs w:val="20"/>
        </w:rPr>
        <w:t>(Maria E. Montingelli et al., 2016)</w:t>
      </w:r>
      <w:r w:rsidR="005A55C0">
        <w:rPr>
          <w:rFonts w:eastAsia="Arial Unicode MS" w:cs="Arial Unicode MS"/>
          <w:szCs w:val="20"/>
        </w:rPr>
        <w:fldChar w:fldCharType="end"/>
      </w:r>
      <w:r w:rsidRPr="00B45AA9">
        <w:rPr>
          <w:rFonts w:eastAsia="Arial Unicode MS" w:cs="Arial Unicode MS"/>
          <w:szCs w:val="20"/>
        </w:rPr>
        <w:t>.</w:t>
      </w:r>
      <w:r w:rsidR="00C33A9C">
        <w:rPr>
          <w:rFonts w:eastAsia="Arial Unicode MS" w:cs="Arial Unicode MS"/>
          <w:szCs w:val="20"/>
        </w:rPr>
        <w:t xml:space="preserve"> </w:t>
      </w:r>
      <w:r w:rsidR="005A55C0">
        <w:rPr>
          <w:rFonts w:eastAsia="Arial Unicode MS" w:cs="Arial Unicode MS"/>
          <w:szCs w:val="20"/>
        </w:rPr>
        <w:t xml:space="preserve">In this </w:t>
      </w:r>
      <w:r w:rsidR="00C11B51">
        <w:rPr>
          <w:rFonts w:eastAsia="Arial Unicode MS" w:cs="Arial Unicode MS"/>
          <w:szCs w:val="20"/>
        </w:rPr>
        <w:t>study,</w:t>
      </w:r>
      <w:r w:rsidR="005A55C0">
        <w:rPr>
          <w:rFonts w:eastAsia="Arial Unicode MS" w:cs="Arial Unicode MS"/>
          <w:szCs w:val="20"/>
        </w:rPr>
        <w:t xml:space="preserve"> the RSM was applied through a</w:t>
      </w:r>
      <w:r w:rsidR="005A55C0">
        <w:t xml:space="preserve"> central composite design (CCD) to fit a model by least squares technique</w:t>
      </w:r>
      <w:r w:rsidR="00A37C1E">
        <w:t>.  CCD is a factorial or fractional factorial design with centre points, augmented with a group of axial points (also called star points) that led to curvature estimati</w:t>
      </w:r>
      <w:r w:rsidR="00393996">
        <w:t xml:space="preserve">on. It can be used a central to </w:t>
      </w:r>
      <w:r w:rsidR="00A37C1E">
        <w:t>efficiently estimate first- and second-order terms and model a response variable with curvature by adding centre and axial points to a previously-done factorial design</w:t>
      </w:r>
      <w:r w:rsidR="00FF1D7B">
        <w:t xml:space="preserve"> </w:t>
      </w:r>
      <w:r w:rsidR="00FF1D7B" w:rsidRPr="00393996">
        <w:fldChar w:fldCharType="begin" w:fldLock="1"/>
      </w:r>
      <w:r w:rsidR="00404D26">
        <w:instrText>ADDIN CSL_CITATION { "citationItems" : [ { "id" : "ITEM-1", "itemData" : { "DOI" : "10.1016/j.jhazmat.2005.03.042", "ISSN" : "03043894", "abstract" : "The central composite design (CCD) technique was used to study the effect of the Fenton's peroxidation on the removal of organic pollutants from olive oil mill wastewater (OMW). The ratio of hydrogen peroxide-to-Fe(II) (x1) was between 1.67 and 8.33. Fe(II) concentration was constant at 0.03M while the H2O2 concentration was set at three levels: 0.05, 0.15 and 0.25M. Based on the molarity ratio, the selected ratio were in the low range of Fe(II)-to-H2O2 ratio (\u226a1). While based on the wt/wt ratio, the tested Fe(II)-to-H2O2 ratios were in the range of \u22641:5. pH (x2) was between 3 and 5. The concentration of OMW (x3) was varied between 40 and 100%. The influence of these three independent variables on the four dependent variables, i.e. COD, total phenolics (TP), color and aromatocity removal was evaluated using a second-order polynomial multiple regression model. Analysis of variance (ANOVA) showed a high coefficient of determination (R2) value of 0.902\u20130.998, thus ensuring a satisfactory adjustment of the second-order regression model with the experimental data. H2O2-to-Fe(II) ratio had significant effect on all the four dependent variables. The positive sign for the regression coefficient of this regressor variable indicated that the level of the pollutant removal increased with the increased levels of factor x1 from 1.67 to 8.33 and this effect was the most pronounced for TP removal. pH had also significant effect on the pollutant removal and the effect was the most noticeable for TP reduction. The negative coefficient of this variable (pH) indicated that level of the pollutant removal decreased as the pH increased from 3 to 5. The negative coefficient of the interaction between variable x1 and x2 indicated that a simultaneous increase in H2O2-to-Fe(II) ratio with decrease in the pH of the reaction led to an increase in the COD, TP and color removal. Quadratic models were predicted for the response variable, i.e. pollutant removal, and the maximum model-predicted removals were 56, 100, 33 and 32% for COD, TP, color and aromatocity, respectively. Optimum conditions for this wastewater treatment was obtained based on the performance of the Fenton's peroxidation in the experiment where the H2O2-to-Fe(II) ratio was at its high level (8.33) and the pH and OMW concentration were 4 and 70%, respectively.", "author" : [ { "dropping-particle" : "", "family" : "Ahmadi", "given" : "M.", "non-dropping-particle" : "", "parse-names" : false, "suffix" : "" }, { "dropping-particle" : "", "family" : "Vahabzadeh", "given" : "F.", "non-dropping-particle" : "", "parse-names" : false, "suffix" : "" }, { "dropping-particle" : "", "family" : "Bonakdarpour", "given" : "B.", "non-dropping-particle" : "", "parse-names" : false, "suffix" : "" }, { "dropping-particle" : "", "family" : "Mofarrah", "given" : "E.", "non-dropping-particle" : "", "parse-names" : false, "suffix" : "" }, { "dropping-particle" : "", "family" : "Mehranian", "given" : "M.", "non-dropping-particle" : "", "parse-names" : false, "suffix" : "" } ], "container-title" : "Journal of Hazardous Materials", "id" : "ITEM-1", "issue" : "1-3", "issued" : { "date-parts" : [ [ "2005", "8" ] ] }, "page" : "187-195", "title" : "Application of the central composite design and response surface methodology to the advanced treatment of olive oil processing wastewater using Fenton's peroxidation", "type" : "article-journal", "volume" : "123" }, "uris" : [ "http://www.mendeley.com/documents/?uuid=2490297e-e755-4eeb-871a-171c083258d5" ] }, { "id" : "ITEM-2", "itemData" : { "ISBN" : "053873518X", "abstract" : "STATISTICAL METHODS FOR ENGINEERS offers a balanced, streamlined one-semester introduction to Engineering Statistics that emphasizes the statistical tools most needed by practicing engineers. Using real engineering problems with real data based on actual journals and consulting experience in the field, students see how statistics fits within the methods of engineering problem solving. The text teaches students how to think like an engineer at analyzing real data and planning a project the same way they will in their careers. Case studies simulate problems students will encounter professionally and tackle on long-term job projects. The presentation makes extensive use of graphical analysis, and use of statistical software is encouraged for problem-solving to illustrate how engineers rely on computers for data analysis. The authors relate their own extensive professional experience as engineers in short margin notes called Voice of Experience that lend valuable context to how students will apply concepts in the field and why they\u2019re important to learn. And a rich companion website provides hours of multimedia lecture presentation narrated by the authors to show the material related live by different voices, simulating how students will listen and learn from multiple colleagues in their jobs. A flexible organization allows instructors to emphasize the topics they need and cater the presentation to different engineering majors in their courses.Important Notice: Media content referenced within the product description or the product text may not be available in the ebook version.", "author" : [ { "dropping-particle" : "", "family" : "Vining", "given" : "G. Geoffrey", "non-dropping-particle" : "", "parse-names" : false, "suffix" : "" }, { "dropping-particle" : "", "family" : "Kowalski", "given" : "Scott", "non-dropping-particle" : "", "parse-names" : false, "suffix" : "" } ], "id" : "ITEM-2", "issued" : { "date-parts" : [ [ "2010" ] ] }, "number-of-pages" : "648", "publisher" : "Cengage Learning", "title" : "Statistical Methods for Engineers", "type" : "book" }, "uris" : [ "http://www.mendeley.com/documents/?uuid=23ad5784-8c55-440d-8f2b-77eb91e0bb31" ] }, { "id" : "ITEM-3", "itemData" : { "DOI" : "10.1002/9780470128442", "ISBN" : "9780470128442", "author" : [ { "dropping-particle" : "", "family" : "Ryan", "given" : "Thomas P.", "non-dropping-particle" : "", "parse-names" : false, "suffix" : "" } ], "id" : "ITEM-3", "issued" : { "date-parts" : [ [ "2007", "9", "13" ] ] }, "publisher" : "John Wiley &amp; Sons, Inc.", "publisher-place" : "Hoboken, NJ, USA", "title" : "Modern Engineering Statistics", "type" : "book" }, "uris" : [ "http://www.mendeley.com/documents/?uuid=8b16014a-d20a-4faf-861a-21e50c29b254" ] } ], "mendeley" : { "formattedCitation" : "(Ahmadi et al., 2005; Ryan, 2007; Vining and Kowalski, 2010)", "plainTextFormattedCitation" : "(Ahmadi et al., 2005; Ryan, 2007; Vining and Kowalski, 2010)", "previouslyFormattedCitation" : "(Ahmadi et al., 2005; Ryan, 2007; Vining and Kowalski, 2010)" }, "properties" : { "noteIndex" : 0 }, "schema" : "https://github.com/citation-style-language/schema/raw/master/csl-citation.json" }</w:instrText>
      </w:r>
      <w:r w:rsidR="00FF1D7B" w:rsidRPr="00393996">
        <w:fldChar w:fldCharType="separate"/>
      </w:r>
      <w:r w:rsidR="00211CB2" w:rsidRPr="00211CB2">
        <w:rPr>
          <w:noProof/>
        </w:rPr>
        <w:t>(Ahmadi et al., 2005; Ryan, 2007; Vining and Kowalski, 2010)</w:t>
      </w:r>
      <w:r w:rsidR="00FF1D7B" w:rsidRPr="00393996">
        <w:fldChar w:fldCharType="end"/>
      </w:r>
      <w:r w:rsidR="00A37C1E" w:rsidRPr="00393996">
        <w:t xml:space="preserve">. </w:t>
      </w:r>
    </w:p>
    <w:p w14:paraId="45B113C3" w14:textId="60B60059" w:rsidR="00CC57DB" w:rsidRDefault="00BA518A" w:rsidP="00393996">
      <w:pPr>
        <w:pStyle w:val="BodyText"/>
        <w:spacing w:line="276" w:lineRule="auto"/>
      </w:pPr>
      <w:r>
        <w:t xml:space="preserve">The arrangement of CCD as shown </w:t>
      </w:r>
      <w:r w:rsidRPr="00FF1D7B">
        <w:t xml:space="preserve">in </w:t>
      </w:r>
      <w:r w:rsidR="00FF1D7B" w:rsidRPr="00FF1D7B">
        <w:t>Table 2</w:t>
      </w:r>
      <w:r w:rsidRPr="00FF1D7B">
        <w:t xml:space="preserve"> was </w:t>
      </w:r>
      <w:r>
        <w:t>in such a way that allows the development of the appropriate seco</w:t>
      </w:r>
      <w:r w:rsidR="00393996">
        <w:t>nd order polynomial equation.</w:t>
      </w:r>
    </w:p>
    <w:p w14:paraId="3CED0301" w14:textId="77777777" w:rsidR="00D33581" w:rsidRDefault="00D33581" w:rsidP="00393996">
      <w:pPr>
        <w:pStyle w:val="BodyText"/>
        <w:spacing w:line="276" w:lineRule="auto"/>
      </w:pPr>
    </w:p>
    <w:p w14:paraId="744AFEA0" w14:textId="77777777" w:rsidR="00CC57DB" w:rsidRDefault="00CC57DB" w:rsidP="00393996">
      <w:pPr>
        <w:pStyle w:val="BodyText"/>
        <w:spacing w:line="276" w:lineRule="auto"/>
      </w:pPr>
    </w:p>
    <w:p w14:paraId="4DB1837A" w14:textId="4553F188" w:rsidR="00C43D0D" w:rsidRPr="00C43D0D" w:rsidRDefault="00C43D0D" w:rsidP="00C43D0D">
      <w:pPr>
        <w:pStyle w:val="Caption"/>
        <w:keepNext/>
      </w:pPr>
      <w:r>
        <w:lastRenderedPageBreak/>
        <w:t xml:space="preserve">Table </w:t>
      </w:r>
      <w:r>
        <w:fldChar w:fldCharType="begin"/>
      </w:r>
      <w:r>
        <w:instrText xml:space="preserve"> SEQ Table \* ARABIC </w:instrText>
      </w:r>
      <w:r>
        <w:fldChar w:fldCharType="separate"/>
      </w:r>
      <w:r w:rsidR="00211CB2">
        <w:rPr>
          <w:noProof/>
        </w:rPr>
        <w:t>2</w:t>
      </w:r>
      <w:r>
        <w:fldChar w:fldCharType="end"/>
      </w:r>
      <w:r>
        <w:t>.</w:t>
      </w:r>
      <w:r w:rsidRPr="00C43D0D">
        <w:t xml:space="preserve"> </w:t>
      </w:r>
      <w:r w:rsidRPr="00C43D0D">
        <w:rPr>
          <w:b w:val="0"/>
        </w:rPr>
        <w:t>Arrangement of the CCD for the two independent variables used in the present study</w:t>
      </w:r>
    </w:p>
    <w:tbl>
      <w:tblPr>
        <w:tblStyle w:val="TableGrid"/>
        <w:tblW w:w="692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1909"/>
        <w:gridCol w:w="2915"/>
      </w:tblGrid>
      <w:tr w:rsidR="00FF1D7B" w:rsidRPr="002B7DEF" w14:paraId="40D9910A" w14:textId="77777777" w:rsidTr="002B7DEF">
        <w:trPr>
          <w:trHeight w:val="508"/>
          <w:jc w:val="center"/>
        </w:trPr>
        <w:tc>
          <w:tcPr>
            <w:tcW w:w="2096" w:type="dxa"/>
            <w:vMerge w:val="restart"/>
            <w:tcBorders>
              <w:top w:val="single" w:sz="4" w:space="0" w:color="auto"/>
            </w:tcBorders>
            <w:vAlign w:val="center"/>
          </w:tcPr>
          <w:p w14:paraId="765E2A31" w14:textId="77777777" w:rsidR="00FF1D7B" w:rsidRPr="002B7DEF" w:rsidRDefault="00FF1D7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Experiment n</w:t>
            </w:r>
            <w:r w:rsidRPr="002B7DEF">
              <w:rPr>
                <w:rFonts w:eastAsia="Arial Unicode MS" w:cs="Arial Unicode MS"/>
                <w:szCs w:val="20"/>
                <w:vertAlign w:val="superscript"/>
                <w:lang w:eastAsia="en-GB"/>
              </w:rPr>
              <w:t>o</w:t>
            </w:r>
          </w:p>
        </w:tc>
        <w:tc>
          <w:tcPr>
            <w:tcW w:w="4824" w:type="dxa"/>
            <w:gridSpan w:val="2"/>
            <w:tcBorders>
              <w:top w:val="single" w:sz="4" w:space="0" w:color="auto"/>
              <w:bottom w:val="single" w:sz="4" w:space="0" w:color="auto"/>
            </w:tcBorders>
            <w:noWrap/>
            <w:vAlign w:val="center"/>
          </w:tcPr>
          <w:p w14:paraId="15859609" w14:textId="77777777" w:rsidR="00FF1D7B" w:rsidRPr="002B7DEF" w:rsidRDefault="00964A0B" w:rsidP="00FF1D7B">
            <w:pPr>
              <w:spacing w:line="276" w:lineRule="auto"/>
              <w:jc w:val="center"/>
              <w:rPr>
                <w:rFonts w:eastAsia="Arial Unicode MS" w:cs="Arial Unicode MS"/>
                <w:szCs w:val="20"/>
                <w:lang w:eastAsia="en-GB"/>
              </w:rPr>
            </w:pPr>
            <w:r w:rsidRPr="002B7DEF">
              <w:t>Variable levels/coded values</w:t>
            </w:r>
          </w:p>
        </w:tc>
      </w:tr>
      <w:tr w:rsidR="00FF1D7B" w:rsidRPr="002B7DEF" w14:paraId="64EAF87F" w14:textId="77777777" w:rsidTr="002B7DEF">
        <w:trPr>
          <w:trHeight w:val="508"/>
          <w:jc w:val="center"/>
        </w:trPr>
        <w:tc>
          <w:tcPr>
            <w:tcW w:w="2096" w:type="dxa"/>
            <w:vMerge/>
            <w:tcBorders>
              <w:bottom w:val="single" w:sz="4" w:space="0" w:color="auto"/>
            </w:tcBorders>
            <w:vAlign w:val="center"/>
          </w:tcPr>
          <w:p w14:paraId="759E0831" w14:textId="77777777" w:rsidR="00FF1D7B" w:rsidRPr="002B7DEF" w:rsidRDefault="00FF1D7B" w:rsidP="00FF1D7B">
            <w:pPr>
              <w:spacing w:line="276" w:lineRule="auto"/>
              <w:jc w:val="center"/>
              <w:rPr>
                <w:rFonts w:eastAsia="Arial Unicode MS" w:cs="Arial Unicode MS"/>
                <w:szCs w:val="20"/>
                <w:lang w:eastAsia="en-GB"/>
              </w:rPr>
            </w:pPr>
          </w:p>
        </w:tc>
        <w:tc>
          <w:tcPr>
            <w:tcW w:w="1909" w:type="dxa"/>
            <w:tcBorders>
              <w:top w:val="single" w:sz="4" w:space="0" w:color="auto"/>
              <w:bottom w:val="single" w:sz="4" w:space="0" w:color="auto"/>
            </w:tcBorders>
            <w:noWrap/>
            <w:vAlign w:val="center"/>
            <w:hideMark/>
          </w:tcPr>
          <w:p w14:paraId="4AAD3EA7" w14:textId="77777777" w:rsidR="00FF1D7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Beating time (x</w:t>
            </w:r>
            <w:r w:rsidRPr="002B7DEF">
              <w:rPr>
                <w:rFonts w:eastAsia="Arial Unicode MS" w:cs="Arial Unicode MS"/>
                <w:szCs w:val="20"/>
                <w:vertAlign w:val="subscript"/>
                <w:lang w:eastAsia="en-GB"/>
              </w:rPr>
              <w:t>1</w:t>
            </w:r>
            <w:r w:rsidRPr="002B7DEF">
              <w:rPr>
                <w:rFonts w:eastAsia="Arial Unicode MS" w:cs="Arial Unicode MS"/>
                <w:szCs w:val="20"/>
                <w:lang w:eastAsia="en-GB"/>
              </w:rPr>
              <w:t>)</w:t>
            </w:r>
          </w:p>
        </w:tc>
        <w:tc>
          <w:tcPr>
            <w:tcW w:w="2915" w:type="dxa"/>
            <w:tcBorders>
              <w:top w:val="single" w:sz="4" w:space="0" w:color="auto"/>
              <w:bottom w:val="single" w:sz="4" w:space="0" w:color="auto"/>
            </w:tcBorders>
            <w:noWrap/>
            <w:vAlign w:val="center"/>
          </w:tcPr>
          <w:p w14:paraId="73497A6F" w14:textId="3CD8ADB1" w:rsidR="00FF1D7B" w:rsidRPr="002B7DEF" w:rsidRDefault="002B7DEF"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Feedstock/Inoculum ratio</w:t>
            </w:r>
            <w:r w:rsidR="00964A0B" w:rsidRPr="002B7DEF">
              <w:rPr>
                <w:rFonts w:eastAsia="Arial Unicode MS" w:cs="Arial Unicode MS"/>
                <w:szCs w:val="20"/>
                <w:lang w:eastAsia="en-GB"/>
              </w:rPr>
              <w:t xml:space="preserve"> (x</w:t>
            </w:r>
            <w:r w:rsidR="00964A0B" w:rsidRPr="002B7DEF">
              <w:rPr>
                <w:rFonts w:eastAsia="Arial Unicode MS" w:cs="Arial Unicode MS"/>
                <w:szCs w:val="20"/>
                <w:vertAlign w:val="subscript"/>
                <w:lang w:eastAsia="en-GB"/>
              </w:rPr>
              <w:t>2</w:t>
            </w:r>
            <w:r w:rsidR="00964A0B" w:rsidRPr="002B7DEF">
              <w:rPr>
                <w:rFonts w:eastAsia="Arial Unicode MS" w:cs="Arial Unicode MS"/>
                <w:szCs w:val="20"/>
                <w:lang w:eastAsia="en-GB"/>
              </w:rPr>
              <w:t>)</w:t>
            </w:r>
          </w:p>
        </w:tc>
      </w:tr>
      <w:tr w:rsidR="00964A0B" w:rsidRPr="002B7DEF" w14:paraId="6834D88B" w14:textId="77777777" w:rsidTr="002B7DEF">
        <w:trPr>
          <w:trHeight w:val="300"/>
          <w:jc w:val="center"/>
        </w:trPr>
        <w:tc>
          <w:tcPr>
            <w:tcW w:w="2096" w:type="dxa"/>
            <w:tcBorders>
              <w:top w:val="single" w:sz="4" w:space="0" w:color="auto"/>
            </w:tcBorders>
            <w:vAlign w:val="center"/>
          </w:tcPr>
          <w:p w14:paraId="254C09DD"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1</w:t>
            </w:r>
          </w:p>
        </w:tc>
        <w:tc>
          <w:tcPr>
            <w:tcW w:w="1909" w:type="dxa"/>
            <w:tcBorders>
              <w:top w:val="single" w:sz="4" w:space="0" w:color="auto"/>
            </w:tcBorders>
            <w:noWrap/>
            <w:vAlign w:val="center"/>
            <w:hideMark/>
          </w:tcPr>
          <w:p w14:paraId="71232213"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-1</w:t>
            </w:r>
          </w:p>
        </w:tc>
        <w:tc>
          <w:tcPr>
            <w:tcW w:w="2915" w:type="dxa"/>
            <w:tcBorders>
              <w:top w:val="single" w:sz="4" w:space="0" w:color="auto"/>
            </w:tcBorders>
            <w:noWrap/>
          </w:tcPr>
          <w:p w14:paraId="6BDF14FB" w14:textId="77777777" w:rsidR="00964A0B" w:rsidRPr="002B7DEF" w:rsidRDefault="00964A0B" w:rsidP="00964A0B">
            <w:pPr>
              <w:jc w:val="center"/>
            </w:pPr>
            <w:r w:rsidRPr="002B7DEF">
              <w:rPr>
                <w:rFonts w:eastAsia="Arial Unicode MS" w:cs="Arial Unicode MS"/>
                <w:szCs w:val="20"/>
                <w:lang w:eastAsia="en-GB"/>
              </w:rPr>
              <w:t>-1</w:t>
            </w:r>
          </w:p>
        </w:tc>
      </w:tr>
      <w:tr w:rsidR="00964A0B" w:rsidRPr="002B7DEF" w14:paraId="15383043" w14:textId="77777777" w:rsidTr="002B7DEF">
        <w:trPr>
          <w:trHeight w:val="300"/>
          <w:jc w:val="center"/>
        </w:trPr>
        <w:tc>
          <w:tcPr>
            <w:tcW w:w="2096" w:type="dxa"/>
            <w:vAlign w:val="center"/>
          </w:tcPr>
          <w:p w14:paraId="4E6433F9"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2</w:t>
            </w:r>
          </w:p>
        </w:tc>
        <w:tc>
          <w:tcPr>
            <w:tcW w:w="1909" w:type="dxa"/>
            <w:noWrap/>
            <w:vAlign w:val="center"/>
            <w:hideMark/>
          </w:tcPr>
          <w:p w14:paraId="752AAB60"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0</w:t>
            </w:r>
          </w:p>
        </w:tc>
        <w:tc>
          <w:tcPr>
            <w:tcW w:w="2915" w:type="dxa"/>
          </w:tcPr>
          <w:p w14:paraId="00FD6C81" w14:textId="77777777" w:rsidR="00964A0B" w:rsidRPr="002B7DEF" w:rsidRDefault="00964A0B" w:rsidP="00964A0B">
            <w:pPr>
              <w:jc w:val="center"/>
            </w:pPr>
            <w:r w:rsidRPr="002B7DEF">
              <w:rPr>
                <w:rFonts w:eastAsia="Arial Unicode MS" w:cs="Arial Unicode MS"/>
                <w:szCs w:val="20"/>
                <w:lang w:eastAsia="en-GB"/>
              </w:rPr>
              <w:t>-1</w:t>
            </w:r>
          </w:p>
        </w:tc>
      </w:tr>
      <w:tr w:rsidR="00964A0B" w:rsidRPr="002B7DEF" w14:paraId="23FA2204" w14:textId="77777777" w:rsidTr="002B7DEF">
        <w:trPr>
          <w:trHeight w:val="300"/>
          <w:jc w:val="center"/>
        </w:trPr>
        <w:tc>
          <w:tcPr>
            <w:tcW w:w="2096" w:type="dxa"/>
            <w:vAlign w:val="center"/>
          </w:tcPr>
          <w:p w14:paraId="27A031F1"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3</w:t>
            </w:r>
          </w:p>
        </w:tc>
        <w:tc>
          <w:tcPr>
            <w:tcW w:w="1909" w:type="dxa"/>
            <w:noWrap/>
            <w:vAlign w:val="center"/>
            <w:hideMark/>
          </w:tcPr>
          <w:p w14:paraId="47A8A0FC"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1</w:t>
            </w:r>
          </w:p>
        </w:tc>
        <w:tc>
          <w:tcPr>
            <w:tcW w:w="2915" w:type="dxa"/>
          </w:tcPr>
          <w:p w14:paraId="2B34CF1C" w14:textId="77777777" w:rsidR="00964A0B" w:rsidRPr="002B7DEF" w:rsidRDefault="00964A0B" w:rsidP="00964A0B">
            <w:pPr>
              <w:jc w:val="center"/>
            </w:pPr>
            <w:r w:rsidRPr="002B7DEF">
              <w:rPr>
                <w:rFonts w:eastAsia="Arial Unicode MS" w:cs="Arial Unicode MS"/>
                <w:szCs w:val="20"/>
                <w:lang w:eastAsia="en-GB"/>
              </w:rPr>
              <w:t>-1</w:t>
            </w:r>
          </w:p>
        </w:tc>
      </w:tr>
      <w:tr w:rsidR="00964A0B" w:rsidRPr="002B7DEF" w14:paraId="53B66158" w14:textId="77777777" w:rsidTr="002B7DEF">
        <w:trPr>
          <w:trHeight w:val="300"/>
          <w:jc w:val="center"/>
        </w:trPr>
        <w:tc>
          <w:tcPr>
            <w:tcW w:w="2096" w:type="dxa"/>
            <w:vAlign w:val="center"/>
          </w:tcPr>
          <w:p w14:paraId="4DF7B9CF"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4</w:t>
            </w:r>
          </w:p>
        </w:tc>
        <w:tc>
          <w:tcPr>
            <w:tcW w:w="1909" w:type="dxa"/>
            <w:noWrap/>
            <w:vAlign w:val="center"/>
            <w:hideMark/>
          </w:tcPr>
          <w:p w14:paraId="33A0298B" w14:textId="77777777" w:rsidR="00964A0B" w:rsidRPr="002B7DEF" w:rsidRDefault="00964A0B" w:rsidP="00713171">
            <w:pPr>
              <w:spacing w:line="276" w:lineRule="auto"/>
              <w:jc w:val="center"/>
              <w:rPr>
                <w:rFonts w:eastAsia="Arial Unicode MS" w:cs="Arial Unicode MS"/>
                <w:szCs w:val="20"/>
                <w:lang w:eastAsia="en-GB"/>
              </w:rPr>
            </w:pPr>
            <w:r w:rsidRPr="002B7DEF">
              <w:rPr>
                <w:rFonts w:eastAsia="Arial Unicode MS" w:cs="Arial Unicode MS"/>
                <w:szCs w:val="20"/>
                <w:lang w:eastAsia="en-GB"/>
              </w:rPr>
              <w:t>-1</w:t>
            </w:r>
          </w:p>
        </w:tc>
        <w:tc>
          <w:tcPr>
            <w:tcW w:w="2915" w:type="dxa"/>
            <w:noWrap/>
          </w:tcPr>
          <w:p w14:paraId="22669031" w14:textId="77777777" w:rsidR="00964A0B" w:rsidRPr="002B7DEF" w:rsidRDefault="00964A0B" w:rsidP="00713171">
            <w:pPr>
              <w:jc w:val="center"/>
            </w:pPr>
            <w:r w:rsidRPr="002B7DEF">
              <w:rPr>
                <w:rFonts w:eastAsia="Arial Unicode MS" w:cs="Arial Unicode MS"/>
                <w:szCs w:val="20"/>
                <w:lang w:eastAsia="en-GB"/>
              </w:rPr>
              <w:t>0</w:t>
            </w:r>
          </w:p>
        </w:tc>
      </w:tr>
      <w:tr w:rsidR="00964A0B" w:rsidRPr="002B7DEF" w14:paraId="2432898E" w14:textId="77777777" w:rsidTr="002B7DEF">
        <w:trPr>
          <w:trHeight w:val="300"/>
          <w:jc w:val="center"/>
        </w:trPr>
        <w:tc>
          <w:tcPr>
            <w:tcW w:w="2096" w:type="dxa"/>
            <w:vAlign w:val="center"/>
          </w:tcPr>
          <w:p w14:paraId="16C159FE"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5</w:t>
            </w:r>
          </w:p>
        </w:tc>
        <w:tc>
          <w:tcPr>
            <w:tcW w:w="1909" w:type="dxa"/>
            <w:noWrap/>
            <w:vAlign w:val="center"/>
            <w:hideMark/>
          </w:tcPr>
          <w:p w14:paraId="12A623C4" w14:textId="77777777" w:rsidR="00964A0B" w:rsidRPr="002B7DEF" w:rsidRDefault="00964A0B" w:rsidP="00713171">
            <w:pPr>
              <w:spacing w:line="276" w:lineRule="auto"/>
              <w:jc w:val="center"/>
              <w:rPr>
                <w:rFonts w:eastAsia="Arial Unicode MS" w:cs="Arial Unicode MS"/>
                <w:szCs w:val="20"/>
                <w:lang w:eastAsia="en-GB"/>
              </w:rPr>
            </w:pPr>
            <w:r w:rsidRPr="002B7DEF">
              <w:rPr>
                <w:rFonts w:eastAsia="Arial Unicode MS" w:cs="Arial Unicode MS"/>
                <w:szCs w:val="20"/>
                <w:lang w:eastAsia="en-GB"/>
              </w:rPr>
              <w:t>0</w:t>
            </w:r>
          </w:p>
        </w:tc>
        <w:tc>
          <w:tcPr>
            <w:tcW w:w="2915" w:type="dxa"/>
          </w:tcPr>
          <w:p w14:paraId="0AB6DC6A" w14:textId="77777777" w:rsidR="00964A0B" w:rsidRPr="002B7DEF" w:rsidRDefault="00964A0B" w:rsidP="00713171">
            <w:pPr>
              <w:jc w:val="center"/>
            </w:pPr>
            <w:r w:rsidRPr="002B7DEF">
              <w:rPr>
                <w:rFonts w:eastAsia="Arial Unicode MS" w:cs="Arial Unicode MS"/>
                <w:szCs w:val="20"/>
                <w:lang w:eastAsia="en-GB"/>
              </w:rPr>
              <w:t>0</w:t>
            </w:r>
          </w:p>
        </w:tc>
      </w:tr>
      <w:tr w:rsidR="00964A0B" w:rsidRPr="002B7DEF" w14:paraId="7AD1C9C6" w14:textId="77777777" w:rsidTr="002B7DEF">
        <w:trPr>
          <w:trHeight w:val="300"/>
          <w:jc w:val="center"/>
        </w:trPr>
        <w:tc>
          <w:tcPr>
            <w:tcW w:w="2096" w:type="dxa"/>
            <w:vAlign w:val="center"/>
          </w:tcPr>
          <w:p w14:paraId="41D3C528"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6</w:t>
            </w:r>
          </w:p>
        </w:tc>
        <w:tc>
          <w:tcPr>
            <w:tcW w:w="1909" w:type="dxa"/>
            <w:noWrap/>
            <w:vAlign w:val="center"/>
            <w:hideMark/>
          </w:tcPr>
          <w:p w14:paraId="743F6EB0" w14:textId="77777777" w:rsidR="00964A0B" w:rsidRPr="002B7DEF" w:rsidRDefault="00964A0B" w:rsidP="00713171">
            <w:pPr>
              <w:spacing w:line="276" w:lineRule="auto"/>
              <w:jc w:val="center"/>
              <w:rPr>
                <w:rFonts w:eastAsia="Arial Unicode MS" w:cs="Arial Unicode MS"/>
                <w:szCs w:val="20"/>
                <w:lang w:eastAsia="en-GB"/>
              </w:rPr>
            </w:pPr>
            <w:r w:rsidRPr="002B7DEF">
              <w:rPr>
                <w:rFonts w:eastAsia="Arial Unicode MS" w:cs="Arial Unicode MS"/>
                <w:szCs w:val="20"/>
                <w:lang w:eastAsia="en-GB"/>
              </w:rPr>
              <w:t>1</w:t>
            </w:r>
          </w:p>
        </w:tc>
        <w:tc>
          <w:tcPr>
            <w:tcW w:w="2915" w:type="dxa"/>
          </w:tcPr>
          <w:p w14:paraId="40864A00" w14:textId="77777777" w:rsidR="00964A0B" w:rsidRPr="002B7DEF" w:rsidRDefault="00964A0B" w:rsidP="00713171">
            <w:pPr>
              <w:jc w:val="center"/>
            </w:pPr>
            <w:r w:rsidRPr="002B7DEF">
              <w:rPr>
                <w:rFonts w:eastAsia="Arial Unicode MS" w:cs="Arial Unicode MS"/>
                <w:szCs w:val="20"/>
                <w:lang w:eastAsia="en-GB"/>
              </w:rPr>
              <w:t>0</w:t>
            </w:r>
          </w:p>
        </w:tc>
      </w:tr>
      <w:tr w:rsidR="00964A0B" w:rsidRPr="002B7DEF" w14:paraId="275EA4DC" w14:textId="77777777" w:rsidTr="002B7DEF">
        <w:trPr>
          <w:trHeight w:val="300"/>
          <w:jc w:val="center"/>
        </w:trPr>
        <w:tc>
          <w:tcPr>
            <w:tcW w:w="2096" w:type="dxa"/>
            <w:vAlign w:val="center"/>
          </w:tcPr>
          <w:p w14:paraId="5D36A0B9"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7</w:t>
            </w:r>
          </w:p>
        </w:tc>
        <w:tc>
          <w:tcPr>
            <w:tcW w:w="1909" w:type="dxa"/>
            <w:noWrap/>
            <w:vAlign w:val="center"/>
            <w:hideMark/>
          </w:tcPr>
          <w:p w14:paraId="13C0B359" w14:textId="77777777" w:rsidR="00964A0B" w:rsidRPr="002B7DEF" w:rsidRDefault="00964A0B" w:rsidP="00713171">
            <w:pPr>
              <w:spacing w:line="276" w:lineRule="auto"/>
              <w:jc w:val="center"/>
              <w:rPr>
                <w:rFonts w:eastAsia="Arial Unicode MS" w:cs="Arial Unicode MS"/>
                <w:szCs w:val="20"/>
                <w:lang w:eastAsia="en-GB"/>
              </w:rPr>
            </w:pPr>
            <w:r w:rsidRPr="002B7DEF">
              <w:rPr>
                <w:rFonts w:eastAsia="Arial Unicode MS" w:cs="Arial Unicode MS"/>
                <w:szCs w:val="20"/>
                <w:lang w:eastAsia="en-GB"/>
              </w:rPr>
              <w:t>-1</w:t>
            </w:r>
          </w:p>
        </w:tc>
        <w:tc>
          <w:tcPr>
            <w:tcW w:w="2915" w:type="dxa"/>
            <w:noWrap/>
          </w:tcPr>
          <w:p w14:paraId="62AD2483" w14:textId="77777777" w:rsidR="00964A0B" w:rsidRPr="002B7DEF" w:rsidRDefault="00964A0B" w:rsidP="00964A0B">
            <w:pPr>
              <w:jc w:val="center"/>
            </w:pPr>
            <w:r w:rsidRPr="002B7DEF">
              <w:rPr>
                <w:rFonts w:eastAsia="Arial Unicode MS" w:cs="Arial Unicode MS"/>
                <w:szCs w:val="20"/>
                <w:lang w:eastAsia="en-GB"/>
              </w:rPr>
              <w:t>1</w:t>
            </w:r>
          </w:p>
        </w:tc>
      </w:tr>
      <w:tr w:rsidR="00964A0B" w:rsidRPr="002B7DEF" w14:paraId="2CB024E8" w14:textId="77777777" w:rsidTr="002B7DEF">
        <w:trPr>
          <w:trHeight w:val="300"/>
          <w:jc w:val="center"/>
        </w:trPr>
        <w:tc>
          <w:tcPr>
            <w:tcW w:w="2096" w:type="dxa"/>
            <w:vAlign w:val="center"/>
          </w:tcPr>
          <w:p w14:paraId="74E75BA5"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8</w:t>
            </w:r>
          </w:p>
        </w:tc>
        <w:tc>
          <w:tcPr>
            <w:tcW w:w="1909" w:type="dxa"/>
            <w:noWrap/>
            <w:vAlign w:val="center"/>
            <w:hideMark/>
          </w:tcPr>
          <w:p w14:paraId="6AB3ACF8" w14:textId="77777777" w:rsidR="00964A0B" w:rsidRPr="002B7DEF" w:rsidRDefault="00964A0B" w:rsidP="00713171">
            <w:pPr>
              <w:spacing w:line="276" w:lineRule="auto"/>
              <w:jc w:val="center"/>
              <w:rPr>
                <w:rFonts w:eastAsia="Arial Unicode MS" w:cs="Arial Unicode MS"/>
                <w:szCs w:val="20"/>
                <w:lang w:eastAsia="en-GB"/>
              </w:rPr>
            </w:pPr>
            <w:r w:rsidRPr="002B7DEF">
              <w:rPr>
                <w:rFonts w:eastAsia="Arial Unicode MS" w:cs="Arial Unicode MS"/>
                <w:szCs w:val="20"/>
                <w:lang w:eastAsia="en-GB"/>
              </w:rPr>
              <w:t>0</w:t>
            </w:r>
          </w:p>
        </w:tc>
        <w:tc>
          <w:tcPr>
            <w:tcW w:w="2915" w:type="dxa"/>
          </w:tcPr>
          <w:p w14:paraId="09FF92D1" w14:textId="77777777" w:rsidR="00964A0B" w:rsidRPr="002B7DEF" w:rsidRDefault="00964A0B" w:rsidP="00964A0B">
            <w:pPr>
              <w:jc w:val="center"/>
            </w:pPr>
            <w:r w:rsidRPr="002B7DEF">
              <w:rPr>
                <w:rFonts w:eastAsia="Arial Unicode MS" w:cs="Arial Unicode MS"/>
                <w:szCs w:val="20"/>
                <w:lang w:eastAsia="en-GB"/>
              </w:rPr>
              <w:t>1</w:t>
            </w:r>
          </w:p>
        </w:tc>
      </w:tr>
      <w:tr w:rsidR="00964A0B" w:rsidRPr="002B7DEF" w14:paraId="28F4C5B1" w14:textId="77777777" w:rsidTr="002B7DEF">
        <w:trPr>
          <w:trHeight w:val="300"/>
          <w:jc w:val="center"/>
        </w:trPr>
        <w:tc>
          <w:tcPr>
            <w:tcW w:w="2096" w:type="dxa"/>
            <w:vAlign w:val="center"/>
          </w:tcPr>
          <w:p w14:paraId="7C84AEF8" w14:textId="77777777" w:rsidR="00964A0B" w:rsidRPr="002B7DEF" w:rsidRDefault="00964A0B" w:rsidP="00FF1D7B">
            <w:pPr>
              <w:spacing w:line="276" w:lineRule="auto"/>
              <w:jc w:val="center"/>
              <w:rPr>
                <w:rFonts w:eastAsia="Arial Unicode MS" w:cs="Arial Unicode MS"/>
                <w:szCs w:val="20"/>
                <w:lang w:eastAsia="en-GB"/>
              </w:rPr>
            </w:pPr>
            <w:r w:rsidRPr="002B7DEF">
              <w:rPr>
                <w:rFonts w:eastAsia="Arial Unicode MS" w:cs="Arial Unicode MS"/>
                <w:szCs w:val="20"/>
                <w:lang w:eastAsia="en-GB"/>
              </w:rPr>
              <w:t>9</w:t>
            </w:r>
          </w:p>
        </w:tc>
        <w:tc>
          <w:tcPr>
            <w:tcW w:w="1909" w:type="dxa"/>
            <w:noWrap/>
            <w:vAlign w:val="center"/>
            <w:hideMark/>
          </w:tcPr>
          <w:p w14:paraId="0939665E" w14:textId="77777777" w:rsidR="00964A0B" w:rsidRPr="002B7DEF" w:rsidRDefault="00964A0B" w:rsidP="00713171">
            <w:pPr>
              <w:spacing w:line="276" w:lineRule="auto"/>
              <w:jc w:val="center"/>
              <w:rPr>
                <w:rFonts w:eastAsia="Arial Unicode MS" w:cs="Arial Unicode MS"/>
                <w:szCs w:val="20"/>
                <w:lang w:eastAsia="en-GB"/>
              </w:rPr>
            </w:pPr>
            <w:r w:rsidRPr="002B7DEF">
              <w:rPr>
                <w:rFonts w:eastAsia="Arial Unicode MS" w:cs="Arial Unicode MS"/>
                <w:szCs w:val="20"/>
                <w:lang w:eastAsia="en-GB"/>
              </w:rPr>
              <w:t>1</w:t>
            </w:r>
          </w:p>
        </w:tc>
        <w:tc>
          <w:tcPr>
            <w:tcW w:w="2915" w:type="dxa"/>
          </w:tcPr>
          <w:p w14:paraId="7A18EACD" w14:textId="77777777" w:rsidR="00964A0B" w:rsidRPr="002B7DEF" w:rsidRDefault="00964A0B" w:rsidP="00964A0B">
            <w:pPr>
              <w:jc w:val="center"/>
            </w:pPr>
            <w:r w:rsidRPr="002B7DEF">
              <w:rPr>
                <w:rFonts w:eastAsia="Arial Unicode MS" w:cs="Arial Unicode MS"/>
                <w:szCs w:val="20"/>
                <w:lang w:eastAsia="en-GB"/>
              </w:rPr>
              <w:t>1</w:t>
            </w:r>
          </w:p>
        </w:tc>
      </w:tr>
    </w:tbl>
    <w:p w14:paraId="5150DDA8" w14:textId="77777777" w:rsidR="00A37C1E" w:rsidRPr="002B7DEF" w:rsidRDefault="00A37C1E" w:rsidP="00B45AA9">
      <w:pPr>
        <w:pStyle w:val="BodyText"/>
        <w:spacing w:line="276" w:lineRule="auto"/>
        <w:rPr>
          <w:rFonts w:eastAsia="Arial Unicode MS" w:cs="Arial Unicode MS"/>
          <w:szCs w:val="20"/>
        </w:rPr>
      </w:pPr>
    </w:p>
    <w:p w14:paraId="26546560" w14:textId="1DA7C5E1" w:rsidR="00A26B9B" w:rsidRPr="00B45AA9" w:rsidRDefault="00A26B9B" w:rsidP="00B45AA9">
      <w:pPr>
        <w:pStyle w:val="BodyText"/>
        <w:spacing w:line="276" w:lineRule="auto"/>
        <w:rPr>
          <w:rFonts w:eastAsia="Arial Unicode MS" w:cs="Arial Unicode MS"/>
          <w:szCs w:val="20"/>
        </w:rPr>
      </w:pPr>
      <w:r w:rsidRPr="002B7DEF">
        <w:rPr>
          <w:rFonts w:eastAsia="Arial Unicode MS" w:cs="Arial Unicode MS"/>
          <w:szCs w:val="20"/>
        </w:rPr>
        <w:t>Factor levels and independent input</w:t>
      </w:r>
      <w:r w:rsidR="002B7DEF" w:rsidRPr="002B7DEF">
        <w:rPr>
          <w:rFonts w:eastAsia="Arial Unicode MS" w:cs="Arial Unicode MS"/>
          <w:szCs w:val="20"/>
        </w:rPr>
        <w:t xml:space="preserve"> variables are respectively 0, 30</w:t>
      </w:r>
      <w:r w:rsidRPr="002B7DEF">
        <w:rPr>
          <w:rFonts w:eastAsia="Arial Unicode MS" w:cs="Arial Unicode MS"/>
          <w:szCs w:val="20"/>
        </w:rPr>
        <w:t xml:space="preserve"> and 6</w:t>
      </w:r>
      <w:r w:rsidR="002B7DEF" w:rsidRPr="002B7DEF">
        <w:rPr>
          <w:rFonts w:eastAsia="Arial Unicode MS" w:cs="Arial Unicode MS"/>
          <w:szCs w:val="20"/>
        </w:rPr>
        <w:t>0 minutes</w:t>
      </w:r>
      <w:r w:rsidRPr="002B7DEF">
        <w:rPr>
          <w:rFonts w:eastAsia="Arial Unicode MS" w:cs="Arial Unicode MS"/>
          <w:szCs w:val="20"/>
        </w:rPr>
        <w:t xml:space="preserve"> for the beating time </w:t>
      </w:r>
      <w:r w:rsidR="002B7DEF" w:rsidRPr="002B7DEF">
        <w:rPr>
          <w:rFonts w:eastAsia="Arial Unicode MS" w:cs="Arial Unicode MS"/>
          <w:szCs w:val="20"/>
        </w:rPr>
        <w:t>(</w:t>
      </w:r>
      <w:r w:rsidRPr="002B7DEF">
        <w:rPr>
          <w:rFonts w:eastAsia="Arial Unicode MS" w:cs="Arial Unicode MS"/>
          <w:szCs w:val="20"/>
        </w:rPr>
        <w:t>BT</w:t>
      </w:r>
      <w:r w:rsidR="002B7DEF" w:rsidRPr="002B7DEF">
        <w:rPr>
          <w:rFonts w:eastAsia="Arial Unicode MS" w:cs="Arial Unicode MS"/>
          <w:szCs w:val="20"/>
        </w:rPr>
        <w:t>) and 0.3, 0.5 and 0.7 for feedstock/inoculum ratio (F/I)</w:t>
      </w:r>
      <w:r w:rsidRPr="002B7DEF">
        <w:rPr>
          <w:rFonts w:eastAsia="Arial Unicode MS" w:cs="Arial Unicode MS"/>
          <w:szCs w:val="20"/>
        </w:rPr>
        <w:t>. Level 0 of factor</w:t>
      </w:r>
      <w:r w:rsidRPr="00B45AA9">
        <w:rPr>
          <w:rFonts w:eastAsia="Arial Unicode MS" w:cs="Arial Unicode MS"/>
          <w:szCs w:val="20"/>
        </w:rPr>
        <w:t xml:space="preserve"> BT represents untreated paper waste.</w:t>
      </w:r>
    </w:p>
    <w:p w14:paraId="27741CEF" w14:textId="0765B278" w:rsidR="00CF53CF" w:rsidRPr="00D33581" w:rsidRDefault="0013554A" w:rsidP="00D33581">
      <w:pPr>
        <w:pStyle w:val="BodyText"/>
        <w:spacing w:line="276" w:lineRule="auto"/>
      </w:pPr>
      <w:r w:rsidRPr="00B45AA9">
        <w:rPr>
          <w:rFonts w:eastAsia="Arial Unicode MS" w:cs="Arial Unicode MS"/>
          <w:szCs w:val="20"/>
        </w:rPr>
        <w:t>The adequacy of the models is tested through the analysis of variance (ANOVA). The statistical significance of the models and of each term is examined using the sequential F-test and lack-of-fit test. If the Prob. &gt; F of the model and of each term in the model does not exceed the level of significance (in this case α = 0.05) then the model may be considered adequate within the confidence interval of (1 - α).</w:t>
      </w:r>
      <w:r w:rsidR="00A26B9B" w:rsidRPr="00B45AA9">
        <w:rPr>
          <w:rFonts w:eastAsia="Arial Unicode MS" w:cs="Arial Unicode MS"/>
          <w:szCs w:val="20"/>
        </w:rPr>
        <w:t xml:space="preserve"> An adequate model means that the reduced model has successfully pass</w:t>
      </w:r>
      <w:r w:rsidR="002A3CDA" w:rsidRPr="00B45AA9">
        <w:rPr>
          <w:rFonts w:eastAsia="Arial Unicode MS" w:cs="Arial Unicode MS"/>
          <w:szCs w:val="20"/>
        </w:rPr>
        <w:t xml:space="preserve">ed all the required statistical </w:t>
      </w:r>
      <w:r w:rsidR="00A26B9B" w:rsidRPr="00B45AA9">
        <w:rPr>
          <w:rFonts w:eastAsia="Arial Unicode MS" w:cs="Arial Unicode MS"/>
          <w:szCs w:val="20"/>
        </w:rPr>
        <w:t>tests and can be used to predict the responses</w:t>
      </w:r>
      <w:r w:rsidR="002A3CDA" w:rsidRPr="00B45AA9">
        <w:rPr>
          <w:rFonts w:eastAsia="Arial Unicode MS" w:cs="Arial Unicode MS"/>
          <w:szCs w:val="20"/>
        </w:rPr>
        <w:t xml:space="preserve"> or to optimize the process</w:t>
      </w:r>
      <w:r w:rsidR="00A26B9B" w:rsidRPr="00B45AA9">
        <w:rPr>
          <w:rFonts w:eastAsia="Arial Unicode MS" w:cs="Arial Unicode MS"/>
          <w:szCs w:val="20"/>
        </w:rPr>
        <w:t>.</w:t>
      </w:r>
      <w:r w:rsidR="00E07FF0">
        <w:rPr>
          <w:rFonts w:eastAsia="Arial Unicode MS" w:cs="Arial Unicode MS"/>
          <w:szCs w:val="20"/>
        </w:rPr>
        <w:t xml:space="preserve"> </w:t>
      </w:r>
      <w:r w:rsidR="00A97565">
        <w:t>The values of R</w:t>
      </w:r>
      <w:r w:rsidR="00A97565" w:rsidRPr="00A97565">
        <w:rPr>
          <w:vertAlign w:val="superscript"/>
        </w:rPr>
        <w:t>2</w:t>
      </w:r>
      <w:r w:rsidR="00A97565">
        <w:t>, adjusted-R</w:t>
      </w:r>
      <w:r w:rsidR="00A97565" w:rsidRPr="00A97565">
        <w:rPr>
          <w:vertAlign w:val="superscript"/>
        </w:rPr>
        <w:t>2</w:t>
      </w:r>
      <w:r w:rsidR="00A97565">
        <w:t>, predicted-R</w:t>
      </w:r>
      <w:r w:rsidR="00A97565" w:rsidRPr="00A97565">
        <w:rPr>
          <w:vertAlign w:val="superscript"/>
        </w:rPr>
        <w:t>2</w:t>
      </w:r>
      <w:r w:rsidR="00A97565">
        <w:t xml:space="preserve">, lack of fit and adequate precision of models are obtained to check the quality of the suggested polynomial. </w:t>
      </w:r>
      <w:r w:rsidR="00E07FF0" w:rsidRPr="00B45AA9">
        <w:rPr>
          <w:rFonts w:eastAsia="Arial Unicode MS" w:cs="Arial Unicode MS"/>
          <w:szCs w:val="20"/>
        </w:rPr>
        <w:t>The statistical study was performed using</w:t>
      </w:r>
      <w:r w:rsidR="00A97565">
        <w:rPr>
          <w:rFonts w:eastAsia="Arial Unicode MS" w:cs="Arial Unicode MS"/>
          <w:szCs w:val="20"/>
        </w:rPr>
        <w:t xml:space="preserve"> the </w:t>
      </w:r>
      <w:r w:rsidR="00A97565">
        <w:t>Design Expert software version 9.</w:t>
      </w:r>
    </w:p>
    <w:p w14:paraId="747D24A1" w14:textId="77777777" w:rsidR="00881BE2" w:rsidRDefault="00881BE2" w:rsidP="00881BE2">
      <w:pPr>
        <w:spacing w:line="276" w:lineRule="auto"/>
        <w:rPr>
          <w:rFonts w:eastAsia="Arial Unicode MS"/>
        </w:rPr>
      </w:pPr>
    </w:p>
    <w:p w14:paraId="7FF332E4" w14:textId="77777777" w:rsidR="00881BE2" w:rsidRPr="00A70853" w:rsidRDefault="00881BE2" w:rsidP="00881BE2">
      <w:pPr>
        <w:pStyle w:val="Heading2"/>
        <w:spacing w:after="240"/>
        <w:rPr>
          <w:rFonts w:eastAsia="Arial Unicode MS"/>
        </w:rPr>
      </w:pPr>
      <w:r w:rsidRPr="00A70853">
        <w:rPr>
          <w:rFonts w:eastAsia="Arial Unicode MS" w:cs="Arial Unicode MS"/>
        </w:rPr>
        <w:t>Methane</w:t>
      </w:r>
      <w:r w:rsidRPr="00A70853">
        <w:rPr>
          <w:rFonts w:eastAsia="Arial Unicode MS"/>
        </w:rPr>
        <w:t xml:space="preserve"> production rate</w:t>
      </w:r>
    </w:p>
    <w:p w14:paraId="2FF43F27" w14:textId="5E005AB7" w:rsidR="00881BE2" w:rsidRPr="00A70853" w:rsidRDefault="00253038" w:rsidP="00881BE2">
      <w:pPr>
        <w:spacing w:line="276" w:lineRule="auto"/>
        <w:jc w:val="both"/>
        <w:rPr>
          <w:rFonts w:eastAsia="Arial Unicode MS"/>
        </w:rPr>
      </w:pPr>
      <w:r>
        <w:rPr>
          <w:rFonts w:eastAsia="Arial Unicode MS"/>
        </w:rPr>
        <w:t>A first order</w:t>
      </w:r>
      <w:r w:rsidR="00CC57DB">
        <w:rPr>
          <w:rFonts w:eastAsia="Arial Unicode MS"/>
        </w:rPr>
        <w:t xml:space="preserve"> model (Equation </w:t>
      </w:r>
      <w:r w:rsidR="00493364">
        <w:rPr>
          <w:rFonts w:eastAsia="Arial Unicode MS"/>
        </w:rPr>
        <w:t>2</w:t>
      </w:r>
      <w:r w:rsidR="00881BE2" w:rsidRPr="00A70853">
        <w:rPr>
          <w:rFonts w:eastAsia="Arial Unicode MS"/>
        </w:rPr>
        <w:t>) was used to describe the progress of cumulative methane production obtained from the batch experiments</w:t>
      </w:r>
      <w:r w:rsidR="00404D26">
        <w:rPr>
          <w:rFonts w:eastAsia="Arial Unicode MS"/>
        </w:rPr>
        <w:t xml:space="preserve"> </w:t>
      </w:r>
      <w:r w:rsidR="00404D26">
        <w:rPr>
          <w:rFonts w:eastAsia="Arial Unicode MS"/>
        </w:rPr>
        <w:fldChar w:fldCharType="begin" w:fldLock="1"/>
      </w:r>
      <w:r w:rsidR="00840C5D">
        <w:rPr>
          <w:rFonts w:eastAsia="Arial Unicode MS"/>
        </w:rPr>
        <w:instrText>ADDIN CSL_CITATION { "citationItems" : [ { "id" : "ITEM-1", "itemData" : { "DOI" : "10.1016/j.biombioe.2011.10.001", "ISSN" : "09619534", "abstract" : "Anaerobic digestion of pulp and paper sludge (PPS) and monosodium glutamate waste liquor (MGWL) was studied in completely stirred tank reactors (CSTR) at 37\u00a0\u00b1\u00a02\u00a0\u00b0C. This work focused on the effect of increased organic loading rate (OLR) on the methane production in long-term experiments. For OLR in the range of (1.5\u20135.0)\u00a0kg\u00a0m\u22123\u00a0d\u22121 based on VS fed, VFA and SCOD concentrations decreased for the first 10 days and then kept stable at about 2.3\u00a0kg\u00a0m\u22123 and 4.0\u00a0kg\u00a0m\u22123 respectively until to the critical OLR of 5.0\u00a0kg\u00a0m\u22123\u00a0d\u22121; and the methane generation rate enhanced to 0.838\u00a0m3\u00a0m\u22123\u00a0d\u22121 during this period until to the reactor failure. Additionally, reaction rate constant k and sludge retention time (SRT) are described on the basis of a mass balance in a CSTR followed a first order kinetic equation. In the present study, values for ym and k were obtained as 0.733\u00a0m3\u00a0kg\u22121 of removed VS and 0.07\u00a0d\u22121, respectively. The simple model can apply for dimensioning a CSTR digesting of organic wastes from pulp and paper industries, food processing industries, sewage treatment plants or biogas crops.", "author" : [ { "dropping-particle" : "", "family" : "Lin", "given" : "Yunqin", "non-dropping-particle" : "", "parse-names" : false, "suffix" : "" }, { "dropping-particle" : "", "family" : "Wang", "given" : "Dehan", "non-dropping-particle" : "", "parse-names" : false, "suffix" : "" }, { "dropping-particle" : "", "family" : "Li", "given" : "Qing", "non-dropping-particle" : "", "parse-names" : false, "suffix" : "" }, { "dropping-particle" : "", "family" : "Huang", "given" : "Lijian", "non-dropping-particle" : "", "parse-names" : false, "suffix" : "" } ], "container-title" : "Biomass and Bioenergy", "id" : "ITEM-1", "issue" : "12", "issued" : { "date-parts" : [ [ "2011", "12" ] ] }, "page" : "4862-4867", "title" : "Kinetic study of mesophilic anaerobic digestion of pulp &amp; paper sludge", "type" : "article-journal", "volume" : "35" }, "uris" : [ "http://www.mendeley.com/documents/?uuid=f493be34-f6c1-4572-8177-e34663618fdd" ] }, { "id" : "ITEM-2", "itemData" : { "DOI" : "10.1016/j.biortech.2004.03.009", "ISSN" : "0960-8524", "PMID" : "15491833", "abstract" : "Municipal grey waste (i.e. the remaining fraction in municipal waste management systems in which putrescibles (biowaste) and other recyclables (paper, metals, glass) are source-segregated) was manually sorted into six main fractions on the basis of composition and also separated by sieving (100 mm mesh size) into two fractions, oversized and undersized, respectively. In practice, in waste management plant the oversized fraction is (or will be) used to produce refuse-derived fuel and the undersized landfilled after biological stabilisation. The methane yields and nitrogen solubilisation of the grey waste and the different fractions (all studied samples were first milled to 5 mm particle samples) were determined in a 237-day methane production batch assay and in a water elution test, respectively. The grey waste was found to contained remnants of putrescibles and also a high amount of other biodegradable waste, including packaging, cartons and cardboard, newsprint, textiles and diapers. These waste fractions comprised 41%-w/w of the grey waste and produced 40-210 m3 methane (total solids (TS))(-1) and less than 0.01 g NH4-N kg TS(added)(-1) except diapers which produced 9.8 g NH4-N kg TS(added)(-1) in the batch assays. In the case of the two sieved fractions and on mass bases, most of the methane originated from the oversized fraction, whereas most of the NH4-N was solublised from the undersized fraction. The first-order kinetic model described rather well the degradation of each grey waste fraction and component, showing the different components to be in the range 0.021-0.058 d(-1), which was around one-sixth of the values reported for the source-segregated putrescible fraction of MSW.", "author" : [ { "dropping-particle" : "", "family" : "Jokela", "given" : "J P Y", "non-dropping-particle" : "", "parse-names" : false, "suffix" : "" }, { "dropping-particle" : "", "family" : "Vavilin", "given" : "V A", "non-dropping-particle" : "", "parse-names" : false, "suffix" : "" }, { "dropping-particle" : "", "family" : "Rintala", "given" : "J A", "non-dropping-particle" : "", "parse-names" : false, "suffix" : "" } ], "container-title" : "Bioresource technology", "id" : "ITEM-2", "issue" : "4", "issued" : { "date-parts" : [ [ "2005", "3" ] ] }, "page" : "501-8", "title" : "Hydrolysis rates, methane production and nitrogen solubilisation of grey waste components during anaerobic degradation.", "type" : "article-journal", "volume" : "96" }, "uris" : [ "http://www.mendeley.com/documents/?uuid=8837c5f0-96d0-4bbd-bed6-ba1ec3ab2bfe" ] } ], "mendeley" : { "formattedCitation" : "(Jokela et al., 2005; Lin et al., 2011)", "plainTextFormattedCitation" : "(Jokela et al., 2005; Lin et al., 2011)", "previouslyFormattedCitation" : "(Jokela et al., 2005; Lin et al., 2011)" }, "properties" : { "noteIndex" : 0 }, "schema" : "https://github.com/citation-style-language/schema/raw/master/csl-citation.json" }</w:instrText>
      </w:r>
      <w:r w:rsidR="00404D26">
        <w:rPr>
          <w:rFonts w:eastAsia="Arial Unicode MS"/>
        </w:rPr>
        <w:fldChar w:fldCharType="separate"/>
      </w:r>
      <w:r w:rsidR="00404D26" w:rsidRPr="00404D26">
        <w:rPr>
          <w:rFonts w:eastAsia="Arial Unicode MS"/>
          <w:noProof/>
        </w:rPr>
        <w:t>(Jokela et al., 2005; Lin et al., 2011)</w:t>
      </w:r>
      <w:r w:rsidR="00404D26">
        <w:rPr>
          <w:rFonts w:eastAsia="Arial Unicode MS"/>
        </w:rPr>
        <w:fldChar w:fldCharType="end"/>
      </w:r>
      <w:r w:rsidR="00881BE2" w:rsidRPr="00A70853">
        <w:rPr>
          <w:rFonts w:eastAsia="Arial Unicode MS"/>
        </w:rPr>
        <w:t>.</w:t>
      </w:r>
    </w:p>
    <w:p w14:paraId="48278B6A" w14:textId="6F4AD3C9" w:rsidR="00881BE2" w:rsidRPr="00CC57DB" w:rsidRDefault="00881BE2" w:rsidP="00CC57DB">
      <w:pPr>
        <w:keepNext/>
        <w:spacing w:before="240" w:after="240" w:line="276" w:lineRule="auto"/>
        <w:jc w:val="right"/>
        <w:rPr>
          <w:szCs w:val="20"/>
        </w:rPr>
      </w:pPr>
      <w:r w:rsidRPr="00A70853">
        <w:rPr>
          <w:rFonts w:eastAsia="Arial Unicode MS"/>
        </w:rPr>
        <w:lastRenderedPageBreak/>
        <w:t xml:space="preserve">  </w:t>
      </w:r>
      <w:r w:rsidR="00211BAE" w:rsidRPr="00A85D09">
        <w:rPr>
          <w:position w:val="-12"/>
          <w:szCs w:val="20"/>
        </w:rPr>
        <w:object w:dxaOrig="1820" w:dyaOrig="380" w14:anchorId="0D03E71F">
          <v:shape id="_x0000_i1026" type="#_x0000_t75" style="width:91.1pt;height:20.2pt" o:ole="">
            <v:imagedata r:id="rId14" o:title=""/>
          </v:shape>
          <o:OLEObject Type="Embed" ProgID="Equation.3" ShapeID="_x0000_i1026" DrawAspect="Content" ObjectID="_1571030682" r:id="rId15"/>
        </w:object>
      </w:r>
      <w:r w:rsidR="00CC57DB">
        <w:rPr>
          <w:szCs w:val="20"/>
        </w:rPr>
        <w:t xml:space="preserve">                         </w:t>
      </w:r>
      <w:r w:rsidR="00D33581">
        <w:rPr>
          <w:szCs w:val="20"/>
        </w:rPr>
        <w:t xml:space="preserve">       </w:t>
      </w:r>
      <w:r w:rsidR="00CC57DB">
        <w:rPr>
          <w:szCs w:val="20"/>
        </w:rPr>
        <w:t xml:space="preserve">                                 </w:t>
      </w:r>
      <w:r w:rsidR="00CC57DB">
        <w:t>(</w:t>
      </w:r>
      <w:r w:rsidR="00CC57DB">
        <w:fldChar w:fldCharType="begin"/>
      </w:r>
      <w:r w:rsidR="00CC57DB" w:rsidRPr="00D33581">
        <w:instrText xml:space="preserve"> SEQ ( \* ARABIC </w:instrText>
      </w:r>
      <w:r w:rsidR="00CC57DB">
        <w:fldChar w:fldCharType="separate"/>
      </w:r>
      <w:r w:rsidR="00CF53CF">
        <w:rPr>
          <w:noProof/>
        </w:rPr>
        <w:t>2</w:t>
      </w:r>
      <w:r w:rsidR="00CC57DB">
        <w:fldChar w:fldCharType="end"/>
      </w:r>
      <w:r w:rsidR="00CC57DB">
        <w:t>)</w:t>
      </w:r>
      <w:r w:rsidRPr="00A70853">
        <w:rPr>
          <w:szCs w:val="20"/>
        </w:rPr>
        <w:t xml:space="preserve">                                                            </w:t>
      </w:r>
    </w:p>
    <w:p w14:paraId="23A3DAF9" w14:textId="1C0AC1C7" w:rsidR="00881BE2" w:rsidRPr="00277384" w:rsidRDefault="00A85D09" w:rsidP="00277384">
      <w:pPr>
        <w:spacing w:line="276" w:lineRule="auto"/>
        <w:rPr>
          <w:rFonts w:eastAsia="Arial Unicode MS"/>
        </w:rPr>
      </w:pPr>
      <w:r>
        <w:rPr>
          <w:rFonts w:eastAsia="Arial Unicode MS"/>
        </w:rPr>
        <w:t xml:space="preserve">where </w:t>
      </w:r>
      <w:r w:rsidR="00C11B51">
        <w:rPr>
          <w:rFonts w:eastAsia="Arial Unicode MS"/>
        </w:rPr>
        <w:t>B</w:t>
      </w:r>
      <w:r w:rsidR="00C11B51" w:rsidRPr="00A70853">
        <w:rPr>
          <w:rFonts w:eastAsia="Arial Unicode MS"/>
        </w:rPr>
        <w:t xml:space="preserve"> (</w:t>
      </w:r>
      <w:r w:rsidR="00881BE2" w:rsidRPr="00A70853">
        <w:rPr>
          <w:rFonts w:eastAsia="Arial Unicode MS"/>
        </w:rPr>
        <w:t>t) is the cumulativ</w:t>
      </w:r>
      <w:r>
        <w:rPr>
          <w:rFonts w:eastAsia="Arial Unicode MS"/>
        </w:rPr>
        <w:t>e methane production (ml/gVS), B</w:t>
      </w:r>
      <w:r w:rsidRPr="00A85D09">
        <w:rPr>
          <w:rFonts w:eastAsia="Arial Unicode MS"/>
          <w:vertAlign w:val="subscript"/>
        </w:rPr>
        <w:t>0</w:t>
      </w:r>
      <w:r w:rsidR="00881BE2" w:rsidRPr="00A70853">
        <w:rPr>
          <w:rFonts w:eastAsia="Arial Unicode MS"/>
        </w:rPr>
        <w:t xml:space="preserve"> is the maximum methane production (ml/gVS), k is the </w:t>
      </w:r>
      <w:r w:rsidR="00881BE2" w:rsidRPr="00A70853">
        <w:rPr>
          <w:rFonts w:eastAsia="Arial Unicode MS" w:cs="Arial Unicode MS"/>
          <w:szCs w:val="20"/>
        </w:rPr>
        <w:t>methane</w:t>
      </w:r>
      <w:r w:rsidR="00881BE2" w:rsidRPr="00A70853">
        <w:rPr>
          <w:rFonts w:eastAsia="Arial Unicode MS"/>
        </w:rPr>
        <w:t xml:space="preserve"> production rate constant</w:t>
      </w:r>
      <w:r w:rsidR="00881BE2">
        <w:rPr>
          <w:rFonts w:eastAsia="Arial Unicode MS"/>
        </w:rPr>
        <w:t xml:space="preserve"> (d</w:t>
      </w:r>
      <w:r w:rsidR="00881BE2">
        <w:rPr>
          <w:rFonts w:eastAsia="Arial Unicode MS"/>
          <w:vertAlign w:val="superscript"/>
        </w:rPr>
        <w:t>-1</w:t>
      </w:r>
      <w:r w:rsidR="00881BE2" w:rsidRPr="00D735E1">
        <w:rPr>
          <w:rFonts w:eastAsia="Arial Unicode MS"/>
        </w:rPr>
        <w:t>), an</w:t>
      </w:r>
      <w:r w:rsidR="00881BE2">
        <w:rPr>
          <w:rFonts w:eastAsia="Arial Unicode MS"/>
        </w:rPr>
        <w:t>d t is the time (d). Biodegrad</w:t>
      </w:r>
      <w:r w:rsidR="00881BE2" w:rsidRPr="00D735E1">
        <w:rPr>
          <w:rFonts w:eastAsia="Arial Unicode MS"/>
        </w:rPr>
        <w:t>ability results were compared after a significance statistical analysis by using</w:t>
      </w:r>
      <w:r w:rsidR="00881BE2">
        <w:rPr>
          <w:rFonts w:eastAsia="Arial Unicode MS"/>
        </w:rPr>
        <w:t xml:space="preserve"> </w:t>
      </w:r>
      <w:r w:rsidR="00881BE2" w:rsidRPr="00D735E1">
        <w:rPr>
          <w:rFonts w:eastAsia="Arial Unicode MS"/>
        </w:rPr>
        <w:t xml:space="preserve">analysis of variance (ANOVA) </w:t>
      </w:r>
      <w:r w:rsidR="00881BE2">
        <w:rPr>
          <w:rFonts w:eastAsia="Arial Unicode MS"/>
        </w:rPr>
        <w:t xml:space="preserve">for </w:t>
      </w:r>
      <w:r w:rsidR="00881BE2" w:rsidRPr="00D735E1">
        <w:rPr>
          <w:rFonts w:eastAsia="Arial Unicode MS"/>
        </w:rPr>
        <w:t>a single factor</w:t>
      </w:r>
      <w:r w:rsidR="00881BE2">
        <w:rPr>
          <w:rFonts w:eastAsia="Arial Unicode MS"/>
        </w:rPr>
        <w:t>. Statistical sig</w:t>
      </w:r>
      <w:r w:rsidR="00881BE2" w:rsidRPr="00D735E1">
        <w:rPr>
          <w:rFonts w:eastAsia="Arial Unicode MS"/>
        </w:rPr>
        <w:t>nificance was established at p &lt; 0.05 level.</w:t>
      </w:r>
    </w:p>
    <w:p w14:paraId="40509C96" w14:textId="77777777" w:rsidR="0013554A" w:rsidRPr="00C43D0D" w:rsidRDefault="0013554A" w:rsidP="00B45AA9">
      <w:pPr>
        <w:pStyle w:val="Heading1"/>
        <w:spacing w:before="240" w:line="276" w:lineRule="auto"/>
        <w:rPr>
          <w:rFonts w:eastAsia="Arial Unicode MS" w:cs="Arial Unicode MS"/>
        </w:rPr>
      </w:pPr>
      <w:r w:rsidRPr="00C43D0D">
        <w:rPr>
          <w:rFonts w:eastAsia="Arial Unicode MS" w:cs="Arial Unicode MS"/>
        </w:rPr>
        <w:t>results AND DISCUSSION</w:t>
      </w:r>
    </w:p>
    <w:p w14:paraId="6F93ED26" w14:textId="2C89146D" w:rsidR="002D6194" w:rsidRPr="00C43D0D" w:rsidRDefault="004A4BF1" w:rsidP="00B45AA9">
      <w:pPr>
        <w:pStyle w:val="Heading2"/>
        <w:spacing w:before="240" w:line="276" w:lineRule="auto"/>
        <w:rPr>
          <w:rFonts w:eastAsia="Arial Unicode MS" w:cs="Arial Unicode MS"/>
        </w:rPr>
      </w:pPr>
      <w:r>
        <w:rPr>
          <w:rFonts w:eastAsia="Arial Unicode MS" w:cs="Arial Unicode MS"/>
        </w:rPr>
        <w:t>Methane</w:t>
      </w:r>
      <w:r w:rsidR="002D6194" w:rsidRPr="00C43D0D">
        <w:rPr>
          <w:rFonts w:eastAsia="Arial Unicode MS" w:cs="Arial Unicode MS"/>
        </w:rPr>
        <w:t xml:space="preserve"> production</w:t>
      </w:r>
    </w:p>
    <w:p w14:paraId="2155ADAB" w14:textId="77777777" w:rsidR="00D33581" w:rsidRPr="00D33581" w:rsidRDefault="00C43D0D" w:rsidP="00D33581">
      <w:pPr>
        <w:pStyle w:val="Caption"/>
        <w:keepNext/>
        <w:jc w:val="left"/>
        <w:rPr>
          <w:b w:val="0"/>
          <w:szCs w:val="20"/>
        </w:rPr>
      </w:pPr>
      <w:r w:rsidRPr="00D33581">
        <w:rPr>
          <w:b w:val="0"/>
          <w:szCs w:val="20"/>
        </w:rPr>
        <w:t>The</w:t>
      </w:r>
      <w:r w:rsidR="00D35F8E" w:rsidRPr="00D33581">
        <w:rPr>
          <w:b w:val="0"/>
          <w:szCs w:val="20"/>
        </w:rPr>
        <w:t xml:space="preserve"> present means and standard deviations of performed experiments</w:t>
      </w:r>
      <w:r w:rsidRPr="00D33581">
        <w:rPr>
          <w:b w:val="0"/>
          <w:szCs w:val="20"/>
        </w:rPr>
        <w:t xml:space="preserve"> are shown in Table 3</w:t>
      </w:r>
      <w:r w:rsidR="00D35F8E" w:rsidRPr="00D33581">
        <w:rPr>
          <w:b w:val="0"/>
          <w:szCs w:val="20"/>
        </w:rPr>
        <w:t>.</w:t>
      </w:r>
    </w:p>
    <w:p w14:paraId="1EB52095" w14:textId="6EF44432" w:rsidR="00C43D0D" w:rsidRDefault="00C43D0D" w:rsidP="00C43D0D">
      <w:pPr>
        <w:pStyle w:val="Caption"/>
        <w:keepNext/>
      </w:pPr>
      <w:r>
        <w:t xml:space="preserve">Table </w:t>
      </w:r>
      <w:r>
        <w:fldChar w:fldCharType="begin"/>
      </w:r>
      <w:r>
        <w:instrText xml:space="preserve"> SEQ Table \* ARABIC </w:instrText>
      </w:r>
      <w:r>
        <w:fldChar w:fldCharType="separate"/>
      </w:r>
      <w:r w:rsidR="00211CB2">
        <w:rPr>
          <w:noProof/>
        </w:rPr>
        <w:t>3</w:t>
      </w:r>
      <w:r>
        <w:fldChar w:fldCharType="end"/>
      </w:r>
      <w:r>
        <w:t xml:space="preserve">. </w:t>
      </w:r>
      <w:r w:rsidRPr="00AA117E">
        <w:rPr>
          <w:b w:val="0"/>
        </w:rPr>
        <w:t>Experimental results obtained at the end of the biodegradability tests</w:t>
      </w:r>
    </w:p>
    <w:tbl>
      <w:tblPr>
        <w:tblW w:w="7675" w:type="dxa"/>
        <w:jc w:val="center"/>
        <w:tblBorders>
          <w:top w:val="single" w:sz="4" w:space="0" w:color="auto"/>
          <w:bottom w:val="single" w:sz="4" w:space="0" w:color="auto"/>
        </w:tblBorders>
        <w:tblLook w:val="04A0" w:firstRow="1" w:lastRow="0" w:firstColumn="1" w:lastColumn="0" w:noHBand="0" w:noVBand="1"/>
      </w:tblPr>
      <w:tblGrid>
        <w:gridCol w:w="1139"/>
        <w:gridCol w:w="1421"/>
        <w:gridCol w:w="2268"/>
        <w:gridCol w:w="1624"/>
        <w:gridCol w:w="1223"/>
      </w:tblGrid>
      <w:tr w:rsidR="00C43D0D" w:rsidRPr="00717994" w14:paraId="6F4A615D" w14:textId="77777777" w:rsidTr="00D35470">
        <w:trPr>
          <w:jc w:val="center"/>
        </w:trPr>
        <w:tc>
          <w:tcPr>
            <w:tcW w:w="1139" w:type="dxa"/>
            <w:tcBorders>
              <w:top w:val="single" w:sz="4" w:space="0" w:color="auto"/>
              <w:bottom w:val="single" w:sz="4" w:space="0" w:color="auto"/>
            </w:tcBorders>
            <w:shd w:val="clear" w:color="auto" w:fill="auto"/>
            <w:vAlign w:val="center"/>
          </w:tcPr>
          <w:p w14:paraId="0F46E753"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 xml:space="preserve">Ratio F/I </w:t>
            </w:r>
          </w:p>
        </w:tc>
        <w:tc>
          <w:tcPr>
            <w:tcW w:w="1421" w:type="dxa"/>
            <w:tcBorders>
              <w:top w:val="single" w:sz="4" w:space="0" w:color="auto"/>
              <w:bottom w:val="single" w:sz="4" w:space="0" w:color="auto"/>
            </w:tcBorders>
            <w:shd w:val="clear" w:color="auto" w:fill="auto"/>
            <w:vAlign w:val="center"/>
          </w:tcPr>
          <w:p w14:paraId="2E251E84"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Beating time (min)</w:t>
            </w:r>
          </w:p>
        </w:tc>
        <w:tc>
          <w:tcPr>
            <w:tcW w:w="2268" w:type="dxa"/>
            <w:tcBorders>
              <w:top w:val="single" w:sz="4" w:space="0" w:color="auto"/>
              <w:bottom w:val="single" w:sz="4" w:space="0" w:color="auto"/>
            </w:tcBorders>
            <w:shd w:val="clear" w:color="auto" w:fill="auto"/>
            <w:vAlign w:val="center"/>
          </w:tcPr>
          <w:p w14:paraId="61106CBE"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Methane production (ml/gVS)</w:t>
            </w:r>
          </w:p>
        </w:tc>
        <w:tc>
          <w:tcPr>
            <w:tcW w:w="1624" w:type="dxa"/>
            <w:tcBorders>
              <w:top w:val="single" w:sz="4" w:space="0" w:color="auto"/>
              <w:bottom w:val="single" w:sz="4" w:space="0" w:color="auto"/>
            </w:tcBorders>
            <w:shd w:val="clear" w:color="auto" w:fill="auto"/>
            <w:vAlign w:val="center"/>
          </w:tcPr>
          <w:p w14:paraId="4E28971B"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k (d</w:t>
            </w:r>
            <w:r w:rsidRPr="00AA117E">
              <w:rPr>
                <w:rFonts w:ascii="Arial Unicode MS" w:eastAsia="Arial Unicode MS" w:hAnsi="Arial Unicode MS" w:cs="Arial Unicode MS"/>
                <w:sz w:val="20"/>
                <w:szCs w:val="20"/>
                <w:vertAlign w:val="superscript"/>
                <w:lang w:val="en-US"/>
              </w:rPr>
              <w:t>-1</w:t>
            </w:r>
            <w:r w:rsidRPr="00AA117E">
              <w:rPr>
                <w:rFonts w:ascii="Arial Unicode MS" w:eastAsia="Arial Unicode MS" w:hAnsi="Arial Unicode MS" w:cs="Arial Unicode MS"/>
                <w:sz w:val="20"/>
                <w:szCs w:val="20"/>
                <w:lang w:val="en-US"/>
              </w:rPr>
              <w:t>)</w:t>
            </w:r>
          </w:p>
        </w:tc>
        <w:tc>
          <w:tcPr>
            <w:tcW w:w="1223" w:type="dxa"/>
            <w:tcBorders>
              <w:top w:val="single" w:sz="4" w:space="0" w:color="auto"/>
              <w:bottom w:val="single" w:sz="4" w:space="0" w:color="auto"/>
            </w:tcBorders>
            <w:shd w:val="clear" w:color="auto" w:fill="auto"/>
            <w:vAlign w:val="center"/>
          </w:tcPr>
          <w:p w14:paraId="0639B7BC"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pH</w:t>
            </w:r>
          </w:p>
        </w:tc>
      </w:tr>
      <w:tr w:rsidR="00C43D0D" w:rsidRPr="00AA117E" w14:paraId="33D6D32D" w14:textId="77777777" w:rsidTr="00D35470">
        <w:trPr>
          <w:jc w:val="center"/>
        </w:trPr>
        <w:tc>
          <w:tcPr>
            <w:tcW w:w="1139" w:type="dxa"/>
            <w:vMerge w:val="restart"/>
            <w:tcBorders>
              <w:top w:val="single" w:sz="4" w:space="0" w:color="auto"/>
            </w:tcBorders>
            <w:shd w:val="clear" w:color="auto" w:fill="auto"/>
            <w:vAlign w:val="center"/>
          </w:tcPr>
          <w:p w14:paraId="13862439"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0.3</w:t>
            </w:r>
          </w:p>
        </w:tc>
        <w:tc>
          <w:tcPr>
            <w:tcW w:w="1421" w:type="dxa"/>
            <w:tcBorders>
              <w:top w:val="single" w:sz="4" w:space="0" w:color="auto"/>
            </w:tcBorders>
            <w:shd w:val="clear" w:color="auto" w:fill="auto"/>
            <w:vAlign w:val="center"/>
          </w:tcPr>
          <w:p w14:paraId="1C2866B7"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0</w:t>
            </w:r>
          </w:p>
        </w:tc>
        <w:tc>
          <w:tcPr>
            <w:tcW w:w="2268" w:type="dxa"/>
            <w:tcBorders>
              <w:top w:val="single" w:sz="4" w:space="0" w:color="auto"/>
            </w:tcBorders>
            <w:shd w:val="clear" w:color="auto" w:fill="auto"/>
            <w:vAlign w:val="center"/>
          </w:tcPr>
          <w:p w14:paraId="54F9434F" w14:textId="031C4C0E" w:rsidR="00C43D0D" w:rsidRPr="00817D69" w:rsidRDefault="00B073F3" w:rsidP="00D35470">
            <w:pPr>
              <w:spacing w:line="276" w:lineRule="auto"/>
              <w:jc w:val="center"/>
              <w:rPr>
                <w:rFonts w:eastAsia="Arial Unicode MS" w:cs="Arial Unicode MS"/>
                <w:szCs w:val="20"/>
              </w:rPr>
            </w:pPr>
            <w:r>
              <w:rPr>
                <w:rFonts w:eastAsia="Arial Unicode MS" w:cs="Arial Unicode MS"/>
                <w:szCs w:val="20"/>
              </w:rPr>
              <w:t>210</w:t>
            </w:r>
            <w:r w:rsidR="00E21732" w:rsidRPr="00817D69">
              <w:rPr>
                <w:rFonts w:eastAsia="Arial Unicode MS" w:cs="Arial Unicode MS" w:hint="eastAsia"/>
                <w:szCs w:val="20"/>
                <w:lang w:eastAsia="en-GB"/>
              </w:rPr>
              <w:t>±</w:t>
            </w:r>
            <w:r>
              <w:rPr>
                <w:rFonts w:eastAsia="Arial Unicode MS" w:cs="Arial Unicode MS"/>
                <w:szCs w:val="20"/>
                <w:lang w:eastAsia="en-GB"/>
              </w:rPr>
              <w:t>8</w:t>
            </w:r>
          </w:p>
        </w:tc>
        <w:tc>
          <w:tcPr>
            <w:tcW w:w="1624" w:type="dxa"/>
            <w:tcBorders>
              <w:top w:val="single" w:sz="4" w:space="0" w:color="auto"/>
            </w:tcBorders>
            <w:shd w:val="clear" w:color="auto" w:fill="auto"/>
            <w:vAlign w:val="center"/>
          </w:tcPr>
          <w:p w14:paraId="79981CD1" w14:textId="1C969B54" w:rsidR="00C43D0D" w:rsidRPr="00AA117E" w:rsidRDefault="00AA117E"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0.12</w:t>
            </w:r>
            <w:r w:rsidRPr="00AA117E">
              <w:rPr>
                <w:rFonts w:eastAsia="Arial Unicode MS" w:cs="Arial Unicode MS" w:hint="eastAsia"/>
                <w:szCs w:val="20"/>
                <w:lang w:eastAsia="en-GB"/>
              </w:rPr>
              <w:t>±</w:t>
            </w:r>
            <w:r w:rsidRPr="00AA117E">
              <w:rPr>
                <w:rFonts w:eastAsia="Arial Unicode MS" w:cs="Arial Unicode MS"/>
                <w:szCs w:val="20"/>
                <w:lang w:eastAsia="en-GB"/>
              </w:rPr>
              <w:t>0.01</w:t>
            </w:r>
          </w:p>
        </w:tc>
        <w:tc>
          <w:tcPr>
            <w:tcW w:w="1223" w:type="dxa"/>
            <w:tcBorders>
              <w:top w:val="single" w:sz="4" w:space="0" w:color="auto"/>
            </w:tcBorders>
            <w:shd w:val="clear" w:color="auto" w:fill="auto"/>
            <w:vAlign w:val="center"/>
          </w:tcPr>
          <w:p w14:paraId="5B966613" w14:textId="01EB906B" w:rsidR="00C43D0D" w:rsidRPr="00AA117E" w:rsidRDefault="00314E42"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7.13</w:t>
            </w:r>
            <w:r w:rsidRPr="00AA117E">
              <w:rPr>
                <w:rFonts w:eastAsia="Arial Unicode MS" w:cs="Arial Unicode MS" w:hint="eastAsia"/>
                <w:szCs w:val="20"/>
                <w:lang w:eastAsia="en-GB"/>
              </w:rPr>
              <w:t>±</w:t>
            </w:r>
            <w:r w:rsidRPr="00AA117E">
              <w:rPr>
                <w:rFonts w:eastAsia="Arial Unicode MS" w:cs="Arial Unicode MS"/>
                <w:szCs w:val="20"/>
                <w:lang w:eastAsia="en-GB"/>
              </w:rPr>
              <w:t>0.07</w:t>
            </w:r>
          </w:p>
        </w:tc>
      </w:tr>
      <w:tr w:rsidR="00C43D0D" w:rsidRPr="00AA117E" w14:paraId="090CE0CD" w14:textId="77777777" w:rsidTr="00D35470">
        <w:trPr>
          <w:jc w:val="center"/>
        </w:trPr>
        <w:tc>
          <w:tcPr>
            <w:tcW w:w="1139" w:type="dxa"/>
            <w:vMerge/>
            <w:shd w:val="clear" w:color="auto" w:fill="auto"/>
            <w:vAlign w:val="center"/>
          </w:tcPr>
          <w:p w14:paraId="53702AE1"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p>
        </w:tc>
        <w:tc>
          <w:tcPr>
            <w:tcW w:w="1421" w:type="dxa"/>
            <w:shd w:val="clear" w:color="auto" w:fill="auto"/>
            <w:vAlign w:val="center"/>
          </w:tcPr>
          <w:p w14:paraId="1129E929"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30</w:t>
            </w:r>
          </w:p>
        </w:tc>
        <w:tc>
          <w:tcPr>
            <w:tcW w:w="2268" w:type="dxa"/>
            <w:shd w:val="clear" w:color="auto" w:fill="auto"/>
            <w:vAlign w:val="center"/>
          </w:tcPr>
          <w:p w14:paraId="0FE28132" w14:textId="644CF565" w:rsidR="00C43D0D" w:rsidRPr="00817D69" w:rsidRDefault="00B073F3" w:rsidP="00D35470">
            <w:pPr>
              <w:spacing w:line="276" w:lineRule="auto"/>
              <w:jc w:val="center"/>
              <w:rPr>
                <w:rFonts w:eastAsia="Arial Unicode MS" w:cs="Arial Unicode MS"/>
                <w:szCs w:val="20"/>
                <w:lang w:eastAsia="en-GB"/>
              </w:rPr>
            </w:pPr>
            <w:r>
              <w:rPr>
                <w:rFonts w:eastAsia="Arial Unicode MS" w:cs="Arial Unicode MS"/>
                <w:szCs w:val="20"/>
                <w:lang w:eastAsia="en-GB"/>
              </w:rPr>
              <w:t>199</w:t>
            </w:r>
            <w:r w:rsidR="00817D69" w:rsidRPr="00817D69">
              <w:rPr>
                <w:rFonts w:eastAsia="Arial Unicode MS" w:cs="Arial Unicode MS" w:hint="eastAsia"/>
                <w:szCs w:val="20"/>
                <w:lang w:eastAsia="en-GB"/>
              </w:rPr>
              <w:t>±</w:t>
            </w:r>
            <w:r>
              <w:rPr>
                <w:rFonts w:eastAsia="Arial Unicode MS" w:cs="Arial Unicode MS"/>
                <w:szCs w:val="20"/>
                <w:lang w:eastAsia="en-GB"/>
              </w:rPr>
              <w:t>7</w:t>
            </w:r>
          </w:p>
        </w:tc>
        <w:tc>
          <w:tcPr>
            <w:tcW w:w="1624" w:type="dxa"/>
            <w:shd w:val="clear" w:color="auto" w:fill="auto"/>
            <w:vAlign w:val="center"/>
          </w:tcPr>
          <w:p w14:paraId="7F831096" w14:textId="47CC748D" w:rsidR="00C43D0D" w:rsidRPr="00AA117E" w:rsidRDefault="00AA117E"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0.18</w:t>
            </w:r>
            <w:r w:rsidRPr="00AA117E">
              <w:rPr>
                <w:rFonts w:eastAsia="Arial Unicode MS" w:cs="Arial Unicode MS" w:hint="eastAsia"/>
                <w:szCs w:val="20"/>
                <w:lang w:eastAsia="en-GB"/>
              </w:rPr>
              <w:t>±</w:t>
            </w:r>
            <w:r w:rsidRPr="00AA117E">
              <w:rPr>
                <w:rFonts w:eastAsia="Arial Unicode MS" w:cs="Arial Unicode MS"/>
                <w:szCs w:val="20"/>
                <w:lang w:eastAsia="en-GB"/>
              </w:rPr>
              <w:t>0.01</w:t>
            </w:r>
          </w:p>
        </w:tc>
        <w:tc>
          <w:tcPr>
            <w:tcW w:w="1223" w:type="dxa"/>
            <w:shd w:val="clear" w:color="auto" w:fill="auto"/>
            <w:vAlign w:val="center"/>
          </w:tcPr>
          <w:p w14:paraId="622037E3" w14:textId="7EC4C7E7" w:rsidR="00C43D0D" w:rsidRPr="00AA117E" w:rsidRDefault="00314E42"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6.65</w:t>
            </w:r>
            <w:r w:rsidRPr="00AA117E">
              <w:rPr>
                <w:rFonts w:eastAsia="Arial Unicode MS" w:cs="Arial Unicode MS" w:hint="eastAsia"/>
                <w:szCs w:val="20"/>
                <w:lang w:eastAsia="en-GB"/>
              </w:rPr>
              <w:t>±</w:t>
            </w:r>
            <w:r w:rsidRPr="00AA117E">
              <w:rPr>
                <w:rFonts w:eastAsia="Arial Unicode MS" w:cs="Arial Unicode MS"/>
                <w:szCs w:val="20"/>
                <w:lang w:eastAsia="en-GB"/>
              </w:rPr>
              <w:t>0.14</w:t>
            </w:r>
          </w:p>
        </w:tc>
      </w:tr>
      <w:tr w:rsidR="00C43D0D" w:rsidRPr="00AA117E" w14:paraId="2044B050" w14:textId="77777777" w:rsidTr="00D35470">
        <w:trPr>
          <w:jc w:val="center"/>
        </w:trPr>
        <w:tc>
          <w:tcPr>
            <w:tcW w:w="1139" w:type="dxa"/>
            <w:vMerge/>
            <w:shd w:val="clear" w:color="auto" w:fill="auto"/>
            <w:vAlign w:val="center"/>
          </w:tcPr>
          <w:p w14:paraId="4E18CA13"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p>
        </w:tc>
        <w:tc>
          <w:tcPr>
            <w:tcW w:w="1421" w:type="dxa"/>
            <w:shd w:val="clear" w:color="auto" w:fill="auto"/>
            <w:vAlign w:val="center"/>
          </w:tcPr>
          <w:p w14:paraId="280D1E2F"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60</w:t>
            </w:r>
          </w:p>
        </w:tc>
        <w:tc>
          <w:tcPr>
            <w:tcW w:w="2268" w:type="dxa"/>
            <w:shd w:val="clear" w:color="auto" w:fill="auto"/>
            <w:vAlign w:val="center"/>
          </w:tcPr>
          <w:p w14:paraId="1A4BBE67" w14:textId="79ECDBA0" w:rsidR="00C43D0D" w:rsidRPr="00817D69" w:rsidRDefault="00B073F3" w:rsidP="00D35470">
            <w:pPr>
              <w:spacing w:line="276" w:lineRule="auto"/>
              <w:jc w:val="center"/>
              <w:rPr>
                <w:rFonts w:eastAsia="Arial Unicode MS" w:cs="Arial Unicode MS"/>
                <w:szCs w:val="20"/>
                <w:lang w:eastAsia="en-GB"/>
              </w:rPr>
            </w:pPr>
            <w:r>
              <w:rPr>
                <w:rFonts w:eastAsia="Arial Unicode MS" w:cs="Arial Unicode MS"/>
                <w:szCs w:val="20"/>
                <w:lang w:eastAsia="en-GB"/>
              </w:rPr>
              <w:t>253</w:t>
            </w:r>
            <w:r w:rsidR="00817D69" w:rsidRPr="00817D69">
              <w:rPr>
                <w:rFonts w:eastAsia="Arial Unicode MS" w:cs="Arial Unicode MS" w:hint="eastAsia"/>
                <w:szCs w:val="20"/>
                <w:lang w:eastAsia="en-GB"/>
              </w:rPr>
              <w:t>±</w:t>
            </w:r>
            <w:r>
              <w:rPr>
                <w:rFonts w:eastAsia="Arial Unicode MS" w:cs="Arial Unicode MS"/>
                <w:szCs w:val="20"/>
                <w:lang w:eastAsia="en-GB"/>
              </w:rPr>
              <w:t>12</w:t>
            </w:r>
          </w:p>
        </w:tc>
        <w:tc>
          <w:tcPr>
            <w:tcW w:w="1624" w:type="dxa"/>
            <w:shd w:val="clear" w:color="auto" w:fill="auto"/>
            <w:vAlign w:val="center"/>
          </w:tcPr>
          <w:p w14:paraId="66D43A46" w14:textId="7904968E" w:rsidR="00C43D0D" w:rsidRPr="00AA117E" w:rsidRDefault="00AA117E"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0.14</w:t>
            </w:r>
            <w:r w:rsidRPr="00AA117E">
              <w:rPr>
                <w:rFonts w:eastAsia="Arial Unicode MS" w:cs="Arial Unicode MS" w:hint="eastAsia"/>
                <w:szCs w:val="20"/>
                <w:lang w:eastAsia="en-GB"/>
              </w:rPr>
              <w:t>±</w:t>
            </w:r>
            <w:r w:rsidRPr="00AA117E">
              <w:rPr>
                <w:rFonts w:eastAsia="Arial Unicode MS" w:cs="Arial Unicode MS"/>
                <w:szCs w:val="20"/>
                <w:lang w:eastAsia="en-GB"/>
              </w:rPr>
              <w:t>0.01</w:t>
            </w:r>
          </w:p>
        </w:tc>
        <w:tc>
          <w:tcPr>
            <w:tcW w:w="1223" w:type="dxa"/>
            <w:shd w:val="clear" w:color="auto" w:fill="auto"/>
            <w:vAlign w:val="center"/>
          </w:tcPr>
          <w:p w14:paraId="76CC8CDB" w14:textId="2E25C91B" w:rsidR="00C43D0D" w:rsidRPr="00AA117E" w:rsidRDefault="00314E42"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7.04</w:t>
            </w:r>
            <w:r w:rsidRPr="00AA117E">
              <w:rPr>
                <w:rFonts w:eastAsia="Arial Unicode MS" w:cs="Arial Unicode MS" w:hint="eastAsia"/>
                <w:szCs w:val="20"/>
                <w:lang w:eastAsia="en-GB"/>
              </w:rPr>
              <w:t>±</w:t>
            </w:r>
            <w:r w:rsidR="001947F6" w:rsidRPr="00AA117E">
              <w:rPr>
                <w:rFonts w:eastAsia="Arial Unicode MS" w:cs="Arial Unicode MS"/>
                <w:szCs w:val="20"/>
                <w:lang w:eastAsia="en-GB"/>
              </w:rPr>
              <w:t>0.08</w:t>
            </w:r>
          </w:p>
        </w:tc>
      </w:tr>
      <w:tr w:rsidR="00C43D0D" w:rsidRPr="00AA117E" w14:paraId="5973A256" w14:textId="77777777" w:rsidTr="00D35470">
        <w:trPr>
          <w:jc w:val="center"/>
        </w:trPr>
        <w:tc>
          <w:tcPr>
            <w:tcW w:w="1139" w:type="dxa"/>
            <w:vMerge w:val="restart"/>
            <w:shd w:val="clear" w:color="auto" w:fill="auto"/>
            <w:vAlign w:val="center"/>
          </w:tcPr>
          <w:p w14:paraId="062C9F32" w14:textId="12EA6F74" w:rsidR="00C43D0D" w:rsidRPr="00AA117E" w:rsidRDefault="00625C45" w:rsidP="00D35470">
            <w:pPr>
              <w:pStyle w:val="TEXT"/>
              <w:spacing w:line="276" w:lineRule="auto"/>
              <w:ind w:firstLine="0"/>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 xml:space="preserve"> </w:t>
            </w:r>
            <w:r w:rsidR="00C43D0D" w:rsidRPr="00AA117E">
              <w:rPr>
                <w:rFonts w:ascii="Arial Unicode MS" w:eastAsia="Arial Unicode MS" w:hAnsi="Arial Unicode MS" w:cs="Arial Unicode MS"/>
                <w:sz w:val="20"/>
                <w:szCs w:val="20"/>
                <w:lang w:val="en-US"/>
              </w:rPr>
              <w:t>0.5</w:t>
            </w:r>
          </w:p>
        </w:tc>
        <w:tc>
          <w:tcPr>
            <w:tcW w:w="1421" w:type="dxa"/>
            <w:shd w:val="clear" w:color="auto" w:fill="auto"/>
            <w:vAlign w:val="center"/>
          </w:tcPr>
          <w:p w14:paraId="78E3E221"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0</w:t>
            </w:r>
          </w:p>
        </w:tc>
        <w:tc>
          <w:tcPr>
            <w:tcW w:w="2268" w:type="dxa"/>
            <w:shd w:val="clear" w:color="auto" w:fill="auto"/>
            <w:vAlign w:val="center"/>
          </w:tcPr>
          <w:p w14:paraId="59670931" w14:textId="4BDDD5D9" w:rsidR="00C43D0D" w:rsidRPr="00817D69" w:rsidRDefault="00B073F3" w:rsidP="00D35470">
            <w:pPr>
              <w:spacing w:line="276" w:lineRule="auto"/>
              <w:jc w:val="center"/>
              <w:rPr>
                <w:rFonts w:eastAsia="Arial Unicode MS" w:cs="Arial Unicode MS"/>
                <w:szCs w:val="20"/>
              </w:rPr>
            </w:pPr>
            <w:r>
              <w:rPr>
                <w:rFonts w:eastAsia="Arial Unicode MS" w:cs="Arial Unicode MS"/>
                <w:szCs w:val="20"/>
              </w:rPr>
              <w:t>132</w:t>
            </w:r>
            <w:r w:rsidR="00817D69" w:rsidRPr="00817D69">
              <w:rPr>
                <w:rFonts w:eastAsia="Arial Unicode MS" w:cs="Arial Unicode MS" w:hint="eastAsia"/>
                <w:szCs w:val="20"/>
                <w:lang w:eastAsia="en-GB"/>
              </w:rPr>
              <w:t>±</w:t>
            </w:r>
            <w:r>
              <w:rPr>
                <w:rFonts w:eastAsia="Arial Unicode MS" w:cs="Arial Unicode MS"/>
                <w:szCs w:val="20"/>
                <w:lang w:eastAsia="en-GB"/>
              </w:rPr>
              <w:t>7</w:t>
            </w:r>
          </w:p>
        </w:tc>
        <w:tc>
          <w:tcPr>
            <w:tcW w:w="1624" w:type="dxa"/>
            <w:shd w:val="clear" w:color="auto" w:fill="auto"/>
            <w:vAlign w:val="center"/>
          </w:tcPr>
          <w:p w14:paraId="60D88AB8" w14:textId="33E9D40F" w:rsidR="00C43D0D" w:rsidRPr="00AA117E" w:rsidRDefault="00AA117E"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0.20</w:t>
            </w:r>
            <w:r w:rsidRPr="00AA117E">
              <w:rPr>
                <w:rFonts w:eastAsia="Arial Unicode MS" w:cs="Arial Unicode MS" w:hint="eastAsia"/>
                <w:szCs w:val="20"/>
                <w:lang w:eastAsia="en-GB"/>
              </w:rPr>
              <w:t>±</w:t>
            </w:r>
            <w:r w:rsidRPr="00AA117E">
              <w:rPr>
                <w:rFonts w:eastAsia="Arial Unicode MS" w:cs="Arial Unicode MS"/>
                <w:szCs w:val="20"/>
                <w:lang w:eastAsia="en-GB"/>
              </w:rPr>
              <w:t>0.01</w:t>
            </w:r>
          </w:p>
        </w:tc>
        <w:tc>
          <w:tcPr>
            <w:tcW w:w="1223" w:type="dxa"/>
            <w:shd w:val="clear" w:color="auto" w:fill="auto"/>
            <w:vAlign w:val="center"/>
          </w:tcPr>
          <w:p w14:paraId="6E4EA097" w14:textId="4C24EBB0" w:rsidR="00C43D0D" w:rsidRPr="00AA117E" w:rsidRDefault="00314E42"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7.05</w:t>
            </w:r>
            <w:r w:rsidRPr="00AA117E">
              <w:rPr>
                <w:rFonts w:eastAsia="Arial Unicode MS" w:cs="Arial Unicode MS" w:hint="eastAsia"/>
                <w:szCs w:val="20"/>
                <w:lang w:eastAsia="en-GB"/>
              </w:rPr>
              <w:t>±</w:t>
            </w:r>
            <w:r w:rsidRPr="00AA117E">
              <w:rPr>
                <w:rFonts w:eastAsia="Arial Unicode MS" w:cs="Arial Unicode MS"/>
                <w:szCs w:val="20"/>
                <w:lang w:eastAsia="en-GB"/>
              </w:rPr>
              <w:t>0.06</w:t>
            </w:r>
          </w:p>
        </w:tc>
      </w:tr>
      <w:tr w:rsidR="00C43D0D" w:rsidRPr="00AA117E" w14:paraId="5EF2964A" w14:textId="77777777" w:rsidTr="00D35470">
        <w:trPr>
          <w:jc w:val="center"/>
        </w:trPr>
        <w:tc>
          <w:tcPr>
            <w:tcW w:w="1139" w:type="dxa"/>
            <w:vMerge/>
            <w:shd w:val="clear" w:color="auto" w:fill="auto"/>
            <w:vAlign w:val="center"/>
          </w:tcPr>
          <w:p w14:paraId="4427A338"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p>
        </w:tc>
        <w:tc>
          <w:tcPr>
            <w:tcW w:w="1421" w:type="dxa"/>
            <w:shd w:val="clear" w:color="auto" w:fill="auto"/>
            <w:vAlign w:val="center"/>
          </w:tcPr>
          <w:p w14:paraId="3FAD7D5A"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30</w:t>
            </w:r>
          </w:p>
        </w:tc>
        <w:tc>
          <w:tcPr>
            <w:tcW w:w="2268" w:type="dxa"/>
            <w:shd w:val="clear" w:color="auto" w:fill="auto"/>
            <w:vAlign w:val="center"/>
          </w:tcPr>
          <w:p w14:paraId="7DAEAFA5" w14:textId="45551C1C" w:rsidR="00C43D0D" w:rsidRPr="00817D69" w:rsidRDefault="00B073F3" w:rsidP="00D35470">
            <w:pPr>
              <w:spacing w:line="276" w:lineRule="auto"/>
              <w:jc w:val="center"/>
              <w:rPr>
                <w:rFonts w:eastAsia="Arial Unicode MS" w:cs="Arial Unicode MS"/>
                <w:szCs w:val="20"/>
                <w:lang w:eastAsia="en-GB"/>
              </w:rPr>
            </w:pPr>
            <w:r>
              <w:rPr>
                <w:rFonts w:eastAsia="Arial Unicode MS" w:cs="Arial Unicode MS"/>
                <w:szCs w:val="20"/>
                <w:lang w:eastAsia="en-GB"/>
              </w:rPr>
              <w:t>120</w:t>
            </w:r>
            <w:r w:rsidR="00817D69" w:rsidRPr="00817D69">
              <w:rPr>
                <w:rFonts w:eastAsia="Arial Unicode MS" w:cs="Arial Unicode MS" w:hint="eastAsia"/>
                <w:szCs w:val="20"/>
                <w:lang w:eastAsia="en-GB"/>
              </w:rPr>
              <w:t>±</w:t>
            </w:r>
            <w:r>
              <w:rPr>
                <w:rFonts w:eastAsia="Arial Unicode MS" w:cs="Arial Unicode MS"/>
                <w:szCs w:val="20"/>
                <w:lang w:eastAsia="en-GB"/>
              </w:rPr>
              <w:t>9</w:t>
            </w:r>
          </w:p>
        </w:tc>
        <w:tc>
          <w:tcPr>
            <w:tcW w:w="1624" w:type="dxa"/>
            <w:shd w:val="clear" w:color="auto" w:fill="auto"/>
            <w:vAlign w:val="center"/>
          </w:tcPr>
          <w:p w14:paraId="319557DC" w14:textId="7E3188CE" w:rsidR="00C43D0D" w:rsidRPr="00AA117E" w:rsidRDefault="00AA117E"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0.24</w:t>
            </w:r>
            <w:r w:rsidRPr="00AA117E">
              <w:rPr>
                <w:rFonts w:eastAsia="Arial Unicode MS" w:cs="Arial Unicode MS" w:hint="eastAsia"/>
                <w:szCs w:val="20"/>
                <w:lang w:eastAsia="en-GB"/>
              </w:rPr>
              <w:t>±</w:t>
            </w:r>
            <w:r w:rsidRPr="00AA117E">
              <w:rPr>
                <w:rFonts w:eastAsia="Arial Unicode MS" w:cs="Arial Unicode MS"/>
                <w:szCs w:val="20"/>
                <w:lang w:eastAsia="en-GB"/>
              </w:rPr>
              <w:t>0.01</w:t>
            </w:r>
          </w:p>
        </w:tc>
        <w:tc>
          <w:tcPr>
            <w:tcW w:w="1223" w:type="dxa"/>
            <w:shd w:val="clear" w:color="auto" w:fill="auto"/>
            <w:vAlign w:val="center"/>
          </w:tcPr>
          <w:p w14:paraId="4958639F" w14:textId="7F89C0D4" w:rsidR="00C43D0D" w:rsidRPr="00AA117E" w:rsidRDefault="00314E42"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6.70</w:t>
            </w:r>
            <w:r w:rsidRPr="00AA117E">
              <w:rPr>
                <w:rFonts w:eastAsia="Arial Unicode MS" w:cs="Arial Unicode MS" w:hint="eastAsia"/>
                <w:szCs w:val="20"/>
                <w:lang w:eastAsia="en-GB"/>
              </w:rPr>
              <w:t>±</w:t>
            </w:r>
            <w:r w:rsidRPr="00AA117E">
              <w:rPr>
                <w:rFonts w:eastAsia="Arial Unicode MS" w:cs="Arial Unicode MS"/>
                <w:szCs w:val="20"/>
                <w:lang w:eastAsia="en-GB"/>
              </w:rPr>
              <w:t>0.20</w:t>
            </w:r>
          </w:p>
        </w:tc>
      </w:tr>
      <w:tr w:rsidR="00C43D0D" w:rsidRPr="00AA117E" w14:paraId="7EC8DDC8" w14:textId="77777777" w:rsidTr="00D35470">
        <w:trPr>
          <w:jc w:val="center"/>
        </w:trPr>
        <w:tc>
          <w:tcPr>
            <w:tcW w:w="1139" w:type="dxa"/>
            <w:vMerge/>
            <w:shd w:val="clear" w:color="auto" w:fill="auto"/>
            <w:vAlign w:val="center"/>
          </w:tcPr>
          <w:p w14:paraId="1B7C7252"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p>
        </w:tc>
        <w:tc>
          <w:tcPr>
            <w:tcW w:w="1421" w:type="dxa"/>
            <w:shd w:val="clear" w:color="auto" w:fill="auto"/>
            <w:vAlign w:val="center"/>
          </w:tcPr>
          <w:p w14:paraId="103A7AAD"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60</w:t>
            </w:r>
          </w:p>
        </w:tc>
        <w:tc>
          <w:tcPr>
            <w:tcW w:w="2268" w:type="dxa"/>
            <w:shd w:val="clear" w:color="auto" w:fill="auto"/>
            <w:vAlign w:val="center"/>
          </w:tcPr>
          <w:p w14:paraId="2E80EBE2" w14:textId="385121C3" w:rsidR="00C43D0D" w:rsidRPr="00817D69" w:rsidRDefault="00B073F3" w:rsidP="00D35470">
            <w:pPr>
              <w:spacing w:line="276" w:lineRule="auto"/>
              <w:jc w:val="center"/>
              <w:rPr>
                <w:rFonts w:eastAsia="Arial Unicode MS" w:cs="Arial Unicode MS"/>
                <w:szCs w:val="20"/>
                <w:lang w:eastAsia="en-GB"/>
              </w:rPr>
            </w:pPr>
            <w:r>
              <w:rPr>
                <w:rFonts w:eastAsia="Arial Unicode MS" w:cs="Arial Unicode MS"/>
                <w:szCs w:val="20"/>
                <w:lang w:eastAsia="en-GB"/>
              </w:rPr>
              <w:t>215</w:t>
            </w:r>
            <w:r w:rsidR="00817D69" w:rsidRPr="00817D69">
              <w:rPr>
                <w:rFonts w:eastAsia="Arial Unicode MS" w:cs="Arial Unicode MS" w:hint="eastAsia"/>
                <w:szCs w:val="20"/>
                <w:lang w:eastAsia="en-GB"/>
              </w:rPr>
              <w:t>±</w:t>
            </w:r>
            <w:r>
              <w:rPr>
                <w:rFonts w:eastAsia="Arial Unicode MS" w:cs="Arial Unicode MS"/>
                <w:szCs w:val="20"/>
                <w:lang w:eastAsia="en-GB"/>
              </w:rPr>
              <w:t>9</w:t>
            </w:r>
          </w:p>
        </w:tc>
        <w:tc>
          <w:tcPr>
            <w:tcW w:w="1624" w:type="dxa"/>
            <w:shd w:val="clear" w:color="auto" w:fill="auto"/>
            <w:vAlign w:val="center"/>
          </w:tcPr>
          <w:p w14:paraId="22E5F6F3" w14:textId="6CA4B6E5" w:rsidR="00C43D0D" w:rsidRPr="00AA117E" w:rsidRDefault="00AA117E"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0.10</w:t>
            </w:r>
            <w:r w:rsidRPr="00AA117E">
              <w:rPr>
                <w:rFonts w:eastAsia="Arial Unicode MS" w:cs="Arial Unicode MS" w:hint="eastAsia"/>
                <w:szCs w:val="20"/>
                <w:lang w:eastAsia="en-GB"/>
              </w:rPr>
              <w:t>±</w:t>
            </w:r>
            <w:r w:rsidRPr="00AA117E">
              <w:rPr>
                <w:rFonts w:eastAsia="Arial Unicode MS" w:cs="Arial Unicode MS"/>
                <w:szCs w:val="20"/>
                <w:lang w:eastAsia="en-GB"/>
              </w:rPr>
              <w:t>0.01</w:t>
            </w:r>
          </w:p>
        </w:tc>
        <w:tc>
          <w:tcPr>
            <w:tcW w:w="1223" w:type="dxa"/>
            <w:shd w:val="clear" w:color="auto" w:fill="auto"/>
            <w:vAlign w:val="center"/>
          </w:tcPr>
          <w:p w14:paraId="6B3F8471" w14:textId="5D4FC60A" w:rsidR="00C43D0D" w:rsidRPr="00AA117E" w:rsidRDefault="00314E42"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6.98</w:t>
            </w:r>
            <w:r w:rsidRPr="00AA117E">
              <w:rPr>
                <w:rFonts w:eastAsia="Arial Unicode MS" w:cs="Arial Unicode MS" w:hint="eastAsia"/>
                <w:szCs w:val="20"/>
                <w:lang w:eastAsia="en-GB"/>
              </w:rPr>
              <w:t>±</w:t>
            </w:r>
            <w:r w:rsidRPr="00AA117E">
              <w:rPr>
                <w:rFonts w:eastAsia="Arial Unicode MS" w:cs="Arial Unicode MS"/>
                <w:szCs w:val="20"/>
                <w:lang w:eastAsia="en-GB"/>
              </w:rPr>
              <w:t>0.10</w:t>
            </w:r>
          </w:p>
        </w:tc>
      </w:tr>
      <w:tr w:rsidR="00C43D0D" w:rsidRPr="00AA117E" w14:paraId="13DD65E5" w14:textId="77777777" w:rsidTr="00D35470">
        <w:trPr>
          <w:jc w:val="center"/>
        </w:trPr>
        <w:tc>
          <w:tcPr>
            <w:tcW w:w="1139" w:type="dxa"/>
            <w:vMerge w:val="restart"/>
            <w:shd w:val="clear" w:color="auto" w:fill="auto"/>
            <w:vAlign w:val="center"/>
          </w:tcPr>
          <w:p w14:paraId="7AF12FB9"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0.7</w:t>
            </w:r>
          </w:p>
        </w:tc>
        <w:tc>
          <w:tcPr>
            <w:tcW w:w="1421" w:type="dxa"/>
            <w:shd w:val="clear" w:color="auto" w:fill="auto"/>
            <w:vAlign w:val="center"/>
          </w:tcPr>
          <w:p w14:paraId="11C0C5F8"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0</w:t>
            </w:r>
          </w:p>
        </w:tc>
        <w:tc>
          <w:tcPr>
            <w:tcW w:w="2268" w:type="dxa"/>
            <w:shd w:val="clear" w:color="auto" w:fill="auto"/>
            <w:vAlign w:val="center"/>
          </w:tcPr>
          <w:p w14:paraId="2B777504" w14:textId="4EA82D9C" w:rsidR="00C43D0D" w:rsidRPr="00817D69" w:rsidRDefault="00B073F3" w:rsidP="00D35470">
            <w:pPr>
              <w:spacing w:line="276" w:lineRule="auto"/>
              <w:jc w:val="center"/>
              <w:rPr>
                <w:rFonts w:eastAsia="Arial Unicode MS" w:cs="Arial Unicode MS"/>
                <w:szCs w:val="20"/>
              </w:rPr>
            </w:pPr>
            <w:r>
              <w:rPr>
                <w:rFonts w:eastAsia="Arial Unicode MS" w:cs="Arial Unicode MS"/>
                <w:szCs w:val="20"/>
              </w:rPr>
              <w:t>107</w:t>
            </w:r>
            <w:r w:rsidR="00817D69" w:rsidRPr="00817D69">
              <w:rPr>
                <w:rFonts w:eastAsia="Arial Unicode MS" w:cs="Arial Unicode MS" w:hint="eastAsia"/>
                <w:szCs w:val="20"/>
                <w:lang w:eastAsia="en-GB"/>
              </w:rPr>
              <w:t>±</w:t>
            </w:r>
            <w:r>
              <w:rPr>
                <w:rFonts w:eastAsia="Arial Unicode MS" w:cs="Arial Unicode MS"/>
                <w:szCs w:val="20"/>
                <w:lang w:eastAsia="en-GB"/>
              </w:rPr>
              <w:t>4</w:t>
            </w:r>
          </w:p>
        </w:tc>
        <w:tc>
          <w:tcPr>
            <w:tcW w:w="1624" w:type="dxa"/>
            <w:shd w:val="clear" w:color="auto" w:fill="auto"/>
            <w:vAlign w:val="center"/>
          </w:tcPr>
          <w:p w14:paraId="20D0DD97" w14:textId="65545CD8" w:rsidR="00C43D0D" w:rsidRPr="00AA117E" w:rsidRDefault="00AA117E"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0.24</w:t>
            </w:r>
            <w:r w:rsidRPr="00AA117E">
              <w:rPr>
                <w:rFonts w:eastAsia="Arial Unicode MS" w:cs="Arial Unicode MS" w:hint="eastAsia"/>
                <w:szCs w:val="20"/>
                <w:lang w:eastAsia="en-GB"/>
              </w:rPr>
              <w:t>±</w:t>
            </w:r>
            <w:r w:rsidRPr="00AA117E">
              <w:rPr>
                <w:rFonts w:eastAsia="Arial Unicode MS" w:cs="Arial Unicode MS"/>
                <w:szCs w:val="20"/>
                <w:lang w:eastAsia="en-GB"/>
              </w:rPr>
              <w:t>0.01</w:t>
            </w:r>
          </w:p>
        </w:tc>
        <w:tc>
          <w:tcPr>
            <w:tcW w:w="1223" w:type="dxa"/>
            <w:shd w:val="clear" w:color="auto" w:fill="auto"/>
            <w:vAlign w:val="center"/>
          </w:tcPr>
          <w:p w14:paraId="07D1BA1C" w14:textId="202009B7" w:rsidR="00C43D0D" w:rsidRPr="00AA117E" w:rsidRDefault="00314E42"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6.89</w:t>
            </w:r>
            <w:r w:rsidRPr="00AA117E">
              <w:rPr>
                <w:rFonts w:eastAsia="Arial Unicode MS" w:cs="Arial Unicode MS" w:hint="eastAsia"/>
                <w:szCs w:val="20"/>
                <w:lang w:eastAsia="en-GB"/>
              </w:rPr>
              <w:t>±</w:t>
            </w:r>
            <w:r w:rsidRPr="00AA117E">
              <w:rPr>
                <w:rFonts w:eastAsia="Arial Unicode MS" w:cs="Arial Unicode MS"/>
                <w:szCs w:val="20"/>
                <w:lang w:eastAsia="en-GB"/>
              </w:rPr>
              <w:t>0.27</w:t>
            </w:r>
          </w:p>
        </w:tc>
      </w:tr>
      <w:tr w:rsidR="00C43D0D" w:rsidRPr="00AA117E" w14:paraId="0CB2B2DB" w14:textId="77777777" w:rsidTr="00D35470">
        <w:trPr>
          <w:jc w:val="center"/>
        </w:trPr>
        <w:tc>
          <w:tcPr>
            <w:tcW w:w="1139" w:type="dxa"/>
            <w:vMerge/>
            <w:shd w:val="clear" w:color="auto" w:fill="auto"/>
            <w:vAlign w:val="center"/>
          </w:tcPr>
          <w:p w14:paraId="2F9AABA1"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p>
        </w:tc>
        <w:tc>
          <w:tcPr>
            <w:tcW w:w="1421" w:type="dxa"/>
            <w:shd w:val="clear" w:color="auto" w:fill="auto"/>
            <w:vAlign w:val="center"/>
          </w:tcPr>
          <w:p w14:paraId="5BB7041F"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30</w:t>
            </w:r>
          </w:p>
        </w:tc>
        <w:tc>
          <w:tcPr>
            <w:tcW w:w="2268" w:type="dxa"/>
            <w:shd w:val="clear" w:color="auto" w:fill="auto"/>
            <w:vAlign w:val="center"/>
          </w:tcPr>
          <w:p w14:paraId="172601CA" w14:textId="59F2E149" w:rsidR="00C43D0D" w:rsidRPr="00817D69" w:rsidRDefault="00B073F3" w:rsidP="00D35470">
            <w:pPr>
              <w:spacing w:line="276" w:lineRule="auto"/>
              <w:jc w:val="center"/>
              <w:rPr>
                <w:rFonts w:eastAsia="Arial Unicode MS" w:cs="Arial Unicode MS"/>
                <w:szCs w:val="20"/>
                <w:lang w:eastAsia="en-GB"/>
              </w:rPr>
            </w:pPr>
            <w:r>
              <w:rPr>
                <w:rFonts w:eastAsia="Arial Unicode MS" w:cs="Arial Unicode MS"/>
                <w:szCs w:val="20"/>
                <w:lang w:eastAsia="en-GB"/>
              </w:rPr>
              <w:t>112</w:t>
            </w:r>
            <w:r w:rsidR="00817D69" w:rsidRPr="00817D69">
              <w:rPr>
                <w:rFonts w:eastAsia="Arial Unicode MS" w:cs="Arial Unicode MS" w:hint="eastAsia"/>
                <w:szCs w:val="20"/>
                <w:lang w:eastAsia="en-GB"/>
              </w:rPr>
              <w:t>±</w:t>
            </w:r>
            <w:r>
              <w:rPr>
                <w:rFonts w:eastAsia="Arial Unicode MS" w:cs="Arial Unicode MS"/>
                <w:szCs w:val="20"/>
                <w:lang w:eastAsia="en-GB"/>
              </w:rPr>
              <w:t>12</w:t>
            </w:r>
          </w:p>
        </w:tc>
        <w:tc>
          <w:tcPr>
            <w:tcW w:w="1624" w:type="dxa"/>
            <w:shd w:val="clear" w:color="auto" w:fill="auto"/>
            <w:vAlign w:val="center"/>
          </w:tcPr>
          <w:p w14:paraId="281F64C5" w14:textId="6C56B0F1" w:rsidR="00C43D0D" w:rsidRPr="00AA117E" w:rsidRDefault="00AA117E"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0.21</w:t>
            </w:r>
            <w:r w:rsidRPr="00AA117E">
              <w:rPr>
                <w:rFonts w:eastAsia="Arial Unicode MS" w:cs="Arial Unicode MS" w:hint="eastAsia"/>
                <w:szCs w:val="20"/>
                <w:lang w:eastAsia="en-GB"/>
              </w:rPr>
              <w:t>±</w:t>
            </w:r>
            <w:r w:rsidRPr="00AA117E">
              <w:rPr>
                <w:rFonts w:eastAsia="Arial Unicode MS" w:cs="Arial Unicode MS"/>
                <w:szCs w:val="20"/>
                <w:lang w:eastAsia="en-GB"/>
              </w:rPr>
              <w:t>0.01</w:t>
            </w:r>
          </w:p>
        </w:tc>
        <w:tc>
          <w:tcPr>
            <w:tcW w:w="1223" w:type="dxa"/>
            <w:shd w:val="clear" w:color="auto" w:fill="auto"/>
            <w:vAlign w:val="center"/>
          </w:tcPr>
          <w:p w14:paraId="5769B0DB" w14:textId="3481CE6D" w:rsidR="00C43D0D" w:rsidRPr="00AA117E" w:rsidRDefault="00314E42"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6.98</w:t>
            </w:r>
            <w:r w:rsidRPr="00AA117E">
              <w:rPr>
                <w:rFonts w:eastAsia="Arial Unicode MS" w:cs="Arial Unicode MS" w:hint="eastAsia"/>
                <w:szCs w:val="20"/>
                <w:lang w:eastAsia="en-GB"/>
              </w:rPr>
              <w:t>±</w:t>
            </w:r>
            <w:r w:rsidRPr="00AA117E">
              <w:rPr>
                <w:rFonts w:eastAsia="Arial Unicode MS" w:cs="Arial Unicode MS"/>
                <w:szCs w:val="20"/>
                <w:lang w:eastAsia="en-GB"/>
              </w:rPr>
              <w:t>0.06</w:t>
            </w:r>
          </w:p>
        </w:tc>
      </w:tr>
      <w:tr w:rsidR="00C43D0D" w:rsidRPr="00AA117E" w14:paraId="762A6F70" w14:textId="77777777" w:rsidTr="00D35470">
        <w:trPr>
          <w:jc w:val="center"/>
        </w:trPr>
        <w:tc>
          <w:tcPr>
            <w:tcW w:w="1139" w:type="dxa"/>
            <w:vMerge/>
            <w:shd w:val="clear" w:color="auto" w:fill="auto"/>
            <w:vAlign w:val="center"/>
          </w:tcPr>
          <w:p w14:paraId="3E84213F"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p>
        </w:tc>
        <w:tc>
          <w:tcPr>
            <w:tcW w:w="1421" w:type="dxa"/>
            <w:shd w:val="clear" w:color="auto" w:fill="auto"/>
            <w:vAlign w:val="center"/>
          </w:tcPr>
          <w:p w14:paraId="6DFC55BC" w14:textId="77777777" w:rsidR="00C43D0D" w:rsidRPr="00AA117E" w:rsidRDefault="00C43D0D" w:rsidP="00D35470">
            <w:pPr>
              <w:pStyle w:val="TEXT"/>
              <w:spacing w:line="276" w:lineRule="auto"/>
              <w:ind w:firstLine="0"/>
              <w:jc w:val="center"/>
              <w:rPr>
                <w:rFonts w:ascii="Arial Unicode MS" w:eastAsia="Arial Unicode MS" w:hAnsi="Arial Unicode MS" w:cs="Arial Unicode MS"/>
                <w:sz w:val="20"/>
                <w:szCs w:val="20"/>
                <w:lang w:val="en-US"/>
              </w:rPr>
            </w:pPr>
            <w:r w:rsidRPr="00AA117E">
              <w:rPr>
                <w:rFonts w:ascii="Arial Unicode MS" w:eastAsia="Arial Unicode MS" w:hAnsi="Arial Unicode MS" w:cs="Arial Unicode MS"/>
                <w:sz w:val="20"/>
                <w:szCs w:val="20"/>
                <w:lang w:val="en-US"/>
              </w:rPr>
              <w:t>60</w:t>
            </w:r>
          </w:p>
        </w:tc>
        <w:tc>
          <w:tcPr>
            <w:tcW w:w="2268" w:type="dxa"/>
            <w:shd w:val="clear" w:color="auto" w:fill="auto"/>
            <w:vAlign w:val="center"/>
          </w:tcPr>
          <w:p w14:paraId="04720410" w14:textId="31BE1467" w:rsidR="00C43D0D" w:rsidRPr="00817D69" w:rsidRDefault="00B073F3" w:rsidP="00D35470">
            <w:pPr>
              <w:spacing w:line="276" w:lineRule="auto"/>
              <w:jc w:val="center"/>
              <w:rPr>
                <w:rFonts w:eastAsia="Arial Unicode MS" w:cs="Arial Unicode MS"/>
                <w:szCs w:val="20"/>
                <w:lang w:eastAsia="en-GB"/>
              </w:rPr>
            </w:pPr>
            <w:r>
              <w:rPr>
                <w:rFonts w:eastAsia="Arial Unicode MS" w:cs="Arial Unicode MS"/>
                <w:szCs w:val="20"/>
                <w:lang w:eastAsia="en-GB"/>
              </w:rPr>
              <w:t>175</w:t>
            </w:r>
            <w:r w:rsidR="00817D69" w:rsidRPr="00817D69">
              <w:rPr>
                <w:rFonts w:eastAsia="Arial Unicode MS" w:cs="Arial Unicode MS" w:hint="eastAsia"/>
                <w:szCs w:val="20"/>
                <w:lang w:eastAsia="en-GB"/>
              </w:rPr>
              <w:t>±</w:t>
            </w:r>
            <w:r>
              <w:rPr>
                <w:rFonts w:eastAsia="Arial Unicode MS" w:cs="Arial Unicode MS"/>
                <w:szCs w:val="20"/>
                <w:lang w:eastAsia="en-GB"/>
              </w:rPr>
              <w:t>11</w:t>
            </w:r>
          </w:p>
        </w:tc>
        <w:tc>
          <w:tcPr>
            <w:tcW w:w="1624" w:type="dxa"/>
            <w:shd w:val="clear" w:color="auto" w:fill="auto"/>
            <w:vAlign w:val="center"/>
          </w:tcPr>
          <w:p w14:paraId="2512898B" w14:textId="63466C84" w:rsidR="00C43D0D" w:rsidRPr="00AA117E" w:rsidRDefault="00AA117E"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0.09</w:t>
            </w:r>
            <w:r w:rsidRPr="00AA117E">
              <w:rPr>
                <w:rFonts w:eastAsia="Arial Unicode MS" w:cs="Arial Unicode MS" w:hint="eastAsia"/>
                <w:szCs w:val="20"/>
                <w:lang w:eastAsia="en-GB"/>
              </w:rPr>
              <w:t>±</w:t>
            </w:r>
            <w:r w:rsidRPr="00AA117E">
              <w:rPr>
                <w:rFonts w:eastAsia="Arial Unicode MS" w:cs="Arial Unicode MS"/>
                <w:szCs w:val="20"/>
                <w:lang w:eastAsia="en-GB"/>
              </w:rPr>
              <w:t>0.01</w:t>
            </w:r>
          </w:p>
        </w:tc>
        <w:tc>
          <w:tcPr>
            <w:tcW w:w="1223" w:type="dxa"/>
            <w:shd w:val="clear" w:color="auto" w:fill="auto"/>
            <w:vAlign w:val="center"/>
          </w:tcPr>
          <w:p w14:paraId="53336805" w14:textId="1F8C5530" w:rsidR="00C43D0D" w:rsidRPr="00AA117E" w:rsidRDefault="00314E42" w:rsidP="00D35470">
            <w:pPr>
              <w:spacing w:line="276" w:lineRule="auto"/>
              <w:jc w:val="center"/>
              <w:rPr>
                <w:rFonts w:eastAsia="Arial Unicode MS" w:cs="Arial Unicode MS"/>
                <w:szCs w:val="20"/>
                <w:lang w:eastAsia="en-GB"/>
              </w:rPr>
            </w:pPr>
            <w:r w:rsidRPr="00AA117E">
              <w:rPr>
                <w:rFonts w:eastAsia="Arial Unicode MS" w:cs="Arial Unicode MS"/>
                <w:szCs w:val="20"/>
                <w:lang w:eastAsia="en-GB"/>
              </w:rPr>
              <w:t>7.03</w:t>
            </w:r>
            <w:r w:rsidRPr="00AA117E">
              <w:rPr>
                <w:rFonts w:eastAsia="Arial Unicode MS" w:cs="Arial Unicode MS" w:hint="eastAsia"/>
                <w:szCs w:val="20"/>
                <w:lang w:eastAsia="en-GB"/>
              </w:rPr>
              <w:t>±</w:t>
            </w:r>
            <w:r w:rsidRPr="00AA117E">
              <w:rPr>
                <w:rFonts w:eastAsia="Arial Unicode MS" w:cs="Arial Unicode MS"/>
                <w:szCs w:val="20"/>
                <w:lang w:eastAsia="en-GB"/>
              </w:rPr>
              <w:t>0.04</w:t>
            </w:r>
          </w:p>
        </w:tc>
      </w:tr>
    </w:tbl>
    <w:p w14:paraId="0B94A2E3" w14:textId="77777777" w:rsidR="00C43D0D" w:rsidRDefault="00C43D0D" w:rsidP="00CB37BB">
      <w:pPr>
        <w:pStyle w:val="BodyText"/>
        <w:spacing w:before="240" w:line="276" w:lineRule="auto"/>
        <w:jc w:val="left"/>
        <w:rPr>
          <w:rFonts w:eastAsia="Arial Unicode MS" w:cs="Arial Unicode MS"/>
          <w:color w:val="FF0000"/>
          <w:szCs w:val="20"/>
        </w:rPr>
      </w:pPr>
    </w:p>
    <w:p w14:paraId="11349FC6" w14:textId="19FFC565" w:rsidR="00900795" w:rsidRDefault="003252A8" w:rsidP="00B500E6">
      <w:pPr>
        <w:spacing w:line="276" w:lineRule="auto"/>
        <w:jc w:val="both"/>
        <w:rPr>
          <w:rFonts w:eastAsia="Arial Unicode MS" w:cs="Arial Unicode MS"/>
          <w:szCs w:val="20"/>
        </w:rPr>
      </w:pPr>
      <w:r w:rsidRPr="001A4E16">
        <w:t>The methane yield decreased with increased ratio F/I for all pretreatment times. For the untreated paper, the methane yield</w:t>
      </w:r>
      <w:r w:rsidR="00B073F3" w:rsidRPr="001A4E16">
        <w:t xml:space="preserve"> decreased by 37% from 210</w:t>
      </w:r>
      <w:r w:rsidRPr="001A4E16">
        <w:rPr>
          <w:color w:val="000000"/>
        </w:rPr>
        <w:t xml:space="preserve"> ml/gVS corr</w:t>
      </w:r>
      <w:r w:rsidR="00B073F3" w:rsidRPr="001A4E16">
        <w:rPr>
          <w:color w:val="000000"/>
        </w:rPr>
        <w:t>espondent to ratio 0.3 to 13</w:t>
      </w:r>
      <w:r w:rsidR="00C901AC">
        <w:rPr>
          <w:color w:val="000000"/>
        </w:rPr>
        <w:t>2</w:t>
      </w:r>
      <w:r w:rsidRPr="001A4E16">
        <w:rPr>
          <w:color w:val="000000"/>
        </w:rPr>
        <w:t xml:space="preserve"> ml/gVS for ratio 0.5. For 60 min pretreated paper, the metha</w:t>
      </w:r>
      <w:r w:rsidR="00B073F3" w:rsidRPr="001A4E16">
        <w:rPr>
          <w:color w:val="000000"/>
        </w:rPr>
        <w:t>ne yield at ratio 0.7 was 17</w:t>
      </w:r>
      <w:r w:rsidR="00C901AC">
        <w:rPr>
          <w:color w:val="000000"/>
        </w:rPr>
        <w:t>5</w:t>
      </w:r>
      <w:r w:rsidR="00B073F3" w:rsidRPr="001A4E16">
        <w:rPr>
          <w:color w:val="000000"/>
        </w:rPr>
        <w:t xml:space="preserve"> ml/gVS, which was a 31</w:t>
      </w:r>
      <w:r w:rsidRPr="001A4E16">
        <w:rPr>
          <w:color w:val="000000"/>
        </w:rPr>
        <w:t xml:space="preserve">% less than for a </w:t>
      </w:r>
      <w:r w:rsidRPr="001A4E16">
        <w:t>ratio of 0.3.</w:t>
      </w:r>
      <w:r w:rsidR="00900795" w:rsidRPr="001A4E16">
        <w:t xml:space="preserve"> </w:t>
      </w:r>
      <w:r w:rsidR="00313E91" w:rsidRPr="001A4E16">
        <w:t xml:space="preserve">F/I ratio affects the methane production rate, the consumption of VFAs and the methane yield. To achieve maximum methane yields and a stable process, the F/I ratio is a crucial parameter and should be lower than 1 in terms of VS. An optimum F/I ratio ensures the presence of the groups of microorganisms required for the complete anaerobic digestion </w:t>
      </w:r>
      <w:r w:rsidR="00313E91" w:rsidRPr="001A4E16">
        <w:fldChar w:fldCharType="begin" w:fldLock="1"/>
      </w:r>
      <w:r w:rsidR="00404D26">
        <w:instrText>ADDIN CSL_CITATION { "citationItems" : [ { "id" : "ITEM-1", "itemData" : { "DOI" : "10.1155/2014/183752", "ISSN" : "1537-744X", "PMID" : "24701142", "abstract" : "Anaerobic digestion is the method of wastes treatment aimed at a reduction of their hazardous effects on the biosphere. The mutualistic behavior of various anaerobic microorganisms results in the decomposition of complex organic substances into simple, chemically stabilized compounds, mainly methane and CO2. The conversions of complex organic compounds to CH4 and CO2 are possible due to the cooperation of four different groups of microorganisms, that is, fermentative, syntrophic, acetogenic, and methanogenic bacteria. Microbes adopt various pathways to evade from the unfavorable conditions in the anaerobic digester like competition between sulfate reducing bacteria (SRB) and methane forming bacteria for the same substrate. Methanosarcina are able to use both acetoclastic and hydrogenotrophic pathways for methane production. This review highlights the cellulosic microorganisms, structure of cellulose, inoculum to substrate ratio, and source of inoculum and its effect on methanogenesis. The molecular techniques such as DGGE (denaturing gradient gel electrophoresis) utilized for dynamic changes in microbial communities and FISH (fluorescent in situ hybridization) that deal with taxonomy and interaction and distribution of tropic groups used are also discussed.", "author" : [ { "dropping-particle" : "", "family" : "Ali Shah", "given" : "Fayyaz", "non-dropping-particle" : "", "parse-names" : false, "suffix" : "" }, { "dropping-particle" : "", "family" : "Mahmood", "given" : "Qaisar", "non-dropping-particle" : "", "parse-names" : false, "suffix" : "" }, { "dropping-particle" : "", "family" : "Maroof Shah", "given" : "Mohammad", "non-dropping-particle" : "", "parse-names" : false, "suffix" : "" }, { "dropping-particle" : "", "family" : "Pervez", "given" : "Arshid", "non-dropping-particle" : "", "parse-names" : false, "suffix" : "" }, { "dropping-particle" : "", "family" : "Ahmad Asad", "given" : "Saeed", "non-dropping-particle" : "", "parse-names" : false, "suffix" : "" } ], "container-title" : "TheScientificWorldJournal", "id" : "ITEM-1", "issued" : { "date-parts" : [ [ "2014" ] ] }, "page" : "183752", "publisher" : "Hindawi Publishing Corporation", "title" : "Microbial ecology of anaerobic digesters: the key players of anaerobiosis.", "type" : "article-journal", "volume" : "2014" }, "uris" : [ "http://www.mendeley.com/documents/?uuid=19436456-b838-3161-84ed-0a2f8a9ad144" ] } ], "mendeley" : { "formattedCitation" : "(Ali Shah et al., 2014)", "plainTextFormattedCitation" : "(Ali Shah et al., 2014)", "previouslyFormattedCitation" : "(Ali Shah et al., 2014)" }, "properties" : { "noteIndex" : 0 }, "schema" : "https://github.com/citation-style-language/schema/raw/master/csl-citation.json" }</w:instrText>
      </w:r>
      <w:r w:rsidR="00313E91" w:rsidRPr="001A4E16">
        <w:fldChar w:fldCharType="separate"/>
      </w:r>
      <w:r w:rsidR="00211CB2" w:rsidRPr="00211CB2">
        <w:rPr>
          <w:noProof/>
        </w:rPr>
        <w:t>(Ali Shah et al., 2014)</w:t>
      </w:r>
      <w:r w:rsidR="00313E91" w:rsidRPr="001A4E16">
        <w:fldChar w:fldCharType="end"/>
      </w:r>
      <w:r w:rsidR="00313E91" w:rsidRPr="001A4E16">
        <w:t xml:space="preserve">. </w:t>
      </w:r>
      <w:r w:rsidR="00900795" w:rsidRPr="001A4E16">
        <w:rPr>
          <w:rFonts w:eastAsia="Arial Unicode MS" w:cs="Arial Unicode MS"/>
          <w:szCs w:val="20"/>
        </w:rPr>
        <w:t xml:space="preserve">Knowing </w:t>
      </w:r>
      <w:r w:rsidR="00900795" w:rsidRPr="001A4E16">
        <w:rPr>
          <w:rFonts w:eastAsia="Arial Unicode MS" w:cs="Arial Unicode MS"/>
          <w:szCs w:val="20"/>
        </w:rPr>
        <w:lastRenderedPageBreak/>
        <w:t>the optimum F/I ratio allows a better exploitation of the feedstock. Feeding the reactor with high quantities of biomass that the inoculum is not able to process lead to a loss of feedstock, that is not digested</w:t>
      </w:r>
      <w:r w:rsidR="0008581A" w:rsidRPr="001A4E16">
        <w:rPr>
          <w:rFonts w:eastAsia="Arial Unicode MS" w:cs="Arial Unicode MS"/>
          <w:szCs w:val="20"/>
        </w:rPr>
        <w:t>.</w:t>
      </w:r>
      <w:r w:rsidR="00623B5D">
        <w:rPr>
          <w:rFonts w:eastAsia="Arial Unicode MS" w:cs="Arial Unicode MS"/>
          <w:szCs w:val="20"/>
        </w:rPr>
        <w:t xml:space="preserve"> Methane yield for untreated macroalgal at F/I 0.7 was 49% lower than for F/I 0.3, this stands for half of the biomass not digested, when the biomass is beated for 60min, the decreased in methane yield from 0.3 to 0.7 F/I is 30%, this means, 30% of the digested biomass at low F/I ratio was not digested at F/I 0.7.  </w:t>
      </w:r>
      <w:r w:rsidR="0008581A" w:rsidRPr="001A4E16">
        <w:rPr>
          <w:rFonts w:eastAsia="Arial Unicode MS" w:cs="Arial Unicode MS"/>
          <w:szCs w:val="20"/>
        </w:rPr>
        <w:t xml:space="preserve"> </w:t>
      </w:r>
      <w:r w:rsidR="00313E91" w:rsidRPr="001A4E16">
        <w:rPr>
          <w:rFonts w:eastAsia="Arial Unicode MS" w:cs="Arial Unicode MS"/>
          <w:szCs w:val="20"/>
        </w:rPr>
        <w:t xml:space="preserve">Similar results were achieved </w:t>
      </w:r>
      <w:r w:rsidR="00E153FE" w:rsidRPr="001A4E16">
        <w:rPr>
          <w:rFonts w:eastAsia="Arial Unicode MS" w:cs="Arial Unicode MS"/>
          <w:szCs w:val="20"/>
        </w:rPr>
        <w:t xml:space="preserve">on sunflower oil cake anaerobic degradation with the methane yield decreasing considerably from 227 to 107 ml/gVS when the F/I increased from 0.33 to 2, showing a marked influence of this parameter on methane yield </w:t>
      </w:r>
      <w:r w:rsidR="00E153FE" w:rsidRPr="001A4E16">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"10.1016/j.biombioe.2008.02.019", "ISSN" : "09619534", "abstract" : "A laboratory-scale study was conducted on the batch anaerobic digestion of sunflower oil cake (SuOC), solid waste derived from the extraction process of sunflower oil. A multi-reactor system was used to compare methane production from this waste at inoculum to substrate ratios (ISRs) of 3.0, 2.0, 1.5, 1.0, 0.8 and 0.5 (expressed as volatile solids (VS) basis). The tests were carried out at mesophilic temperature (35\u00b0C) and run against a control of inoculum without substrate. The results obtained in the biochemical methane potential (BMP) tests showed that the ultimate methane yield (YM,ult) decreased considerably from 227\u00b123 to 107\u00b111ml CH4 at standard temperature and pressure (STP) conditions g\u22121VSadded when the ISR decreased from 3.0 to 0.5, showing a clear influence of the ISR on the methane yield coefficient. The biodegradability (BD) of the waste also decreased from 86% to 41% when the ISR varied from 3.0 to 0.5. A net total ammonia nitrogen (TAN) yield of 39.2mgNg\u22121VSadded was obtained, and this value was not influenced by the ISRs assayed, which demonstrated the appropriate operation of the hydrolytic\u2013acidogenic stage of the overall digestion process. A clear imbalance of the methanogenic process was observed at the lowest ISRs studied (0.5 and 0.8) due to a considerable increase in CODs and TVFA in the digestates. The profile of VFA was also influenced by the ISR, typical of the proteinaceous substrates.", "author" : [ { "dropping-particle" : "", "family" : "Raposo", "given" : "F.", "non-dropping-particle" : "", "parse-names" : false, "suffix" : "" }, { "dropping-particle" : "", "family" : "Borja", "given" : "R.", "non-dropping-particle" : "", "parse-names" : false, "suffix" : "" }, { "dropping-particle" : "", "family" : "Rincon", "given" : "B.", "non-dropping-particle" : "", "parse-names" : false, "suffix" : "" }, { "dropping-particle" : "", "family" : "Jimenez", "given" : "A.M.", "non-dropping-particle" : "", "parse-names" : false, "suffix" : "" } ], "container-title" : "Biomass and Bioenergy", "id" : "ITEM-1", "issue" : "12", "issued" : { "date-parts" : [ [ "2008" ] ] }, "page" : "1235-1244", "title" : "Assessment of process control parameters in the biochemical methane potential of sunflower oil cake", "type" : "article-journal", "volume" : "32" }, "uris" : [ "http://www.mendeley.com/documents/?uuid=fa018549-31c5-3725-b268-cec49324769e" ] } ], "mendeley" : { "formattedCitation" : "(Raposo et al., 2008)", "plainTextFormattedCitation" : "(Raposo et al., 2008)", "previouslyFormattedCitation" : "(Raposo et al., 2008)" }, "properties" : { "noteIndex" : 0 }, "schema" : "https://github.com/citation-style-language/schema/raw/master/csl-citation.json" }</w:instrText>
      </w:r>
      <w:r w:rsidR="00E153FE" w:rsidRPr="001A4E16">
        <w:rPr>
          <w:rFonts w:eastAsia="Arial Unicode MS" w:cs="Arial Unicode MS"/>
          <w:szCs w:val="20"/>
        </w:rPr>
        <w:fldChar w:fldCharType="separate"/>
      </w:r>
      <w:r w:rsidR="00211CB2" w:rsidRPr="00211CB2">
        <w:rPr>
          <w:rFonts w:eastAsia="Arial Unicode MS" w:cs="Arial Unicode MS"/>
          <w:noProof/>
          <w:szCs w:val="20"/>
        </w:rPr>
        <w:t>(Raposo et al., 2008)</w:t>
      </w:r>
      <w:r w:rsidR="00E153FE" w:rsidRPr="001A4E16">
        <w:rPr>
          <w:rFonts w:eastAsia="Arial Unicode MS" w:cs="Arial Unicode MS"/>
          <w:szCs w:val="20"/>
        </w:rPr>
        <w:fldChar w:fldCharType="end"/>
      </w:r>
      <w:r w:rsidR="00E153FE" w:rsidRPr="001A4E16">
        <w:rPr>
          <w:rFonts w:eastAsia="Arial Unicode MS" w:cs="Arial Unicode MS"/>
          <w:szCs w:val="20"/>
        </w:rPr>
        <w:t>. O</w:t>
      </w:r>
      <w:r w:rsidR="00313E91" w:rsidRPr="001A4E16">
        <w:rPr>
          <w:rFonts w:eastAsia="Arial Unicode MS" w:cs="Arial Unicode MS"/>
          <w:szCs w:val="20"/>
        </w:rPr>
        <w:t xml:space="preserve">n municipal solid waste degradation, the optimum F/I ratio were the lowest value tested </w:t>
      </w:r>
      <w:r w:rsidR="00313E91" w:rsidRPr="001A4E16">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"10.1016/j.wasman.2012.07.024", "ISSN" : "0956053X", "abstract" : "The goal of this study is to evaluate the impact of the inoculum to substrate ratio (I/S) on the anaerobic degradation potential of municipal solid waste (MSW). Reconstituted MSW samples were thus incubated under batch anaerobic conditions and inoculated with an increasing amount of inoculum originating from a mesophilic sludge digester. I/S tested values were 0 (no inoculum added), 0.015, 0.03, 0.06, 0.12, 0.25, 1, 2 and 4 (gVMinoculum/gVMwaste). The results indicate that the apparent maximal rate of dissolved organic carbon accumulation is reached at I/S=0.12. Under this level, the hydrolysis process is limited by the concentration of biomass and can thus be described as first order kinetics phenomena with respect to biomass for I/S ratios below 0.12. The maximum methane production rate and the minimal latency are reached at a ratio of 2. In addition to that, both methane signature and ARISA show a shift in the methanogenic populations from hydrogenotrophic to acetoclastic.", "author" : [ { "dropping-particle" : "", "family" : "Boulanger", "given" : "Anthony", "non-dropping-particle" : "", "parse-names" : false, "suffix" : "" }, { "dropping-particle" : "", "family" : "Pinet", "given" : "Elisabeth", "non-dropping-particle" : "", "parse-names" : false, "suffix" : "" }, { "dropping-particle" : "", "family" : "Bouix", "given" : "Marielle", "non-dropping-particle" : "", "parse-names" : false, "suffix" : "" }, { "dropping-particle" : "", "family" : "Bouchez", "given" : "Th\u00e9odore", "non-dropping-particle" : "", "parse-names" : false, "suffix" : "" }, { "dropping-particle" : "", "family" : "Mansour", "given" : "Alicia A.", "non-dropping-particle" : "", "parse-names" : false, "suffix" : "" } ], "container-title" : "Waste Management", "id" : "ITEM-1", "issue" : "12", "issued" : { "date-parts" : [ [ "2012" ] ] }, "page" : "2258-2265", "title" : "Effect of inoculum to substrate ratio (I/S) on municipal solid waste anaerobic degradation kinetics and potential", "type" : "article-journal", "volume" : "32" }, "uris" : [ "http://www.mendeley.com/documents/?uuid=f30effb4-7fd6-36bf-b525-1c7afafaf3a6" ] } ], "mendeley" : { "formattedCitation" : "(Boulanger et al., 2012)", "plainTextFormattedCitation" : "(Boulanger et al., 2012)", "previouslyFormattedCitation" : "(Boulanger et al., 2012)" }, "properties" : { "noteIndex" : 0 }, "schema" : "https://github.com/citation-style-language/schema/raw/master/csl-citation.json" }</w:instrText>
      </w:r>
      <w:r w:rsidR="00313E91" w:rsidRPr="001A4E16">
        <w:rPr>
          <w:rFonts w:eastAsia="Arial Unicode MS" w:cs="Arial Unicode MS"/>
          <w:szCs w:val="20"/>
        </w:rPr>
        <w:fldChar w:fldCharType="separate"/>
      </w:r>
      <w:r w:rsidR="00211CB2" w:rsidRPr="00211CB2">
        <w:rPr>
          <w:rFonts w:eastAsia="Arial Unicode MS" w:cs="Arial Unicode MS"/>
          <w:noProof/>
          <w:szCs w:val="20"/>
        </w:rPr>
        <w:t>(Boulanger et al., 2012)</w:t>
      </w:r>
      <w:r w:rsidR="00313E91" w:rsidRPr="001A4E16">
        <w:rPr>
          <w:rFonts w:eastAsia="Arial Unicode MS" w:cs="Arial Unicode MS"/>
          <w:szCs w:val="20"/>
        </w:rPr>
        <w:fldChar w:fldCharType="end"/>
      </w:r>
      <w:r w:rsidR="00313E91" w:rsidRPr="001A4E16">
        <w:rPr>
          <w:rFonts w:eastAsia="Arial Unicode MS" w:cs="Arial Unicode MS"/>
          <w:szCs w:val="20"/>
        </w:rPr>
        <w:t xml:space="preserve">, </w:t>
      </w:r>
      <w:r w:rsidR="00E153FE" w:rsidRPr="001A4E16">
        <w:rPr>
          <w:rFonts w:eastAsia="Arial Unicode MS" w:cs="Arial Unicode MS"/>
          <w:szCs w:val="20"/>
        </w:rPr>
        <w:t xml:space="preserve">a </w:t>
      </w:r>
      <w:r w:rsidR="00313E91" w:rsidRPr="001A4E16">
        <w:rPr>
          <w:rFonts w:eastAsia="Arial Unicode MS" w:cs="Arial Unicode MS"/>
          <w:szCs w:val="20"/>
        </w:rPr>
        <w:t xml:space="preserve">maximized biogas production from cattle manure was obtained at </w:t>
      </w:r>
      <w:r w:rsidR="008E490D" w:rsidRPr="001A4E16">
        <w:rPr>
          <w:rFonts w:eastAsia="Arial Unicode MS" w:cs="Arial Unicode MS"/>
          <w:szCs w:val="20"/>
        </w:rPr>
        <w:t xml:space="preserve">a minimum F/I tested </w:t>
      </w:r>
      <w:r w:rsidR="008E490D" w:rsidRPr="001A4E16">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"abstract" : "-In this study, rumen fluid of animal ruminant was used as inoculums to increase biogas production rate from cattle manure at mesophilic condition. A series of laboratory experiments using 400 ml biodigester were performed in batch operation mode. Given 100 grams of fresh cattle manure was fed to each biodigester and mixed with rumen fluid and tap water resulting five different feed to inoculum (F/I) ratios (i.e. 17.64, 23.51, 35.27, and 70.54). The operating temperatures were varied at room temperature. The results showed that the rumen fluid inoculated to biodigester significantly effected the biogas production. Rumen fluid inoculums caused biogas production rate and efficiency increase more than two times in compare to manure substrate without rumen fluid inoculums. At four F/Is tested, after 80 days digestion, the biogas yield were 191, 162, 144 and 112 mL/g VS, respectively. About 80% of the biogas production was obtained during the first 40 days of digestion. The best performance of biogas production will be obtained if F/I ratio is in the range of 17.64 to 35.27 (correspond to 25 \u2013 50 % of rumen fluid). The future work will be carried out to study the dynamics of biogas production if both the rumen fluid inoculums and manure are fed in the continuous system.", "author" : [ { "dropping-particle" : "", "family" : "Johari", "given" : "S", "non-dropping-particle" : "", "parse-names" : false, "suffix" : "" }, { "dropping-particle" : "", "family" : "Widiasa", "given" : "I N", "non-dropping-particle" : "", "parse-names" : false, "suffix" : "" } ], "container-title" : "Internat. J. of Waste Resources", "id" : "ITEM-1", "issue" : "1", "issued" : { "date-parts" : [ [ "2012" ] ] }, "page" : "1-4", "title" : "The Effect of Feed to Inoculums Ratio on Biogas Production Rate from Cattle Manure Using Rumen Fluid as Inoculums", "type" : "article-journal", "volume" : "2" }, "uris" : [ "http://www.mendeley.com/documents/?uuid=feb8b77a-45b3-3c2a-a247-d52c08857aaa" ] } ], "mendeley" : { "formattedCitation" : "(Johari and Widiasa, 2012)", "plainTextFormattedCitation" : "(Johari and Widiasa, 2012)", "previouslyFormattedCitation" : "(Johari and Widiasa, 2012)" }, "properties" : { "noteIndex" : 0 }, "schema" : "https://github.com/citation-style-language/schema/raw/master/csl-citation.json" }</w:instrText>
      </w:r>
      <w:r w:rsidR="008E490D" w:rsidRPr="001A4E16">
        <w:rPr>
          <w:rFonts w:eastAsia="Arial Unicode MS" w:cs="Arial Unicode MS"/>
          <w:szCs w:val="20"/>
        </w:rPr>
        <w:fldChar w:fldCharType="separate"/>
      </w:r>
      <w:r w:rsidR="00211CB2" w:rsidRPr="00211CB2">
        <w:rPr>
          <w:rFonts w:eastAsia="Arial Unicode MS" w:cs="Arial Unicode MS"/>
          <w:noProof/>
          <w:szCs w:val="20"/>
        </w:rPr>
        <w:t>(Johari and Widiasa, 2012)</w:t>
      </w:r>
      <w:r w:rsidR="008E490D" w:rsidRPr="001A4E16">
        <w:rPr>
          <w:rFonts w:eastAsia="Arial Unicode MS" w:cs="Arial Unicode MS"/>
          <w:szCs w:val="20"/>
        </w:rPr>
        <w:fldChar w:fldCharType="end"/>
      </w:r>
      <w:r w:rsidR="00E153FE" w:rsidRPr="001A4E16">
        <w:rPr>
          <w:rFonts w:eastAsia="Arial Unicode MS" w:cs="Arial Unicode MS"/>
          <w:szCs w:val="20"/>
        </w:rPr>
        <w:t xml:space="preserve">. However, in other cases the F/I ratio had minor effect in the methane yield </w:t>
      </w:r>
      <w:r w:rsidR="00E153FE" w:rsidRPr="001A4E16">
        <w:rPr>
          <w:rFonts w:eastAsia="Arial Unicode MS" w:cs="Arial Unicode MS"/>
          <w:szCs w:val="20"/>
        </w:rPr>
        <w:fldChar w:fldCharType="begin" w:fldLock="1"/>
      </w:r>
      <w:r w:rsidR="00404D26">
        <w:rPr>
          <w:rFonts w:eastAsia="Arial Unicode MS" w:cs="Arial Unicode MS"/>
          <w:szCs w:val="20"/>
        </w:rPr>
        <w:instrText>ADDIN CSL_CITATION { "citationItems" : [ { "id" : "ITEM-1", "itemData" : { "DOI" : "10.1016/j.procbio.2011.04.013", "ISSN" : "13595113", "abstract" : "A study of anaerobic digestion of whole stillage from a dry-grind corn ethanol plant was conducted to evaluate the possibility of replacing fossil fuel input of large ethanol plants by using ethanol residues as digester feedstock. The effect of inoculum to substrate ratio (ISR) on biogas/methane production rates and ultimate yields was evaluated in mesophilic batch digesters. A first order kinetic model was evaluated for both volatile solids (VS) and total chemical oxygen demand (TCOD) removals. The results demonstrated that in an ISR range of 3.67\u20130.46g/g on VS basis, kinetic constants (k) for both VS and TCOD removals decreased significantly, indicating an initial reactor overloading or substrate inhibition. However, despite the slower biodegradable rates from the reactors with ISRs of 0.46 and 0.92, none of the reactors experienced a chronic substrate inhibition. At the highest organic loading (ISR of 0.46g/g), degradation was complete in 15\u201316 days. Biochemical methane potential assays indicated significant digestion potential (691\u2013788mL biogas and 401\u2013458mL CH4 per g VSadded at 0\u00b0C, 1atm) with organic removals between 76% and 94% in batch mode. Future studies will verify the anaerobic digestion potential of full-strength whole stillage at larger scale.", "author" : [ { "dropping-particle" : "", "family" : "Eskicioglu", "given" : "Cigdem", "non-dropping-particle" : "", "parse-names" : false, "suffix" : "" }, { "dropping-particle" : "", "family" : "Ghorbani", "given" : "Maryam", "non-dropping-particle" : "", "parse-names" : false, "suffix" : "" } ], "container-title" : "Process Biochemistry", "id" : "ITEM-1", "issue" : "8", "issued" : { "date-parts" : [ [ "2011" ] ] }, "number-of-pages" : "1682-1687", "title" : "Effect of inoculum/substrate ratio on mesophilic anaerobic digestion of bioethanol plant whole stillage in batch mode", "type" : "report", "volume" : "46" }, "uris" : [ "http://www.mendeley.com/documents/?uuid=1b09be28-cb4c-3cd4-bb53-758bd5cc96b2" ] }, { "id" : "ITEM-2", "itemData" : { "DOI" : "10.1016/j.biombioe.2009.03.008", "ISSN" : "09619534", "abstract" : "Batch tests using swine slurry as substrate were conducted to elucidate the impact on anaerobic digestion of different ratio of substrate (COD)/inoculum (VS). Soluble COD, volatile fatty acids (VFAs) concentration, and pH were periodically analyzed in order to completely understand possible inhibitions. In addition, ammonia concentration was also calculated at the start up and final stage of the test. The results showed that the same methane yield was achieved with the three experimental ratios (COD/VS of 1, 2 and 3), however methane production rates were clearly different. This later parameter decreased with increasing ratios. This behaviour was explained by the accumulation of VFAs (predominantly acetic (HAc) and propionic acid (HPr)), reflected on the soluble COD profile as well. The possible inhibition by free ammonia was null since the values calculated were far below the threshold concentration reported in literature.", "author" : [ { "dropping-particle" : "", "family" : "Gonz\u00e1lez-Fern\u00e1ndez", "given" : "Cristina", "non-dropping-particle" : "", "parse-names" : false, "suffix" : "" }, { "dropping-particle" : "", "family" : "Garc\u00eda-Encina", "given" : "Pedro A.", "non-dropping-particle" : "", "parse-names" : false, "suffix" : "" } ], "container-title" : "Biomass and Bioenergy", "id" : "ITEM-2", "issue" : "8", "issued" : { "date-parts" : [ [ "2009" ] ] }, "page" : "1065-1069", "title" : "Impact of substrate to inoculum ratio in anaerobic digestion of swine slurry", "type" : "article-journal", "volume" : "33" }, "uris" : [ "http://www.mendeley.com/documents/?uuid=fe936c54-31d9-37ce-9acf-8fc9bab036fc" ] } ], "mendeley" : { "formattedCitation" : "(Eskicioglu and Ghorbani, 2011; Gonz\u00e1lez-Fern\u00e1ndez and Garc\u00eda-Encina, 2009)", "plainTextFormattedCitation" : "(Eskicioglu and Ghorbani, 2011; Gonz\u00e1lez-Fern\u00e1ndez and Garc\u00eda-Encina, 2009)", "previouslyFormattedCitation" : "(Eskicioglu and Ghorbani, 2011; Gonz\u00e1lez-Fern\u00e1ndez and Garc\u00eda-Encina, 2009)" }, "properties" : { "noteIndex" : 0 }, "schema" : "https://github.com/citation-style-language/schema/raw/master/csl-citation.json" }</w:instrText>
      </w:r>
      <w:r w:rsidR="00E153FE" w:rsidRPr="001A4E16">
        <w:rPr>
          <w:rFonts w:eastAsia="Arial Unicode MS" w:cs="Arial Unicode MS"/>
          <w:szCs w:val="20"/>
        </w:rPr>
        <w:fldChar w:fldCharType="separate"/>
      </w:r>
      <w:r w:rsidR="00211CB2" w:rsidRPr="00211CB2">
        <w:rPr>
          <w:rFonts w:eastAsia="Arial Unicode MS" w:cs="Arial Unicode MS"/>
          <w:noProof/>
          <w:szCs w:val="20"/>
        </w:rPr>
        <w:t>(Eskicioglu and Ghorbani, 2011; González-Fernández and García-Encina, 2009)</w:t>
      </w:r>
      <w:r w:rsidR="00E153FE" w:rsidRPr="001A4E16">
        <w:rPr>
          <w:rFonts w:eastAsia="Arial Unicode MS" w:cs="Arial Unicode MS"/>
          <w:szCs w:val="20"/>
        </w:rPr>
        <w:fldChar w:fldCharType="end"/>
      </w:r>
      <w:r w:rsidR="00E153FE" w:rsidRPr="001A4E16">
        <w:rPr>
          <w:rFonts w:eastAsia="Arial Unicode MS" w:cs="Arial Unicode MS"/>
          <w:szCs w:val="20"/>
        </w:rPr>
        <w:t xml:space="preserve">. The influence of the F/I ratio on the methane yield depends also in the F/I ratio range </w:t>
      </w:r>
      <w:r w:rsidR="00B500E6" w:rsidRPr="001A4E16">
        <w:rPr>
          <w:rFonts w:eastAsia="Arial Unicode MS" w:cs="Arial Unicode MS"/>
          <w:szCs w:val="20"/>
        </w:rPr>
        <w:t>tested;</w:t>
      </w:r>
      <w:r w:rsidR="00E153FE" w:rsidRPr="001A4E16">
        <w:rPr>
          <w:rFonts w:eastAsia="Arial Unicode MS" w:cs="Arial Unicode MS"/>
          <w:szCs w:val="20"/>
        </w:rPr>
        <w:t xml:space="preserve"> near the optimum F/I ratio the influence will be less noticeable. </w:t>
      </w:r>
    </w:p>
    <w:p w14:paraId="7AFEF669" w14:textId="77777777" w:rsidR="001C364E" w:rsidRDefault="001C364E" w:rsidP="00D33581">
      <w:pPr>
        <w:keepNext/>
        <w:spacing w:line="276" w:lineRule="auto"/>
        <w:jc w:val="both"/>
      </w:pPr>
      <w:r>
        <w:rPr>
          <w:noProof/>
          <w:lang w:eastAsia="en-GB"/>
        </w:rPr>
        <w:drawing>
          <wp:inline distT="0" distB="0" distL="0" distR="0" wp14:anchorId="748627DB" wp14:editId="73A4D1C9">
            <wp:extent cx="5600700" cy="3943350"/>
            <wp:effectExtent l="0" t="0" r="0" b="0"/>
            <wp:docPr id="5" name="Chart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93E09E" w14:textId="0BD367D6" w:rsidR="001C364E" w:rsidRPr="001A4E16" w:rsidRDefault="001C364E" w:rsidP="00D33581">
      <w:pPr>
        <w:pStyle w:val="Caption"/>
        <w:rPr>
          <w:szCs w:val="20"/>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D33581">
        <w:rPr>
          <w:b w:val="0"/>
        </w:rPr>
        <w:t>Methane production for low (0.3) and high (0.7) F/I</w:t>
      </w:r>
      <w:r>
        <w:t xml:space="preserve"> </w:t>
      </w:r>
    </w:p>
    <w:p w14:paraId="1D57D89E" w14:textId="044474F5" w:rsidR="007511CD" w:rsidRDefault="00C13EAD" w:rsidP="00B500E6">
      <w:pPr>
        <w:pStyle w:val="Caption"/>
        <w:spacing w:line="276" w:lineRule="auto"/>
        <w:jc w:val="left"/>
        <w:rPr>
          <w:b w:val="0"/>
        </w:rPr>
      </w:pPr>
      <w:r w:rsidRPr="001A4E16">
        <w:rPr>
          <w:b w:val="0"/>
          <w:szCs w:val="20"/>
        </w:rPr>
        <w:lastRenderedPageBreak/>
        <w:t>At the early stages of the degradation (day 7)</w:t>
      </w:r>
      <w:r w:rsidR="00B12B95" w:rsidRPr="001A4E16">
        <w:rPr>
          <w:b w:val="0"/>
          <w:szCs w:val="20"/>
        </w:rPr>
        <w:t xml:space="preserve"> for a F/I ratio of 0.3</w:t>
      </w:r>
      <w:r w:rsidRPr="001A4E16">
        <w:rPr>
          <w:b w:val="0"/>
          <w:szCs w:val="20"/>
        </w:rPr>
        <w:t xml:space="preserve">, </w:t>
      </w:r>
      <w:r w:rsidR="00B12B95" w:rsidRPr="001A4E16">
        <w:rPr>
          <w:b w:val="0"/>
          <w:szCs w:val="20"/>
        </w:rPr>
        <w:t>the methane yield fro</w:t>
      </w:r>
      <w:r w:rsidR="00B073F3" w:rsidRPr="001A4E16">
        <w:rPr>
          <w:b w:val="0"/>
          <w:szCs w:val="20"/>
        </w:rPr>
        <w:t>m 30 min beated samples is 13</w:t>
      </w:r>
      <w:r w:rsidRPr="001A4E16">
        <w:rPr>
          <w:b w:val="0"/>
          <w:szCs w:val="20"/>
        </w:rPr>
        <w:t xml:space="preserve">% </w:t>
      </w:r>
      <w:r w:rsidR="00B12B95" w:rsidRPr="001A4E16">
        <w:rPr>
          <w:b w:val="0"/>
          <w:szCs w:val="20"/>
        </w:rPr>
        <w:t>higher than for untreated material</w:t>
      </w:r>
      <w:r w:rsidR="00B629DE">
        <w:rPr>
          <w:b w:val="0"/>
          <w:szCs w:val="20"/>
        </w:rPr>
        <w:t xml:space="preserve"> (Figure 4)</w:t>
      </w:r>
      <w:r w:rsidR="00B12B95" w:rsidRPr="001A4E16">
        <w:rPr>
          <w:b w:val="0"/>
          <w:szCs w:val="20"/>
        </w:rPr>
        <w:t>. 60</w:t>
      </w:r>
      <w:r w:rsidR="00B073F3" w:rsidRPr="001A4E16">
        <w:rPr>
          <w:b w:val="0"/>
          <w:szCs w:val="20"/>
        </w:rPr>
        <w:t xml:space="preserve"> min beated paper produced 43</w:t>
      </w:r>
      <w:r w:rsidR="00B12B95" w:rsidRPr="001A4E16">
        <w:rPr>
          <w:b w:val="0"/>
          <w:szCs w:val="20"/>
        </w:rPr>
        <w:t>% more methane than untreated biomass on the same day. These improvements continued in day 14 of digestion, when 30 min pretreatment im</w:t>
      </w:r>
      <w:r w:rsidR="00B073F3" w:rsidRPr="001A4E16">
        <w:rPr>
          <w:b w:val="0"/>
          <w:szCs w:val="20"/>
        </w:rPr>
        <w:t>proved the methane yield by 8</w:t>
      </w:r>
      <w:r w:rsidR="00B12B95" w:rsidRPr="001A4E16">
        <w:rPr>
          <w:b w:val="0"/>
          <w:szCs w:val="20"/>
        </w:rPr>
        <w:t xml:space="preserve">% </w:t>
      </w:r>
      <w:r w:rsidR="00B073F3" w:rsidRPr="001A4E16">
        <w:rPr>
          <w:b w:val="0"/>
          <w:szCs w:val="20"/>
        </w:rPr>
        <w:t>and 60 min pretreatment by 26</w:t>
      </w:r>
      <w:r w:rsidR="00B12B95" w:rsidRPr="001A4E16">
        <w:rPr>
          <w:b w:val="0"/>
          <w:szCs w:val="20"/>
        </w:rPr>
        <w:t>%. The methane yields improvements on day 14 are roughly the half of improvements in day 7, and at the end of the digestion</w:t>
      </w:r>
      <w:r w:rsidR="007A5AAD" w:rsidRPr="001A4E16">
        <w:rPr>
          <w:b w:val="0"/>
          <w:szCs w:val="20"/>
        </w:rPr>
        <w:t xml:space="preserve"> only 60 min pretreatment achieved a positive effect on the methane yield. </w:t>
      </w:r>
      <w:r w:rsidR="0045003C">
        <w:rPr>
          <w:b w:val="0"/>
        </w:rPr>
        <w:t xml:space="preserve">Higher methane production rate constants were achieved for 30 min beating pretreatment at F/I ratios of 0.3 and 0.5, however the final methane production is lower than for 60 min pretreatment. </w:t>
      </w:r>
      <w:r w:rsidR="0045003C" w:rsidRPr="001A4E16">
        <w:rPr>
          <w:b w:val="0"/>
          <w:szCs w:val="20"/>
        </w:rPr>
        <w:t xml:space="preserve">This trend can be explained due to that the first step of lignocellulosic materials degradation is hydrolysis of the cellulose. It takes place at the surface of the cellulose fibers; therefore, more beated samples achieved more specific surface area accelerating the </w:t>
      </w:r>
      <w:r w:rsidR="0045003C" w:rsidRPr="001A4E16">
        <w:rPr>
          <w:b w:val="0"/>
        </w:rPr>
        <w:t xml:space="preserve">hydrolysis. </w:t>
      </w:r>
      <w:r w:rsidR="003A49B9">
        <w:rPr>
          <w:b w:val="0"/>
        </w:rPr>
        <w:t xml:space="preserve">The low first order constants and high final methane productions achieved for 60min beated samples </w:t>
      </w:r>
      <w:r w:rsidR="00275315">
        <w:rPr>
          <w:b w:val="0"/>
        </w:rPr>
        <w:t xml:space="preserve">shows that contrary to expected, the hydrolysis of cellulose is maybe not the limiting step of the waste paper degradation process. </w:t>
      </w:r>
      <w:r w:rsidR="002E03BA" w:rsidRPr="002E03BA">
        <w:rPr>
          <w:b w:val="0"/>
        </w:rPr>
        <w:t>agre</w:t>
      </w:r>
      <w:r w:rsidR="002E03BA">
        <w:rPr>
          <w:b w:val="0"/>
        </w:rPr>
        <w:t xml:space="preserve">ed well with Keymer et al. </w:t>
      </w:r>
      <w:r w:rsidR="002E03BA">
        <w:rPr>
          <w:b w:val="0"/>
        </w:rPr>
        <w:fldChar w:fldCharType="begin" w:fldLock="1"/>
      </w:r>
      <w:r w:rsidR="002E03BA">
        <w:rPr>
          <w:b w:val="0"/>
        </w:rPr>
        <w:instrText>ADDIN CSL_CITATION { "citationItems" : [ { "id" : "ITEM-1", "itemData" : { "DOI" : "10.1016/j.biortech.2012.12.125", "ISSN" : "1873-2976", "PMID" : "23347920", "abstract" : "Anaerobic digestion of algal biomass will be an essential component of algal biofuel production systems, yet the methane yield from digestion of algae is typically much lower than the theoretical potential. In this work, high pressure thermal hydrolysis (HPTH) is shown to enhance methane yield during algae digestion. HPTH pre-treatment was applied to both raw algae and algal residue resulting from lipid extraction. HPTH and even the lipid extraction process itself increased methane yield, by 81% and 33% respectively; in combination they increased yield by 110% over that of the raw algae (18L CH4 gVS(-1) substrate). HPTH had little effect on the rate of anaerobic digestion, however lipid extraction enhanced it by 33% over that for raw algae (0.21day(-1)). Digestion resulted in solubilisation of nitrogen (and phosphorous to a lesser degree) in all cases, showing that there is potential for nutrient recycling for algal growth.", "author" : [ { "dropping-particle" : "", "family" : "Keymer", "given" : "Philip", "non-dropping-particle" : "", "parse-names" : false, "suffix" : "" }, { "dropping-particle" : "", "family" : "Ruffell", "given" : "Ian", "non-dropping-particle" : "", "parse-names" : false, "suffix" : "" }, { "dropping-particle" : "", "family" : "Pratt", "given" : "Steven", "non-dropping-particle" : "", "parse-names" : false, "suffix" : "" }, { "dropping-particle" : "", "family" : "Lant", "given" : "Paul", "non-dropping-particle" : "", "parse-names" : false, "suffix" : "" } ], "container-title" : "Bioresource technology", "id" : "ITEM-1", "issued" : { "date-parts" : [ [ "2013", "3" ] ] }, "page" : "128-33", "title" : "High pressure thermal hydrolysis as pre-treatment to increase the methane yield during anaerobic digestion of microalgae.", "type" : "article-journal", "volume" : "131" }, "uris" : [ "http://www.mendeley.com/documents/?uuid=b7f17a73-d04a-44d9-8d33-097b34885abf" ] } ], "mendeley" : { "formattedCitation" : "(Keymer et al., 2013)", "plainTextFormattedCitation" : "(Keymer et al., 2013)", "previouslyFormattedCitation" : "(Keymer et al., 2013)" }, "properties" : { "noteIndex" : 0 }, "schema" : "https://github.com/citation-style-language/schema/raw/master/csl-citation.json" }</w:instrText>
      </w:r>
      <w:r w:rsidR="002E03BA">
        <w:rPr>
          <w:b w:val="0"/>
        </w:rPr>
        <w:fldChar w:fldCharType="separate"/>
      </w:r>
      <w:r w:rsidR="002E03BA" w:rsidRPr="007511CD">
        <w:rPr>
          <w:b w:val="0"/>
          <w:noProof/>
        </w:rPr>
        <w:t>(Keymer et al., 2013)</w:t>
      </w:r>
      <w:r w:rsidR="002E03BA">
        <w:rPr>
          <w:b w:val="0"/>
        </w:rPr>
        <w:fldChar w:fldCharType="end"/>
      </w:r>
      <w:r w:rsidR="002E03BA">
        <w:rPr>
          <w:b w:val="0"/>
        </w:rPr>
        <w:t>, who noticed that</w:t>
      </w:r>
      <w:r w:rsidR="007511CD">
        <w:rPr>
          <w:b w:val="0"/>
        </w:rPr>
        <w:t xml:space="preserve"> </w:t>
      </w:r>
      <w:r w:rsidR="002E03BA">
        <w:rPr>
          <w:b w:val="0"/>
        </w:rPr>
        <w:t>the h</w:t>
      </w:r>
      <w:r w:rsidR="002E03BA" w:rsidRPr="00275315">
        <w:rPr>
          <w:b w:val="0"/>
        </w:rPr>
        <w:t>igh pressure thermal hydrolysis</w:t>
      </w:r>
      <w:r w:rsidR="002E03BA">
        <w:rPr>
          <w:b w:val="0"/>
        </w:rPr>
        <w:t xml:space="preserve"> pretreatment had no effect on the methane production rate but significantly improved the final methane yield of </w:t>
      </w:r>
      <w:r w:rsidR="007511CD" w:rsidRPr="00D33581">
        <w:rPr>
          <w:b w:val="0"/>
          <w:i/>
        </w:rPr>
        <w:t>Scenedesmus</w:t>
      </w:r>
      <w:r w:rsidR="00275315">
        <w:rPr>
          <w:b w:val="0"/>
        </w:rPr>
        <w:t xml:space="preserve"> microalgae</w:t>
      </w:r>
      <w:r w:rsidR="007511CD">
        <w:rPr>
          <w:b w:val="0"/>
        </w:rPr>
        <w:t xml:space="preserve">; </w:t>
      </w:r>
      <w:r w:rsidR="002E03BA">
        <w:rPr>
          <w:b w:val="0"/>
        </w:rPr>
        <w:t xml:space="preserve">similar results were obtained with olive mill solid waste, where co-digestion with </w:t>
      </w:r>
      <w:r w:rsidR="002E03BA" w:rsidRPr="00D33581">
        <w:rPr>
          <w:b w:val="0"/>
          <w:i/>
        </w:rPr>
        <w:t>D. salina</w:t>
      </w:r>
      <w:r w:rsidR="002E03BA">
        <w:rPr>
          <w:b w:val="0"/>
        </w:rPr>
        <w:t xml:space="preserve"> </w:t>
      </w:r>
      <w:r w:rsidR="002E03BA" w:rsidRPr="002E03BA">
        <w:rPr>
          <w:b w:val="0"/>
        </w:rPr>
        <w:t>improved the total me</w:t>
      </w:r>
      <w:r w:rsidR="002E03BA">
        <w:rPr>
          <w:b w:val="0"/>
        </w:rPr>
        <w:t>thane production but</w:t>
      </w:r>
      <w:r w:rsidR="002E03BA" w:rsidRPr="002E03BA">
        <w:rPr>
          <w:b w:val="0"/>
        </w:rPr>
        <w:t xml:space="preserve"> </w:t>
      </w:r>
      <w:r w:rsidR="002E03BA">
        <w:rPr>
          <w:b w:val="0"/>
        </w:rPr>
        <w:t xml:space="preserve">had </w:t>
      </w:r>
      <w:r w:rsidR="002E03BA" w:rsidRPr="002E03BA">
        <w:rPr>
          <w:b w:val="0"/>
        </w:rPr>
        <w:t>negative effect on the initial degradation rate</w:t>
      </w:r>
      <w:r w:rsidR="002E03BA">
        <w:rPr>
          <w:b w:val="0"/>
        </w:rPr>
        <w:t xml:space="preserve"> </w:t>
      </w:r>
      <w:r w:rsidR="002E03BA">
        <w:rPr>
          <w:b w:val="0"/>
        </w:rPr>
        <w:fldChar w:fldCharType="begin" w:fldLock="1"/>
      </w:r>
      <w:r w:rsidR="004E4525">
        <w:rPr>
          <w:b w:val="0"/>
        </w:rPr>
        <w:instrText>ADDIN CSL_CITATION { "citationItems" : [ { "id" : "ITEM-1", "itemData" : { "DOI" : "10.1016/j.biortech.2014.01.096", "ISSN" : "09608524", "abstract" : "Olive mill solid waste (OMSW) is a pollutant waste coming from olive oil elaboration by the two-phase centrifugation system. OMSW has a high organic matter content and unbalanced carbon to nitrogen (C/N) ratio, 31/1, which avoids obtaining high methane yields in the anaerobic digestion of this waste. In the present study a microalgae, Dunaliella salina, was employed as co-substrate for the OMSW anaerobic digestion in order to decrease the C/N ratio and increase its biodegradability. Different co-digestion mixtures (C/N ratios) were studied. The increase of D. salina from 25% to 50% in the co-digestion mixture clearly increased the biodegradability of the sole substrates. The highest biodegradability was found for the co-digestion mixture 50% OMSW-50% D. salina. Nevertheless, the maximum methane production, 330mLCH4/gVSadded, and the highest methane production rate were obtained for the co-digestion mixture 75% OMSW-25% D. salina, keeping a C/N ratio near to 26.7/1.", "author" : [ { "dropping-particle" : "", "family" : "Fern\u00e1ndez-Rodr\u00edguez", "given" : "M.J.", "non-dropping-particle" : "", "parse-names" : false, "suffix" : "" }, { "dropping-particle" : "", "family" : "Rinc\u00f3n", "given" : "B.", "non-dropping-particle" : "", "parse-names" : false, "suffix" : "" }, { "dropping-particle" : "", "family" : "Fermoso", "given" : "F.G.", "non-dropping-particle" : "", "parse-names" : false, "suffix" : "" }, { "dropping-particle" : "", "family" : "Jim\u00e9nez", "given" : "A.M.", "non-dropping-particle" : "", "parse-names" : false, "suffix" : "" }, { "dropping-particle" : "", "family" : "Borja", "given" : "R.", "non-dropping-particle" : "", "parse-names" : false, "suffix" : "" } ], "container-title" : "Bioresource Technology", "id" : "ITEM-1", "issued" : { "date-parts" : [ [ "2014" ] ] }, "page" : "263-269", "title" : "Assessment of two-phase olive mill solid waste and microalgae co-digestion to improve methane production and process kinetics", "type" : "article-journal", "volume" : "157" }, "uris" : [ "http://www.mendeley.com/documents/?uuid=bffed87d-01fa-3207-a449-843c0b840019" ] } ], "mendeley" : { "formattedCitation" : "(Fern\u00e1ndez-Rodr\u00edguez et al., 2014)", "plainTextFormattedCitation" : "(Fern\u00e1ndez-Rodr\u00edguez et al., 2014)", "previouslyFormattedCitation" : "(Fern\u00e1ndez-Rodr\u00edguez et al., 2014)" }, "properties" : { "noteIndex" : 0 }, "schema" : "https://github.com/citation-style-language/schema/raw/master/csl-citation.json" }</w:instrText>
      </w:r>
      <w:r w:rsidR="002E03BA">
        <w:rPr>
          <w:b w:val="0"/>
        </w:rPr>
        <w:fldChar w:fldCharType="separate"/>
      </w:r>
      <w:r w:rsidR="002E03BA" w:rsidRPr="002E03BA">
        <w:rPr>
          <w:b w:val="0"/>
          <w:noProof/>
        </w:rPr>
        <w:t>(Fernández-Rodríguez et al., 2014)</w:t>
      </w:r>
      <w:r w:rsidR="002E03BA">
        <w:rPr>
          <w:b w:val="0"/>
        </w:rPr>
        <w:fldChar w:fldCharType="end"/>
      </w:r>
      <w:r w:rsidR="002E03BA">
        <w:rPr>
          <w:b w:val="0"/>
        </w:rPr>
        <w:t>.</w:t>
      </w:r>
    </w:p>
    <w:p w14:paraId="459B8556" w14:textId="450708F5" w:rsidR="00277384" w:rsidRDefault="00AE5715" w:rsidP="00453143">
      <w:pPr>
        <w:pStyle w:val="Caption"/>
        <w:spacing w:line="276" w:lineRule="auto"/>
        <w:jc w:val="left"/>
        <w:rPr>
          <w:b w:val="0"/>
        </w:rPr>
      </w:pPr>
      <w:r w:rsidRPr="001A4E16">
        <w:rPr>
          <w:b w:val="0"/>
        </w:rPr>
        <w:t>At the end of the degradation, the methane yield</w:t>
      </w:r>
      <w:r w:rsidR="00B95F22" w:rsidRPr="001A4E16">
        <w:rPr>
          <w:b w:val="0"/>
        </w:rPr>
        <w:t xml:space="preserve"> for a ratio F/I of 0.3</w:t>
      </w:r>
      <w:r w:rsidR="00B073F3" w:rsidRPr="001A4E16">
        <w:rPr>
          <w:b w:val="0"/>
        </w:rPr>
        <w:t xml:space="preserve"> decreased by 5</w:t>
      </w:r>
      <w:r w:rsidRPr="001A4E16">
        <w:rPr>
          <w:b w:val="0"/>
        </w:rPr>
        <w:t>% when the paper waste was beated for 30 min</w:t>
      </w:r>
      <w:r w:rsidR="002A28FF" w:rsidRPr="001A4E16">
        <w:rPr>
          <w:b w:val="0"/>
        </w:rPr>
        <w:t>, such percentage is not statistically significant when compared with the batch duplicates, so it can be concluded that 30</w:t>
      </w:r>
      <w:r w:rsidR="00B073F3" w:rsidRPr="001A4E16">
        <w:rPr>
          <w:b w:val="0"/>
        </w:rPr>
        <w:t xml:space="preserve"> </w:t>
      </w:r>
      <w:r w:rsidR="002A28FF" w:rsidRPr="001A4E16">
        <w:rPr>
          <w:b w:val="0"/>
        </w:rPr>
        <w:t xml:space="preserve">min pretreatment at 0.3 F/I ratio have no effect on the methane yield </w:t>
      </w:r>
      <w:r w:rsidRPr="001A4E16">
        <w:rPr>
          <w:b w:val="0"/>
        </w:rPr>
        <w:t xml:space="preserve">. When the pretreatment time was increased to 60 min, the </w:t>
      </w:r>
      <w:r w:rsidR="00B073F3" w:rsidRPr="001A4E16">
        <w:rPr>
          <w:b w:val="0"/>
        </w:rPr>
        <w:t>methane yield increased by 21% from 210</w:t>
      </w:r>
      <w:r w:rsidRPr="001A4E16">
        <w:rPr>
          <w:b w:val="0"/>
        </w:rPr>
        <w:t xml:space="preserve"> ml/gVS correspondent </w:t>
      </w:r>
      <w:r w:rsidR="00B073F3" w:rsidRPr="001A4E16">
        <w:rPr>
          <w:b w:val="0"/>
        </w:rPr>
        <w:t>to the untreated paper to 25</w:t>
      </w:r>
      <w:r w:rsidR="00C901AC">
        <w:rPr>
          <w:b w:val="0"/>
        </w:rPr>
        <w:t>3</w:t>
      </w:r>
      <w:r w:rsidRPr="001A4E16">
        <w:rPr>
          <w:b w:val="0"/>
        </w:rPr>
        <w:t xml:space="preserve"> ml/gVS.</w:t>
      </w:r>
      <w:r w:rsidR="00AD7066" w:rsidRPr="001A4E16">
        <w:rPr>
          <w:b w:val="0"/>
        </w:rPr>
        <w:t xml:space="preserve"> The present result from non beated paper is consistent with the data from Eleazer et al </w:t>
      </w:r>
      <w:r w:rsidR="00AD7066" w:rsidRPr="001A4E16">
        <w:rPr>
          <w:b w:val="0"/>
        </w:rPr>
        <w:fldChar w:fldCharType="begin" w:fldLock="1"/>
      </w:r>
      <w:r w:rsidR="00404D26">
        <w:rPr>
          <w:b w:val="0"/>
        </w:rPr>
        <w:instrText>ADDIN CSL_CITATION { "citationItems" : [ { "id" : "ITEM-1", "itemData" : { "DOI" : "10.1021/es9606788", "ISSN" : "0013-936X", "abstract" : "The objective of this research was to characterize the anaerobic biodegradability of municipal refuse components by measuring methane yields, the extent of cellulose and hemicellulose decomposition, and leachate toxicity. Tests were conducted in quadruplicate in 2-L reactors operated to obtain maximum yields. Measured methane yields for grass, leaves, branches, food waste, coated paper, old newsprint, old corrugated containers, and office paper were 144.4, 30.6, 62.6, 300.7, 84.4, 74.3, 152.3, and 217.3 mL of CH4/dry g, respectively. Although, as a general trend, the methane yield increased as the cellulose plus hemicellulose content increased, confounding factors precluded establishing a quantitative relationship. Similarly, the degree of lignification of a particular component was not a good predictor of the extent of biodegradation. With the exception of food waste, leachate from the decomposition of refuse components was not toxic as measured by using an anaerobic toxicity assay. The objective of this research was to characterize the anaerobic biodegradability of municipal refuse components by measuring methane yields, the extent of cellulose and hemicellulose decomposition, and leachate toxicity. Tests were conducted in quadruplicate in 2-L reactors operated to obtain maximum yields. Measured methane yields for grass, leaves, branches, food waste, coated paper, old newsprint, old corrugated containers, and office paper were 144.4, 30.6, 62.6, 300.7, 84.4, 74.3, 152.3, and 217.3 mL of CH4/dry g, respectively. Although, as a general trend, the methane yield increased as the cellulose plus hemicellulose content increased, confounding factors precluded establishing a quantitative relationship. Similarly, the degree of lignification of a particular component was not a good predictor of the extent of biodegradation. With the exception of food waste, leachate from the decomposition of refuse components was not toxic as measured by using an anaerobic toxicity assay.", "author" : [ { "dropping-particle" : "", "family" : "Eleazer", "given" : "William E.", "non-dropping-particle" : "", "parse-names" : false, "suffix" : "" }, { "dropping-particle" : "", "family" : "Odle", "given" : "William S.", "non-dropping-particle" : "", "parse-names" : false, "suffix" : "" }, { "dropping-particle" : "", "family" : "Wang", "given" : "Yu-Sheng", "non-dropping-particle" : "", "parse-names" : false, "suffix" : "" }, { "dropping-particle" : "", "family" : "Barlaz", "given" : "Morton A.", "non-dropping-particle" : "", "parse-names" : false, "suffix" : "" } ], "container-title" : "Environmental Science &amp; Technology", "id" : "ITEM-1", "issue" : "3", "issued" : { "date-parts" : [ [ "1997", "3" ] ] }, "page" : "911-917", "publisher" : "American Chemical Society", "title" : "Biodegradability of Municipal Solid Waste Components in Laboratory-Scale Landfills", "type" : "article-journal", "volume" : "31" }, "uris" : [ "http://www.mendeley.com/documents/?uuid=fc9ea46a-4c0b-4f29-8f18-b068fce54a3f" ] } ], "mendeley" : { "formattedCitation" : "(Eleazer et al., 1997)", "plainTextFormattedCitation" : "(Eleazer et al., 1997)", "previouslyFormattedCitation" : "(Eleazer et al., 1997)" }, "properties" : { "noteIndex" : 0 }, "schema" : "https://github.com/citation-style-language/schema/raw/master/csl-citation.json" }</w:instrText>
      </w:r>
      <w:r w:rsidR="00AD7066" w:rsidRPr="001A4E16">
        <w:rPr>
          <w:b w:val="0"/>
        </w:rPr>
        <w:fldChar w:fldCharType="separate"/>
      </w:r>
      <w:r w:rsidR="00211CB2" w:rsidRPr="00211CB2">
        <w:rPr>
          <w:b w:val="0"/>
          <w:noProof/>
        </w:rPr>
        <w:t>(Eleazer et al., 1997)</w:t>
      </w:r>
      <w:r w:rsidR="00AD7066" w:rsidRPr="001A4E16">
        <w:rPr>
          <w:b w:val="0"/>
        </w:rPr>
        <w:fldChar w:fldCharType="end"/>
      </w:r>
      <w:r w:rsidR="001838D9" w:rsidRPr="001A4E16">
        <w:rPr>
          <w:b w:val="0"/>
        </w:rPr>
        <w:t>, where waste</w:t>
      </w:r>
      <w:r w:rsidR="00B073F3" w:rsidRPr="001A4E16">
        <w:rPr>
          <w:b w:val="0"/>
        </w:rPr>
        <w:t xml:space="preserve"> paper yield 220</w:t>
      </w:r>
      <w:r w:rsidR="00AD7066" w:rsidRPr="001A4E16">
        <w:rPr>
          <w:b w:val="0"/>
        </w:rPr>
        <w:t xml:space="preserve"> mlCH</w:t>
      </w:r>
      <w:r w:rsidR="00AD7066" w:rsidRPr="00D33581">
        <w:rPr>
          <w:b w:val="0"/>
          <w:vertAlign w:val="subscript"/>
        </w:rPr>
        <w:t>4</w:t>
      </w:r>
      <w:r w:rsidR="00AD7066" w:rsidRPr="001A4E16">
        <w:rPr>
          <w:b w:val="0"/>
        </w:rPr>
        <w:t>/</w:t>
      </w:r>
      <w:r w:rsidR="00AD7066" w:rsidRPr="00453143">
        <w:rPr>
          <w:b w:val="0"/>
        </w:rPr>
        <w:t>gVS.</w:t>
      </w:r>
      <w:r w:rsidR="00453143" w:rsidRPr="00453143">
        <w:rPr>
          <w:b w:val="0"/>
        </w:rPr>
        <w:t xml:space="preserve"> </w:t>
      </w:r>
      <w:r w:rsidRPr="00453143">
        <w:rPr>
          <w:b w:val="0"/>
        </w:rPr>
        <w:t>A short beating time</w:t>
      </w:r>
      <w:r w:rsidR="002E03BA" w:rsidRPr="00453143">
        <w:rPr>
          <w:b w:val="0"/>
        </w:rPr>
        <w:t xml:space="preserve"> (30min)</w:t>
      </w:r>
      <w:r w:rsidRPr="00453143">
        <w:rPr>
          <w:b w:val="0"/>
        </w:rPr>
        <w:t xml:space="preserve"> </w:t>
      </w:r>
      <w:r w:rsidR="002E03BA" w:rsidRPr="00453143">
        <w:rPr>
          <w:b w:val="0"/>
        </w:rPr>
        <w:t xml:space="preserve">increases the methane production rate </w:t>
      </w:r>
      <w:r w:rsidR="00544360" w:rsidRPr="00453143">
        <w:rPr>
          <w:b w:val="0"/>
        </w:rPr>
        <w:t>however;</w:t>
      </w:r>
      <w:r w:rsidR="002E03BA" w:rsidRPr="00453143">
        <w:rPr>
          <w:b w:val="0"/>
        </w:rPr>
        <w:t xml:space="preserve"> the final methane yield is mu</w:t>
      </w:r>
      <w:r w:rsidR="00544360" w:rsidRPr="00453143">
        <w:rPr>
          <w:b w:val="0"/>
        </w:rPr>
        <w:t>ch lower compared to</w:t>
      </w:r>
      <w:r w:rsidR="002E03BA" w:rsidRPr="00453143">
        <w:rPr>
          <w:b w:val="0"/>
        </w:rPr>
        <w:t xml:space="preserve"> 60min </w:t>
      </w:r>
      <w:r w:rsidR="00544360" w:rsidRPr="00453143">
        <w:rPr>
          <w:b w:val="0"/>
        </w:rPr>
        <w:t xml:space="preserve">beating </w:t>
      </w:r>
      <w:r w:rsidR="002E03BA" w:rsidRPr="00453143">
        <w:rPr>
          <w:b w:val="0"/>
        </w:rPr>
        <w:t>pretreatment.</w:t>
      </w:r>
      <w:r w:rsidR="00D33581" w:rsidRPr="00453143">
        <w:rPr>
          <w:b w:val="0"/>
        </w:rPr>
        <w:t xml:space="preserve"> </w:t>
      </w:r>
      <w:r w:rsidR="00544360" w:rsidRPr="00453143">
        <w:rPr>
          <w:b w:val="0"/>
        </w:rPr>
        <w:t>The</w:t>
      </w:r>
      <w:r w:rsidR="00625C45" w:rsidRPr="00453143">
        <w:rPr>
          <w:b w:val="0"/>
        </w:rPr>
        <w:t xml:space="preserve"> pretreatment seems start to be effective after 60 min being that methane production for 60 min treatment is higher than for both untreated and 30 min treated paper.</w:t>
      </w:r>
    </w:p>
    <w:p w14:paraId="14FEC992" w14:textId="77777777" w:rsidR="00453143" w:rsidRPr="00453143" w:rsidRDefault="00453143" w:rsidP="00453143">
      <w:pPr>
        <w:rPr>
          <w:rFonts w:eastAsia="Arial Unicode MS"/>
        </w:rPr>
      </w:pPr>
    </w:p>
    <w:p w14:paraId="76E6D0FE" w14:textId="4F5B30A2" w:rsidR="00D81B60" w:rsidRPr="00D81B60" w:rsidRDefault="002B5322" w:rsidP="00D15AAB">
      <w:pPr>
        <w:pStyle w:val="Heading2"/>
        <w:spacing w:before="240" w:line="276" w:lineRule="auto"/>
        <w:rPr>
          <w:rFonts w:eastAsia="Arial Unicode MS" w:cs="Arial Unicode MS"/>
        </w:rPr>
      </w:pPr>
      <w:r w:rsidRPr="007A7C50">
        <w:rPr>
          <w:rFonts w:eastAsia="Arial Unicode MS" w:cs="Arial Unicode MS"/>
        </w:rPr>
        <w:lastRenderedPageBreak/>
        <w:t>Process</w:t>
      </w:r>
      <w:r w:rsidR="00F60BDE" w:rsidRPr="007A7C50">
        <w:rPr>
          <w:rFonts w:eastAsia="Arial Unicode MS" w:cs="Arial Unicode MS"/>
        </w:rPr>
        <w:t xml:space="preserve"> </w:t>
      </w:r>
      <w:r w:rsidR="006B1F52" w:rsidRPr="007A7C50">
        <w:rPr>
          <w:rFonts w:eastAsia="Arial Unicode MS" w:cs="Arial Unicode MS"/>
        </w:rPr>
        <w:t>modelling</w:t>
      </w:r>
    </w:p>
    <w:p w14:paraId="36B332C9" w14:textId="58D6BBC0" w:rsidR="00CC57DB" w:rsidRPr="00D33581" w:rsidRDefault="00D81B60" w:rsidP="00D81B60">
      <w:pPr>
        <w:pStyle w:val="BodyText"/>
        <w:spacing w:before="240" w:after="240" w:line="276" w:lineRule="auto"/>
        <w:jc w:val="left"/>
        <w:rPr>
          <w:rFonts w:eastAsia="Arial Unicode MS" w:cs="Arial Unicode MS"/>
          <w:szCs w:val="20"/>
        </w:rPr>
      </w:pPr>
      <w:r w:rsidRPr="00D81B60">
        <w:rPr>
          <w:rFonts w:eastAsia="Arial Unicode MS" w:cs="Arial Unicode MS"/>
          <w:szCs w:val="20"/>
        </w:rPr>
        <w:t xml:space="preserve">The </w:t>
      </w:r>
      <w:r w:rsidR="00342DE0">
        <w:rPr>
          <w:rFonts w:eastAsia="Arial Unicode MS" w:cs="Arial Unicode MS"/>
          <w:szCs w:val="20"/>
        </w:rPr>
        <w:t>experimental factors</w:t>
      </w:r>
      <w:r w:rsidRPr="00D81B60">
        <w:rPr>
          <w:rFonts w:eastAsia="Arial Unicode MS" w:cs="Arial Unicode MS"/>
          <w:szCs w:val="20"/>
        </w:rPr>
        <w:t xml:space="preserve">, </w:t>
      </w:r>
      <w:r w:rsidR="00342DE0" w:rsidRPr="00D81B60">
        <w:rPr>
          <w:rFonts w:eastAsia="Arial Unicode MS" w:cs="Arial Unicode MS"/>
          <w:szCs w:val="20"/>
        </w:rPr>
        <w:t xml:space="preserve">F/I </w:t>
      </w:r>
      <w:r w:rsidRPr="00D81B60">
        <w:rPr>
          <w:rFonts w:eastAsia="Arial Unicode MS" w:cs="Arial Unicode MS"/>
          <w:szCs w:val="20"/>
        </w:rPr>
        <w:t xml:space="preserve">and </w:t>
      </w:r>
      <w:r w:rsidR="00342DE0" w:rsidRPr="00D81B60">
        <w:rPr>
          <w:rFonts w:eastAsia="Arial Unicode MS" w:cs="Arial Unicode MS"/>
          <w:szCs w:val="20"/>
        </w:rPr>
        <w:t xml:space="preserve">BT </w:t>
      </w:r>
      <w:r w:rsidRPr="00D81B60">
        <w:rPr>
          <w:rFonts w:eastAsia="Arial Unicode MS" w:cs="Arial Unicode MS"/>
          <w:szCs w:val="20"/>
        </w:rPr>
        <w:t>were checked in three levels. Beating time varies between 0 and 60 minutes and ratio feedstock/inoculum varies bet</w:t>
      </w:r>
      <w:r w:rsidR="00722DF6">
        <w:rPr>
          <w:rFonts w:eastAsia="Arial Unicode MS" w:cs="Arial Unicode MS"/>
          <w:szCs w:val="20"/>
        </w:rPr>
        <w:t>ween 0.3 and 0.7.  The response was</w:t>
      </w:r>
      <w:r w:rsidRPr="00D81B60">
        <w:rPr>
          <w:rFonts w:eastAsia="Arial Unicode MS" w:cs="Arial Unicode MS"/>
          <w:szCs w:val="20"/>
        </w:rPr>
        <w:t xml:space="preserve"> the methane production given in ml pe</w:t>
      </w:r>
      <w:r w:rsidR="00722DF6">
        <w:rPr>
          <w:rFonts w:eastAsia="Arial Unicode MS" w:cs="Arial Unicode MS"/>
          <w:szCs w:val="20"/>
        </w:rPr>
        <w:t xml:space="preserve">r g of volatile solids (ml/gVS). </w:t>
      </w:r>
      <w:r w:rsidRPr="00D81B60">
        <w:rPr>
          <w:rFonts w:eastAsia="Arial Unicode MS" w:cs="Arial Unicode MS"/>
          <w:szCs w:val="20"/>
        </w:rPr>
        <w:t xml:space="preserve">Parameters and results are presented in Table 4. </w:t>
      </w:r>
    </w:p>
    <w:p w14:paraId="697A60DA" w14:textId="77777777" w:rsidR="00D81B60" w:rsidRPr="00D81B60" w:rsidRDefault="00D81B60" w:rsidP="00D81B60">
      <w:pPr>
        <w:pStyle w:val="Caption"/>
        <w:keepNext/>
        <w:rPr>
          <w:b w:val="0"/>
        </w:rPr>
      </w:pPr>
      <w:r w:rsidRPr="00D81B60">
        <w:t xml:space="preserve">Table </w:t>
      </w:r>
      <w:r w:rsidRPr="00D81B60">
        <w:fldChar w:fldCharType="begin"/>
      </w:r>
      <w:r w:rsidRPr="00D81B60">
        <w:instrText xml:space="preserve"> SEQ Table \* ARABIC </w:instrText>
      </w:r>
      <w:r w:rsidRPr="00D81B60">
        <w:fldChar w:fldCharType="separate"/>
      </w:r>
      <w:r w:rsidR="00211CB2">
        <w:rPr>
          <w:noProof/>
        </w:rPr>
        <w:t>4</w:t>
      </w:r>
      <w:r w:rsidRPr="00D81B60">
        <w:fldChar w:fldCharType="end"/>
      </w:r>
      <w:r w:rsidRPr="00D81B60">
        <w:t xml:space="preserve">. </w:t>
      </w:r>
      <w:r w:rsidRPr="00D81B60">
        <w:rPr>
          <w:b w:val="0"/>
        </w:rPr>
        <w:t>Experimental factors and response in arrangement for the CCD used in the present study</w:t>
      </w:r>
    </w:p>
    <w:tbl>
      <w:tblPr>
        <w:tblStyle w:val="TableGrid"/>
        <w:tblW w:w="776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1950"/>
        <w:gridCol w:w="1339"/>
        <w:gridCol w:w="2391"/>
        <w:gridCol w:w="15"/>
      </w:tblGrid>
      <w:tr w:rsidR="00453143" w:rsidRPr="00D81B60" w14:paraId="3C8E3188" w14:textId="77777777" w:rsidTr="00453143">
        <w:trPr>
          <w:gridAfter w:val="1"/>
          <w:wAfter w:w="15" w:type="dxa"/>
          <w:trHeight w:val="482"/>
          <w:jc w:val="center"/>
        </w:trPr>
        <w:tc>
          <w:tcPr>
            <w:tcW w:w="2073" w:type="dxa"/>
            <w:vMerge w:val="restart"/>
            <w:tcBorders>
              <w:top w:val="single" w:sz="4" w:space="0" w:color="auto"/>
              <w:bottom w:val="nil"/>
            </w:tcBorders>
            <w:vAlign w:val="center"/>
          </w:tcPr>
          <w:p w14:paraId="16E2845B" w14:textId="6983EBE9" w:rsidR="00453143" w:rsidRPr="00D81B60" w:rsidRDefault="00453143" w:rsidP="00ED3679">
            <w:pPr>
              <w:jc w:val="center"/>
              <w:rPr>
                <w:rFonts w:eastAsia="Arial Unicode MS" w:cs="Arial Unicode MS"/>
                <w:szCs w:val="20"/>
                <w:lang w:eastAsia="en-GB"/>
              </w:rPr>
            </w:pPr>
            <w:r>
              <w:rPr>
                <w:rFonts w:eastAsia="Arial Unicode MS" w:cs="Arial Unicode MS"/>
                <w:szCs w:val="20"/>
                <w:lang w:eastAsia="en-GB"/>
              </w:rPr>
              <w:t>Experiment n</w:t>
            </w:r>
            <w:r>
              <w:rPr>
                <w:rFonts w:eastAsia="Arial Unicode MS" w:cs="Arial Unicode MS" w:hint="eastAsia"/>
                <w:szCs w:val="20"/>
                <w:lang w:eastAsia="en-GB"/>
              </w:rPr>
              <w:t>º</w:t>
            </w:r>
          </w:p>
        </w:tc>
        <w:tc>
          <w:tcPr>
            <w:tcW w:w="3289" w:type="dxa"/>
            <w:gridSpan w:val="2"/>
            <w:tcBorders>
              <w:top w:val="single" w:sz="4" w:space="0" w:color="auto"/>
              <w:bottom w:val="single" w:sz="4" w:space="0" w:color="auto"/>
            </w:tcBorders>
            <w:vAlign w:val="center"/>
          </w:tcPr>
          <w:p w14:paraId="0AFC65E3" w14:textId="77777777" w:rsidR="00453143" w:rsidRPr="00D81B60" w:rsidRDefault="00453143" w:rsidP="00ED3679">
            <w:pPr>
              <w:jc w:val="center"/>
              <w:rPr>
                <w:rFonts w:eastAsia="Arial Unicode MS" w:cs="Arial Unicode MS"/>
                <w:szCs w:val="20"/>
                <w:lang w:eastAsia="en-GB"/>
              </w:rPr>
            </w:pPr>
            <w:r w:rsidRPr="00D81B60">
              <w:t>Experimental factors</w:t>
            </w:r>
          </w:p>
        </w:tc>
        <w:tc>
          <w:tcPr>
            <w:tcW w:w="2391" w:type="dxa"/>
            <w:tcBorders>
              <w:top w:val="single" w:sz="4" w:space="0" w:color="auto"/>
              <w:bottom w:val="single" w:sz="4" w:space="0" w:color="auto"/>
            </w:tcBorders>
            <w:vAlign w:val="center"/>
          </w:tcPr>
          <w:p w14:paraId="6576D4AB" w14:textId="77777777" w:rsidR="00453143" w:rsidRPr="00D81B60" w:rsidRDefault="00453143" w:rsidP="00ED3679">
            <w:pPr>
              <w:jc w:val="center"/>
            </w:pPr>
            <w:r w:rsidRPr="00D81B60">
              <w:t>Response</w:t>
            </w:r>
          </w:p>
        </w:tc>
      </w:tr>
      <w:tr w:rsidR="00453143" w:rsidRPr="00717994" w14:paraId="60F72A8D" w14:textId="77777777" w:rsidTr="00453143">
        <w:trPr>
          <w:trHeight w:val="405"/>
          <w:jc w:val="center"/>
        </w:trPr>
        <w:tc>
          <w:tcPr>
            <w:tcW w:w="2073" w:type="dxa"/>
            <w:vMerge/>
            <w:tcBorders>
              <w:top w:val="nil"/>
              <w:bottom w:val="single" w:sz="4" w:space="0" w:color="auto"/>
            </w:tcBorders>
            <w:vAlign w:val="center"/>
            <w:hideMark/>
          </w:tcPr>
          <w:p w14:paraId="360F1249" w14:textId="77777777" w:rsidR="00453143" w:rsidRPr="00D81B60" w:rsidRDefault="00453143" w:rsidP="00ED3679">
            <w:pPr>
              <w:jc w:val="center"/>
            </w:pPr>
          </w:p>
        </w:tc>
        <w:tc>
          <w:tcPr>
            <w:tcW w:w="1950" w:type="dxa"/>
            <w:tcBorders>
              <w:top w:val="nil"/>
              <w:bottom w:val="single" w:sz="4" w:space="0" w:color="auto"/>
            </w:tcBorders>
            <w:vAlign w:val="center"/>
            <w:hideMark/>
          </w:tcPr>
          <w:p w14:paraId="7B3D593A" w14:textId="77777777" w:rsidR="00453143" w:rsidRPr="00D81B60" w:rsidRDefault="00453143" w:rsidP="00ED3679">
            <w:pPr>
              <w:jc w:val="center"/>
            </w:pPr>
            <w:r w:rsidRPr="00D81B60">
              <w:rPr>
                <w:rFonts w:eastAsia="Arial Unicode MS" w:cs="Arial Unicode MS"/>
                <w:szCs w:val="20"/>
                <w:lang w:eastAsia="en-GB"/>
              </w:rPr>
              <w:t>Beating time (min)</w:t>
            </w:r>
          </w:p>
        </w:tc>
        <w:tc>
          <w:tcPr>
            <w:tcW w:w="1339" w:type="dxa"/>
            <w:tcBorders>
              <w:top w:val="nil"/>
              <w:bottom w:val="single" w:sz="4" w:space="0" w:color="auto"/>
            </w:tcBorders>
            <w:vAlign w:val="center"/>
            <w:hideMark/>
          </w:tcPr>
          <w:p w14:paraId="7B94F6AF" w14:textId="77777777" w:rsidR="00453143" w:rsidRPr="00D81B60" w:rsidRDefault="00453143" w:rsidP="00ED3679">
            <w:pPr>
              <w:jc w:val="center"/>
            </w:pPr>
            <w:r w:rsidRPr="00D81B60">
              <w:rPr>
                <w:rFonts w:eastAsia="Arial Unicode MS" w:cs="Arial Unicode MS"/>
                <w:szCs w:val="20"/>
                <w:lang w:eastAsia="en-GB"/>
              </w:rPr>
              <w:t>Ratio F/I</w:t>
            </w:r>
          </w:p>
        </w:tc>
        <w:tc>
          <w:tcPr>
            <w:tcW w:w="2406" w:type="dxa"/>
            <w:gridSpan w:val="2"/>
            <w:tcBorders>
              <w:top w:val="nil"/>
              <w:bottom w:val="single" w:sz="4" w:space="0" w:color="auto"/>
            </w:tcBorders>
            <w:vAlign w:val="center"/>
            <w:hideMark/>
          </w:tcPr>
          <w:p w14:paraId="1CC89814" w14:textId="77777777" w:rsidR="00453143" w:rsidRPr="00D81B60" w:rsidRDefault="00453143" w:rsidP="00ED3679">
            <w:pPr>
              <w:jc w:val="center"/>
            </w:pPr>
            <w:r w:rsidRPr="00D81B60">
              <w:t>Methane yield (ml/gVS)</w:t>
            </w:r>
          </w:p>
        </w:tc>
      </w:tr>
      <w:tr w:rsidR="00453143" w:rsidRPr="00717994" w14:paraId="403ACE95" w14:textId="77777777" w:rsidTr="00453143">
        <w:trPr>
          <w:trHeight w:val="300"/>
          <w:jc w:val="center"/>
        </w:trPr>
        <w:tc>
          <w:tcPr>
            <w:tcW w:w="2073" w:type="dxa"/>
            <w:tcBorders>
              <w:top w:val="single" w:sz="4" w:space="0" w:color="auto"/>
            </w:tcBorders>
            <w:hideMark/>
          </w:tcPr>
          <w:p w14:paraId="05285531" w14:textId="35B89D5D" w:rsidR="00453143" w:rsidRPr="00717994" w:rsidRDefault="00453143" w:rsidP="00ED3679">
            <w:pPr>
              <w:jc w:val="center"/>
              <w:rPr>
                <w:highlight w:val="yellow"/>
              </w:rPr>
            </w:pPr>
            <w:r w:rsidRPr="00C312C3">
              <w:t>1</w:t>
            </w:r>
          </w:p>
        </w:tc>
        <w:tc>
          <w:tcPr>
            <w:tcW w:w="1950" w:type="dxa"/>
            <w:tcBorders>
              <w:top w:val="single" w:sz="4" w:space="0" w:color="auto"/>
            </w:tcBorders>
            <w:hideMark/>
          </w:tcPr>
          <w:p w14:paraId="7758F6D7" w14:textId="07BAD685" w:rsidR="00453143" w:rsidRPr="00717994" w:rsidRDefault="00453143" w:rsidP="00ED3679">
            <w:pPr>
              <w:jc w:val="center"/>
              <w:rPr>
                <w:highlight w:val="yellow"/>
              </w:rPr>
            </w:pPr>
            <w:r w:rsidRPr="00C312C3">
              <w:t>0</w:t>
            </w:r>
          </w:p>
        </w:tc>
        <w:tc>
          <w:tcPr>
            <w:tcW w:w="1339" w:type="dxa"/>
            <w:tcBorders>
              <w:top w:val="single" w:sz="4" w:space="0" w:color="auto"/>
            </w:tcBorders>
            <w:hideMark/>
          </w:tcPr>
          <w:p w14:paraId="2B027F3B" w14:textId="7A90156C" w:rsidR="00453143" w:rsidRPr="00717994" w:rsidRDefault="00453143" w:rsidP="00ED3679">
            <w:pPr>
              <w:jc w:val="center"/>
              <w:rPr>
                <w:highlight w:val="yellow"/>
              </w:rPr>
            </w:pPr>
            <w:r w:rsidRPr="00C312C3">
              <w:t>0.3</w:t>
            </w:r>
          </w:p>
        </w:tc>
        <w:tc>
          <w:tcPr>
            <w:tcW w:w="2406" w:type="dxa"/>
            <w:gridSpan w:val="2"/>
            <w:tcBorders>
              <w:top w:val="single" w:sz="4" w:space="0" w:color="auto"/>
            </w:tcBorders>
            <w:hideMark/>
          </w:tcPr>
          <w:p w14:paraId="19D7CE48" w14:textId="076ABBB7" w:rsidR="00453143" w:rsidRPr="00817D69" w:rsidRDefault="00453143" w:rsidP="00ED3679">
            <w:pPr>
              <w:jc w:val="center"/>
            </w:pPr>
            <w:r>
              <w:t>210</w:t>
            </w:r>
          </w:p>
        </w:tc>
      </w:tr>
      <w:tr w:rsidR="00453143" w:rsidRPr="00717994" w14:paraId="7330849E" w14:textId="77777777" w:rsidTr="00453143">
        <w:trPr>
          <w:trHeight w:val="300"/>
          <w:jc w:val="center"/>
        </w:trPr>
        <w:tc>
          <w:tcPr>
            <w:tcW w:w="2073" w:type="dxa"/>
            <w:hideMark/>
          </w:tcPr>
          <w:p w14:paraId="2B1400BF" w14:textId="3B6FEEFC" w:rsidR="00453143" w:rsidRPr="00717994" w:rsidRDefault="00453143" w:rsidP="00ED3679">
            <w:pPr>
              <w:jc w:val="center"/>
              <w:rPr>
                <w:highlight w:val="yellow"/>
              </w:rPr>
            </w:pPr>
            <w:r w:rsidRPr="00C312C3">
              <w:t>2</w:t>
            </w:r>
          </w:p>
        </w:tc>
        <w:tc>
          <w:tcPr>
            <w:tcW w:w="1950" w:type="dxa"/>
            <w:hideMark/>
          </w:tcPr>
          <w:p w14:paraId="396D7854" w14:textId="61501885" w:rsidR="00453143" w:rsidRPr="00717994" w:rsidRDefault="00453143" w:rsidP="00ED3679">
            <w:pPr>
              <w:jc w:val="center"/>
              <w:rPr>
                <w:highlight w:val="yellow"/>
              </w:rPr>
            </w:pPr>
            <w:r w:rsidRPr="00C312C3">
              <w:t>0</w:t>
            </w:r>
          </w:p>
        </w:tc>
        <w:tc>
          <w:tcPr>
            <w:tcW w:w="1339" w:type="dxa"/>
            <w:hideMark/>
          </w:tcPr>
          <w:p w14:paraId="37ADF94B" w14:textId="48D58735" w:rsidR="00453143" w:rsidRPr="00717994" w:rsidRDefault="00453143" w:rsidP="00ED3679">
            <w:pPr>
              <w:jc w:val="center"/>
              <w:rPr>
                <w:highlight w:val="yellow"/>
              </w:rPr>
            </w:pPr>
            <w:r w:rsidRPr="00C312C3">
              <w:t>0.5</w:t>
            </w:r>
          </w:p>
        </w:tc>
        <w:tc>
          <w:tcPr>
            <w:tcW w:w="2406" w:type="dxa"/>
            <w:gridSpan w:val="2"/>
            <w:hideMark/>
          </w:tcPr>
          <w:p w14:paraId="284196BA" w14:textId="4B28AE99" w:rsidR="00453143" w:rsidRPr="00817D69" w:rsidRDefault="00453143" w:rsidP="00ED3679">
            <w:pPr>
              <w:jc w:val="center"/>
            </w:pPr>
            <w:r>
              <w:t>132</w:t>
            </w:r>
          </w:p>
        </w:tc>
      </w:tr>
      <w:tr w:rsidR="00453143" w:rsidRPr="00717994" w14:paraId="3DAAFFD4" w14:textId="77777777" w:rsidTr="00453143">
        <w:trPr>
          <w:trHeight w:val="300"/>
          <w:jc w:val="center"/>
        </w:trPr>
        <w:tc>
          <w:tcPr>
            <w:tcW w:w="2073" w:type="dxa"/>
            <w:hideMark/>
          </w:tcPr>
          <w:p w14:paraId="275CA4E6" w14:textId="73D5D360" w:rsidR="00453143" w:rsidRPr="00717994" w:rsidRDefault="00453143" w:rsidP="00ED3679">
            <w:pPr>
              <w:jc w:val="center"/>
              <w:rPr>
                <w:highlight w:val="yellow"/>
              </w:rPr>
            </w:pPr>
            <w:r w:rsidRPr="00C312C3">
              <w:t>3</w:t>
            </w:r>
          </w:p>
        </w:tc>
        <w:tc>
          <w:tcPr>
            <w:tcW w:w="1950" w:type="dxa"/>
            <w:hideMark/>
          </w:tcPr>
          <w:p w14:paraId="282EDD01" w14:textId="3F6D2950" w:rsidR="00453143" w:rsidRPr="00717994" w:rsidRDefault="00453143" w:rsidP="00ED3679">
            <w:pPr>
              <w:jc w:val="center"/>
              <w:rPr>
                <w:highlight w:val="yellow"/>
              </w:rPr>
            </w:pPr>
            <w:r w:rsidRPr="00C312C3">
              <w:t>0</w:t>
            </w:r>
          </w:p>
        </w:tc>
        <w:tc>
          <w:tcPr>
            <w:tcW w:w="1339" w:type="dxa"/>
            <w:hideMark/>
          </w:tcPr>
          <w:p w14:paraId="28E133D9" w14:textId="1B80BAC9" w:rsidR="00453143" w:rsidRPr="00717994" w:rsidRDefault="00453143" w:rsidP="00ED3679">
            <w:pPr>
              <w:jc w:val="center"/>
              <w:rPr>
                <w:highlight w:val="yellow"/>
              </w:rPr>
            </w:pPr>
            <w:r w:rsidRPr="00C312C3">
              <w:t>0.7</w:t>
            </w:r>
          </w:p>
        </w:tc>
        <w:tc>
          <w:tcPr>
            <w:tcW w:w="2406" w:type="dxa"/>
            <w:gridSpan w:val="2"/>
            <w:hideMark/>
          </w:tcPr>
          <w:p w14:paraId="628EE66B" w14:textId="1ED09DED" w:rsidR="00453143" w:rsidRPr="00817D69" w:rsidRDefault="00453143" w:rsidP="00ED3679">
            <w:pPr>
              <w:jc w:val="center"/>
            </w:pPr>
            <w:r>
              <w:t>107</w:t>
            </w:r>
          </w:p>
        </w:tc>
      </w:tr>
      <w:tr w:rsidR="00453143" w:rsidRPr="00717994" w14:paraId="1F91C7E0" w14:textId="77777777" w:rsidTr="00453143">
        <w:trPr>
          <w:trHeight w:val="300"/>
          <w:jc w:val="center"/>
        </w:trPr>
        <w:tc>
          <w:tcPr>
            <w:tcW w:w="2073" w:type="dxa"/>
            <w:hideMark/>
          </w:tcPr>
          <w:p w14:paraId="642539FC" w14:textId="72129441" w:rsidR="00453143" w:rsidRPr="00717994" w:rsidRDefault="00453143" w:rsidP="00ED3679">
            <w:pPr>
              <w:jc w:val="center"/>
              <w:rPr>
                <w:highlight w:val="yellow"/>
              </w:rPr>
            </w:pPr>
            <w:r w:rsidRPr="00C312C3">
              <w:t>4</w:t>
            </w:r>
          </w:p>
        </w:tc>
        <w:tc>
          <w:tcPr>
            <w:tcW w:w="1950" w:type="dxa"/>
            <w:hideMark/>
          </w:tcPr>
          <w:p w14:paraId="032E6DD0" w14:textId="03B09F33" w:rsidR="00453143" w:rsidRPr="00717994" w:rsidRDefault="00453143" w:rsidP="00ED3679">
            <w:pPr>
              <w:jc w:val="center"/>
              <w:rPr>
                <w:highlight w:val="yellow"/>
              </w:rPr>
            </w:pPr>
            <w:r w:rsidRPr="00C312C3">
              <w:t>30</w:t>
            </w:r>
          </w:p>
        </w:tc>
        <w:tc>
          <w:tcPr>
            <w:tcW w:w="1339" w:type="dxa"/>
            <w:hideMark/>
          </w:tcPr>
          <w:p w14:paraId="2737824E" w14:textId="5FD086B8" w:rsidR="00453143" w:rsidRPr="00717994" w:rsidRDefault="00453143" w:rsidP="00ED3679">
            <w:pPr>
              <w:jc w:val="center"/>
              <w:rPr>
                <w:highlight w:val="yellow"/>
              </w:rPr>
            </w:pPr>
            <w:r w:rsidRPr="00C312C3">
              <w:t>0.3</w:t>
            </w:r>
          </w:p>
        </w:tc>
        <w:tc>
          <w:tcPr>
            <w:tcW w:w="2406" w:type="dxa"/>
            <w:gridSpan w:val="2"/>
            <w:hideMark/>
          </w:tcPr>
          <w:p w14:paraId="178EB798" w14:textId="62B1006C" w:rsidR="00453143" w:rsidRPr="00817D69" w:rsidRDefault="00453143" w:rsidP="00ED3679">
            <w:pPr>
              <w:jc w:val="center"/>
            </w:pPr>
            <w:r>
              <w:t>199</w:t>
            </w:r>
          </w:p>
        </w:tc>
      </w:tr>
      <w:tr w:rsidR="00453143" w:rsidRPr="00717994" w14:paraId="61D4AE15" w14:textId="77777777" w:rsidTr="00453143">
        <w:trPr>
          <w:trHeight w:val="300"/>
          <w:jc w:val="center"/>
        </w:trPr>
        <w:tc>
          <w:tcPr>
            <w:tcW w:w="2073" w:type="dxa"/>
            <w:hideMark/>
          </w:tcPr>
          <w:p w14:paraId="36AD92D9" w14:textId="2011A8DB" w:rsidR="00453143" w:rsidRPr="00717994" w:rsidRDefault="00453143" w:rsidP="00ED3679">
            <w:pPr>
              <w:jc w:val="center"/>
              <w:rPr>
                <w:highlight w:val="yellow"/>
              </w:rPr>
            </w:pPr>
            <w:r w:rsidRPr="00C312C3">
              <w:t>5</w:t>
            </w:r>
          </w:p>
        </w:tc>
        <w:tc>
          <w:tcPr>
            <w:tcW w:w="1950" w:type="dxa"/>
            <w:hideMark/>
          </w:tcPr>
          <w:p w14:paraId="3BE76AB2" w14:textId="4C7F3554" w:rsidR="00453143" w:rsidRPr="00717994" w:rsidRDefault="00453143" w:rsidP="00ED3679">
            <w:pPr>
              <w:jc w:val="center"/>
              <w:rPr>
                <w:highlight w:val="yellow"/>
              </w:rPr>
            </w:pPr>
            <w:r w:rsidRPr="00C312C3">
              <w:t>30</w:t>
            </w:r>
          </w:p>
        </w:tc>
        <w:tc>
          <w:tcPr>
            <w:tcW w:w="1339" w:type="dxa"/>
            <w:hideMark/>
          </w:tcPr>
          <w:p w14:paraId="37F4FCAA" w14:textId="3E1C6BB0" w:rsidR="00453143" w:rsidRPr="00717994" w:rsidRDefault="00453143" w:rsidP="00ED3679">
            <w:pPr>
              <w:jc w:val="center"/>
              <w:rPr>
                <w:highlight w:val="yellow"/>
              </w:rPr>
            </w:pPr>
            <w:r w:rsidRPr="00C312C3">
              <w:t>0.5</w:t>
            </w:r>
          </w:p>
        </w:tc>
        <w:tc>
          <w:tcPr>
            <w:tcW w:w="2406" w:type="dxa"/>
            <w:gridSpan w:val="2"/>
            <w:hideMark/>
          </w:tcPr>
          <w:p w14:paraId="4C8DE2F8" w14:textId="12988ACD" w:rsidR="00453143" w:rsidRPr="00817D69" w:rsidRDefault="00453143" w:rsidP="00ED3679">
            <w:pPr>
              <w:jc w:val="center"/>
            </w:pPr>
            <w:r>
              <w:t>120</w:t>
            </w:r>
          </w:p>
        </w:tc>
      </w:tr>
      <w:tr w:rsidR="00453143" w:rsidRPr="00717994" w14:paraId="41BC2A50" w14:textId="77777777" w:rsidTr="00453143">
        <w:trPr>
          <w:trHeight w:val="300"/>
          <w:jc w:val="center"/>
        </w:trPr>
        <w:tc>
          <w:tcPr>
            <w:tcW w:w="2073" w:type="dxa"/>
            <w:hideMark/>
          </w:tcPr>
          <w:p w14:paraId="37273AB7" w14:textId="30FFDA75" w:rsidR="00453143" w:rsidRPr="00717994" w:rsidRDefault="00453143" w:rsidP="00ED3679">
            <w:pPr>
              <w:jc w:val="center"/>
              <w:rPr>
                <w:highlight w:val="yellow"/>
              </w:rPr>
            </w:pPr>
            <w:r w:rsidRPr="00C312C3">
              <w:t>6</w:t>
            </w:r>
          </w:p>
        </w:tc>
        <w:tc>
          <w:tcPr>
            <w:tcW w:w="1950" w:type="dxa"/>
            <w:hideMark/>
          </w:tcPr>
          <w:p w14:paraId="77044536" w14:textId="7733D74A" w:rsidR="00453143" w:rsidRPr="00717994" w:rsidRDefault="00453143" w:rsidP="00ED3679">
            <w:pPr>
              <w:jc w:val="center"/>
              <w:rPr>
                <w:highlight w:val="yellow"/>
              </w:rPr>
            </w:pPr>
            <w:r w:rsidRPr="00C312C3">
              <w:t>30</w:t>
            </w:r>
          </w:p>
        </w:tc>
        <w:tc>
          <w:tcPr>
            <w:tcW w:w="1339" w:type="dxa"/>
            <w:hideMark/>
          </w:tcPr>
          <w:p w14:paraId="79E01470" w14:textId="4D0263A8" w:rsidR="00453143" w:rsidRPr="00717994" w:rsidRDefault="00453143" w:rsidP="00ED3679">
            <w:pPr>
              <w:jc w:val="center"/>
              <w:rPr>
                <w:highlight w:val="yellow"/>
              </w:rPr>
            </w:pPr>
            <w:r w:rsidRPr="00C312C3">
              <w:t>0.5</w:t>
            </w:r>
          </w:p>
        </w:tc>
        <w:tc>
          <w:tcPr>
            <w:tcW w:w="2406" w:type="dxa"/>
            <w:gridSpan w:val="2"/>
            <w:hideMark/>
          </w:tcPr>
          <w:p w14:paraId="247CF537" w14:textId="193392E1" w:rsidR="00453143" w:rsidRPr="00817D69" w:rsidRDefault="00453143" w:rsidP="00ED3679">
            <w:pPr>
              <w:jc w:val="center"/>
            </w:pPr>
            <w:r>
              <w:t>120</w:t>
            </w:r>
          </w:p>
        </w:tc>
      </w:tr>
      <w:tr w:rsidR="00453143" w:rsidRPr="00717994" w14:paraId="217EAE84" w14:textId="77777777" w:rsidTr="00453143">
        <w:trPr>
          <w:trHeight w:val="300"/>
          <w:jc w:val="center"/>
        </w:trPr>
        <w:tc>
          <w:tcPr>
            <w:tcW w:w="2073" w:type="dxa"/>
            <w:hideMark/>
          </w:tcPr>
          <w:p w14:paraId="6AB005DE" w14:textId="24B67558" w:rsidR="00453143" w:rsidRPr="00717994" w:rsidRDefault="00453143" w:rsidP="00ED3679">
            <w:pPr>
              <w:jc w:val="center"/>
              <w:rPr>
                <w:highlight w:val="yellow"/>
              </w:rPr>
            </w:pPr>
            <w:r w:rsidRPr="00C312C3">
              <w:t>7</w:t>
            </w:r>
          </w:p>
        </w:tc>
        <w:tc>
          <w:tcPr>
            <w:tcW w:w="1950" w:type="dxa"/>
            <w:hideMark/>
          </w:tcPr>
          <w:p w14:paraId="7DDE086F" w14:textId="213E5408" w:rsidR="00453143" w:rsidRPr="00717994" w:rsidRDefault="00453143" w:rsidP="00ED3679">
            <w:pPr>
              <w:jc w:val="center"/>
              <w:rPr>
                <w:highlight w:val="yellow"/>
              </w:rPr>
            </w:pPr>
            <w:r w:rsidRPr="00C312C3">
              <w:t>30</w:t>
            </w:r>
          </w:p>
        </w:tc>
        <w:tc>
          <w:tcPr>
            <w:tcW w:w="1339" w:type="dxa"/>
            <w:hideMark/>
          </w:tcPr>
          <w:p w14:paraId="49F69504" w14:textId="4C64DF10" w:rsidR="00453143" w:rsidRPr="00717994" w:rsidRDefault="00453143" w:rsidP="00ED3679">
            <w:pPr>
              <w:jc w:val="center"/>
              <w:rPr>
                <w:highlight w:val="yellow"/>
              </w:rPr>
            </w:pPr>
            <w:r w:rsidRPr="00C312C3">
              <w:t>0.7</w:t>
            </w:r>
          </w:p>
        </w:tc>
        <w:tc>
          <w:tcPr>
            <w:tcW w:w="2406" w:type="dxa"/>
            <w:gridSpan w:val="2"/>
            <w:hideMark/>
          </w:tcPr>
          <w:p w14:paraId="13BF9CB0" w14:textId="32FD5284" w:rsidR="00453143" w:rsidRPr="00817D69" w:rsidRDefault="00453143" w:rsidP="00ED3679">
            <w:pPr>
              <w:jc w:val="center"/>
            </w:pPr>
            <w:r>
              <w:t>112</w:t>
            </w:r>
          </w:p>
        </w:tc>
      </w:tr>
      <w:tr w:rsidR="00453143" w:rsidRPr="00717994" w14:paraId="4A5DD8F3" w14:textId="77777777" w:rsidTr="00453143">
        <w:trPr>
          <w:trHeight w:val="300"/>
          <w:jc w:val="center"/>
        </w:trPr>
        <w:tc>
          <w:tcPr>
            <w:tcW w:w="2073" w:type="dxa"/>
            <w:hideMark/>
          </w:tcPr>
          <w:p w14:paraId="13F9CFC7" w14:textId="4E359789" w:rsidR="00453143" w:rsidRPr="00717994" w:rsidRDefault="00453143" w:rsidP="00ED3679">
            <w:pPr>
              <w:jc w:val="center"/>
              <w:rPr>
                <w:highlight w:val="yellow"/>
              </w:rPr>
            </w:pPr>
            <w:r w:rsidRPr="00C312C3">
              <w:t>8</w:t>
            </w:r>
          </w:p>
        </w:tc>
        <w:tc>
          <w:tcPr>
            <w:tcW w:w="1950" w:type="dxa"/>
            <w:hideMark/>
          </w:tcPr>
          <w:p w14:paraId="71A4C641" w14:textId="0B6447EB" w:rsidR="00453143" w:rsidRPr="00717994" w:rsidRDefault="00453143" w:rsidP="00ED3679">
            <w:pPr>
              <w:jc w:val="center"/>
              <w:rPr>
                <w:highlight w:val="yellow"/>
              </w:rPr>
            </w:pPr>
            <w:r w:rsidRPr="00C312C3">
              <w:t>60</w:t>
            </w:r>
          </w:p>
        </w:tc>
        <w:tc>
          <w:tcPr>
            <w:tcW w:w="1339" w:type="dxa"/>
            <w:hideMark/>
          </w:tcPr>
          <w:p w14:paraId="595697F5" w14:textId="0B1C1BA5" w:rsidR="00453143" w:rsidRPr="00717994" w:rsidRDefault="00453143" w:rsidP="00ED3679">
            <w:pPr>
              <w:jc w:val="center"/>
              <w:rPr>
                <w:highlight w:val="yellow"/>
              </w:rPr>
            </w:pPr>
            <w:r w:rsidRPr="00C312C3">
              <w:t>0.3</w:t>
            </w:r>
          </w:p>
        </w:tc>
        <w:tc>
          <w:tcPr>
            <w:tcW w:w="2406" w:type="dxa"/>
            <w:gridSpan w:val="2"/>
            <w:hideMark/>
          </w:tcPr>
          <w:p w14:paraId="6A1084DE" w14:textId="7C9A8229" w:rsidR="00453143" w:rsidRPr="00817D69" w:rsidRDefault="00453143" w:rsidP="00ED3679">
            <w:pPr>
              <w:jc w:val="center"/>
            </w:pPr>
            <w:r>
              <w:t>253</w:t>
            </w:r>
          </w:p>
        </w:tc>
      </w:tr>
      <w:tr w:rsidR="00453143" w:rsidRPr="00717994" w14:paraId="6CA8A7BE" w14:textId="77777777" w:rsidTr="00453143">
        <w:trPr>
          <w:trHeight w:val="300"/>
          <w:jc w:val="center"/>
        </w:trPr>
        <w:tc>
          <w:tcPr>
            <w:tcW w:w="2073" w:type="dxa"/>
            <w:hideMark/>
          </w:tcPr>
          <w:p w14:paraId="0D58BA8C" w14:textId="5E604DE4" w:rsidR="00453143" w:rsidRPr="00717994" w:rsidRDefault="00453143" w:rsidP="00ED3679">
            <w:pPr>
              <w:jc w:val="center"/>
              <w:rPr>
                <w:highlight w:val="yellow"/>
              </w:rPr>
            </w:pPr>
            <w:r w:rsidRPr="00C312C3">
              <w:t>9</w:t>
            </w:r>
          </w:p>
        </w:tc>
        <w:tc>
          <w:tcPr>
            <w:tcW w:w="1950" w:type="dxa"/>
            <w:hideMark/>
          </w:tcPr>
          <w:p w14:paraId="1FF93F4A" w14:textId="1EDA71AB" w:rsidR="00453143" w:rsidRPr="00717994" w:rsidRDefault="00453143" w:rsidP="00ED3679">
            <w:pPr>
              <w:jc w:val="center"/>
              <w:rPr>
                <w:highlight w:val="yellow"/>
              </w:rPr>
            </w:pPr>
            <w:r w:rsidRPr="00C312C3">
              <w:t>60</w:t>
            </w:r>
          </w:p>
        </w:tc>
        <w:tc>
          <w:tcPr>
            <w:tcW w:w="1339" w:type="dxa"/>
            <w:hideMark/>
          </w:tcPr>
          <w:p w14:paraId="37FDB6BA" w14:textId="7B14686B" w:rsidR="00453143" w:rsidRPr="00717994" w:rsidRDefault="00453143" w:rsidP="00ED3679">
            <w:pPr>
              <w:jc w:val="center"/>
              <w:rPr>
                <w:highlight w:val="yellow"/>
              </w:rPr>
            </w:pPr>
            <w:r w:rsidRPr="00C312C3">
              <w:t>0.5</w:t>
            </w:r>
          </w:p>
        </w:tc>
        <w:tc>
          <w:tcPr>
            <w:tcW w:w="2406" w:type="dxa"/>
            <w:gridSpan w:val="2"/>
            <w:hideMark/>
          </w:tcPr>
          <w:p w14:paraId="1B57C3EE" w14:textId="225E325A" w:rsidR="00453143" w:rsidRPr="00817D69" w:rsidRDefault="00453143" w:rsidP="00ED3679">
            <w:pPr>
              <w:jc w:val="center"/>
            </w:pPr>
            <w:r>
              <w:t>215</w:t>
            </w:r>
          </w:p>
        </w:tc>
      </w:tr>
      <w:tr w:rsidR="00453143" w:rsidRPr="00717994" w14:paraId="1A317207" w14:textId="77777777" w:rsidTr="00453143">
        <w:trPr>
          <w:trHeight w:val="300"/>
          <w:jc w:val="center"/>
        </w:trPr>
        <w:tc>
          <w:tcPr>
            <w:tcW w:w="2073" w:type="dxa"/>
            <w:hideMark/>
          </w:tcPr>
          <w:p w14:paraId="1D3803EF" w14:textId="5C03F8DF" w:rsidR="00453143" w:rsidRPr="00717994" w:rsidRDefault="00453143" w:rsidP="00ED3679">
            <w:pPr>
              <w:jc w:val="center"/>
              <w:rPr>
                <w:highlight w:val="yellow"/>
              </w:rPr>
            </w:pPr>
            <w:r w:rsidRPr="00C312C3">
              <w:t>10</w:t>
            </w:r>
          </w:p>
        </w:tc>
        <w:tc>
          <w:tcPr>
            <w:tcW w:w="1950" w:type="dxa"/>
            <w:hideMark/>
          </w:tcPr>
          <w:p w14:paraId="08FBAE7C" w14:textId="0DB18FBA" w:rsidR="00453143" w:rsidRPr="00717994" w:rsidRDefault="00453143" w:rsidP="00ED3679">
            <w:pPr>
              <w:jc w:val="center"/>
              <w:rPr>
                <w:highlight w:val="yellow"/>
              </w:rPr>
            </w:pPr>
            <w:r w:rsidRPr="00C312C3">
              <w:t>60</w:t>
            </w:r>
          </w:p>
        </w:tc>
        <w:tc>
          <w:tcPr>
            <w:tcW w:w="1339" w:type="dxa"/>
            <w:hideMark/>
          </w:tcPr>
          <w:p w14:paraId="3A61898A" w14:textId="04C5C11E" w:rsidR="00453143" w:rsidRPr="00717994" w:rsidRDefault="00453143" w:rsidP="00ED3679">
            <w:pPr>
              <w:jc w:val="center"/>
              <w:rPr>
                <w:highlight w:val="yellow"/>
              </w:rPr>
            </w:pPr>
            <w:r w:rsidRPr="00C312C3">
              <w:t>0.7</w:t>
            </w:r>
          </w:p>
        </w:tc>
        <w:tc>
          <w:tcPr>
            <w:tcW w:w="2406" w:type="dxa"/>
            <w:gridSpan w:val="2"/>
            <w:hideMark/>
          </w:tcPr>
          <w:p w14:paraId="4AE63957" w14:textId="25E89339" w:rsidR="00453143" w:rsidRPr="00817D69" w:rsidRDefault="00453143" w:rsidP="00ED3679">
            <w:pPr>
              <w:jc w:val="center"/>
            </w:pPr>
            <w:r>
              <w:t>175</w:t>
            </w:r>
          </w:p>
        </w:tc>
      </w:tr>
    </w:tbl>
    <w:p w14:paraId="6FE097FE" w14:textId="205CE852" w:rsidR="00453143" w:rsidRDefault="00AF76DE" w:rsidP="00453143">
      <w:pPr>
        <w:pStyle w:val="BodyText"/>
        <w:spacing w:before="240" w:line="276" w:lineRule="auto"/>
        <w:rPr>
          <w:rFonts w:eastAsia="Arial Unicode MS" w:cs="Arial Unicode MS"/>
          <w:szCs w:val="20"/>
        </w:rPr>
      </w:pPr>
      <w:r w:rsidRPr="00B02D55">
        <w:rPr>
          <w:rFonts w:eastAsia="Arial Unicode MS" w:cs="Arial Unicode MS"/>
          <w:szCs w:val="20"/>
        </w:rPr>
        <w:t xml:space="preserve">For the optimization through the RSM of the methane yield, </w:t>
      </w:r>
      <w:r w:rsidRPr="00D864F3">
        <w:rPr>
          <w:rFonts w:eastAsia="Arial Unicode MS" w:cs="Arial Unicode MS"/>
          <w:szCs w:val="20"/>
        </w:rPr>
        <w:t>the m</w:t>
      </w:r>
      <w:r>
        <w:rPr>
          <w:rFonts w:eastAsia="Arial Unicode MS" w:cs="Arial Unicode MS"/>
          <w:szCs w:val="20"/>
        </w:rPr>
        <w:t xml:space="preserve">odel F-value of 36.43 </w:t>
      </w:r>
      <w:r w:rsidRPr="00D864F3">
        <w:rPr>
          <w:rFonts w:eastAsia="Arial Unicode MS" w:cs="Arial Unicode MS"/>
          <w:szCs w:val="20"/>
        </w:rPr>
        <w:t>implies the model is significant</w:t>
      </w:r>
      <w:r w:rsidRPr="00D864F3">
        <w:rPr>
          <w:rFonts w:eastAsia="Arial Unicode MS"/>
          <w:color w:val="000000"/>
        </w:rPr>
        <w:t xml:space="preserve">. </w:t>
      </w:r>
      <w:r w:rsidRPr="00D864F3">
        <w:rPr>
          <w:rFonts w:eastAsia="Arial Unicode MS"/>
        </w:rPr>
        <w:t>The model terms of R</w:t>
      </w:r>
      <w:r w:rsidRPr="00D864F3">
        <w:rPr>
          <w:rFonts w:eastAsia="Arial Unicode MS"/>
          <w:vertAlign w:val="superscript"/>
        </w:rPr>
        <w:t xml:space="preserve">2 </w:t>
      </w:r>
      <w:r w:rsidRPr="00D864F3">
        <w:rPr>
          <w:rFonts w:eastAsia="Arial Unicode MS"/>
        </w:rPr>
        <w:t>= 0.9785, adjusted-R</w:t>
      </w:r>
      <w:r w:rsidRPr="00D864F3">
        <w:rPr>
          <w:rFonts w:eastAsia="Arial Unicode MS"/>
          <w:vertAlign w:val="superscript"/>
        </w:rPr>
        <w:t xml:space="preserve">2 </w:t>
      </w:r>
      <w:r w:rsidRPr="00D864F3">
        <w:rPr>
          <w:rFonts w:eastAsia="Arial Unicode MS"/>
        </w:rPr>
        <w:t>= 0.9517, predicted-R</w:t>
      </w:r>
      <w:r w:rsidRPr="00D864F3">
        <w:rPr>
          <w:rFonts w:eastAsia="Arial Unicode MS"/>
          <w:vertAlign w:val="superscript"/>
        </w:rPr>
        <w:t xml:space="preserve">2 </w:t>
      </w:r>
      <w:r w:rsidRPr="00D864F3">
        <w:rPr>
          <w:rFonts w:eastAsia="Arial Unicode MS"/>
        </w:rPr>
        <w:t xml:space="preserve">= 0.8127, all these values are very close to 1 and so indicate the adopted model is adequate. </w:t>
      </w:r>
      <w:r w:rsidRPr="0012383A">
        <w:rPr>
          <w:rFonts w:eastAsia="Arial Unicode MS" w:cs="Arial Unicode MS"/>
          <w:szCs w:val="20"/>
        </w:rPr>
        <w:t xml:space="preserve">The final mathematical model associated to the response </w:t>
      </w:r>
      <w:r w:rsidR="00B02D55" w:rsidRPr="0012383A">
        <w:rPr>
          <w:rFonts w:eastAsia="Arial Unicode MS" w:cs="Arial Unicode MS"/>
          <w:szCs w:val="20"/>
        </w:rPr>
        <w:t xml:space="preserve">in terms of </w:t>
      </w:r>
      <w:r w:rsidRPr="0012383A">
        <w:rPr>
          <w:rFonts w:eastAsia="Arial Unicode MS" w:cs="Arial Unicode MS"/>
          <w:szCs w:val="20"/>
        </w:rPr>
        <w:t>actual factors</w:t>
      </w:r>
      <w:r w:rsidR="00B02D55" w:rsidRPr="0012383A">
        <w:rPr>
          <w:rFonts w:eastAsia="Arial Unicode MS" w:cs="Arial Unicode MS"/>
          <w:szCs w:val="20"/>
        </w:rPr>
        <w:t xml:space="preserve"> in</w:t>
      </w:r>
      <w:r w:rsidRPr="0012383A">
        <w:rPr>
          <w:rFonts w:eastAsia="Arial Unicode MS" w:cs="Arial Unicode MS"/>
          <w:szCs w:val="20"/>
        </w:rPr>
        <w:t xml:space="preserve"> </w:t>
      </w:r>
      <w:r w:rsidR="00CC57DB">
        <w:rPr>
          <w:rFonts w:eastAsia="Arial Unicode MS" w:cs="Arial Unicode MS"/>
          <w:szCs w:val="20"/>
        </w:rPr>
        <w:t xml:space="preserve">Equation </w:t>
      </w:r>
      <w:r w:rsidR="00493364">
        <w:rPr>
          <w:rFonts w:eastAsia="Arial Unicode MS" w:cs="Arial Unicode MS"/>
          <w:szCs w:val="20"/>
        </w:rPr>
        <w:t>3</w:t>
      </w:r>
      <w:r w:rsidR="00F06507">
        <w:rPr>
          <w:rFonts w:eastAsia="Arial Unicode MS" w:cs="Arial Unicode MS"/>
          <w:szCs w:val="20"/>
        </w:rPr>
        <w:t xml:space="preserve"> and the ANOVA test is shown in Table 5.</w:t>
      </w:r>
      <w:r w:rsidR="009D56D2">
        <w:rPr>
          <w:rFonts w:eastAsia="Arial Unicode MS" w:cs="Arial Unicode MS"/>
          <w:color w:val="FF0000"/>
          <w:szCs w:val="20"/>
        </w:rPr>
        <w:t xml:space="preserve">                                    </w:t>
      </w:r>
    </w:p>
    <w:p w14:paraId="12E156C5" w14:textId="77777777" w:rsidR="00453143" w:rsidRDefault="00CD5BDF" w:rsidP="00453143">
      <w:pPr>
        <w:pStyle w:val="BodyText"/>
        <w:spacing w:before="240" w:line="276" w:lineRule="auto"/>
        <w:jc w:val="right"/>
      </w:pPr>
      <w:r w:rsidRPr="00590A70">
        <w:rPr>
          <w:rFonts w:eastAsia="Arial Unicode MS" w:cs="Arial Unicode MS"/>
          <w:color w:val="FF0000"/>
          <w:position w:val="-30"/>
          <w:szCs w:val="20"/>
        </w:rPr>
        <w:object w:dxaOrig="4660" w:dyaOrig="720" w14:anchorId="4752FDB9">
          <v:shape id="_x0000_i1027" type="#_x0000_t75" style="width:232.9pt;height:36.55pt" o:ole="">
            <v:imagedata r:id="rId17" o:title=""/>
          </v:shape>
          <o:OLEObject Type="Embed" ProgID="Equation.3" ShapeID="_x0000_i1027" DrawAspect="Content" ObjectID="_1571030683" r:id="rId18"/>
        </w:object>
      </w:r>
      <w:r w:rsidR="00CC57DB">
        <w:rPr>
          <w:rFonts w:eastAsia="Arial Unicode MS" w:cs="Arial Unicode MS"/>
          <w:color w:val="FF0000"/>
          <w:szCs w:val="20"/>
        </w:rPr>
        <w:t xml:space="preserve">                                </w:t>
      </w:r>
      <w:r w:rsidR="00CC57DB">
        <w:t>(</w:t>
      </w:r>
      <w:r w:rsidR="00CC57DB">
        <w:fldChar w:fldCharType="begin"/>
      </w:r>
      <w:r w:rsidR="00CC57DB" w:rsidRPr="00D33581">
        <w:instrText xml:space="preserve"> SEQ ( \* ARABIC </w:instrText>
      </w:r>
      <w:r w:rsidR="00CC57DB">
        <w:fldChar w:fldCharType="separate"/>
      </w:r>
      <w:r w:rsidR="00CF53CF">
        <w:rPr>
          <w:noProof/>
        </w:rPr>
        <w:t>3</w:t>
      </w:r>
      <w:r w:rsidR="00CC57DB">
        <w:fldChar w:fldCharType="end"/>
      </w:r>
      <w:r w:rsidR="00CC57DB">
        <w:t>)</w:t>
      </w:r>
    </w:p>
    <w:p w14:paraId="578CF842" w14:textId="54E92514" w:rsidR="00453143" w:rsidRDefault="009D56D2" w:rsidP="00453143">
      <w:pPr>
        <w:pStyle w:val="BodyText"/>
        <w:spacing w:before="240" w:line="276" w:lineRule="auto"/>
        <w:jc w:val="right"/>
        <w:rPr>
          <w:rFonts w:eastAsia="Arial Unicode MS" w:cs="Arial Unicode MS"/>
          <w:szCs w:val="20"/>
        </w:rPr>
      </w:pPr>
      <w:r>
        <w:rPr>
          <w:rFonts w:eastAsia="Arial Unicode MS" w:cs="Arial Unicode MS"/>
          <w:color w:val="FF0000"/>
          <w:szCs w:val="20"/>
        </w:rPr>
        <w:t xml:space="preserve"> </w:t>
      </w:r>
    </w:p>
    <w:p w14:paraId="5689357F" w14:textId="77777777" w:rsidR="00453143" w:rsidRDefault="00453143" w:rsidP="00453143">
      <w:pPr>
        <w:pStyle w:val="BodyText"/>
        <w:spacing w:before="240" w:line="276" w:lineRule="auto"/>
        <w:jc w:val="right"/>
        <w:rPr>
          <w:rFonts w:eastAsia="Arial Unicode MS" w:cs="Arial Unicode MS"/>
          <w:szCs w:val="20"/>
        </w:rPr>
      </w:pPr>
    </w:p>
    <w:p w14:paraId="25006C0F" w14:textId="77777777" w:rsidR="00453143" w:rsidRPr="00453143" w:rsidRDefault="00453143" w:rsidP="00453143">
      <w:pPr>
        <w:pStyle w:val="BodyText"/>
        <w:spacing w:before="240" w:line="276" w:lineRule="auto"/>
        <w:jc w:val="right"/>
        <w:rPr>
          <w:rFonts w:eastAsia="Arial Unicode MS" w:cs="Arial Unicode MS"/>
          <w:szCs w:val="20"/>
        </w:rPr>
      </w:pPr>
    </w:p>
    <w:p w14:paraId="290E5B4C" w14:textId="50A66176" w:rsidR="00B808E2" w:rsidRPr="00453143" w:rsidRDefault="00B808E2" w:rsidP="00453143">
      <w:pPr>
        <w:pStyle w:val="BodyText"/>
        <w:keepNext/>
        <w:spacing w:before="240" w:after="240" w:line="276" w:lineRule="auto"/>
        <w:jc w:val="center"/>
      </w:pPr>
      <w:r w:rsidRPr="00453143">
        <w:rPr>
          <w:b/>
        </w:rPr>
        <w:lastRenderedPageBreak/>
        <w:t xml:space="preserve">Table </w:t>
      </w:r>
      <w:r w:rsidRPr="00453143">
        <w:rPr>
          <w:b/>
        </w:rPr>
        <w:fldChar w:fldCharType="begin"/>
      </w:r>
      <w:r w:rsidRPr="00453143">
        <w:rPr>
          <w:b/>
        </w:rPr>
        <w:instrText xml:space="preserve"> SEQ Table \* ARABIC </w:instrText>
      </w:r>
      <w:r w:rsidRPr="00453143">
        <w:rPr>
          <w:b/>
        </w:rPr>
        <w:fldChar w:fldCharType="separate"/>
      </w:r>
      <w:r w:rsidR="00211CB2" w:rsidRPr="00453143">
        <w:rPr>
          <w:b/>
          <w:noProof/>
        </w:rPr>
        <w:t>5</w:t>
      </w:r>
      <w:r w:rsidRPr="00453143">
        <w:rPr>
          <w:b/>
        </w:rPr>
        <w:fldChar w:fldCharType="end"/>
      </w:r>
      <w:r w:rsidRPr="00453143">
        <w:t>. ANOVA test from response surface design for methane yield.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1651"/>
        <w:gridCol w:w="1417"/>
        <w:gridCol w:w="906"/>
        <w:gridCol w:w="1701"/>
      </w:tblGrid>
      <w:tr w:rsidR="00AF76DE" w:rsidRPr="00E85699" w14:paraId="56CDDA07" w14:textId="77777777" w:rsidTr="00ED3679">
        <w:trPr>
          <w:jc w:val="center"/>
        </w:trPr>
        <w:tc>
          <w:tcPr>
            <w:tcW w:w="0" w:type="auto"/>
            <w:tcBorders>
              <w:top w:val="single" w:sz="4" w:space="0" w:color="auto"/>
              <w:bottom w:val="single" w:sz="4" w:space="0" w:color="auto"/>
            </w:tcBorders>
            <w:hideMark/>
          </w:tcPr>
          <w:p w14:paraId="04B30BD7" w14:textId="77777777" w:rsidR="00AF76DE" w:rsidRPr="00E85699" w:rsidRDefault="00AF76DE" w:rsidP="00ED3679">
            <w:pPr>
              <w:spacing w:line="276" w:lineRule="auto"/>
              <w:rPr>
                <w:rFonts w:eastAsia="Arial Unicode MS" w:cs="Arial Unicode MS"/>
                <w:bCs/>
                <w:szCs w:val="20"/>
              </w:rPr>
            </w:pPr>
            <w:r w:rsidRPr="00E85699">
              <w:rPr>
                <w:rFonts w:eastAsia="Arial Unicode MS" w:cs="Arial Unicode MS"/>
                <w:bCs/>
                <w:szCs w:val="20"/>
              </w:rPr>
              <w:t>Source</w:t>
            </w:r>
          </w:p>
        </w:tc>
        <w:tc>
          <w:tcPr>
            <w:tcW w:w="0" w:type="auto"/>
            <w:tcBorders>
              <w:top w:val="single" w:sz="4" w:space="0" w:color="auto"/>
              <w:bottom w:val="single" w:sz="4" w:space="0" w:color="auto"/>
            </w:tcBorders>
            <w:hideMark/>
          </w:tcPr>
          <w:p w14:paraId="63D9F19F" w14:textId="77777777" w:rsidR="00AF76DE" w:rsidRPr="00E85699" w:rsidRDefault="00AF76DE" w:rsidP="00ED3679">
            <w:pPr>
              <w:spacing w:line="276" w:lineRule="auto"/>
              <w:jc w:val="center"/>
              <w:rPr>
                <w:rFonts w:eastAsia="Arial Unicode MS" w:cs="Arial Unicode MS"/>
                <w:bCs/>
                <w:szCs w:val="20"/>
              </w:rPr>
            </w:pPr>
            <w:r w:rsidRPr="00E85699">
              <w:rPr>
                <w:rFonts w:eastAsia="Arial Unicode MS" w:cs="Arial Unicode MS"/>
                <w:bCs/>
                <w:szCs w:val="20"/>
              </w:rPr>
              <w:t>Sum of Squares</w:t>
            </w:r>
          </w:p>
        </w:tc>
        <w:tc>
          <w:tcPr>
            <w:tcW w:w="0" w:type="auto"/>
            <w:tcBorders>
              <w:top w:val="single" w:sz="4" w:space="0" w:color="auto"/>
              <w:bottom w:val="single" w:sz="4" w:space="0" w:color="auto"/>
            </w:tcBorders>
            <w:hideMark/>
          </w:tcPr>
          <w:p w14:paraId="3B175BA5" w14:textId="77777777" w:rsidR="00AF76DE" w:rsidRPr="00E85699" w:rsidRDefault="00AF76DE" w:rsidP="00ED3679">
            <w:pPr>
              <w:spacing w:line="276" w:lineRule="auto"/>
              <w:jc w:val="center"/>
              <w:rPr>
                <w:rFonts w:eastAsia="Arial Unicode MS" w:cs="Arial Unicode MS"/>
                <w:bCs/>
                <w:szCs w:val="20"/>
              </w:rPr>
            </w:pPr>
            <w:r w:rsidRPr="00E85699">
              <w:rPr>
                <w:rFonts w:eastAsia="Arial Unicode MS" w:cs="Arial Unicode MS"/>
                <w:bCs/>
                <w:szCs w:val="20"/>
              </w:rPr>
              <w:t>Mean Square</w:t>
            </w:r>
          </w:p>
        </w:tc>
        <w:tc>
          <w:tcPr>
            <w:tcW w:w="0" w:type="auto"/>
            <w:tcBorders>
              <w:top w:val="single" w:sz="4" w:space="0" w:color="auto"/>
              <w:bottom w:val="single" w:sz="4" w:space="0" w:color="auto"/>
            </w:tcBorders>
            <w:hideMark/>
          </w:tcPr>
          <w:p w14:paraId="0A239E97" w14:textId="77777777" w:rsidR="00AF76DE" w:rsidRPr="00E85699" w:rsidRDefault="00AF76DE" w:rsidP="00ED3679">
            <w:pPr>
              <w:spacing w:line="276" w:lineRule="auto"/>
              <w:jc w:val="center"/>
              <w:rPr>
                <w:rFonts w:eastAsia="Arial Unicode MS" w:cs="Arial Unicode MS"/>
                <w:bCs/>
                <w:szCs w:val="20"/>
              </w:rPr>
            </w:pPr>
            <w:r w:rsidRPr="00E85699">
              <w:rPr>
                <w:rFonts w:eastAsia="Arial Unicode MS" w:cs="Arial Unicode MS"/>
                <w:bCs/>
                <w:szCs w:val="20"/>
              </w:rPr>
              <w:t>F Value</w:t>
            </w:r>
          </w:p>
        </w:tc>
        <w:tc>
          <w:tcPr>
            <w:tcW w:w="0" w:type="auto"/>
            <w:tcBorders>
              <w:top w:val="single" w:sz="4" w:space="0" w:color="auto"/>
              <w:bottom w:val="single" w:sz="4" w:space="0" w:color="auto"/>
            </w:tcBorders>
            <w:hideMark/>
          </w:tcPr>
          <w:p w14:paraId="1387AB93" w14:textId="77777777" w:rsidR="00AF76DE" w:rsidRPr="00E85699" w:rsidRDefault="00AF76DE" w:rsidP="00ED3679">
            <w:pPr>
              <w:spacing w:line="276" w:lineRule="auto"/>
              <w:jc w:val="center"/>
              <w:rPr>
                <w:rFonts w:eastAsia="Arial Unicode MS" w:cs="Arial Unicode MS"/>
                <w:bCs/>
                <w:szCs w:val="20"/>
              </w:rPr>
            </w:pPr>
            <w:r w:rsidRPr="00E85699">
              <w:rPr>
                <w:rFonts w:eastAsia="Arial Unicode MS" w:cs="Arial Unicode MS"/>
                <w:bCs/>
                <w:szCs w:val="20"/>
              </w:rPr>
              <w:t>p-value Prob &gt; F</w:t>
            </w:r>
          </w:p>
        </w:tc>
      </w:tr>
      <w:tr w:rsidR="00AF76DE" w:rsidRPr="00E85699" w14:paraId="5B02AB07" w14:textId="77777777" w:rsidTr="00ED3679">
        <w:trPr>
          <w:jc w:val="center"/>
        </w:trPr>
        <w:tc>
          <w:tcPr>
            <w:tcW w:w="0" w:type="auto"/>
            <w:tcBorders>
              <w:top w:val="single" w:sz="4" w:space="0" w:color="auto"/>
            </w:tcBorders>
            <w:hideMark/>
          </w:tcPr>
          <w:p w14:paraId="32321E27" w14:textId="77777777" w:rsidR="00AF76DE" w:rsidRPr="00E85699" w:rsidRDefault="00AF76DE" w:rsidP="00ED3679">
            <w:pPr>
              <w:spacing w:line="276" w:lineRule="auto"/>
              <w:rPr>
                <w:rFonts w:eastAsia="Arial Unicode MS" w:cs="Arial Unicode MS"/>
                <w:b/>
                <w:bCs/>
                <w:szCs w:val="20"/>
              </w:rPr>
            </w:pPr>
          </w:p>
        </w:tc>
        <w:tc>
          <w:tcPr>
            <w:tcW w:w="0" w:type="auto"/>
            <w:tcBorders>
              <w:top w:val="single" w:sz="4" w:space="0" w:color="auto"/>
            </w:tcBorders>
            <w:hideMark/>
          </w:tcPr>
          <w:p w14:paraId="47BB8F51" w14:textId="77777777" w:rsidR="00AF76DE" w:rsidRPr="00E85699" w:rsidRDefault="00AF76DE" w:rsidP="00ED3679">
            <w:pPr>
              <w:spacing w:line="276" w:lineRule="auto"/>
              <w:jc w:val="right"/>
              <w:rPr>
                <w:rFonts w:eastAsia="Arial Unicode MS" w:cs="Arial Unicode MS"/>
                <w:b/>
                <w:bCs/>
                <w:szCs w:val="20"/>
              </w:rPr>
            </w:pPr>
          </w:p>
        </w:tc>
        <w:tc>
          <w:tcPr>
            <w:tcW w:w="0" w:type="auto"/>
            <w:tcBorders>
              <w:top w:val="single" w:sz="4" w:space="0" w:color="auto"/>
            </w:tcBorders>
            <w:hideMark/>
          </w:tcPr>
          <w:p w14:paraId="0175E568" w14:textId="77777777" w:rsidR="00AF76DE" w:rsidRPr="00E85699" w:rsidRDefault="00AF76DE" w:rsidP="00ED3679">
            <w:pPr>
              <w:spacing w:line="276" w:lineRule="auto"/>
              <w:jc w:val="right"/>
              <w:rPr>
                <w:rFonts w:eastAsia="Arial Unicode MS" w:cs="Arial Unicode MS"/>
                <w:b/>
                <w:bCs/>
                <w:szCs w:val="20"/>
              </w:rPr>
            </w:pPr>
          </w:p>
        </w:tc>
        <w:tc>
          <w:tcPr>
            <w:tcW w:w="0" w:type="auto"/>
            <w:tcBorders>
              <w:top w:val="single" w:sz="4" w:space="0" w:color="auto"/>
            </w:tcBorders>
            <w:hideMark/>
          </w:tcPr>
          <w:p w14:paraId="22EE6521" w14:textId="77777777" w:rsidR="00AF76DE" w:rsidRPr="00E85699" w:rsidRDefault="00AF76DE" w:rsidP="00ED3679">
            <w:pPr>
              <w:spacing w:line="276" w:lineRule="auto"/>
              <w:jc w:val="right"/>
              <w:rPr>
                <w:rFonts w:eastAsia="Arial Unicode MS" w:cs="Arial Unicode MS"/>
                <w:b/>
                <w:bCs/>
                <w:szCs w:val="20"/>
              </w:rPr>
            </w:pPr>
          </w:p>
        </w:tc>
        <w:tc>
          <w:tcPr>
            <w:tcW w:w="0" w:type="auto"/>
            <w:tcBorders>
              <w:top w:val="single" w:sz="4" w:space="0" w:color="auto"/>
            </w:tcBorders>
            <w:hideMark/>
          </w:tcPr>
          <w:p w14:paraId="2EAA6C1F" w14:textId="77777777" w:rsidR="00AF76DE" w:rsidRPr="00E85699" w:rsidRDefault="00AF76DE" w:rsidP="00ED3679">
            <w:pPr>
              <w:spacing w:line="276" w:lineRule="auto"/>
              <w:jc w:val="right"/>
              <w:rPr>
                <w:rFonts w:eastAsia="Arial Unicode MS" w:cs="Arial Unicode MS"/>
                <w:b/>
                <w:bCs/>
                <w:szCs w:val="20"/>
              </w:rPr>
            </w:pPr>
          </w:p>
        </w:tc>
      </w:tr>
      <w:tr w:rsidR="00AF76DE" w:rsidRPr="00E85699" w14:paraId="160BD857" w14:textId="77777777" w:rsidTr="00ED3679">
        <w:trPr>
          <w:jc w:val="center"/>
        </w:trPr>
        <w:tc>
          <w:tcPr>
            <w:tcW w:w="0" w:type="auto"/>
            <w:hideMark/>
          </w:tcPr>
          <w:p w14:paraId="106811DC" w14:textId="77777777" w:rsidR="00AF76DE" w:rsidRPr="00E85699" w:rsidRDefault="00AF76DE" w:rsidP="00ED3679">
            <w:pPr>
              <w:spacing w:line="276" w:lineRule="auto"/>
              <w:rPr>
                <w:rFonts w:eastAsia="Arial Unicode MS" w:cs="Arial Unicode MS"/>
                <w:szCs w:val="20"/>
              </w:rPr>
            </w:pPr>
            <w:r w:rsidRPr="00E85699">
              <w:rPr>
                <w:rFonts w:eastAsia="Arial Unicode MS" w:cs="Arial Unicode MS"/>
                <w:szCs w:val="20"/>
              </w:rPr>
              <w:t>Model</w:t>
            </w:r>
          </w:p>
        </w:tc>
        <w:tc>
          <w:tcPr>
            <w:tcW w:w="0" w:type="auto"/>
            <w:vAlign w:val="center"/>
            <w:hideMark/>
          </w:tcPr>
          <w:p w14:paraId="0381ECC8" w14:textId="77777777" w:rsidR="00AF76DE" w:rsidRPr="00E85699" w:rsidRDefault="00AF76DE" w:rsidP="00ED3679">
            <w:pPr>
              <w:spacing w:line="276" w:lineRule="auto"/>
              <w:jc w:val="center"/>
              <w:rPr>
                <w:rFonts w:eastAsia="Arial Unicode MS" w:cs="Arial Unicode MS"/>
                <w:szCs w:val="20"/>
              </w:rPr>
            </w:pPr>
            <w:r w:rsidRPr="00E85699">
              <w:rPr>
                <w:color w:val="000000"/>
              </w:rPr>
              <w:t>24086.82</w:t>
            </w:r>
          </w:p>
        </w:tc>
        <w:tc>
          <w:tcPr>
            <w:tcW w:w="0" w:type="auto"/>
            <w:vAlign w:val="center"/>
            <w:hideMark/>
          </w:tcPr>
          <w:p w14:paraId="2A656F8D" w14:textId="77777777" w:rsidR="00AF76DE" w:rsidRPr="00E85699" w:rsidRDefault="00AF76DE" w:rsidP="00ED3679">
            <w:pPr>
              <w:spacing w:line="276" w:lineRule="auto"/>
              <w:jc w:val="center"/>
              <w:rPr>
                <w:rFonts w:eastAsia="Arial Unicode MS" w:cs="Arial Unicode MS"/>
                <w:szCs w:val="20"/>
              </w:rPr>
            </w:pPr>
            <w:r w:rsidRPr="00E85699">
              <w:rPr>
                <w:color w:val="000000"/>
              </w:rPr>
              <w:t>4817.36</w:t>
            </w:r>
          </w:p>
        </w:tc>
        <w:tc>
          <w:tcPr>
            <w:tcW w:w="0" w:type="auto"/>
            <w:vAlign w:val="center"/>
            <w:hideMark/>
          </w:tcPr>
          <w:p w14:paraId="10754539" w14:textId="77777777" w:rsidR="00AF76DE" w:rsidRPr="00E85699" w:rsidRDefault="00AF76DE" w:rsidP="00ED3679">
            <w:pPr>
              <w:spacing w:line="276" w:lineRule="auto"/>
              <w:jc w:val="center"/>
              <w:rPr>
                <w:rFonts w:eastAsia="Arial Unicode MS" w:cs="Arial Unicode MS"/>
                <w:szCs w:val="20"/>
              </w:rPr>
            </w:pPr>
            <w:r w:rsidRPr="00E85699">
              <w:rPr>
                <w:color w:val="000000"/>
              </w:rPr>
              <w:t>36.43</w:t>
            </w:r>
          </w:p>
        </w:tc>
        <w:tc>
          <w:tcPr>
            <w:tcW w:w="0" w:type="auto"/>
            <w:vAlign w:val="center"/>
            <w:hideMark/>
          </w:tcPr>
          <w:p w14:paraId="7DED5CBE" w14:textId="77777777" w:rsidR="00AF76DE" w:rsidRPr="00E85699" w:rsidRDefault="00AF76DE" w:rsidP="00ED3679">
            <w:pPr>
              <w:spacing w:line="276" w:lineRule="auto"/>
              <w:jc w:val="center"/>
              <w:rPr>
                <w:rFonts w:eastAsia="Arial Unicode MS" w:cs="Arial Unicode MS"/>
                <w:szCs w:val="20"/>
              </w:rPr>
            </w:pPr>
            <w:r w:rsidRPr="00E85699">
              <w:rPr>
                <w:color w:val="000000"/>
              </w:rPr>
              <w:t>0.0020</w:t>
            </w:r>
          </w:p>
        </w:tc>
      </w:tr>
      <w:tr w:rsidR="00AF76DE" w:rsidRPr="00E85699" w14:paraId="511BFD03" w14:textId="77777777" w:rsidTr="00ED3679">
        <w:trPr>
          <w:jc w:val="center"/>
        </w:trPr>
        <w:tc>
          <w:tcPr>
            <w:tcW w:w="0" w:type="auto"/>
            <w:hideMark/>
          </w:tcPr>
          <w:p w14:paraId="5F774A0F" w14:textId="77777777" w:rsidR="00AF76DE" w:rsidRPr="00E85699" w:rsidRDefault="00AF76DE" w:rsidP="00ED3679">
            <w:pPr>
              <w:spacing w:line="276" w:lineRule="auto"/>
              <w:rPr>
                <w:rFonts w:eastAsia="Arial Unicode MS" w:cs="Arial Unicode MS"/>
                <w:iCs/>
                <w:szCs w:val="20"/>
              </w:rPr>
            </w:pPr>
            <w:r w:rsidRPr="00E85699">
              <w:rPr>
                <w:rFonts w:eastAsia="Arial Unicode MS" w:cs="Arial Unicode MS"/>
                <w:iCs/>
                <w:szCs w:val="20"/>
              </w:rPr>
              <w:t>A-Beating time</w:t>
            </w:r>
          </w:p>
        </w:tc>
        <w:tc>
          <w:tcPr>
            <w:tcW w:w="0" w:type="auto"/>
            <w:vAlign w:val="center"/>
            <w:hideMark/>
          </w:tcPr>
          <w:p w14:paraId="7E611416"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6248.03</w:t>
            </w:r>
          </w:p>
        </w:tc>
        <w:tc>
          <w:tcPr>
            <w:tcW w:w="0" w:type="auto"/>
            <w:vAlign w:val="center"/>
            <w:hideMark/>
          </w:tcPr>
          <w:p w14:paraId="6D4C8CBF"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6248.03</w:t>
            </w:r>
          </w:p>
        </w:tc>
        <w:tc>
          <w:tcPr>
            <w:tcW w:w="0" w:type="auto"/>
            <w:vAlign w:val="center"/>
            <w:hideMark/>
          </w:tcPr>
          <w:p w14:paraId="2CC065DC"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47.25</w:t>
            </w:r>
          </w:p>
        </w:tc>
        <w:tc>
          <w:tcPr>
            <w:tcW w:w="0" w:type="auto"/>
            <w:vAlign w:val="center"/>
            <w:hideMark/>
          </w:tcPr>
          <w:p w14:paraId="6C10871B"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0.0023</w:t>
            </w:r>
          </w:p>
        </w:tc>
      </w:tr>
      <w:tr w:rsidR="00AF76DE" w:rsidRPr="00E85699" w14:paraId="712480C4" w14:textId="77777777" w:rsidTr="00ED3679">
        <w:trPr>
          <w:jc w:val="center"/>
        </w:trPr>
        <w:tc>
          <w:tcPr>
            <w:tcW w:w="0" w:type="auto"/>
            <w:hideMark/>
          </w:tcPr>
          <w:p w14:paraId="39C62CA3" w14:textId="2263F99B" w:rsidR="00AF76DE" w:rsidRPr="00E85699" w:rsidRDefault="00AF76DE" w:rsidP="00ED3679">
            <w:pPr>
              <w:spacing w:line="276" w:lineRule="auto"/>
              <w:rPr>
                <w:rFonts w:eastAsia="Arial Unicode MS" w:cs="Arial Unicode MS"/>
                <w:iCs/>
                <w:szCs w:val="20"/>
              </w:rPr>
            </w:pPr>
            <w:r w:rsidRPr="00E85699">
              <w:rPr>
                <w:rFonts w:eastAsia="Arial Unicode MS" w:cs="Arial Unicode MS"/>
                <w:iCs/>
                <w:szCs w:val="20"/>
              </w:rPr>
              <w:t>B-</w:t>
            </w:r>
            <w:r w:rsidR="00643593">
              <w:rPr>
                <w:rFonts w:eastAsia="Arial Unicode MS" w:cs="Arial Unicode MS"/>
                <w:iCs/>
                <w:szCs w:val="20"/>
              </w:rPr>
              <w:t>F/I ratio</w:t>
            </w:r>
          </w:p>
        </w:tc>
        <w:tc>
          <w:tcPr>
            <w:tcW w:w="0" w:type="auto"/>
            <w:vAlign w:val="center"/>
            <w:hideMark/>
          </w:tcPr>
          <w:p w14:paraId="02AB4D2C"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11869.52</w:t>
            </w:r>
          </w:p>
        </w:tc>
        <w:tc>
          <w:tcPr>
            <w:tcW w:w="0" w:type="auto"/>
            <w:vAlign w:val="center"/>
            <w:hideMark/>
          </w:tcPr>
          <w:p w14:paraId="00BC504E"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11869.52</w:t>
            </w:r>
          </w:p>
        </w:tc>
        <w:tc>
          <w:tcPr>
            <w:tcW w:w="0" w:type="auto"/>
            <w:vAlign w:val="center"/>
            <w:hideMark/>
          </w:tcPr>
          <w:p w14:paraId="5361601B"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89.77</w:t>
            </w:r>
          </w:p>
        </w:tc>
        <w:tc>
          <w:tcPr>
            <w:tcW w:w="0" w:type="auto"/>
            <w:vAlign w:val="center"/>
            <w:hideMark/>
          </w:tcPr>
          <w:p w14:paraId="59B0DD3E"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0.0007</w:t>
            </w:r>
          </w:p>
        </w:tc>
      </w:tr>
      <w:tr w:rsidR="00AF76DE" w:rsidRPr="00E85699" w14:paraId="4B2D85B3" w14:textId="77777777" w:rsidTr="00ED3679">
        <w:trPr>
          <w:jc w:val="center"/>
        </w:trPr>
        <w:tc>
          <w:tcPr>
            <w:tcW w:w="0" w:type="auto"/>
            <w:hideMark/>
          </w:tcPr>
          <w:p w14:paraId="206CD8F7" w14:textId="77777777" w:rsidR="00AF76DE" w:rsidRPr="00E85699" w:rsidRDefault="00AF76DE" w:rsidP="00ED3679">
            <w:pPr>
              <w:spacing w:line="276" w:lineRule="auto"/>
              <w:rPr>
                <w:rFonts w:eastAsia="Arial Unicode MS" w:cs="Arial Unicode MS"/>
                <w:iCs/>
                <w:szCs w:val="20"/>
              </w:rPr>
            </w:pPr>
            <w:r w:rsidRPr="00E85699">
              <w:rPr>
                <w:rFonts w:eastAsia="Arial Unicode MS" w:cs="Arial Unicode MS"/>
                <w:iCs/>
                <w:szCs w:val="20"/>
              </w:rPr>
              <w:t>AB</w:t>
            </w:r>
          </w:p>
        </w:tc>
        <w:tc>
          <w:tcPr>
            <w:tcW w:w="0" w:type="auto"/>
            <w:vAlign w:val="center"/>
            <w:hideMark/>
          </w:tcPr>
          <w:p w14:paraId="0ACC35A7"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151.39</w:t>
            </w:r>
          </w:p>
        </w:tc>
        <w:tc>
          <w:tcPr>
            <w:tcW w:w="0" w:type="auto"/>
            <w:vAlign w:val="center"/>
            <w:hideMark/>
          </w:tcPr>
          <w:p w14:paraId="57330ACD"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151.39</w:t>
            </w:r>
          </w:p>
        </w:tc>
        <w:tc>
          <w:tcPr>
            <w:tcW w:w="0" w:type="auto"/>
            <w:vAlign w:val="center"/>
            <w:hideMark/>
          </w:tcPr>
          <w:p w14:paraId="5C325115"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1.14</w:t>
            </w:r>
          </w:p>
        </w:tc>
        <w:tc>
          <w:tcPr>
            <w:tcW w:w="0" w:type="auto"/>
            <w:vAlign w:val="center"/>
            <w:hideMark/>
          </w:tcPr>
          <w:p w14:paraId="115D8114"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0.3449</w:t>
            </w:r>
          </w:p>
        </w:tc>
      </w:tr>
      <w:tr w:rsidR="00AF76DE" w:rsidRPr="00E85699" w14:paraId="30E9DD1B" w14:textId="77777777" w:rsidTr="00ED3679">
        <w:trPr>
          <w:jc w:val="center"/>
        </w:trPr>
        <w:tc>
          <w:tcPr>
            <w:tcW w:w="0" w:type="auto"/>
            <w:hideMark/>
          </w:tcPr>
          <w:p w14:paraId="2C6F0F07" w14:textId="77777777" w:rsidR="00AF76DE" w:rsidRPr="00E85699" w:rsidRDefault="00AF76DE" w:rsidP="00ED3679">
            <w:pPr>
              <w:spacing w:line="276" w:lineRule="auto"/>
              <w:rPr>
                <w:rFonts w:eastAsia="Arial Unicode MS" w:cs="Arial Unicode MS"/>
                <w:iCs/>
                <w:szCs w:val="20"/>
              </w:rPr>
            </w:pPr>
            <w:r w:rsidRPr="00E85699">
              <w:rPr>
                <w:rFonts w:eastAsia="Arial Unicode MS" w:cs="Arial Unicode MS"/>
                <w:iCs/>
                <w:szCs w:val="20"/>
              </w:rPr>
              <w:t>A^2</w:t>
            </w:r>
          </w:p>
        </w:tc>
        <w:tc>
          <w:tcPr>
            <w:tcW w:w="0" w:type="auto"/>
            <w:vAlign w:val="center"/>
            <w:hideMark/>
          </w:tcPr>
          <w:p w14:paraId="3BA041B5"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3785.40</w:t>
            </w:r>
          </w:p>
        </w:tc>
        <w:tc>
          <w:tcPr>
            <w:tcW w:w="0" w:type="auto"/>
            <w:vAlign w:val="center"/>
            <w:hideMark/>
          </w:tcPr>
          <w:p w14:paraId="0E057F25"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3785.40</w:t>
            </w:r>
          </w:p>
        </w:tc>
        <w:tc>
          <w:tcPr>
            <w:tcW w:w="0" w:type="auto"/>
            <w:vAlign w:val="center"/>
            <w:hideMark/>
          </w:tcPr>
          <w:p w14:paraId="03EB5F60"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28.63</w:t>
            </w:r>
          </w:p>
        </w:tc>
        <w:tc>
          <w:tcPr>
            <w:tcW w:w="0" w:type="auto"/>
            <w:vAlign w:val="center"/>
            <w:hideMark/>
          </w:tcPr>
          <w:p w14:paraId="77B68A70"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0.0059</w:t>
            </w:r>
          </w:p>
        </w:tc>
      </w:tr>
      <w:tr w:rsidR="00AF76DE" w:rsidRPr="00E85699" w14:paraId="0B745F00" w14:textId="77777777" w:rsidTr="00ED3679">
        <w:trPr>
          <w:jc w:val="center"/>
        </w:trPr>
        <w:tc>
          <w:tcPr>
            <w:tcW w:w="0" w:type="auto"/>
            <w:hideMark/>
          </w:tcPr>
          <w:p w14:paraId="16D41660" w14:textId="77777777" w:rsidR="00AF76DE" w:rsidRPr="00E85699" w:rsidRDefault="00AF76DE" w:rsidP="00ED3679">
            <w:pPr>
              <w:spacing w:line="276" w:lineRule="auto"/>
              <w:rPr>
                <w:rFonts w:eastAsia="Arial Unicode MS" w:cs="Arial Unicode MS"/>
                <w:iCs/>
                <w:szCs w:val="20"/>
              </w:rPr>
            </w:pPr>
            <w:r w:rsidRPr="00E85699">
              <w:rPr>
                <w:rFonts w:eastAsia="Arial Unicode MS" w:cs="Arial Unicode MS"/>
                <w:iCs/>
                <w:szCs w:val="20"/>
              </w:rPr>
              <w:t>B^2</w:t>
            </w:r>
          </w:p>
        </w:tc>
        <w:tc>
          <w:tcPr>
            <w:tcW w:w="0" w:type="auto"/>
            <w:vAlign w:val="center"/>
            <w:hideMark/>
          </w:tcPr>
          <w:p w14:paraId="616B11E0"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1169.52</w:t>
            </w:r>
          </w:p>
        </w:tc>
        <w:tc>
          <w:tcPr>
            <w:tcW w:w="0" w:type="auto"/>
            <w:vAlign w:val="center"/>
            <w:hideMark/>
          </w:tcPr>
          <w:p w14:paraId="6399B6A2"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1169.52</w:t>
            </w:r>
          </w:p>
        </w:tc>
        <w:tc>
          <w:tcPr>
            <w:tcW w:w="0" w:type="auto"/>
            <w:vAlign w:val="center"/>
            <w:hideMark/>
          </w:tcPr>
          <w:p w14:paraId="1B005326"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8.85</w:t>
            </w:r>
          </w:p>
        </w:tc>
        <w:tc>
          <w:tcPr>
            <w:tcW w:w="0" w:type="auto"/>
            <w:vAlign w:val="center"/>
            <w:hideMark/>
          </w:tcPr>
          <w:p w14:paraId="76829AAA" w14:textId="77777777" w:rsidR="00AF76DE" w:rsidRPr="00E85699" w:rsidRDefault="00AF76DE" w:rsidP="00ED3679">
            <w:pPr>
              <w:spacing w:line="276" w:lineRule="auto"/>
              <w:jc w:val="center"/>
              <w:rPr>
                <w:rFonts w:eastAsia="Arial Unicode MS" w:cs="Arial Unicode MS"/>
                <w:iCs/>
                <w:szCs w:val="20"/>
              </w:rPr>
            </w:pPr>
            <w:r w:rsidRPr="00E85699">
              <w:rPr>
                <w:iCs/>
                <w:color w:val="000000"/>
              </w:rPr>
              <w:t>0.0410</w:t>
            </w:r>
          </w:p>
        </w:tc>
      </w:tr>
      <w:tr w:rsidR="00AF76DE" w:rsidRPr="00E85699" w14:paraId="53B1988C" w14:textId="77777777" w:rsidTr="00ED3679">
        <w:trPr>
          <w:jc w:val="center"/>
        </w:trPr>
        <w:tc>
          <w:tcPr>
            <w:tcW w:w="0" w:type="auto"/>
            <w:hideMark/>
          </w:tcPr>
          <w:p w14:paraId="0A6D446A" w14:textId="77777777" w:rsidR="00AF76DE" w:rsidRPr="00E85699" w:rsidRDefault="00AF76DE" w:rsidP="00ED3679">
            <w:pPr>
              <w:spacing w:line="276" w:lineRule="auto"/>
              <w:rPr>
                <w:rFonts w:eastAsia="Arial Unicode MS" w:cs="Arial Unicode MS"/>
                <w:szCs w:val="20"/>
              </w:rPr>
            </w:pPr>
            <w:r w:rsidRPr="00E85699">
              <w:rPr>
                <w:rFonts w:eastAsia="Arial Unicode MS" w:cs="Arial Unicode MS"/>
                <w:szCs w:val="20"/>
              </w:rPr>
              <w:t>Residual</w:t>
            </w:r>
          </w:p>
        </w:tc>
        <w:tc>
          <w:tcPr>
            <w:tcW w:w="0" w:type="auto"/>
            <w:vAlign w:val="center"/>
            <w:hideMark/>
          </w:tcPr>
          <w:p w14:paraId="1CE65FF1" w14:textId="77777777" w:rsidR="00AF76DE" w:rsidRPr="00E85699" w:rsidRDefault="00AF76DE" w:rsidP="00ED3679">
            <w:pPr>
              <w:spacing w:line="276" w:lineRule="auto"/>
              <w:jc w:val="center"/>
              <w:rPr>
                <w:rFonts w:eastAsia="Arial Unicode MS" w:cs="Arial Unicode MS"/>
                <w:szCs w:val="20"/>
              </w:rPr>
            </w:pPr>
            <w:r w:rsidRPr="00E85699">
              <w:rPr>
                <w:color w:val="000000"/>
              </w:rPr>
              <w:t>528.90</w:t>
            </w:r>
          </w:p>
        </w:tc>
        <w:tc>
          <w:tcPr>
            <w:tcW w:w="0" w:type="auto"/>
            <w:vAlign w:val="center"/>
            <w:hideMark/>
          </w:tcPr>
          <w:p w14:paraId="4CFB5453" w14:textId="77777777" w:rsidR="00AF76DE" w:rsidRPr="00E85699" w:rsidRDefault="00AF76DE" w:rsidP="00ED3679">
            <w:pPr>
              <w:spacing w:line="276" w:lineRule="auto"/>
              <w:jc w:val="center"/>
              <w:rPr>
                <w:rFonts w:eastAsia="Arial Unicode MS" w:cs="Arial Unicode MS"/>
                <w:szCs w:val="20"/>
              </w:rPr>
            </w:pPr>
            <w:r w:rsidRPr="00E85699">
              <w:rPr>
                <w:color w:val="000000"/>
              </w:rPr>
              <w:t>132.22</w:t>
            </w:r>
          </w:p>
        </w:tc>
        <w:tc>
          <w:tcPr>
            <w:tcW w:w="0" w:type="auto"/>
            <w:hideMark/>
          </w:tcPr>
          <w:p w14:paraId="60DEE1B2" w14:textId="77777777" w:rsidR="00AF76DE" w:rsidRPr="00E85699" w:rsidRDefault="00AF76DE" w:rsidP="00ED3679">
            <w:pPr>
              <w:spacing w:line="276" w:lineRule="auto"/>
              <w:jc w:val="center"/>
              <w:rPr>
                <w:rFonts w:eastAsia="Arial Unicode MS" w:cs="Arial Unicode MS"/>
                <w:szCs w:val="20"/>
              </w:rPr>
            </w:pPr>
          </w:p>
        </w:tc>
        <w:tc>
          <w:tcPr>
            <w:tcW w:w="0" w:type="auto"/>
            <w:hideMark/>
          </w:tcPr>
          <w:p w14:paraId="618558EE" w14:textId="77777777" w:rsidR="00AF76DE" w:rsidRPr="00E85699" w:rsidRDefault="00AF76DE" w:rsidP="00ED3679">
            <w:pPr>
              <w:spacing w:line="276" w:lineRule="auto"/>
              <w:jc w:val="center"/>
              <w:rPr>
                <w:rFonts w:eastAsia="Arial Unicode MS" w:cs="Arial Unicode MS"/>
                <w:szCs w:val="20"/>
              </w:rPr>
            </w:pPr>
          </w:p>
        </w:tc>
      </w:tr>
      <w:tr w:rsidR="00AF76DE" w:rsidRPr="00E85699" w14:paraId="3EB6B5FF" w14:textId="77777777" w:rsidTr="00ED3679">
        <w:trPr>
          <w:jc w:val="center"/>
        </w:trPr>
        <w:tc>
          <w:tcPr>
            <w:tcW w:w="0" w:type="auto"/>
            <w:hideMark/>
          </w:tcPr>
          <w:p w14:paraId="5F3616E3" w14:textId="77777777" w:rsidR="00AF76DE" w:rsidRPr="00E85699" w:rsidRDefault="00AF76DE" w:rsidP="00ED3679">
            <w:pPr>
              <w:spacing w:line="276" w:lineRule="auto"/>
              <w:rPr>
                <w:rFonts w:eastAsia="Arial Unicode MS" w:cs="Arial Unicode MS"/>
                <w:szCs w:val="20"/>
              </w:rPr>
            </w:pPr>
            <w:r w:rsidRPr="00E85699">
              <w:rPr>
                <w:rFonts w:eastAsia="Arial Unicode MS" w:cs="Arial Unicode MS"/>
                <w:szCs w:val="20"/>
              </w:rPr>
              <w:t>Cor Total</w:t>
            </w:r>
          </w:p>
        </w:tc>
        <w:tc>
          <w:tcPr>
            <w:tcW w:w="0" w:type="auto"/>
            <w:hideMark/>
          </w:tcPr>
          <w:p w14:paraId="3918EF1D" w14:textId="77777777" w:rsidR="00AF76DE" w:rsidRPr="00E85699" w:rsidRDefault="00AF76DE" w:rsidP="00ED3679">
            <w:pPr>
              <w:jc w:val="center"/>
              <w:rPr>
                <w:color w:val="000000"/>
                <w:sz w:val="24"/>
              </w:rPr>
            </w:pPr>
            <w:r w:rsidRPr="00E85699">
              <w:rPr>
                <w:color w:val="000000"/>
              </w:rPr>
              <w:t>24615.72</w:t>
            </w:r>
          </w:p>
        </w:tc>
        <w:tc>
          <w:tcPr>
            <w:tcW w:w="0" w:type="auto"/>
            <w:hideMark/>
          </w:tcPr>
          <w:p w14:paraId="0C99ED8D" w14:textId="77777777" w:rsidR="00AF76DE" w:rsidRPr="00E85699" w:rsidRDefault="00AF76DE" w:rsidP="00ED3679">
            <w:pPr>
              <w:spacing w:line="276" w:lineRule="auto"/>
              <w:jc w:val="center"/>
              <w:rPr>
                <w:rFonts w:eastAsia="Arial Unicode MS" w:cs="Arial Unicode MS"/>
                <w:szCs w:val="20"/>
              </w:rPr>
            </w:pPr>
          </w:p>
        </w:tc>
        <w:tc>
          <w:tcPr>
            <w:tcW w:w="0" w:type="auto"/>
            <w:hideMark/>
          </w:tcPr>
          <w:p w14:paraId="083AEEAD" w14:textId="77777777" w:rsidR="00AF76DE" w:rsidRPr="00E85699" w:rsidRDefault="00AF76DE" w:rsidP="00ED3679">
            <w:pPr>
              <w:spacing w:line="276" w:lineRule="auto"/>
              <w:jc w:val="center"/>
              <w:rPr>
                <w:rFonts w:eastAsia="Arial Unicode MS" w:cs="Arial Unicode MS"/>
                <w:szCs w:val="20"/>
              </w:rPr>
            </w:pPr>
          </w:p>
        </w:tc>
        <w:tc>
          <w:tcPr>
            <w:tcW w:w="0" w:type="auto"/>
            <w:hideMark/>
          </w:tcPr>
          <w:p w14:paraId="57E31C04" w14:textId="77777777" w:rsidR="00AF76DE" w:rsidRPr="00E85699" w:rsidRDefault="00AF76DE" w:rsidP="00ED3679">
            <w:pPr>
              <w:spacing w:line="276" w:lineRule="auto"/>
              <w:jc w:val="center"/>
              <w:rPr>
                <w:rFonts w:eastAsia="Arial Unicode MS" w:cs="Arial Unicode MS"/>
                <w:szCs w:val="20"/>
              </w:rPr>
            </w:pPr>
          </w:p>
        </w:tc>
      </w:tr>
    </w:tbl>
    <w:p w14:paraId="796CC53E" w14:textId="2DB3B06B" w:rsidR="00B02D55" w:rsidRPr="00453143" w:rsidRDefault="00B02D55" w:rsidP="00B02D55">
      <w:pPr>
        <w:pStyle w:val="BodyText"/>
        <w:spacing w:before="240" w:line="276" w:lineRule="auto"/>
        <w:rPr>
          <w:rFonts w:eastAsia="Arial Unicode MS" w:cs="Arial Unicode MS"/>
          <w:szCs w:val="20"/>
        </w:rPr>
      </w:pPr>
      <w:r w:rsidRPr="00B02D55">
        <w:rPr>
          <w:rFonts w:eastAsia="Arial Unicode MS" w:cs="Arial Unicode MS"/>
          <w:szCs w:val="20"/>
        </w:rPr>
        <w:t>The response surface obtained from t</w:t>
      </w:r>
      <w:r w:rsidR="008D7FD0">
        <w:rPr>
          <w:rFonts w:eastAsia="Arial Unicode MS" w:cs="Arial Unicode MS"/>
          <w:szCs w:val="20"/>
        </w:rPr>
        <w:t>he model illustrated in Figure 5</w:t>
      </w:r>
      <w:r>
        <w:rPr>
          <w:rFonts w:eastAsia="Arial Unicode MS" w:cs="Arial Unicode MS"/>
          <w:szCs w:val="20"/>
        </w:rPr>
        <w:t>a</w:t>
      </w:r>
      <w:r w:rsidRPr="00B02D55">
        <w:rPr>
          <w:rFonts w:eastAsia="Arial Unicode MS" w:cs="Arial Unicode MS"/>
          <w:szCs w:val="20"/>
        </w:rPr>
        <w:t xml:space="preserve"> shows that higher methane yields are obtained at high beat</w:t>
      </w:r>
      <w:r>
        <w:rPr>
          <w:rFonts w:eastAsia="Arial Unicode MS" w:cs="Arial Unicode MS"/>
          <w:szCs w:val="20"/>
        </w:rPr>
        <w:t xml:space="preserve">ing times and low F/I ratios.  </w:t>
      </w:r>
      <w:r w:rsidRPr="00B02D55">
        <w:rPr>
          <w:rFonts w:eastAsia="Arial Unicode MS" w:cs="Arial Unicode MS"/>
          <w:szCs w:val="20"/>
        </w:rPr>
        <w:t>The predicte</w:t>
      </w:r>
      <w:r w:rsidR="00B808E2">
        <w:rPr>
          <w:rFonts w:eastAsia="Arial Unicode MS" w:cs="Arial Unicode MS"/>
          <w:szCs w:val="20"/>
        </w:rPr>
        <w:t>d vs. actuals plot (Figure</w:t>
      </w:r>
      <w:r w:rsidR="008D7FD0">
        <w:rPr>
          <w:rFonts w:eastAsia="Arial Unicode MS" w:cs="Arial Unicode MS"/>
          <w:szCs w:val="20"/>
        </w:rPr>
        <w:t xml:space="preserve"> 5</w:t>
      </w:r>
      <w:r>
        <w:rPr>
          <w:rFonts w:eastAsia="Arial Unicode MS" w:cs="Arial Unicode MS"/>
          <w:szCs w:val="20"/>
        </w:rPr>
        <w:t>b</w:t>
      </w:r>
      <w:r w:rsidRPr="00B02D55">
        <w:rPr>
          <w:rFonts w:eastAsia="Arial Unicode MS" w:cs="Arial Unicode MS"/>
          <w:szCs w:val="20"/>
        </w:rPr>
        <w:t>) shows that these values were distribute near to a straight line and a satisfactory correlation between them is observed. This demonstrates that the model can be effectively applied for mechanical pretreatment with a Hollander beater for paper waste.</w:t>
      </w:r>
      <w:r>
        <w:rPr>
          <w:rFonts w:eastAsia="Arial Unicode MS" w:cs="Arial Unicode MS"/>
          <w:szCs w:val="20"/>
        </w:rPr>
        <w:t xml:space="preserve"> </w:t>
      </w:r>
    </w:p>
    <w:p w14:paraId="12A995FE" w14:textId="77777777" w:rsidR="00D6000E" w:rsidRDefault="00D6000E" w:rsidP="00D6000E">
      <w:pPr>
        <w:pStyle w:val="BodyText"/>
        <w:keepNext/>
        <w:spacing w:before="240" w:line="276" w:lineRule="auto"/>
        <w:jc w:val="center"/>
      </w:pPr>
      <w:r>
        <w:rPr>
          <w:rFonts w:eastAsia="Arial Unicode MS" w:cs="Arial Unicode MS"/>
          <w:noProof/>
          <w:color w:val="FF0000"/>
          <w:szCs w:val="20"/>
          <w:lang w:eastAsia="en-GB"/>
        </w:rPr>
        <w:drawing>
          <wp:inline distT="0" distB="0" distL="0" distR="0" wp14:anchorId="0A90ECFA" wp14:editId="72E07A15">
            <wp:extent cx="5943600" cy="3057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0386"/>
                    <a:stretch/>
                  </pic:blipFill>
                  <pic:spPr bwMode="auto">
                    <a:xfrm>
                      <a:off x="0" y="0"/>
                      <a:ext cx="5943600"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0EEBE3DA" w14:textId="404B2CC2" w:rsidR="00D6000E" w:rsidRPr="00C11E37" w:rsidRDefault="00D6000E" w:rsidP="00D6000E">
      <w:pPr>
        <w:pStyle w:val="Caption"/>
        <w:rPr>
          <w:color w:val="FF0000"/>
          <w:szCs w:val="20"/>
        </w:rPr>
      </w:pPr>
      <w:r>
        <w:t xml:space="preserve">Figure </w:t>
      </w:r>
      <w:r w:rsidR="008D7FD0">
        <w:t>5</w:t>
      </w:r>
      <w:r>
        <w:t xml:space="preserve">. </w:t>
      </w:r>
      <w:r w:rsidRPr="00C11E37">
        <w:rPr>
          <w:color w:val="FF0000"/>
          <w:szCs w:val="20"/>
        </w:rPr>
        <w:t xml:space="preserve"> </w:t>
      </w:r>
      <w:r w:rsidRPr="005F4E7F">
        <w:rPr>
          <w:b w:val="0"/>
          <w:szCs w:val="20"/>
        </w:rPr>
        <w:t>Response surface p</w:t>
      </w:r>
      <w:r w:rsidR="00453143">
        <w:rPr>
          <w:b w:val="0"/>
          <w:szCs w:val="20"/>
        </w:rPr>
        <w:t>lot in 3D for methane yield (a) and</w:t>
      </w:r>
      <w:r w:rsidRPr="005F4E7F">
        <w:rPr>
          <w:b w:val="0"/>
          <w:szCs w:val="20"/>
        </w:rPr>
        <w:t xml:space="preserve"> scatter</w:t>
      </w:r>
      <w:r w:rsidR="00453143">
        <w:rPr>
          <w:b w:val="0"/>
          <w:szCs w:val="20"/>
        </w:rPr>
        <w:t xml:space="preserve"> diagram for methane yield (b).</w:t>
      </w:r>
    </w:p>
    <w:p w14:paraId="20149BC1" w14:textId="77777777" w:rsidR="00D6000E" w:rsidRDefault="00D6000E" w:rsidP="00D15AAB">
      <w:pPr>
        <w:pStyle w:val="BodyText"/>
        <w:spacing w:before="240" w:line="276" w:lineRule="auto"/>
        <w:rPr>
          <w:rFonts w:eastAsia="Arial Unicode MS" w:cs="Arial Unicode MS"/>
          <w:color w:val="FF0000"/>
          <w:szCs w:val="20"/>
        </w:rPr>
      </w:pPr>
    </w:p>
    <w:p w14:paraId="2951BCA4" w14:textId="3FD12251" w:rsidR="00E85699" w:rsidRPr="00453143" w:rsidRDefault="00453143" w:rsidP="00453143">
      <w:pPr>
        <w:pStyle w:val="BodyText"/>
        <w:spacing w:before="240" w:line="276" w:lineRule="auto"/>
        <w:rPr>
          <w:rFonts w:eastAsia="Arial Unicode MS" w:cs="Arial Unicode MS"/>
          <w:szCs w:val="20"/>
        </w:rPr>
      </w:pPr>
      <w:r w:rsidRPr="00136FD8">
        <w:rPr>
          <w:rFonts w:eastAsia="Arial Unicode MS" w:cs="Arial Unicode MS"/>
          <w:szCs w:val="20"/>
        </w:rPr>
        <w:lastRenderedPageBreak/>
        <w:t>Th</w:t>
      </w:r>
      <w:r>
        <w:rPr>
          <w:rFonts w:eastAsia="Arial Unicode MS" w:cs="Arial Unicode MS"/>
          <w:szCs w:val="20"/>
        </w:rPr>
        <w:t>e perturbation plot in Figure 6a</w:t>
      </w:r>
      <w:r w:rsidRPr="00136FD8">
        <w:rPr>
          <w:rFonts w:eastAsia="Arial Unicode MS" w:cs="Arial Unicode MS"/>
          <w:szCs w:val="20"/>
        </w:rPr>
        <w:t xml:space="preserve"> shows how the methane yield is affected by the input variables beating time and F/I ratio, both variables have an exponential effect on the me</w:t>
      </w:r>
      <w:r>
        <w:rPr>
          <w:rFonts w:eastAsia="Arial Unicode MS" w:cs="Arial Unicode MS"/>
          <w:szCs w:val="20"/>
        </w:rPr>
        <w:t>thane production. I</w:t>
      </w:r>
      <w:r w:rsidRPr="00136FD8">
        <w:rPr>
          <w:rFonts w:eastAsia="Arial Unicode MS" w:cs="Arial Unicode MS"/>
          <w:szCs w:val="20"/>
        </w:rPr>
        <w:t>ncreasing B (F/I ratio) the m</w:t>
      </w:r>
      <w:r>
        <w:rPr>
          <w:rFonts w:eastAsia="Arial Unicode MS" w:cs="Arial Unicode MS"/>
          <w:szCs w:val="20"/>
        </w:rPr>
        <w:t xml:space="preserve">ethane yield will decrease </w:t>
      </w:r>
      <w:r w:rsidRPr="00136FD8">
        <w:rPr>
          <w:rFonts w:eastAsia="Arial Unicode MS" w:cs="Arial Unicode MS"/>
          <w:szCs w:val="20"/>
        </w:rPr>
        <w:t>exponentially.</w:t>
      </w:r>
      <w:r>
        <w:rPr>
          <w:rFonts w:eastAsia="Arial Unicode MS" w:cs="Arial Unicode MS"/>
          <w:szCs w:val="20"/>
        </w:rPr>
        <w:t xml:space="preserve"> The effect of the beating time is the opposite, methane yield </w:t>
      </w:r>
      <w:r w:rsidRPr="00AA5E9B">
        <w:rPr>
          <w:rFonts w:eastAsia="Arial Unicode MS" w:cs="Arial Unicode MS"/>
          <w:szCs w:val="20"/>
        </w:rPr>
        <w:t>increase</w:t>
      </w:r>
      <w:r>
        <w:rPr>
          <w:rFonts w:eastAsia="Arial Unicode MS" w:cs="Arial Unicode MS"/>
          <w:szCs w:val="20"/>
        </w:rPr>
        <w:t>s exponentially with the pretreatment</w:t>
      </w:r>
      <w:r w:rsidRPr="00AA5E9B">
        <w:rPr>
          <w:rFonts w:eastAsia="Arial Unicode MS" w:cs="Arial Unicode MS"/>
          <w:szCs w:val="20"/>
        </w:rPr>
        <w:t xml:space="preserve"> time. The effect of pretreatment has a similar behaviour at l</w:t>
      </w:r>
      <w:r>
        <w:rPr>
          <w:rFonts w:eastAsia="Arial Unicode MS" w:cs="Arial Unicode MS"/>
          <w:szCs w:val="20"/>
        </w:rPr>
        <w:t>ow and high F/I ratios (Figure 6</w:t>
      </w:r>
      <w:r w:rsidRPr="00AA5E9B">
        <w:rPr>
          <w:rFonts w:eastAsia="Arial Unicode MS" w:cs="Arial Unicode MS"/>
          <w:szCs w:val="20"/>
        </w:rPr>
        <w:t xml:space="preserve">b). For a F/I ratio of 0.7, the methane yield achieved a minimum around 27 min of pretreatment, for ratio F/I of 0.3 the minimum is achieved at around 23 min. </w:t>
      </w:r>
    </w:p>
    <w:p w14:paraId="09BA85E5" w14:textId="4CB50E40" w:rsidR="00E85699" w:rsidRDefault="00E85699" w:rsidP="00E85699">
      <w:pPr>
        <w:pStyle w:val="BodyText"/>
        <w:spacing w:before="240" w:line="276" w:lineRule="auto"/>
        <w:jc w:val="center"/>
        <w:rPr>
          <w:rFonts w:eastAsia="Arial Unicode MS" w:cs="Arial Unicode MS"/>
          <w:noProof/>
          <w:color w:val="FF0000"/>
          <w:szCs w:val="20"/>
          <w:lang w:eastAsia="en-GB"/>
        </w:rPr>
      </w:pPr>
    </w:p>
    <w:p w14:paraId="260E980D" w14:textId="77777777" w:rsidR="005F4E7F" w:rsidRDefault="00D35470" w:rsidP="005F4E7F">
      <w:pPr>
        <w:pStyle w:val="BodyText"/>
        <w:keepNext/>
        <w:spacing w:after="240" w:line="276" w:lineRule="auto"/>
        <w:jc w:val="center"/>
      </w:pPr>
      <w:r>
        <w:rPr>
          <w:rFonts w:eastAsia="Arial Unicode MS" w:cs="Arial Unicode MS"/>
          <w:b/>
          <w:noProof/>
          <w:color w:val="FF0000"/>
          <w:szCs w:val="20"/>
          <w:lang w:eastAsia="en-GB"/>
        </w:rPr>
        <w:drawing>
          <wp:inline distT="0" distB="0" distL="0" distR="0" wp14:anchorId="067C3AE8" wp14:editId="59891C60">
            <wp:extent cx="5591175" cy="2647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1712"/>
                    <a:stretch/>
                  </pic:blipFill>
                  <pic:spPr bwMode="auto">
                    <a:xfrm>
                      <a:off x="0" y="0"/>
                      <a:ext cx="5596433" cy="2650440"/>
                    </a:xfrm>
                    <a:prstGeom prst="rect">
                      <a:avLst/>
                    </a:prstGeom>
                    <a:noFill/>
                    <a:ln>
                      <a:noFill/>
                    </a:ln>
                    <a:extLst>
                      <a:ext uri="{53640926-AAD7-44D8-BBD7-CCE9431645EC}">
                        <a14:shadowObscured xmlns:a14="http://schemas.microsoft.com/office/drawing/2010/main"/>
                      </a:ext>
                    </a:extLst>
                  </pic:spPr>
                </pic:pic>
              </a:graphicData>
            </a:graphic>
          </wp:inline>
        </w:drawing>
      </w:r>
    </w:p>
    <w:p w14:paraId="4FEC0416" w14:textId="145A2FE3" w:rsidR="007A7C50" w:rsidRPr="007F45EC" w:rsidRDefault="005F4E7F" w:rsidP="007F45EC">
      <w:pPr>
        <w:pStyle w:val="Caption"/>
        <w:rPr>
          <w:b w:val="0"/>
          <w:szCs w:val="20"/>
        </w:rPr>
      </w:pPr>
      <w:r>
        <w:t xml:space="preserve">Figure </w:t>
      </w:r>
      <w:r w:rsidR="008D7FD0" w:rsidRPr="008D7FD0">
        <w:t>6</w:t>
      </w:r>
      <w:r w:rsidRPr="008D7FD0">
        <w:rPr>
          <w:b w:val="0"/>
          <w:szCs w:val="20"/>
        </w:rPr>
        <w:t xml:space="preserve">. Perturbation </w:t>
      </w:r>
      <w:r w:rsidR="00453143">
        <w:rPr>
          <w:b w:val="0"/>
          <w:szCs w:val="20"/>
        </w:rPr>
        <w:t>plot for methane yield (a) and</w:t>
      </w:r>
      <w:r w:rsidRPr="005F4E7F">
        <w:rPr>
          <w:b w:val="0"/>
          <w:szCs w:val="20"/>
        </w:rPr>
        <w:t xml:space="preserve"> interaction plot for methane yield (b)</w:t>
      </w:r>
      <w:r w:rsidR="00453143">
        <w:rPr>
          <w:b w:val="0"/>
          <w:szCs w:val="20"/>
        </w:rPr>
        <w:t>.</w:t>
      </w:r>
    </w:p>
    <w:p w14:paraId="588148BA" w14:textId="03236C8E" w:rsidR="00A02993" w:rsidRPr="00C92E77" w:rsidRDefault="00D6000E" w:rsidP="00A02993">
      <w:pPr>
        <w:pStyle w:val="Heading2"/>
        <w:spacing w:before="240" w:line="276" w:lineRule="auto"/>
        <w:rPr>
          <w:rFonts w:eastAsia="Arial Unicode MS" w:cs="Arial Unicode MS"/>
        </w:rPr>
      </w:pPr>
      <w:r w:rsidRPr="002F72E6">
        <w:rPr>
          <w:rFonts w:eastAsia="Arial Unicode MS" w:cs="Arial Unicode MS"/>
        </w:rPr>
        <w:t>Methane yield</w:t>
      </w:r>
      <w:r w:rsidR="00F60BDE" w:rsidRPr="002F72E6">
        <w:rPr>
          <w:rFonts w:eastAsia="Arial Unicode MS" w:cs="Arial Unicode MS"/>
        </w:rPr>
        <w:t xml:space="preserve"> optimization</w:t>
      </w:r>
    </w:p>
    <w:p w14:paraId="6FFC0C04" w14:textId="1467F69E" w:rsidR="00A02993" w:rsidRPr="0012383A" w:rsidRDefault="00A02993" w:rsidP="00A02993">
      <w:pPr>
        <w:spacing w:line="276" w:lineRule="auto"/>
        <w:jc w:val="both"/>
      </w:pPr>
      <w:r w:rsidRPr="00562AC5">
        <w:t>Based on the response surface</w:t>
      </w:r>
      <w:r>
        <w:t xml:space="preserve"> model s</w:t>
      </w:r>
      <w:r w:rsidR="00CC57DB">
        <w:t xml:space="preserve">howed in Equation </w:t>
      </w:r>
      <w:r w:rsidR="00493364">
        <w:t>3</w:t>
      </w:r>
      <w:r>
        <w:t>,</w:t>
      </w:r>
      <w:r w:rsidRPr="00562AC5">
        <w:t xml:space="preserve"> which describes the effects of process parameters on the </w:t>
      </w:r>
      <w:r w:rsidRPr="00562AC5">
        <w:rPr>
          <w:rFonts w:eastAsia="Arial Unicode MS" w:cs="Arial Unicode MS"/>
          <w:szCs w:val="20"/>
        </w:rPr>
        <w:t>methane</w:t>
      </w:r>
      <w:r w:rsidRPr="00562AC5">
        <w:t xml:space="preserve"> production, an optimization study was conducted using Design-expertV9 software. The optimization criteria combine the productivity with the cost of the process, the methane yield was maximized with level 5 and beating time was minimized with level 1 while F/I ratio was permitted to vary in the </w:t>
      </w:r>
      <w:r w:rsidRPr="0012383A">
        <w:t xml:space="preserve">same range as in Table </w:t>
      </w:r>
      <w:r w:rsidR="00B808E2" w:rsidRPr="0012383A">
        <w:t>4</w:t>
      </w:r>
      <w:r w:rsidRPr="0012383A">
        <w:t>.</w:t>
      </w:r>
    </w:p>
    <w:p w14:paraId="411CEE99" w14:textId="62ECF7E8" w:rsidR="00A02993" w:rsidRPr="00A02993" w:rsidRDefault="00A02993" w:rsidP="00A02993">
      <w:pPr>
        <w:spacing w:line="276" w:lineRule="auto"/>
        <w:jc w:val="both"/>
        <w:rPr>
          <w:rFonts w:ascii="Arial" w:hAnsi="Arial" w:cs="Arial"/>
        </w:rPr>
      </w:pPr>
      <w:r w:rsidRPr="0012383A">
        <w:t xml:space="preserve">The optimal </w:t>
      </w:r>
      <w:r w:rsidRPr="0012383A">
        <w:rPr>
          <w:rFonts w:eastAsia="Arial Unicode MS" w:cs="Arial Unicode MS"/>
          <w:szCs w:val="20"/>
        </w:rPr>
        <w:t>methane</w:t>
      </w:r>
      <w:r w:rsidR="00B073F3">
        <w:t xml:space="preserve"> yield of 245</w:t>
      </w:r>
      <w:r w:rsidR="00734485" w:rsidRPr="0012383A">
        <w:t xml:space="preserve"> </w:t>
      </w:r>
      <w:r w:rsidRPr="0012383A">
        <w:t xml:space="preserve">ml/gVS from the numerical </w:t>
      </w:r>
      <w:r w:rsidR="00FD6DED">
        <w:t>optimisation was found at BT= 55</w:t>
      </w:r>
      <w:r w:rsidRPr="0012383A">
        <w:t xml:space="preserve"> min</w:t>
      </w:r>
      <w:r w:rsidR="00A66246">
        <w:t xml:space="preserve"> an</w:t>
      </w:r>
      <w:r w:rsidR="00B073F3">
        <w:t>d F/I ratio= 0.3, allowing 17</w:t>
      </w:r>
      <w:r w:rsidRPr="0012383A">
        <w:t xml:space="preserve">% extra </w:t>
      </w:r>
      <w:r w:rsidRPr="0012383A">
        <w:rPr>
          <w:rFonts w:eastAsia="Arial Unicode MS" w:cs="Arial Unicode MS"/>
          <w:szCs w:val="20"/>
        </w:rPr>
        <w:t>methane</w:t>
      </w:r>
      <w:r w:rsidRPr="0012383A">
        <w:t xml:space="preserve"> when compared to the maximum </w:t>
      </w:r>
      <w:r w:rsidRPr="0012383A">
        <w:rPr>
          <w:rFonts w:eastAsia="Arial Unicode MS" w:cs="Arial Unicode MS"/>
          <w:szCs w:val="20"/>
        </w:rPr>
        <w:t>methane</w:t>
      </w:r>
      <w:r w:rsidRPr="0012383A">
        <w:t xml:space="preserve"> production for untreated paper.</w:t>
      </w:r>
      <w:r w:rsidR="00734485" w:rsidRPr="0012383A">
        <w:t xml:space="preserve"> </w:t>
      </w:r>
      <w:r w:rsidRPr="0012383A">
        <w:t xml:space="preserve">The graphical optimization allows a selection of the optimum process parameters by means of visual inspection. The yellow areas on the overlay plot (Figure </w:t>
      </w:r>
      <w:r w:rsidR="00CC57DB">
        <w:t>7</w:t>
      </w:r>
      <w:r w:rsidRPr="0012383A">
        <w:t xml:space="preserve">) that represent the values that meet the proposed criteria is delimited by the curves corresponding to the optimization </w:t>
      </w:r>
      <w:r w:rsidRPr="001E1B8A">
        <w:t>criteria set by the authors.</w:t>
      </w:r>
    </w:p>
    <w:p w14:paraId="1F81D45C" w14:textId="57947A3F" w:rsidR="00E809FA" w:rsidRDefault="007F759E" w:rsidP="00E809FA">
      <w:pPr>
        <w:keepNext/>
        <w:spacing w:before="240" w:line="276" w:lineRule="auto"/>
        <w:jc w:val="center"/>
      </w:pPr>
      <w:r>
        <w:rPr>
          <w:noProof/>
          <w:lang w:eastAsia="en-GB"/>
        </w:rPr>
        <w:lastRenderedPageBreak/>
        <w:drawing>
          <wp:inline distT="0" distB="0" distL="0" distR="0" wp14:anchorId="3FF21999" wp14:editId="1F81312C">
            <wp:extent cx="3943350" cy="3740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28366" t="6453" b="2351"/>
                    <a:stretch/>
                  </pic:blipFill>
                  <pic:spPr bwMode="auto">
                    <a:xfrm>
                      <a:off x="0" y="0"/>
                      <a:ext cx="3943350" cy="3740448"/>
                    </a:xfrm>
                    <a:prstGeom prst="rect">
                      <a:avLst/>
                    </a:prstGeom>
                    <a:noFill/>
                    <a:ln>
                      <a:noFill/>
                    </a:ln>
                    <a:extLst>
                      <a:ext uri="{53640926-AAD7-44D8-BBD7-CCE9431645EC}">
                        <a14:shadowObscured xmlns:a14="http://schemas.microsoft.com/office/drawing/2010/main"/>
                      </a:ext>
                    </a:extLst>
                  </pic:spPr>
                </pic:pic>
              </a:graphicData>
            </a:graphic>
          </wp:inline>
        </w:drawing>
      </w:r>
    </w:p>
    <w:p w14:paraId="6655D578" w14:textId="77777777" w:rsidR="00144FA8" w:rsidRDefault="00E809FA" w:rsidP="00144FA8">
      <w:pPr>
        <w:pStyle w:val="Caption"/>
        <w:rPr>
          <w:b w:val="0"/>
          <w:szCs w:val="20"/>
        </w:rPr>
      </w:pPr>
      <w:r>
        <w:t xml:space="preserve">Figure </w:t>
      </w:r>
      <w:r w:rsidR="00CC57DB">
        <w:t>7</w:t>
      </w:r>
      <w:r w:rsidR="00777F55" w:rsidRPr="00E809FA">
        <w:rPr>
          <w:b w:val="0"/>
          <w:szCs w:val="20"/>
        </w:rPr>
        <w:t>.</w:t>
      </w:r>
      <w:r w:rsidR="00777F55" w:rsidRPr="00E809FA">
        <w:rPr>
          <w:szCs w:val="20"/>
        </w:rPr>
        <w:t xml:space="preserve"> </w:t>
      </w:r>
      <w:r w:rsidR="00777F55" w:rsidRPr="00E809FA">
        <w:rPr>
          <w:b w:val="0"/>
          <w:szCs w:val="20"/>
        </w:rPr>
        <w:t xml:space="preserve">Graphical optimization for maximizing </w:t>
      </w:r>
      <w:r w:rsidRPr="00E809FA">
        <w:rPr>
          <w:b w:val="0"/>
          <w:szCs w:val="20"/>
        </w:rPr>
        <w:t>methane yield while minimizing beating time</w:t>
      </w:r>
      <w:r w:rsidR="00777F55" w:rsidRPr="00E809FA">
        <w:rPr>
          <w:b w:val="0"/>
          <w:szCs w:val="20"/>
        </w:rPr>
        <w:t>.</w:t>
      </w:r>
    </w:p>
    <w:p w14:paraId="247FFCD7" w14:textId="08EC02B3" w:rsidR="0077758F" w:rsidRPr="00453143" w:rsidRDefault="00144FA8" w:rsidP="0077758F">
      <w:pPr>
        <w:spacing w:line="276" w:lineRule="auto"/>
        <w:rPr>
          <w:rFonts w:eastAsia="Arial Unicode MS" w:cs="Arial Unicode MS"/>
          <w:szCs w:val="20"/>
        </w:rPr>
      </w:pPr>
      <w:r>
        <w:rPr>
          <w:rFonts w:eastAsia="Arial Unicode MS"/>
        </w:rPr>
        <w:t>T</w:t>
      </w:r>
      <w:r w:rsidRPr="007E123E">
        <w:rPr>
          <w:rFonts w:eastAsia="Arial Unicode MS"/>
        </w:rPr>
        <w:t>hree confirmation experiments</w:t>
      </w:r>
      <w:r>
        <w:rPr>
          <w:rFonts w:eastAsia="Arial Unicode MS"/>
        </w:rPr>
        <w:t xml:space="preserve"> (including the optimal point)</w:t>
      </w:r>
      <w:r w:rsidRPr="007E123E">
        <w:rPr>
          <w:rFonts w:eastAsia="Arial Unicode MS"/>
        </w:rPr>
        <w:t xml:space="preserve"> were </w:t>
      </w:r>
      <w:r w:rsidRPr="0082502B">
        <w:rPr>
          <w:rFonts w:eastAsia="Arial Unicode MS"/>
        </w:rPr>
        <w:t xml:space="preserve">carried out </w:t>
      </w:r>
      <w:r w:rsidR="0077758F">
        <w:rPr>
          <w:rFonts w:eastAsia="Arial Unicode MS"/>
        </w:rPr>
        <w:t xml:space="preserve">using new test conditions </w:t>
      </w:r>
      <w:r w:rsidR="0077758F">
        <w:rPr>
          <w:rFonts w:eastAsia="Arial Unicode MS" w:cs="Arial Unicode MS"/>
          <w:szCs w:val="20"/>
        </w:rPr>
        <w:t>to</w:t>
      </w:r>
      <w:r w:rsidRPr="007E123E">
        <w:rPr>
          <w:rFonts w:eastAsia="Arial Unicode MS" w:cs="Arial Unicode MS"/>
          <w:szCs w:val="20"/>
        </w:rPr>
        <w:t xml:space="preserve"> veri</w:t>
      </w:r>
      <w:r w:rsidR="0077758F">
        <w:rPr>
          <w:rFonts w:eastAsia="Arial Unicode MS" w:cs="Arial Unicode MS"/>
          <w:szCs w:val="20"/>
        </w:rPr>
        <w:t>fy the adequacy of the</w:t>
      </w:r>
      <w:r w:rsidRPr="007E123E">
        <w:rPr>
          <w:rFonts w:eastAsia="Arial Unicode MS" w:cs="Arial Unicode MS"/>
          <w:szCs w:val="20"/>
        </w:rPr>
        <w:t xml:space="preserve"> models</w:t>
      </w:r>
      <w:r w:rsidRPr="0082502B">
        <w:rPr>
          <w:rFonts w:eastAsia="Arial Unicode MS" w:cs="Arial Unicode MS"/>
          <w:szCs w:val="20"/>
        </w:rPr>
        <w:t>. The experimental conditions, the actual and predicted values and the percentages of error are summarizes in Table 7. Considering that anaerobic digestion is a biological process</w:t>
      </w:r>
      <w:r w:rsidR="007B707E">
        <w:rPr>
          <w:rFonts w:eastAsia="Arial Unicode MS" w:cs="Arial Unicode MS"/>
          <w:szCs w:val="20"/>
        </w:rPr>
        <w:t xml:space="preserve"> highly influenced by the inoculum</w:t>
      </w:r>
      <w:r w:rsidRPr="0082502B">
        <w:rPr>
          <w:rFonts w:eastAsia="Arial Unicode MS" w:cs="Arial Unicode MS"/>
          <w:szCs w:val="20"/>
        </w:rPr>
        <w:t>, the percentages of error are all within acceptable tolerances.</w:t>
      </w:r>
    </w:p>
    <w:p w14:paraId="692FD4EC" w14:textId="77777777" w:rsidR="00144FA8" w:rsidRDefault="00144FA8" w:rsidP="00144FA8">
      <w:pPr>
        <w:pStyle w:val="Caption"/>
        <w:keepNext/>
      </w:pPr>
      <w:r>
        <w:t xml:space="preserve">Table </w:t>
      </w:r>
      <w:r>
        <w:fldChar w:fldCharType="begin"/>
      </w:r>
      <w:r>
        <w:instrText xml:space="preserve"> SEQ Table \* ARABIC </w:instrText>
      </w:r>
      <w:r>
        <w:fldChar w:fldCharType="separate"/>
      </w:r>
      <w:r w:rsidR="00211CB2">
        <w:rPr>
          <w:noProof/>
        </w:rPr>
        <w:t>7</w:t>
      </w:r>
      <w:r>
        <w:fldChar w:fldCharType="end"/>
      </w:r>
      <w:r>
        <w:t xml:space="preserve">. </w:t>
      </w:r>
      <w:r w:rsidRPr="007E123E">
        <w:rPr>
          <w:b w:val="0"/>
        </w:rPr>
        <w:t>Validation experiments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9"/>
        <w:gridCol w:w="1950"/>
        <w:gridCol w:w="1275"/>
        <w:gridCol w:w="1222"/>
        <w:gridCol w:w="2406"/>
      </w:tblGrid>
      <w:tr w:rsidR="00453143" w:rsidRPr="000A6A89" w14:paraId="3B422D0D" w14:textId="77777777" w:rsidTr="00453143">
        <w:trPr>
          <w:jc w:val="center"/>
        </w:trPr>
        <w:tc>
          <w:tcPr>
            <w:tcW w:w="1339" w:type="dxa"/>
            <w:tcBorders>
              <w:top w:val="single" w:sz="4" w:space="0" w:color="auto"/>
              <w:bottom w:val="single" w:sz="4" w:space="0" w:color="auto"/>
            </w:tcBorders>
            <w:vAlign w:val="center"/>
            <w:hideMark/>
          </w:tcPr>
          <w:p w14:paraId="6B08599E" w14:textId="77777777" w:rsidR="00453143" w:rsidRPr="008F2DA0" w:rsidRDefault="00453143" w:rsidP="00453143">
            <w:pPr>
              <w:jc w:val="center"/>
              <w:rPr>
                <w:rFonts w:eastAsia="Arial Unicode MS" w:cs="Arial Unicode MS"/>
                <w:bCs/>
                <w:szCs w:val="20"/>
              </w:rPr>
            </w:pPr>
            <w:r w:rsidRPr="008F2DA0">
              <w:rPr>
                <w:rFonts w:eastAsia="Arial Unicode MS" w:cs="Arial Unicode MS"/>
                <w:bCs/>
                <w:szCs w:val="20"/>
              </w:rPr>
              <w:t>Experiment</w:t>
            </w:r>
          </w:p>
        </w:tc>
        <w:tc>
          <w:tcPr>
            <w:tcW w:w="1950" w:type="dxa"/>
            <w:tcBorders>
              <w:top w:val="single" w:sz="4" w:space="0" w:color="auto"/>
              <w:bottom w:val="single" w:sz="4" w:space="0" w:color="auto"/>
            </w:tcBorders>
            <w:vAlign w:val="center"/>
            <w:hideMark/>
          </w:tcPr>
          <w:p w14:paraId="3A62F437" w14:textId="77777777" w:rsidR="00453143" w:rsidRPr="008F2DA0" w:rsidRDefault="00453143" w:rsidP="00453143">
            <w:pPr>
              <w:jc w:val="center"/>
              <w:rPr>
                <w:rFonts w:eastAsia="Arial Unicode MS" w:cs="Arial Unicode MS"/>
                <w:bCs/>
                <w:szCs w:val="20"/>
              </w:rPr>
            </w:pPr>
            <w:r w:rsidRPr="008F2DA0">
              <w:rPr>
                <w:rFonts w:eastAsia="Arial Unicode MS" w:cs="Arial Unicode MS"/>
                <w:szCs w:val="20"/>
                <w:lang w:eastAsia="en-GB"/>
              </w:rPr>
              <w:t>Beating time (min)</w:t>
            </w:r>
          </w:p>
        </w:tc>
        <w:tc>
          <w:tcPr>
            <w:tcW w:w="1275" w:type="dxa"/>
            <w:tcBorders>
              <w:top w:val="single" w:sz="4" w:space="0" w:color="auto"/>
              <w:bottom w:val="single" w:sz="4" w:space="0" w:color="auto"/>
            </w:tcBorders>
            <w:vAlign w:val="center"/>
            <w:hideMark/>
          </w:tcPr>
          <w:p w14:paraId="013FB887" w14:textId="77777777" w:rsidR="00453143" w:rsidRPr="008F2DA0" w:rsidRDefault="00453143" w:rsidP="00453143">
            <w:pPr>
              <w:jc w:val="center"/>
              <w:rPr>
                <w:rFonts w:eastAsia="Arial Unicode MS" w:cs="Arial Unicode MS"/>
                <w:bCs/>
                <w:szCs w:val="20"/>
              </w:rPr>
            </w:pPr>
            <w:r w:rsidRPr="008F2DA0">
              <w:rPr>
                <w:rFonts w:eastAsia="Arial Unicode MS" w:cs="Arial Unicode MS"/>
                <w:szCs w:val="20"/>
                <w:lang w:eastAsia="en-GB"/>
              </w:rPr>
              <w:t>Ratio F/I</w:t>
            </w:r>
          </w:p>
        </w:tc>
        <w:tc>
          <w:tcPr>
            <w:tcW w:w="1222" w:type="dxa"/>
            <w:tcBorders>
              <w:top w:val="single" w:sz="4" w:space="0" w:color="auto"/>
              <w:bottom w:val="single" w:sz="4" w:space="0" w:color="auto"/>
            </w:tcBorders>
            <w:vAlign w:val="center"/>
          </w:tcPr>
          <w:p w14:paraId="0496BEA8" w14:textId="77777777" w:rsidR="00453143" w:rsidRPr="008F2DA0" w:rsidRDefault="00453143" w:rsidP="00453143">
            <w:pPr>
              <w:jc w:val="center"/>
              <w:rPr>
                <w:rFonts w:eastAsia="Arial Unicode MS" w:cs="Arial Unicode MS"/>
                <w:szCs w:val="20"/>
              </w:rPr>
            </w:pPr>
          </w:p>
        </w:tc>
        <w:tc>
          <w:tcPr>
            <w:tcW w:w="2406" w:type="dxa"/>
            <w:tcBorders>
              <w:top w:val="single" w:sz="4" w:space="0" w:color="auto"/>
              <w:bottom w:val="single" w:sz="4" w:space="0" w:color="auto"/>
            </w:tcBorders>
            <w:vAlign w:val="center"/>
            <w:hideMark/>
          </w:tcPr>
          <w:p w14:paraId="261CDB92" w14:textId="77777777" w:rsidR="00453143" w:rsidRPr="008F2DA0" w:rsidRDefault="00453143" w:rsidP="00453143">
            <w:pPr>
              <w:jc w:val="center"/>
              <w:rPr>
                <w:rFonts w:eastAsia="Arial Unicode MS" w:cs="Arial Unicode MS"/>
                <w:bCs/>
                <w:szCs w:val="20"/>
              </w:rPr>
            </w:pPr>
            <w:r w:rsidRPr="008F2DA0">
              <w:rPr>
                <w:rFonts w:eastAsia="Arial Unicode MS" w:cs="Arial Unicode MS"/>
                <w:szCs w:val="20"/>
              </w:rPr>
              <w:t>Methane yield (ml/gVS)</w:t>
            </w:r>
          </w:p>
        </w:tc>
      </w:tr>
      <w:tr w:rsidR="00453143" w:rsidRPr="000A6A89" w14:paraId="1319B75F" w14:textId="77777777" w:rsidTr="00453143">
        <w:trPr>
          <w:jc w:val="center"/>
        </w:trPr>
        <w:tc>
          <w:tcPr>
            <w:tcW w:w="1339" w:type="dxa"/>
            <w:vMerge w:val="restart"/>
            <w:tcBorders>
              <w:top w:val="single" w:sz="4" w:space="0" w:color="auto"/>
            </w:tcBorders>
            <w:vAlign w:val="center"/>
            <w:hideMark/>
          </w:tcPr>
          <w:p w14:paraId="74C71C31" w14:textId="77777777" w:rsidR="00453143" w:rsidRPr="008F2DA0" w:rsidRDefault="00453143" w:rsidP="00453143">
            <w:pPr>
              <w:jc w:val="center"/>
              <w:rPr>
                <w:rFonts w:eastAsia="Arial Unicode MS" w:cs="Arial Unicode MS"/>
                <w:bCs/>
                <w:szCs w:val="20"/>
              </w:rPr>
            </w:pPr>
            <w:r w:rsidRPr="008F2DA0">
              <w:rPr>
                <w:rFonts w:eastAsia="Arial Unicode MS" w:cs="Arial Unicode MS"/>
                <w:bCs/>
                <w:szCs w:val="20"/>
              </w:rPr>
              <w:t>1</w:t>
            </w:r>
          </w:p>
        </w:tc>
        <w:tc>
          <w:tcPr>
            <w:tcW w:w="1950" w:type="dxa"/>
            <w:vMerge w:val="restart"/>
            <w:tcBorders>
              <w:top w:val="single" w:sz="4" w:space="0" w:color="auto"/>
            </w:tcBorders>
            <w:vAlign w:val="center"/>
            <w:hideMark/>
          </w:tcPr>
          <w:p w14:paraId="15918727" w14:textId="226E3075" w:rsidR="00453143" w:rsidRPr="008F2DA0" w:rsidRDefault="00453143" w:rsidP="00453143">
            <w:pPr>
              <w:jc w:val="center"/>
              <w:rPr>
                <w:rFonts w:eastAsia="Arial Unicode MS" w:cs="Arial Unicode MS"/>
                <w:bCs/>
                <w:szCs w:val="20"/>
              </w:rPr>
            </w:pPr>
            <w:r>
              <w:rPr>
                <w:rFonts w:eastAsia="Arial Unicode MS" w:cs="Arial Unicode MS"/>
                <w:bCs/>
                <w:szCs w:val="20"/>
              </w:rPr>
              <w:t>15</w:t>
            </w:r>
          </w:p>
        </w:tc>
        <w:tc>
          <w:tcPr>
            <w:tcW w:w="1275" w:type="dxa"/>
            <w:vMerge w:val="restart"/>
            <w:tcBorders>
              <w:top w:val="single" w:sz="4" w:space="0" w:color="auto"/>
            </w:tcBorders>
            <w:vAlign w:val="center"/>
            <w:hideMark/>
          </w:tcPr>
          <w:p w14:paraId="0AFAA6AF" w14:textId="65E475D7" w:rsidR="00453143" w:rsidRPr="008F2DA0" w:rsidRDefault="00453143" w:rsidP="00453143">
            <w:pPr>
              <w:jc w:val="center"/>
              <w:rPr>
                <w:rFonts w:eastAsia="Arial Unicode MS" w:cs="Arial Unicode MS"/>
                <w:bCs/>
                <w:szCs w:val="20"/>
              </w:rPr>
            </w:pPr>
            <w:r>
              <w:rPr>
                <w:rFonts w:eastAsia="Arial Unicode MS" w:cs="Arial Unicode MS"/>
                <w:bCs/>
                <w:szCs w:val="20"/>
              </w:rPr>
              <w:t>0.6</w:t>
            </w:r>
          </w:p>
        </w:tc>
        <w:tc>
          <w:tcPr>
            <w:tcW w:w="1222" w:type="dxa"/>
            <w:tcBorders>
              <w:top w:val="single" w:sz="4" w:space="0" w:color="auto"/>
            </w:tcBorders>
          </w:tcPr>
          <w:p w14:paraId="4CD92DF0" w14:textId="77777777" w:rsidR="00453143" w:rsidRPr="008F2DA0" w:rsidRDefault="00453143" w:rsidP="00453143">
            <w:pPr>
              <w:jc w:val="right"/>
              <w:rPr>
                <w:rFonts w:eastAsia="Arial Unicode MS" w:cs="Arial Unicode MS"/>
                <w:bCs/>
                <w:szCs w:val="20"/>
              </w:rPr>
            </w:pPr>
            <w:r w:rsidRPr="008F2DA0">
              <w:rPr>
                <w:rFonts w:eastAsia="Arial Unicode MS" w:cs="Arial Unicode MS"/>
                <w:bCs/>
                <w:szCs w:val="20"/>
              </w:rPr>
              <w:t>Actual</w:t>
            </w:r>
          </w:p>
        </w:tc>
        <w:tc>
          <w:tcPr>
            <w:tcW w:w="2406" w:type="dxa"/>
            <w:tcBorders>
              <w:top w:val="single" w:sz="4" w:space="0" w:color="auto"/>
            </w:tcBorders>
            <w:hideMark/>
          </w:tcPr>
          <w:p w14:paraId="42C42A07" w14:textId="302EF4C9" w:rsidR="00453143" w:rsidRPr="004A3DF5" w:rsidRDefault="00453143" w:rsidP="00453143">
            <w:pPr>
              <w:jc w:val="center"/>
              <w:rPr>
                <w:rFonts w:eastAsia="Arial Unicode MS" w:cs="Arial Unicode MS"/>
                <w:bCs/>
                <w:szCs w:val="20"/>
              </w:rPr>
            </w:pPr>
            <w:r w:rsidRPr="004A3DF5">
              <w:rPr>
                <w:rFonts w:eastAsia="Arial Unicode MS" w:cs="Arial Unicode MS"/>
                <w:szCs w:val="20"/>
              </w:rPr>
              <w:t>115</w:t>
            </w:r>
          </w:p>
        </w:tc>
      </w:tr>
      <w:tr w:rsidR="00453143" w:rsidRPr="000A6A89" w14:paraId="253B536A" w14:textId="77777777" w:rsidTr="00453143">
        <w:trPr>
          <w:jc w:val="center"/>
        </w:trPr>
        <w:tc>
          <w:tcPr>
            <w:tcW w:w="1339" w:type="dxa"/>
            <w:vMerge/>
            <w:vAlign w:val="center"/>
          </w:tcPr>
          <w:p w14:paraId="5C9C85CF" w14:textId="77777777" w:rsidR="00453143" w:rsidRPr="008F2DA0" w:rsidRDefault="00453143" w:rsidP="00453143">
            <w:pPr>
              <w:jc w:val="center"/>
              <w:rPr>
                <w:rFonts w:eastAsia="Arial Unicode MS" w:cs="Arial Unicode MS"/>
                <w:szCs w:val="20"/>
              </w:rPr>
            </w:pPr>
          </w:p>
        </w:tc>
        <w:tc>
          <w:tcPr>
            <w:tcW w:w="1950" w:type="dxa"/>
            <w:vMerge/>
            <w:vAlign w:val="center"/>
          </w:tcPr>
          <w:p w14:paraId="7BC64F48" w14:textId="77777777" w:rsidR="00453143" w:rsidRPr="008F2DA0" w:rsidRDefault="00453143" w:rsidP="00453143">
            <w:pPr>
              <w:jc w:val="center"/>
              <w:rPr>
                <w:rFonts w:eastAsia="Arial Unicode MS" w:cs="Arial Unicode MS"/>
                <w:szCs w:val="20"/>
              </w:rPr>
            </w:pPr>
          </w:p>
        </w:tc>
        <w:tc>
          <w:tcPr>
            <w:tcW w:w="1275" w:type="dxa"/>
            <w:vMerge/>
            <w:vAlign w:val="center"/>
          </w:tcPr>
          <w:p w14:paraId="01DC6B61" w14:textId="77777777" w:rsidR="00453143" w:rsidRPr="008F2DA0" w:rsidRDefault="00453143" w:rsidP="00453143">
            <w:pPr>
              <w:jc w:val="center"/>
              <w:rPr>
                <w:rFonts w:eastAsia="Arial Unicode MS" w:cs="Arial Unicode MS"/>
                <w:szCs w:val="20"/>
              </w:rPr>
            </w:pPr>
          </w:p>
        </w:tc>
        <w:tc>
          <w:tcPr>
            <w:tcW w:w="1222" w:type="dxa"/>
          </w:tcPr>
          <w:p w14:paraId="00102336" w14:textId="77777777" w:rsidR="00453143" w:rsidRPr="008F2DA0" w:rsidRDefault="00453143" w:rsidP="00453143">
            <w:pPr>
              <w:jc w:val="right"/>
              <w:rPr>
                <w:rFonts w:eastAsia="Arial Unicode MS" w:cs="Arial Unicode MS"/>
                <w:szCs w:val="20"/>
              </w:rPr>
            </w:pPr>
            <w:r w:rsidRPr="008F2DA0">
              <w:rPr>
                <w:rFonts w:eastAsia="Arial Unicode MS" w:cs="Arial Unicode MS"/>
                <w:szCs w:val="20"/>
              </w:rPr>
              <w:t>Predicted</w:t>
            </w:r>
          </w:p>
        </w:tc>
        <w:tc>
          <w:tcPr>
            <w:tcW w:w="2406" w:type="dxa"/>
            <w:vAlign w:val="center"/>
          </w:tcPr>
          <w:p w14:paraId="0623803A" w14:textId="6DCA2431" w:rsidR="00453143" w:rsidRPr="004A3DF5" w:rsidRDefault="00453143" w:rsidP="00453143">
            <w:pPr>
              <w:jc w:val="center"/>
              <w:rPr>
                <w:rFonts w:eastAsia="Arial Unicode MS" w:cs="Arial Unicode MS"/>
                <w:szCs w:val="20"/>
              </w:rPr>
            </w:pPr>
            <w:r w:rsidRPr="004A3DF5">
              <w:rPr>
                <w:rFonts w:eastAsia="Arial Unicode MS" w:cs="Arial Unicode MS"/>
                <w:szCs w:val="20"/>
              </w:rPr>
              <w:t>104</w:t>
            </w:r>
          </w:p>
        </w:tc>
      </w:tr>
      <w:tr w:rsidR="00453143" w:rsidRPr="000A6A89" w14:paraId="3BE4A1C9" w14:textId="77777777" w:rsidTr="00453143">
        <w:trPr>
          <w:jc w:val="center"/>
        </w:trPr>
        <w:tc>
          <w:tcPr>
            <w:tcW w:w="1339" w:type="dxa"/>
            <w:vMerge/>
            <w:vAlign w:val="center"/>
          </w:tcPr>
          <w:p w14:paraId="6FFBDCF0" w14:textId="77777777" w:rsidR="00453143" w:rsidRPr="008F2DA0" w:rsidRDefault="00453143" w:rsidP="00453143">
            <w:pPr>
              <w:jc w:val="center"/>
              <w:rPr>
                <w:rFonts w:eastAsia="Arial Unicode MS" w:cs="Arial Unicode MS"/>
                <w:iCs/>
                <w:szCs w:val="20"/>
              </w:rPr>
            </w:pPr>
          </w:p>
        </w:tc>
        <w:tc>
          <w:tcPr>
            <w:tcW w:w="1950" w:type="dxa"/>
            <w:vMerge/>
            <w:vAlign w:val="center"/>
          </w:tcPr>
          <w:p w14:paraId="2C57DA10" w14:textId="77777777" w:rsidR="00453143" w:rsidRPr="008F2DA0" w:rsidRDefault="00453143" w:rsidP="00453143">
            <w:pPr>
              <w:jc w:val="center"/>
              <w:rPr>
                <w:rFonts w:eastAsia="Arial Unicode MS" w:cs="Arial Unicode MS"/>
                <w:iCs/>
                <w:szCs w:val="20"/>
              </w:rPr>
            </w:pPr>
          </w:p>
        </w:tc>
        <w:tc>
          <w:tcPr>
            <w:tcW w:w="1275" w:type="dxa"/>
            <w:vMerge/>
            <w:vAlign w:val="center"/>
          </w:tcPr>
          <w:p w14:paraId="41556537" w14:textId="77777777" w:rsidR="00453143" w:rsidRPr="008F2DA0" w:rsidRDefault="00453143" w:rsidP="00453143">
            <w:pPr>
              <w:jc w:val="center"/>
              <w:rPr>
                <w:rFonts w:eastAsia="Arial Unicode MS" w:cs="Arial Unicode MS"/>
                <w:iCs/>
                <w:szCs w:val="20"/>
              </w:rPr>
            </w:pPr>
          </w:p>
        </w:tc>
        <w:tc>
          <w:tcPr>
            <w:tcW w:w="1222" w:type="dxa"/>
          </w:tcPr>
          <w:p w14:paraId="0418BAD0" w14:textId="77777777" w:rsidR="00453143" w:rsidRPr="008F2DA0" w:rsidRDefault="00453143" w:rsidP="00453143">
            <w:pPr>
              <w:jc w:val="right"/>
              <w:rPr>
                <w:rFonts w:eastAsia="Arial Unicode MS" w:cs="Arial Unicode MS"/>
                <w:iCs/>
                <w:szCs w:val="20"/>
              </w:rPr>
            </w:pPr>
            <w:r w:rsidRPr="008F2DA0">
              <w:rPr>
                <w:rFonts w:eastAsia="Arial Unicode MS" w:cs="Arial Unicode MS"/>
                <w:iCs/>
                <w:szCs w:val="20"/>
              </w:rPr>
              <w:t>Error (%)</w:t>
            </w:r>
          </w:p>
        </w:tc>
        <w:tc>
          <w:tcPr>
            <w:tcW w:w="2406" w:type="dxa"/>
            <w:vAlign w:val="center"/>
          </w:tcPr>
          <w:p w14:paraId="43C36A25" w14:textId="4337BE1E" w:rsidR="00453143" w:rsidRPr="004A3DF5" w:rsidRDefault="00453143" w:rsidP="00453143">
            <w:pPr>
              <w:jc w:val="center"/>
              <w:rPr>
                <w:rFonts w:eastAsia="Arial Unicode MS" w:cs="Arial Unicode MS"/>
                <w:iCs/>
                <w:szCs w:val="20"/>
              </w:rPr>
            </w:pPr>
            <w:r w:rsidRPr="004A3DF5">
              <w:rPr>
                <w:rFonts w:eastAsia="Arial Unicode MS" w:cs="Arial Unicode MS"/>
                <w:iCs/>
                <w:szCs w:val="20"/>
              </w:rPr>
              <w:t>9.33</w:t>
            </w:r>
          </w:p>
        </w:tc>
      </w:tr>
      <w:tr w:rsidR="00453143" w:rsidRPr="000A6A89" w14:paraId="37E164B6" w14:textId="77777777" w:rsidTr="00453143">
        <w:trPr>
          <w:jc w:val="center"/>
        </w:trPr>
        <w:tc>
          <w:tcPr>
            <w:tcW w:w="1339" w:type="dxa"/>
            <w:vMerge w:val="restart"/>
            <w:vAlign w:val="center"/>
          </w:tcPr>
          <w:p w14:paraId="4D1F6E24" w14:textId="77777777" w:rsidR="00453143" w:rsidRPr="008F2DA0" w:rsidRDefault="00453143" w:rsidP="00453143">
            <w:pPr>
              <w:jc w:val="center"/>
              <w:rPr>
                <w:rFonts w:eastAsia="Arial Unicode MS" w:cs="Arial Unicode MS"/>
                <w:iCs/>
                <w:szCs w:val="20"/>
              </w:rPr>
            </w:pPr>
            <w:r w:rsidRPr="008F2DA0">
              <w:rPr>
                <w:rFonts w:eastAsia="Arial Unicode MS" w:cs="Arial Unicode MS"/>
                <w:iCs/>
                <w:szCs w:val="20"/>
              </w:rPr>
              <w:t>2</w:t>
            </w:r>
          </w:p>
        </w:tc>
        <w:tc>
          <w:tcPr>
            <w:tcW w:w="1950" w:type="dxa"/>
            <w:vMerge w:val="restart"/>
            <w:vAlign w:val="center"/>
          </w:tcPr>
          <w:p w14:paraId="49D137EA" w14:textId="4FA008E9" w:rsidR="00453143" w:rsidRPr="008F2DA0" w:rsidRDefault="00453143" w:rsidP="00453143">
            <w:pPr>
              <w:jc w:val="center"/>
              <w:rPr>
                <w:rFonts w:eastAsia="Arial Unicode MS" w:cs="Arial Unicode MS"/>
                <w:iCs/>
                <w:szCs w:val="20"/>
              </w:rPr>
            </w:pPr>
            <w:r>
              <w:rPr>
                <w:rFonts w:eastAsia="Arial Unicode MS" w:cs="Arial Unicode MS"/>
                <w:iCs/>
                <w:szCs w:val="20"/>
              </w:rPr>
              <w:t>45</w:t>
            </w:r>
          </w:p>
        </w:tc>
        <w:tc>
          <w:tcPr>
            <w:tcW w:w="1275" w:type="dxa"/>
            <w:vMerge w:val="restart"/>
            <w:vAlign w:val="center"/>
          </w:tcPr>
          <w:p w14:paraId="7A5AE7DE" w14:textId="0AA3C9E9" w:rsidR="00453143" w:rsidRPr="008F2DA0" w:rsidRDefault="00453143" w:rsidP="00453143">
            <w:pPr>
              <w:jc w:val="center"/>
              <w:rPr>
                <w:rFonts w:eastAsia="Arial Unicode MS" w:cs="Arial Unicode MS"/>
                <w:iCs/>
                <w:szCs w:val="20"/>
              </w:rPr>
            </w:pPr>
            <w:r>
              <w:rPr>
                <w:rFonts w:eastAsia="Arial Unicode MS" w:cs="Arial Unicode MS"/>
                <w:iCs/>
                <w:szCs w:val="20"/>
              </w:rPr>
              <w:t>0.4</w:t>
            </w:r>
          </w:p>
        </w:tc>
        <w:tc>
          <w:tcPr>
            <w:tcW w:w="1222" w:type="dxa"/>
          </w:tcPr>
          <w:p w14:paraId="0C7E2404" w14:textId="77777777" w:rsidR="00453143" w:rsidRPr="008F2DA0" w:rsidRDefault="00453143" w:rsidP="00453143">
            <w:pPr>
              <w:jc w:val="right"/>
              <w:rPr>
                <w:rFonts w:eastAsia="Arial Unicode MS" w:cs="Arial Unicode MS"/>
                <w:iCs/>
                <w:szCs w:val="20"/>
              </w:rPr>
            </w:pPr>
            <w:r w:rsidRPr="008F2DA0">
              <w:rPr>
                <w:rFonts w:eastAsia="Arial Unicode MS" w:cs="Arial Unicode MS"/>
                <w:bCs/>
                <w:szCs w:val="20"/>
              </w:rPr>
              <w:t>Actual</w:t>
            </w:r>
          </w:p>
        </w:tc>
        <w:tc>
          <w:tcPr>
            <w:tcW w:w="2406" w:type="dxa"/>
            <w:vAlign w:val="center"/>
          </w:tcPr>
          <w:p w14:paraId="5E386460" w14:textId="09ED71DC" w:rsidR="00453143" w:rsidRPr="004A3DF5" w:rsidRDefault="00453143" w:rsidP="00453143">
            <w:pPr>
              <w:jc w:val="center"/>
              <w:rPr>
                <w:rFonts w:eastAsia="Arial Unicode MS" w:cs="Arial Unicode MS"/>
                <w:iCs/>
                <w:szCs w:val="20"/>
              </w:rPr>
            </w:pPr>
            <w:r w:rsidRPr="004A3DF5">
              <w:rPr>
                <w:rFonts w:eastAsia="Arial Unicode MS" w:cs="Arial Unicode MS"/>
                <w:iCs/>
                <w:szCs w:val="20"/>
              </w:rPr>
              <w:t>179</w:t>
            </w:r>
          </w:p>
        </w:tc>
      </w:tr>
      <w:tr w:rsidR="00453143" w:rsidRPr="000A6A89" w14:paraId="756BB6C1" w14:textId="77777777" w:rsidTr="00453143">
        <w:trPr>
          <w:jc w:val="center"/>
        </w:trPr>
        <w:tc>
          <w:tcPr>
            <w:tcW w:w="1339" w:type="dxa"/>
            <w:vMerge/>
          </w:tcPr>
          <w:p w14:paraId="5CE17993" w14:textId="77777777" w:rsidR="00453143" w:rsidRPr="008F2DA0" w:rsidRDefault="00453143" w:rsidP="00453143">
            <w:pPr>
              <w:rPr>
                <w:rFonts w:eastAsia="Arial Unicode MS" w:cs="Arial Unicode MS"/>
                <w:iCs/>
                <w:szCs w:val="20"/>
              </w:rPr>
            </w:pPr>
          </w:p>
        </w:tc>
        <w:tc>
          <w:tcPr>
            <w:tcW w:w="1950" w:type="dxa"/>
            <w:vMerge/>
            <w:vAlign w:val="center"/>
          </w:tcPr>
          <w:p w14:paraId="5101E5FA" w14:textId="77777777" w:rsidR="00453143" w:rsidRPr="008F2DA0" w:rsidRDefault="00453143" w:rsidP="00453143">
            <w:pPr>
              <w:jc w:val="center"/>
              <w:rPr>
                <w:rFonts w:eastAsia="Arial Unicode MS" w:cs="Arial Unicode MS"/>
                <w:iCs/>
                <w:szCs w:val="20"/>
              </w:rPr>
            </w:pPr>
          </w:p>
        </w:tc>
        <w:tc>
          <w:tcPr>
            <w:tcW w:w="1275" w:type="dxa"/>
            <w:vMerge/>
            <w:vAlign w:val="center"/>
          </w:tcPr>
          <w:p w14:paraId="50E07F09" w14:textId="77777777" w:rsidR="00453143" w:rsidRPr="008F2DA0" w:rsidRDefault="00453143" w:rsidP="00453143">
            <w:pPr>
              <w:jc w:val="center"/>
              <w:rPr>
                <w:rFonts w:eastAsia="Arial Unicode MS" w:cs="Arial Unicode MS"/>
                <w:iCs/>
                <w:szCs w:val="20"/>
              </w:rPr>
            </w:pPr>
          </w:p>
        </w:tc>
        <w:tc>
          <w:tcPr>
            <w:tcW w:w="1222" w:type="dxa"/>
          </w:tcPr>
          <w:p w14:paraId="4F766698" w14:textId="77777777" w:rsidR="00453143" w:rsidRPr="008F2DA0" w:rsidRDefault="00453143" w:rsidP="00453143">
            <w:pPr>
              <w:jc w:val="right"/>
              <w:rPr>
                <w:rFonts w:eastAsia="Arial Unicode MS" w:cs="Arial Unicode MS"/>
                <w:iCs/>
                <w:szCs w:val="20"/>
              </w:rPr>
            </w:pPr>
            <w:r w:rsidRPr="008F2DA0">
              <w:rPr>
                <w:rFonts w:eastAsia="Arial Unicode MS" w:cs="Arial Unicode MS"/>
                <w:szCs w:val="20"/>
              </w:rPr>
              <w:t>Predicted</w:t>
            </w:r>
          </w:p>
        </w:tc>
        <w:tc>
          <w:tcPr>
            <w:tcW w:w="2406" w:type="dxa"/>
          </w:tcPr>
          <w:p w14:paraId="0C4AA565" w14:textId="236F1C8E" w:rsidR="00453143" w:rsidRPr="004A3DF5" w:rsidRDefault="00453143" w:rsidP="00453143">
            <w:pPr>
              <w:jc w:val="center"/>
              <w:rPr>
                <w:rFonts w:eastAsia="Arial Unicode MS" w:cs="Arial Unicode MS"/>
                <w:iCs/>
                <w:szCs w:val="20"/>
              </w:rPr>
            </w:pPr>
            <w:r w:rsidRPr="004A3DF5">
              <w:rPr>
                <w:rFonts w:eastAsia="Arial Unicode MS" w:cs="Arial Unicode MS"/>
                <w:iCs/>
                <w:szCs w:val="20"/>
              </w:rPr>
              <w:t>190</w:t>
            </w:r>
          </w:p>
        </w:tc>
      </w:tr>
      <w:tr w:rsidR="00453143" w:rsidRPr="000A6A89" w14:paraId="650FF094" w14:textId="77777777" w:rsidTr="00453143">
        <w:trPr>
          <w:jc w:val="center"/>
        </w:trPr>
        <w:tc>
          <w:tcPr>
            <w:tcW w:w="1339" w:type="dxa"/>
            <w:vMerge/>
          </w:tcPr>
          <w:p w14:paraId="404EF4BD" w14:textId="77777777" w:rsidR="00453143" w:rsidRPr="008F2DA0" w:rsidRDefault="00453143" w:rsidP="00453143">
            <w:pPr>
              <w:rPr>
                <w:rFonts w:eastAsia="Arial Unicode MS" w:cs="Arial Unicode MS"/>
                <w:iCs/>
                <w:szCs w:val="20"/>
                <w:vertAlign w:val="superscript"/>
              </w:rPr>
            </w:pPr>
          </w:p>
        </w:tc>
        <w:tc>
          <w:tcPr>
            <w:tcW w:w="1950" w:type="dxa"/>
            <w:vMerge/>
            <w:vAlign w:val="center"/>
          </w:tcPr>
          <w:p w14:paraId="300FBC6B" w14:textId="77777777" w:rsidR="00453143" w:rsidRPr="008F2DA0" w:rsidRDefault="00453143" w:rsidP="00453143">
            <w:pPr>
              <w:jc w:val="center"/>
              <w:rPr>
                <w:rFonts w:eastAsia="Arial Unicode MS" w:cs="Arial Unicode MS"/>
                <w:iCs/>
                <w:szCs w:val="20"/>
              </w:rPr>
            </w:pPr>
          </w:p>
        </w:tc>
        <w:tc>
          <w:tcPr>
            <w:tcW w:w="1275" w:type="dxa"/>
            <w:vMerge/>
            <w:vAlign w:val="center"/>
          </w:tcPr>
          <w:p w14:paraId="66BC32D4" w14:textId="77777777" w:rsidR="00453143" w:rsidRPr="008F2DA0" w:rsidRDefault="00453143" w:rsidP="00453143">
            <w:pPr>
              <w:jc w:val="center"/>
              <w:rPr>
                <w:rFonts w:eastAsia="Arial Unicode MS" w:cs="Arial Unicode MS"/>
                <w:iCs/>
                <w:szCs w:val="20"/>
              </w:rPr>
            </w:pPr>
          </w:p>
        </w:tc>
        <w:tc>
          <w:tcPr>
            <w:tcW w:w="1222" w:type="dxa"/>
          </w:tcPr>
          <w:p w14:paraId="5CF6E6AD" w14:textId="77777777" w:rsidR="00453143" w:rsidRPr="008F2DA0" w:rsidRDefault="00453143" w:rsidP="00453143">
            <w:pPr>
              <w:jc w:val="right"/>
              <w:rPr>
                <w:rFonts w:eastAsia="Arial Unicode MS" w:cs="Arial Unicode MS"/>
                <w:iCs/>
                <w:szCs w:val="20"/>
              </w:rPr>
            </w:pPr>
            <w:r w:rsidRPr="008F2DA0">
              <w:rPr>
                <w:rFonts w:eastAsia="Arial Unicode MS" w:cs="Arial Unicode MS"/>
                <w:iCs/>
                <w:szCs w:val="20"/>
              </w:rPr>
              <w:t>Error (%)</w:t>
            </w:r>
          </w:p>
        </w:tc>
        <w:tc>
          <w:tcPr>
            <w:tcW w:w="2406" w:type="dxa"/>
            <w:vAlign w:val="center"/>
          </w:tcPr>
          <w:p w14:paraId="06FC57C3" w14:textId="02B81F17" w:rsidR="00453143" w:rsidRPr="004A3DF5" w:rsidRDefault="00453143" w:rsidP="00453143">
            <w:pPr>
              <w:jc w:val="center"/>
              <w:rPr>
                <w:rFonts w:eastAsia="Arial Unicode MS" w:cs="Arial Unicode MS"/>
                <w:iCs/>
                <w:szCs w:val="20"/>
              </w:rPr>
            </w:pPr>
            <w:r w:rsidRPr="004A3DF5">
              <w:rPr>
                <w:rFonts w:eastAsia="Arial Unicode MS" w:cs="Arial Unicode MS"/>
                <w:iCs/>
                <w:szCs w:val="20"/>
              </w:rPr>
              <w:t>-6.41</w:t>
            </w:r>
          </w:p>
        </w:tc>
      </w:tr>
      <w:tr w:rsidR="00453143" w:rsidRPr="000A6A89" w14:paraId="5BECC1E3" w14:textId="77777777" w:rsidTr="00453143">
        <w:trPr>
          <w:jc w:val="center"/>
        </w:trPr>
        <w:tc>
          <w:tcPr>
            <w:tcW w:w="1339" w:type="dxa"/>
            <w:vMerge w:val="restart"/>
            <w:vAlign w:val="center"/>
          </w:tcPr>
          <w:p w14:paraId="2F8D3B5A" w14:textId="77777777" w:rsidR="00453143" w:rsidRPr="008F2DA0" w:rsidRDefault="00453143" w:rsidP="00453143">
            <w:pPr>
              <w:jc w:val="center"/>
              <w:rPr>
                <w:rFonts w:eastAsia="Arial Unicode MS" w:cs="Arial Unicode MS"/>
                <w:iCs/>
                <w:szCs w:val="20"/>
              </w:rPr>
            </w:pPr>
            <w:r w:rsidRPr="008F2DA0">
              <w:rPr>
                <w:rFonts w:eastAsia="Arial Unicode MS" w:cs="Arial Unicode MS"/>
                <w:iCs/>
                <w:szCs w:val="20"/>
              </w:rPr>
              <w:t>3</w:t>
            </w:r>
          </w:p>
        </w:tc>
        <w:tc>
          <w:tcPr>
            <w:tcW w:w="1950" w:type="dxa"/>
            <w:vMerge w:val="restart"/>
            <w:vAlign w:val="center"/>
          </w:tcPr>
          <w:p w14:paraId="582AC083" w14:textId="3C9C66CC" w:rsidR="00453143" w:rsidRPr="008F2DA0" w:rsidRDefault="00453143" w:rsidP="00453143">
            <w:pPr>
              <w:jc w:val="center"/>
              <w:rPr>
                <w:rFonts w:eastAsia="Arial Unicode MS" w:cs="Arial Unicode MS"/>
                <w:iCs/>
                <w:szCs w:val="20"/>
              </w:rPr>
            </w:pPr>
            <w:r>
              <w:rPr>
                <w:rFonts w:eastAsia="Arial Unicode MS" w:cs="Arial Unicode MS"/>
                <w:iCs/>
                <w:szCs w:val="20"/>
              </w:rPr>
              <w:t>55</w:t>
            </w:r>
          </w:p>
        </w:tc>
        <w:tc>
          <w:tcPr>
            <w:tcW w:w="1275" w:type="dxa"/>
            <w:vMerge w:val="restart"/>
            <w:vAlign w:val="center"/>
          </w:tcPr>
          <w:p w14:paraId="7B28531A" w14:textId="77777777" w:rsidR="00453143" w:rsidRPr="008F2DA0" w:rsidRDefault="00453143" w:rsidP="00453143">
            <w:pPr>
              <w:jc w:val="center"/>
              <w:rPr>
                <w:rFonts w:eastAsia="Arial Unicode MS" w:cs="Arial Unicode MS"/>
                <w:iCs/>
                <w:szCs w:val="20"/>
              </w:rPr>
            </w:pPr>
            <w:r>
              <w:rPr>
                <w:rFonts w:eastAsia="Arial Unicode MS" w:cs="Arial Unicode MS"/>
                <w:iCs/>
                <w:szCs w:val="20"/>
              </w:rPr>
              <w:t>0.3</w:t>
            </w:r>
          </w:p>
        </w:tc>
        <w:tc>
          <w:tcPr>
            <w:tcW w:w="1222" w:type="dxa"/>
          </w:tcPr>
          <w:p w14:paraId="550913C4" w14:textId="77777777" w:rsidR="00453143" w:rsidRPr="008F2DA0" w:rsidRDefault="00453143" w:rsidP="00453143">
            <w:pPr>
              <w:jc w:val="right"/>
              <w:rPr>
                <w:rFonts w:eastAsia="Arial Unicode MS" w:cs="Arial Unicode MS"/>
                <w:iCs/>
                <w:szCs w:val="20"/>
              </w:rPr>
            </w:pPr>
            <w:r w:rsidRPr="008F2DA0">
              <w:rPr>
                <w:rFonts w:eastAsia="Arial Unicode MS" w:cs="Arial Unicode MS"/>
                <w:bCs/>
                <w:szCs w:val="20"/>
              </w:rPr>
              <w:t>Actual</w:t>
            </w:r>
          </w:p>
        </w:tc>
        <w:tc>
          <w:tcPr>
            <w:tcW w:w="2406" w:type="dxa"/>
            <w:vAlign w:val="center"/>
          </w:tcPr>
          <w:p w14:paraId="584821D7" w14:textId="2707C4B5" w:rsidR="00453143" w:rsidRPr="004A3DF5" w:rsidRDefault="00453143" w:rsidP="00453143">
            <w:pPr>
              <w:jc w:val="center"/>
              <w:rPr>
                <w:rFonts w:eastAsia="Arial Unicode MS" w:cs="Arial Unicode MS"/>
                <w:iCs/>
                <w:szCs w:val="20"/>
              </w:rPr>
            </w:pPr>
            <w:r w:rsidRPr="004A3DF5">
              <w:rPr>
                <w:rFonts w:eastAsia="Arial Unicode MS" w:cs="Arial Unicode MS"/>
                <w:iCs/>
                <w:szCs w:val="20"/>
              </w:rPr>
              <w:t>245</w:t>
            </w:r>
          </w:p>
        </w:tc>
      </w:tr>
      <w:tr w:rsidR="00453143" w:rsidRPr="000A6A89" w14:paraId="42F71759" w14:textId="77777777" w:rsidTr="00453143">
        <w:trPr>
          <w:jc w:val="center"/>
        </w:trPr>
        <w:tc>
          <w:tcPr>
            <w:tcW w:w="1339" w:type="dxa"/>
            <w:vMerge/>
          </w:tcPr>
          <w:p w14:paraId="24D6F8AF" w14:textId="77777777" w:rsidR="00453143" w:rsidRPr="008F2DA0" w:rsidRDefault="00453143" w:rsidP="00453143">
            <w:pPr>
              <w:rPr>
                <w:rFonts w:eastAsia="Arial Unicode MS" w:cs="Arial Unicode MS"/>
                <w:szCs w:val="20"/>
              </w:rPr>
            </w:pPr>
          </w:p>
        </w:tc>
        <w:tc>
          <w:tcPr>
            <w:tcW w:w="1950" w:type="dxa"/>
            <w:vMerge/>
            <w:vAlign w:val="center"/>
          </w:tcPr>
          <w:p w14:paraId="660F1588" w14:textId="77777777" w:rsidR="00453143" w:rsidRPr="008F2DA0" w:rsidRDefault="00453143" w:rsidP="00453143">
            <w:pPr>
              <w:jc w:val="center"/>
              <w:rPr>
                <w:rFonts w:eastAsia="Arial Unicode MS" w:cs="Arial Unicode MS"/>
                <w:szCs w:val="20"/>
              </w:rPr>
            </w:pPr>
          </w:p>
        </w:tc>
        <w:tc>
          <w:tcPr>
            <w:tcW w:w="1275" w:type="dxa"/>
            <w:vMerge/>
            <w:vAlign w:val="center"/>
          </w:tcPr>
          <w:p w14:paraId="6BB9F8F1" w14:textId="77777777" w:rsidR="00453143" w:rsidRPr="008F2DA0" w:rsidRDefault="00453143" w:rsidP="00453143">
            <w:pPr>
              <w:jc w:val="center"/>
              <w:rPr>
                <w:rFonts w:eastAsia="Arial Unicode MS" w:cs="Arial Unicode MS"/>
                <w:szCs w:val="20"/>
              </w:rPr>
            </w:pPr>
          </w:p>
        </w:tc>
        <w:tc>
          <w:tcPr>
            <w:tcW w:w="1222" w:type="dxa"/>
          </w:tcPr>
          <w:p w14:paraId="58901D07" w14:textId="77777777" w:rsidR="00453143" w:rsidRPr="008F2DA0" w:rsidRDefault="00453143" w:rsidP="00453143">
            <w:pPr>
              <w:jc w:val="right"/>
              <w:rPr>
                <w:rFonts w:eastAsia="Arial Unicode MS" w:cs="Arial Unicode MS"/>
                <w:szCs w:val="20"/>
              </w:rPr>
            </w:pPr>
            <w:r w:rsidRPr="008F2DA0">
              <w:rPr>
                <w:rFonts w:eastAsia="Arial Unicode MS" w:cs="Arial Unicode MS"/>
                <w:szCs w:val="20"/>
              </w:rPr>
              <w:t>Predicted</w:t>
            </w:r>
          </w:p>
        </w:tc>
        <w:tc>
          <w:tcPr>
            <w:tcW w:w="2406" w:type="dxa"/>
          </w:tcPr>
          <w:p w14:paraId="2BB6698A" w14:textId="705C8159" w:rsidR="00453143" w:rsidRPr="004A3DF5" w:rsidRDefault="00453143" w:rsidP="00453143">
            <w:pPr>
              <w:jc w:val="center"/>
              <w:rPr>
                <w:rFonts w:eastAsia="Arial Unicode MS" w:cs="Arial Unicode MS"/>
                <w:szCs w:val="20"/>
              </w:rPr>
            </w:pPr>
            <w:r w:rsidRPr="004A3DF5">
              <w:rPr>
                <w:rFonts w:eastAsia="Arial Unicode MS" w:cs="Arial Unicode MS"/>
                <w:szCs w:val="20"/>
              </w:rPr>
              <w:t>260</w:t>
            </w:r>
          </w:p>
        </w:tc>
      </w:tr>
      <w:tr w:rsidR="00453143" w:rsidRPr="00717994" w14:paraId="10129A73" w14:textId="77777777" w:rsidTr="00453143">
        <w:trPr>
          <w:jc w:val="center"/>
        </w:trPr>
        <w:tc>
          <w:tcPr>
            <w:tcW w:w="1339" w:type="dxa"/>
            <w:vMerge/>
          </w:tcPr>
          <w:p w14:paraId="1C4788B3" w14:textId="77777777" w:rsidR="00453143" w:rsidRPr="008F2DA0" w:rsidRDefault="00453143" w:rsidP="00453143">
            <w:pPr>
              <w:rPr>
                <w:rFonts w:eastAsia="Arial Unicode MS" w:cs="Arial Unicode MS"/>
                <w:szCs w:val="20"/>
              </w:rPr>
            </w:pPr>
          </w:p>
        </w:tc>
        <w:tc>
          <w:tcPr>
            <w:tcW w:w="1950" w:type="dxa"/>
            <w:vMerge/>
          </w:tcPr>
          <w:p w14:paraId="7F540CEC" w14:textId="77777777" w:rsidR="00453143" w:rsidRPr="008F2DA0" w:rsidRDefault="00453143" w:rsidP="00453143">
            <w:pPr>
              <w:jc w:val="center"/>
              <w:rPr>
                <w:rFonts w:eastAsia="Arial Unicode MS" w:cs="Arial Unicode MS"/>
                <w:color w:val="000000"/>
                <w:szCs w:val="20"/>
              </w:rPr>
            </w:pPr>
          </w:p>
        </w:tc>
        <w:tc>
          <w:tcPr>
            <w:tcW w:w="1275" w:type="dxa"/>
            <w:vMerge/>
          </w:tcPr>
          <w:p w14:paraId="5680A807" w14:textId="77777777" w:rsidR="00453143" w:rsidRPr="008F2DA0" w:rsidRDefault="00453143" w:rsidP="00453143">
            <w:pPr>
              <w:jc w:val="center"/>
              <w:rPr>
                <w:rFonts w:eastAsia="Arial Unicode MS" w:cs="Arial Unicode MS"/>
                <w:szCs w:val="20"/>
              </w:rPr>
            </w:pPr>
          </w:p>
        </w:tc>
        <w:tc>
          <w:tcPr>
            <w:tcW w:w="1222" w:type="dxa"/>
          </w:tcPr>
          <w:p w14:paraId="20BAFCC5" w14:textId="77777777" w:rsidR="00453143" w:rsidRPr="008F2DA0" w:rsidRDefault="00453143" w:rsidP="00453143">
            <w:pPr>
              <w:jc w:val="right"/>
              <w:rPr>
                <w:rFonts w:eastAsia="Arial Unicode MS" w:cs="Arial Unicode MS"/>
                <w:szCs w:val="20"/>
              </w:rPr>
            </w:pPr>
            <w:r w:rsidRPr="008F2DA0">
              <w:rPr>
                <w:rFonts w:eastAsia="Arial Unicode MS" w:cs="Arial Unicode MS"/>
                <w:iCs/>
                <w:szCs w:val="20"/>
              </w:rPr>
              <w:t>Error (%)</w:t>
            </w:r>
          </w:p>
        </w:tc>
        <w:tc>
          <w:tcPr>
            <w:tcW w:w="2406" w:type="dxa"/>
          </w:tcPr>
          <w:p w14:paraId="407FDE71" w14:textId="348A923F" w:rsidR="00453143" w:rsidRPr="004A3DF5" w:rsidRDefault="00453143" w:rsidP="00453143">
            <w:pPr>
              <w:jc w:val="center"/>
              <w:rPr>
                <w:rFonts w:eastAsia="Arial Unicode MS" w:cs="Arial Unicode MS"/>
                <w:szCs w:val="20"/>
              </w:rPr>
            </w:pPr>
            <w:r w:rsidRPr="004A3DF5">
              <w:rPr>
                <w:rFonts w:eastAsia="Arial Unicode MS" w:cs="Arial Unicode MS"/>
                <w:szCs w:val="20"/>
              </w:rPr>
              <w:t>-60.4</w:t>
            </w:r>
          </w:p>
        </w:tc>
      </w:tr>
    </w:tbl>
    <w:p w14:paraId="1F5880B3" w14:textId="77777777" w:rsidR="0013554A" w:rsidRPr="00051D74" w:rsidRDefault="0013554A" w:rsidP="00B45AA9">
      <w:pPr>
        <w:pStyle w:val="Heading1"/>
        <w:spacing w:before="240" w:line="276" w:lineRule="auto"/>
        <w:rPr>
          <w:rFonts w:eastAsia="Arial Unicode MS" w:cs="Arial Unicode MS"/>
        </w:rPr>
      </w:pPr>
      <w:r w:rsidRPr="00051D74">
        <w:rPr>
          <w:rFonts w:eastAsia="Arial Unicode MS" w:cs="Arial Unicode MS"/>
        </w:rPr>
        <w:lastRenderedPageBreak/>
        <w:t>Conclusions</w:t>
      </w:r>
    </w:p>
    <w:p w14:paraId="0A660A16" w14:textId="4E3C2637" w:rsidR="004E4525" w:rsidRDefault="00051D74" w:rsidP="00453143">
      <w:pPr>
        <w:spacing w:line="276" w:lineRule="auto"/>
      </w:pPr>
      <w:r w:rsidRPr="00491E1F">
        <w:rPr>
          <w:rFonts w:eastAsia="Arial Unicode MS" w:cs="Arial Unicode MS"/>
          <w:szCs w:val="20"/>
        </w:rPr>
        <w:t xml:space="preserve">The experimental work shows the methane yields obtained from the digestion of </w:t>
      </w:r>
      <w:r w:rsidR="001838D9">
        <w:rPr>
          <w:rFonts w:eastAsia="Arial Unicode MS" w:cs="Arial Unicode MS"/>
          <w:noProof/>
          <w:szCs w:val="20"/>
        </w:rPr>
        <w:t>waste</w:t>
      </w:r>
      <w:r w:rsidR="001838D9" w:rsidRPr="00B45AA9">
        <w:rPr>
          <w:rFonts w:eastAsia="Arial Unicode MS" w:cs="Arial Unicode MS"/>
          <w:noProof/>
          <w:szCs w:val="20"/>
        </w:rPr>
        <w:t xml:space="preserve"> </w:t>
      </w:r>
      <w:r w:rsidRPr="00491E1F">
        <w:rPr>
          <w:rFonts w:eastAsia="Arial Unicode MS" w:cs="Arial Unicode MS"/>
          <w:szCs w:val="20"/>
        </w:rPr>
        <w:t xml:space="preserve">paper inoculated with sludge from a biogas production plant. Pretreated </w:t>
      </w:r>
      <w:r w:rsidR="001838D9">
        <w:rPr>
          <w:rFonts w:eastAsia="Arial Unicode MS" w:cs="Arial Unicode MS"/>
          <w:noProof/>
          <w:szCs w:val="20"/>
        </w:rPr>
        <w:t>waste</w:t>
      </w:r>
      <w:r w:rsidR="001838D9" w:rsidRPr="00B45AA9">
        <w:rPr>
          <w:rFonts w:eastAsia="Arial Unicode MS" w:cs="Arial Unicode MS"/>
          <w:noProof/>
          <w:szCs w:val="20"/>
        </w:rPr>
        <w:t xml:space="preserve"> </w:t>
      </w:r>
      <w:r w:rsidRPr="00491E1F">
        <w:rPr>
          <w:rFonts w:eastAsia="Arial Unicode MS" w:cs="Arial Unicode MS"/>
          <w:szCs w:val="20"/>
        </w:rPr>
        <w:t xml:space="preserve">paper with a Hollander beater for 60 min </w:t>
      </w:r>
      <w:r w:rsidR="00491E1F" w:rsidRPr="00491E1F">
        <w:rPr>
          <w:rFonts w:eastAsia="Arial Unicode MS" w:cs="Arial Unicode MS"/>
          <w:szCs w:val="20"/>
        </w:rPr>
        <w:t>improv</w:t>
      </w:r>
      <w:r w:rsidR="00B073F3">
        <w:rPr>
          <w:rFonts w:eastAsia="Arial Unicode MS" w:cs="Arial Unicode MS"/>
          <w:szCs w:val="20"/>
        </w:rPr>
        <w:t>ed the methane yield by 21</w:t>
      </w:r>
      <w:r w:rsidR="002A28FF">
        <w:rPr>
          <w:rFonts w:eastAsia="Arial Unicode MS" w:cs="Arial Unicode MS"/>
          <w:szCs w:val="20"/>
        </w:rPr>
        <w:t xml:space="preserve">%. </w:t>
      </w:r>
      <w:r w:rsidR="00491E1F" w:rsidRPr="00491E1F">
        <w:rPr>
          <w:rFonts w:eastAsia="Arial Unicode MS" w:cs="Arial Unicode MS"/>
          <w:szCs w:val="20"/>
        </w:rPr>
        <w:t xml:space="preserve">30 min pretreatment </w:t>
      </w:r>
      <w:r w:rsidR="002A28FF">
        <w:rPr>
          <w:rFonts w:eastAsia="Arial Unicode MS" w:cs="Arial Unicode MS"/>
          <w:szCs w:val="20"/>
        </w:rPr>
        <w:t>have no significant effect on the methane yield</w:t>
      </w:r>
      <w:r w:rsidR="004E4525">
        <w:rPr>
          <w:rFonts w:eastAsia="Arial Unicode MS" w:cs="Arial Unicode MS"/>
          <w:szCs w:val="20"/>
        </w:rPr>
        <w:t xml:space="preserve"> even if the methane production rates increased</w:t>
      </w:r>
      <w:r w:rsidRPr="00491E1F">
        <w:rPr>
          <w:rFonts w:eastAsia="Arial Unicode MS" w:cs="Arial Unicode MS"/>
          <w:szCs w:val="20"/>
        </w:rPr>
        <w:t xml:space="preserve">. The highest methane yields were achieved at F/I ratio 0.3 for all pretreatment </w:t>
      </w:r>
      <w:r w:rsidR="005008E3">
        <w:rPr>
          <w:rFonts w:eastAsia="Arial Unicode MS" w:cs="Arial Unicode MS"/>
          <w:szCs w:val="20"/>
        </w:rPr>
        <w:t>times</w:t>
      </w:r>
      <w:r w:rsidR="00CF53CF">
        <w:rPr>
          <w:rFonts w:eastAsia="Arial Unicode MS" w:cs="Arial Unicode MS"/>
          <w:szCs w:val="20"/>
        </w:rPr>
        <w:t>.</w:t>
      </w:r>
      <w:r w:rsidR="005008E3">
        <w:rPr>
          <w:rFonts w:eastAsia="Arial Unicode MS" w:cs="Arial Unicode MS"/>
          <w:szCs w:val="20"/>
        </w:rPr>
        <w:t xml:space="preserve">. </w:t>
      </w:r>
      <w:r w:rsidR="005008E3" w:rsidRPr="00901BD4">
        <w:t>An optimization study was performed to reduce the operating costs</w:t>
      </w:r>
      <w:r w:rsidR="005008E3">
        <w:t xml:space="preserve"> and </w:t>
      </w:r>
      <w:r w:rsidR="006E3F77">
        <w:t>time</w:t>
      </w:r>
      <w:r w:rsidR="006E3F77" w:rsidRPr="00901BD4">
        <w:t xml:space="preserve"> associated to the pretreatment and maximizes</w:t>
      </w:r>
      <w:r w:rsidR="005008E3" w:rsidRPr="00901BD4">
        <w:t xml:space="preserve"> the productivity. The aim is maximizing the </w:t>
      </w:r>
      <w:r w:rsidR="005008E3" w:rsidRPr="00901BD4">
        <w:rPr>
          <w:rFonts w:eastAsia="Arial Unicode MS" w:cs="Arial Unicode MS"/>
          <w:szCs w:val="20"/>
        </w:rPr>
        <w:t>methane</w:t>
      </w:r>
      <w:r w:rsidR="005008E3" w:rsidRPr="00901BD4">
        <w:t xml:space="preserve"> production while minimizing the pretreatment time</w:t>
      </w:r>
      <w:r w:rsidR="005008E3">
        <w:t>. An optimized</w:t>
      </w:r>
      <w:r w:rsidR="005008E3" w:rsidRPr="00901BD4">
        <w:t xml:space="preserve"> </w:t>
      </w:r>
      <w:r w:rsidR="005008E3" w:rsidRPr="00901BD4">
        <w:rPr>
          <w:rFonts w:eastAsia="Arial Unicode MS" w:cs="Arial Unicode MS"/>
          <w:szCs w:val="20"/>
        </w:rPr>
        <w:t>methane</w:t>
      </w:r>
      <w:r w:rsidR="005008E3" w:rsidRPr="00901BD4">
        <w:t xml:space="preserve"> </w:t>
      </w:r>
      <w:r w:rsidR="005008E3">
        <w:t>yield</w:t>
      </w:r>
      <w:r w:rsidR="005008E3" w:rsidRPr="00901BD4">
        <w:t xml:space="preserve"> of </w:t>
      </w:r>
      <w:r w:rsidR="00B073F3">
        <w:t>245</w:t>
      </w:r>
      <w:r w:rsidR="005008E3" w:rsidRPr="0012383A">
        <w:t xml:space="preserve"> </w:t>
      </w:r>
      <w:r w:rsidR="005008E3">
        <w:t>ml</w:t>
      </w:r>
      <w:r w:rsidR="005008E3" w:rsidRPr="00901BD4">
        <w:t xml:space="preserve">/gVS </w:t>
      </w:r>
      <w:r w:rsidR="005008E3">
        <w:t>was achieved for 55</w:t>
      </w:r>
      <w:r w:rsidR="005008E3" w:rsidRPr="00901BD4">
        <w:t xml:space="preserve"> min</w:t>
      </w:r>
      <w:r w:rsidR="005008E3">
        <w:t xml:space="preserve"> of</w:t>
      </w:r>
      <w:r w:rsidR="005008E3" w:rsidRPr="00901BD4">
        <w:t xml:space="preserve"> beating pretreatment and </w:t>
      </w:r>
      <w:r w:rsidR="005008E3">
        <w:t>a F/I ratio of 0.3</w:t>
      </w:r>
      <w:r w:rsidR="006E4D54">
        <w:t xml:space="preserve"> allowing 17% more methane than non beated waste paper</w:t>
      </w:r>
      <w:r w:rsidR="005008E3" w:rsidRPr="00901BD4">
        <w:t xml:space="preserve">. </w:t>
      </w:r>
    </w:p>
    <w:p w14:paraId="6E58BB96" w14:textId="213B424E" w:rsidR="00CF53CF" w:rsidRDefault="004E4525" w:rsidP="00453143">
      <w:pPr>
        <w:spacing w:line="276" w:lineRule="auto"/>
        <w:rPr>
          <w:rFonts w:eastAsia="Arial Unicode MS" w:cs="Arial Unicode MS"/>
          <w:szCs w:val="20"/>
        </w:rPr>
      </w:pPr>
      <w:r w:rsidRPr="004E4525">
        <w:t>The above findings summarize</w:t>
      </w:r>
      <w:r>
        <w:t xml:space="preserve"> that mechanical pretreatment of waste paper in a Hollander beater led to an increase in the final methane yields rather than the reaction kinetics. </w:t>
      </w:r>
      <w:r w:rsidR="006E3F77">
        <w:rPr>
          <w:rFonts w:eastAsia="Arial Unicode MS" w:cs="Arial Unicode MS" w:hint="eastAsia"/>
          <w:szCs w:val="20"/>
        </w:rPr>
        <w:t>Further work will focus on</w:t>
      </w:r>
      <w:r w:rsidR="006E3F77">
        <w:rPr>
          <w:rFonts w:eastAsia="Arial Unicode MS" w:cs="Arial Unicode MS"/>
          <w:szCs w:val="20"/>
        </w:rPr>
        <w:t xml:space="preserve"> improving</w:t>
      </w:r>
      <w:r w:rsidR="006E3F77">
        <w:rPr>
          <w:rFonts w:eastAsia="Arial Unicode MS" w:cs="Arial Unicode MS" w:hint="eastAsia"/>
          <w:szCs w:val="20"/>
        </w:rPr>
        <w:t xml:space="preserve"> </w:t>
      </w:r>
      <w:r w:rsidR="006E3F77">
        <w:rPr>
          <w:rFonts w:eastAsia="Arial Unicode MS" w:cs="Arial Unicode MS"/>
          <w:szCs w:val="20"/>
        </w:rPr>
        <w:t xml:space="preserve">the anaerobic </w:t>
      </w:r>
      <w:r w:rsidR="006E3F77">
        <w:rPr>
          <w:rFonts w:eastAsia="Arial Unicode MS" w:cs="Arial Unicode MS" w:hint="eastAsia"/>
          <w:szCs w:val="20"/>
        </w:rPr>
        <w:t>digestibility</w:t>
      </w:r>
      <w:r w:rsidR="006E3F77">
        <w:rPr>
          <w:rFonts w:eastAsia="Arial Unicode MS" w:cs="Arial Unicode MS"/>
          <w:szCs w:val="20"/>
        </w:rPr>
        <w:t xml:space="preserve"> of </w:t>
      </w:r>
      <w:r w:rsidR="006E4D54">
        <w:rPr>
          <w:rFonts w:eastAsia="Arial Unicode MS" w:cs="Arial Unicode MS"/>
          <w:szCs w:val="20"/>
        </w:rPr>
        <w:t xml:space="preserve">mechanically pretreated </w:t>
      </w:r>
      <w:r w:rsidR="006E3F77">
        <w:rPr>
          <w:rFonts w:eastAsia="Arial Unicode MS" w:cs="Arial Unicode MS"/>
          <w:szCs w:val="20"/>
        </w:rPr>
        <w:t>waste paper through its codigestion with a high nitrogen content feedstock as seaweed</w:t>
      </w:r>
      <w:r w:rsidR="006E3F77">
        <w:rPr>
          <w:rFonts w:eastAsia="Arial Unicode MS" w:cs="Arial Unicode MS" w:hint="eastAsia"/>
          <w:szCs w:val="20"/>
        </w:rPr>
        <w:t>.</w:t>
      </w:r>
    </w:p>
    <w:p w14:paraId="044FB9D2" w14:textId="77777777" w:rsidR="00405383" w:rsidRPr="00CF53CF" w:rsidRDefault="00405383" w:rsidP="00453143">
      <w:pPr>
        <w:spacing w:line="276" w:lineRule="auto"/>
        <w:rPr>
          <w:rFonts w:eastAsia="Arial Unicode MS" w:cs="Arial Unicode MS"/>
          <w:szCs w:val="20"/>
        </w:rPr>
      </w:pPr>
    </w:p>
    <w:p w14:paraId="4B33BF53" w14:textId="77777777" w:rsidR="00203491" w:rsidRPr="00E05F11" w:rsidRDefault="0013554A" w:rsidP="00B45AA9">
      <w:pPr>
        <w:pStyle w:val="BodyText"/>
        <w:spacing w:before="240" w:line="276" w:lineRule="auto"/>
        <w:jc w:val="left"/>
        <w:rPr>
          <w:rFonts w:eastAsia="Arial Unicode MS" w:cs="Arial Unicode MS"/>
          <w:b/>
          <w:bCs/>
          <w:szCs w:val="20"/>
          <w:lang w:val="en-US"/>
        </w:rPr>
      </w:pPr>
      <w:r w:rsidRPr="00E05F11">
        <w:rPr>
          <w:rFonts w:eastAsia="Arial Unicode MS" w:cs="Arial Unicode MS"/>
          <w:b/>
          <w:bCs/>
          <w:szCs w:val="20"/>
          <w:lang w:val="en-US"/>
        </w:rPr>
        <w:t>REFERENCES</w:t>
      </w:r>
    </w:p>
    <w:p w14:paraId="04870800" w14:textId="3771F846" w:rsidR="00A8001A" w:rsidRPr="00A8001A" w:rsidRDefault="00C13CE7" w:rsidP="00A8001A">
      <w:pPr>
        <w:widowControl w:val="0"/>
        <w:autoSpaceDE w:val="0"/>
        <w:autoSpaceDN w:val="0"/>
        <w:adjustRightInd w:val="0"/>
        <w:spacing w:after="140"/>
        <w:ind w:left="480" w:hanging="480"/>
        <w:rPr>
          <w:rFonts w:ascii="Calibri" w:hAnsi="Calibri"/>
          <w:noProof/>
          <w:sz w:val="22"/>
        </w:rPr>
      </w:pPr>
      <w:r w:rsidRPr="00901137">
        <w:rPr>
          <w:rFonts w:asciiTheme="minorHAnsi" w:eastAsia="Arial Unicode MS" w:hAnsiTheme="minorHAnsi" w:cs="Arial Unicode MS"/>
          <w:sz w:val="22"/>
          <w:szCs w:val="22"/>
        </w:rPr>
        <w:fldChar w:fldCharType="begin" w:fldLock="1"/>
      </w:r>
      <w:r w:rsidR="0013554A" w:rsidRPr="00901137">
        <w:rPr>
          <w:rFonts w:asciiTheme="minorHAnsi" w:eastAsia="Arial Unicode MS" w:hAnsiTheme="minorHAnsi" w:cs="Arial Unicode MS"/>
          <w:sz w:val="22"/>
          <w:szCs w:val="22"/>
          <w:lang w:val="en-US"/>
        </w:rPr>
        <w:instrText xml:space="preserve">ADDIN Mendeley Bibliography CSL_BIBLIOGRAPHY </w:instrText>
      </w:r>
      <w:r w:rsidRPr="00901137">
        <w:rPr>
          <w:rFonts w:asciiTheme="minorHAnsi" w:eastAsia="Arial Unicode MS" w:hAnsiTheme="minorHAnsi" w:cs="Arial Unicode MS"/>
          <w:sz w:val="22"/>
          <w:szCs w:val="22"/>
        </w:rPr>
        <w:fldChar w:fldCharType="separate"/>
      </w:r>
      <w:r w:rsidR="00A8001A" w:rsidRPr="00A8001A">
        <w:rPr>
          <w:rFonts w:ascii="Calibri" w:hAnsi="Calibri"/>
          <w:noProof/>
          <w:sz w:val="22"/>
        </w:rPr>
        <w:t>Ahmadi, M., Vahabzadeh, F., Bonakdarpour, B., Mofarrah, E., Mehranian, M., 2005. Application of the central composite design and response surface methodology to the advanced treatment of olive oil processing wastewater using Fenton’s peroxidation. J. Hazard. Mater. 123, 187–195. doi:10.1016/j.jhazmat.2005.03.042</w:t>
      </w:r>
    </w:p>
    <w:p w14:paraId="4B4AAC7C"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Ali Shah, F., Mahmood, Q., Maroof Shah, M., Pervez, A., Ahmad Asad, S., 2014. Microbial ecology of anaerobic digesters: the key players of anaerobiosis. ScientificWorldJournal. 2014, 183752. doi:10.1155/2014/183752</w:t>
      </w:r>
    </w:p>
    <w:p w14:paraId="0AC7EBA4"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Alvarez, J.V.L., Larrucea, M.A., Bermúdez, P.A., Chicote, B.L., 2009. Biodegradation of paper waste under controlled composting conditions. Waste Manag. 29, 1514–9. doi:10.1016/j.wasman.2008.11.025</w:t>
      </w:r>
    </w:p>
    <w:p w14:paraId="32A796D8"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Behera, S., Arora, R., Nandhagopal, N., Kumar, S., 2014. Importance of chemical pretreatment for bioconversion of lignocellulosic biomass. Renew. Sustain. Energy Rev. 36, 91–106. doi:10.1016/j.rser.2014.04.047</w:t>
      </w:r>
    </w:p>
    <w:p w14:paraId="6252B302"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Benyounis, K.Y., Olabi, A.G., 2008. Optimization of different welding processes using statistical and numerical approaches – A reference guide. Adv. Eng. Softw. 39, 483–496. doi:10.1016/j.advengsoft.2007.03.012</w:t>
      </w:r>
    </w:p>
    <w:p w14:paraId="19AA4C10"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Boulanger, A., Pinet, E., Bouix, M., Bouchez, T., Mansour, A.A., 2012. Effect of inoculum to substrate ratio (I/S) on municipal solid waste anaerobic degradation kinetics and potential. Waste Manag. 32, 2258–2265. doi:10.1016/j.wasman.2012.07.024</w:t>
      </w:r>
    </w:p>
    <w:p w14:paraId="3534D0B7"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 xml:space="preserve">Brummer, V., Jurena, T., Hlavacek, V., Omelkova, J., Bebar, L., Gabriel, P., Stehlik, P., 2014. Enzymatic hydrolysis of pretreated waste paper--source of raw material for production of liquid biofuels. </w:t>
      </w:r>
      <w:r w:rsidRPr="00A8001A">
        <w:rPr>
          <w:rFonts w:ascii="Calibri" w:hAnsi="Calibri"/>
          <w:noProof/>
          <w:sz w:val="22"/>
        </w:rPr>
        <w:lastRenderedPageBreak/>
        <w:t>Bioresour. Technol. 152, 543–7. doi:10.1016/j.biortech.2013.11.030</w:t>
      </w:r>
    </w:p>
    <w:p w14:paraId="4637BA39"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Cerda, M., 2008. Arqueologia industrial, First. ed. Universitat de Valencia, Valencia.</w:t>
      </w:r>
    </w:p>
    <w:p w14:paraId="62EFE9F5"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Eleazer, W.E., Odle, W.S., Wang, Y.-S., Barlaz, M.A., 1997. Biodegradability of Municipal Solid Waste Components in Laboratory-Scale Landfills. Environ. Sci. Technol. 31, 911–917. doi:10.1021/es9606788</w:t>
      </w:r>
    </w:p>
    <w:p w14:paraId="28EF4042"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Eskicioglu, C., Ghorbani, M., 2011. Effect of inoculum/substrate ratio on mesophilic anaerobic digestion of bioethanol plant whole stillage in batch mode, Process Biochemistry. doi:10.1016/j.procbio.2011.04.013</w:t>
      </w:r>
    </w:p>
    <w:p w14:paraId="7D80FF29"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European IPPC Bureau, 2013. Best Available Techniques (BAT) Reference Document for the Production of Pulp, Paper and Board 899.</w:t>
      </w:r>
    </w:p>
    <w:p w14:paraId="58C9CA45"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Fernández-Rodríguez, M.J., Rincón, B., Fermoso, F.G., Jiménez, A.M., Borja, R., 2014. Assessment of two-phase olive mill solid waste and microalgae co-digestion to improve methane production and process kinetics. Bioresour. Technol. 157, 263–269. doi:10.1016/j.biortech.2014.01.096</w:t>
      </w:r>
    </w:p>
    <w:p w14:paraId="50619501"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Folorunso, O.P., Anyata, B.U., 2007. Potential uses of waste paper/sludge as a ceiling material. Res. J. Appl. Sci. 2, 584–586.</w:t>
      </w:r>
    </w:p>
    <w:p w14:paraId="4A9E1C55"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González-Fernández, C., García-Encina, P.A., 2009. Impact of substrate to inoculum ratio in anaerobic digestion of swine slurry. Biomass and Bioenergy 33, 1065–1069. doi:10.1016/j.biombioe.2009.03.008</w:t>
      </w:r>
    </w:p>
    <w:p w14:paraId="2EB1C1F8"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Gran, I.R., 2001. Characterisation of MSW for Combustion Systems.</w:t>
      </w:r>
    </w:p>
    <w:p w14:paraId="746B1FCE"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Hendriks,  a T.W.M., Zeeman, G., 2009. Pretreatments to enhance the digestibility of lignocellulosic biomass. Bioresour. Technol. 100, 10–8. doi:10.1016/j.biortech.2008.05.027</w:t>
      </w:r>
    </w:p>
    <w:p w14:paraId="4CB0246F"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Infraestructure and Projects Authority, 2016. National Infrastructure Delivery Plan 2016–2021. London.</w:t>
      </w:r>
    </w:p>
    <w:p w14:paraId="1C72A73E"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Johari, S., Widiasa, I.N., 2012. The Effect of Feed to Inoculums Ratio on Biogas Production Rate from Cattle Manure Using Rumen Fluid as Inoculums. Internat. J. Waste Resour. 2, 1–4.</w:t>
      </w:r>
    </w:p>
    <w:p w14:paraId="7586C518"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Jokela, J.P.Y., Vavilin, V.A., Rintala, J.A., 2005. Hydrolysis rates, methane production and nitrogen solubilisation of grey waste components during anaerobic degradation. Bioresour. Technol. 96, 501–8. doi:10.1016/j.biortech.2004.03.009</w:t>
      </w:r>
    </w:p>
    <w:p w14:paraId="4E44262D"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Kayhanian, M., Rich, D., 1995. Pilot-scale high solids thermophilic anaerobic digestion of municipal solid waste with an emphasis on nutrient requirements. Biomass and Bioenergy 8, 433–444. doi:10.1016/0961-9534(95)00043-7</w:t>
      </w:r>
    </w:p>
    <w:p w14:paraId="27795AF3"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Keymer, P., Ruffell, I., Pratt, S., Lant, P., 2013. High pressure thermal hydrolysis as pre-treatment to increase the methane yield during anaerobic digestion of microalgae. Bioresour. Technol. 131, 128–33. doi:10.1016/j.biortech.2012.12.125</w:t>
      </w:r>
    </w:p>
    <w:p w14:paraId="75A2E481"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Kumar, P., Barrett, D.M., Delwiche, M.J., Stroeve, P., 2009. Methods for Pretreatment of Lignocellulosic Biomass for Efficient Hydrolysis and Biofuel Production. Ind. Eng. Chem. Res. 48, 3713–3729. doi:10.1021/ie801542g</w:t>
      </w:r>
    </w:p>
    <w:p w14:paraId="05252CF7"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Li, Y., Liu, H., 2000. High-pressure binderless compaction of waste paper to form useful fuel. Fuel Process. Technol. 67, 11–21. doi:10.1016/S0378-3820(00)00092-8</w:t>
      </w:r>
    </w:p>
    <w:p w14:paraId="7E3ABC32"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 xml:space="preserve">Lin, Y., Wang, D., Li, Q., Huang, L., 2011. Kinetic study of mesophilic anaerobic digestion of pulp &amp; paper </w:t>
      </w:r>
      <w:r w:rsidRPr="00A8001A">
        <w:rPr>
          <w:rFonts w:ascii="Calibri" w:hAnsi="Calibri"/>
          <w:noProof/>
          <w:sz w:val="22"/>
        </w:rPr>
        <w:lastRenderedPageBreak/>
        <w:t>sludge. Biomass and Bioenergy 35, 4862–4867. doi:10.1016/j.biombioe.2011.10.001</w:t>
      </w:r>
    </w:p>
    <w:p w14:paraId="2E52BA68"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Lo, H.M., Chiu, H.Y., Lo, S.W., Lo, F.C., 2012. Effects of different SRT on anaerobic digestion of MSW dosed with various MSWI ashes. Bioresour. Technol. 125, 233–8. doi:10.1016/j.biortech.2012.08.084</w:t>
      </w:r>
    </w:p>
    <w:p w14:paraId="36C6055E"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Lumiainen, J., 2000. Refining of chemical pulp, in: Paulapuro, H. (Ed.), Papermaking, Part 1: Stock Preparation &amp; Wet End. Tappi, pp. 87–105.</w:t>
      </w:r>
    </w:p>
    <w:p w14:paraId="65C8BBF7"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Magnaghi, G., 2014. RECOVERED PAPER MARKET IN 2012. Brussels.</w:t>
      </w:r>
    </w:p>
    <w:p w14:paraId="60DFE43F"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Menind, A., Normak, A., 2008. Study on Grinding Biomass as Pre-treatment for Biogasification.</w:t>
      </w:r>
    </w:p>
    <w:p w14:paraId="084425D9"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Meyer, T., Edwards, E.A., 2014. Anaerobic digestion of pulp and paper mill wastewater and sludge. Water Res. 65, 321–49. doi:10.1016/j.watres.2014.07.022</w:t>
      </w:r>
    </w:p>
    <w:p w14:paraId="396CAAF5"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Montingelli, M.E., Benyounis, K.Y., Quilty, B., Stokes, J., Olabi, A.G., 2017. Influence of mechanical pretreatment and organic concentration of Irish brown seaweed for methane production. Energy 118, 1079–1089. doi:10.1016/j.energy.2016.10.132</w:t>
      </w:r>
    </w:p>
    <w:p w14:paraId="18E74A87"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Montingelli, M.E., Benyounis, K.Y., Quilty, B., Stokes, J., Olabi, A.G., 2016. Optimisation of biogas production from the macroalgae Laminaria sp. at different periods of harvesting in Ireland. Appl. Energy 177, 671–682. doi:10.1016/j.apenergy.2016.05.150</w:t>
      </w:r>
    </w:p>
    <w:p w14:paraId="7C22E87E"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Montingelli, M.E., Benyounis, K.Y., Stokes, J., Olabi, A.G., 2016. Pretreatment of macroalgal biomass for biogas production. Energy Convers. Manag. 108, 202–209. doi:10.1016/j.enconman.2015.11.008</w:t>
      </w:r>
    </w:p>
    <w:p w14:paraId="623E269A"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Montingelli, M.E., Tedesco, S., Olabi, A.G., 2015. Biogas production from algal biomass: A review. Renew. Sustain. Energy Rev. 43, 961–972. doi:10.1016/j.rser.2014.11.052</w:t>
      </w:r>
    </w:p>
    <w:p w14:paraId="055BD351"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Mshandete, A., Björnsson, L., Kivaisi, A.K., Rubindamayugi, M.S.T., Mattiasson, B., 2006. Effect of particle size on biogas yield from sisal fibre waste. Renew. Energy 31, 2385–2392. doi:10.1016/j.renene.2005.10.015</w:t>
      </w:r>
    </w:p>
    <w:p w14:paraId="2EC67716"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Osorio, G.A., 2010. Análisis FMECA a sistema de posicionamiento de platinas de refinadora de pulpa de papel diseñada para papelera Gubelin Ltda. Universidad Austral de Chile.</w:t>
      </w:r>
    </w:p>
    <w:p w14:paraId="0ED3445D"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Palenzuela Rollón, A., 1999. Anaerobic digestion of fish processing wastewaters with special emphasis on hydrolysis of suspended solids. A.A.Balkema, P.O.Box 1675,3000 BR Rotterdam, Netherlands.</w:t>
      </w:r>
    </w:p>
    <w:p w14:paraId="59F24E31"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Pommier, S., Llamas, A.M., Lefebvre, X., 2010. Analysis of the outcome of shredding pretreatment on the anaerobic biodegradability of paper and cardboard materials. Bioresour. Technol. 101, 463–8. doi:10.1016/j.biortech.2009.07.034</w:t>
      </w:r>
    </w:p>
    <w:p w14:paraId="3FAEA6A9"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Priadi, C., Wulandari, D., Rahmatika, I., Moersidik, S.S., 2014. Biogas Production in the Anaerobic Digestion of Paper Sludge. APCBEE Procedia 9, 65–69. doi:10.1016/j.apcbee.2014.01.012</w:t>
      </w:r>
    </w:p>
    <w:p w14:paraId="2A3C7AB6"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Raposo, F., Borja, R., Rincon, B., Jimenez, A.M., 2008. Assessment of process control parameters in the biochemical methane potential of sunflower oil cake. Biomass and Bioenergy 32, 1235–1244. doi:10.1016/j.biombioe.2008.02.019</w:t>
      </w:r>
    </w:p>
    <w:p w14:paraId="6D3C5F5F"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Rodriguez, C., Alaswad, A., Benyounis, K.Y., Olabi, A.G., 2016. Pretreatment techniques used in biogas production from grass. Renew. Sustain. Energy Rev. 68, 1193–1204. doi:10.1016/j.rser.2016.02.022</w:t>
      </w:r>
    </w:p>
    <w:p w14:paraId="4023B5C0"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 xml:space="preserve">Rodriguez, C., Alaswad, A., El-Hassan, Z., Olabi, A., 2016. Optimization of the anaerobic digestion process of mechanically pretreated algae, in: Ban, M., Duić, N., Costa, M., Schneider, D.R., Guzović, Z. </w:t>
      </w:r>
      <w:r w:rsidRPr="00A8001A">
        <w:rPr>
          <w:rFonts w:ascii="Calibri" w:hAnsi="Calibri"/>
          <w:noProof/>
          <w:sz w:val="22"/>
        </w:rPr>
        <w:lastRenderedPageBreak/>
        <w:t>(Eds.), 11th Conference on Sustainable Development of Energy, Water and Environment Systems, SDEWES. Faculty of Mechanical Engineering and Naval Architecture, Zagreb, Lisbon, p. 0679 1-12. doi:ISSN 1847-7178</w:t>
      </w:r>
    </w:p>
    <w:p w14:paraId="3500525B"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Rodriguez, C., Alaswad, A., Mooney, J., Prescott, T., Olabi, A.G., 2015. Pre-treatment techniques used for anaerobic digestion of algae. Fuel Process. Technol. 138, 765–779. doi:10.1016/j.fuproc.2015.06.027</w:t>
      </w:r>
    </w:p>
    <w:p w14:paraId="68642B19"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Ryan, T.P., 2007. Modern Engineering Statistics. John Wiley &amp; Sons, Inc., Hoboken, NJ, USA. doi:10.1002/9780470128442</w:t>
      </w:r>
    </w:p>
    <w:p w14:paraId="65D64734"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Sasaki, K., Okamoto, M., Shirai, T., Tsuge, Y., Fujino, A., Sasaki, D., Morita, M., Matsuda, F., Kikuchi, J., Kondo, A., 2016. Toward the complete utilization of rice straw: Methane fermentation and lignin recovery by a combinational process involving mechanical milling, supporting material and nanofiltration. Bioresour. Technol. 216, 830–837. doi:10.1016/j.biortech.2016.06.029</w:t>
      </w:r>
    </w:p>
    <w:p w14:paraId="68769006"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Sutcu, M., del Coz Díaz, J.J., Álvarez Rabanal, F.P., Gencel, O., Akkurt, S., 2014. Thermal performance optimization of hollow clay bricks made up of paper waste. Energy Build. 75, 96–108. doi:10.1016/j.enbuild.2014.02.006</w:t>
      </w:r>
    </w:p>
    <w:p w14:paraId="278012DE"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Szeinbaum, N., 2009. Assessment of anaerobic treatment of select waste streams in paper manufacturing operations. Georgia Institute of Technology.</w:t>
      </w:r>
    </w:p>
    <w:p w14:paraId="77609C92"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Tedesco, S., Benyounis, K.Y., Olabi,  a. G., 2013. Mechanical pretreatment effects on macroalgae-derived biogas production in co-digestion with sludge in Ireland. Energy 61, 27–33. doi:10.1016/j.energy.2013.01.071</w:t>
      </w:r>
    </w:p>
    <w:p w14:paraId="506389A5"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Tedesco, S., Mac Lochlainn, D., Olabi, A.G., 2014. Particle size reduction optimization of Laminaria spp. biomass for enhanced methane production. Energy 76, 857–862. doi:10.1016/j.energy.2014.08.086</w:t>
      </w:r>
    </w:p>
    <w:p w14:paraId="15A45B7B"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Tedesco, S., Marrero Barroso, T., Olabi,  a. G., 2014. Optimization of mechanical pre-treatment of Laminariaceae spp. biomass-derived biogas. Renew. Energy 62, 527–534. doi:10.1016/j.renene.2013.08.023</w:t>
      </w:r>
    </w:p>
    <w:p w14:paraId="5D563DAC"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The Bureau of International Recycling, n.d. Ten questions on paper recovery and recycling [WWW Document]. URL http://www.bir.org/industry/paper/ten-questions-on-paper-recovery-and-recycling/ (accessed 2.13.15).</w:t>
      </w:r>
    </w:p>
    <w:p w14:paraId="5088CDF8"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Tsapekos, P., Kougias, P.G., Angelidaki, I., 2015. Biogas production from ensiled meadow grass; effect of mechanical pretreatments and rapid determination of substrate biodegradability via physicochemical methods. Bioresour. Technol. 182C, 329–335. doi:10.1016/j.biortech.2015.02.025</w:t>
      </w:r>
    </w:p>
    <w:p w14:paraId="2B527ECF"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VDI-Gesellschaft Energietechnik, 2006. Fermentation of organic materials Characterisation of the substrate, sampling, collection of material data, fermentation tests. VDI-Gesellschaft Energietechnik, Dusseldorf.</w:t>
      </w:r>
    </w:p>
    <w:p w14:paraId="16D78B44"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Villanueva, A., Eder, P., 2011. End-of-waste criteria for waste paper: Technical proposals. Seville, Spain.</w:t>
      </w:r>
    </w:p>
    <w:p w14:paraId="66066ECA"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Vining, G.G., Kowalski, S., 2010. Statistical Methods for Engineers. Cengage Learning.</w:t>
      </w:r>
    </w:p>
    <w:p w14:paraId="1FD53957"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Ward, P.L., Wohlt, J.E., Zajac, P.K., Cooper, K.R., 2000. Chemical and physical properties of processed newspaper compared to wheat straw and wood shavings as animal bedding. J. Dairy Sci. 83, 359–67. doi:10.3168/jds.S0022-0302(00)74887-9</w:t>
      </w:r>
    </w:p>
    <w:p w14:paraId="52057F0B"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lastRenderedPageBreak/>
        <w:t>Yuan, X., Cao, Y., Li, J., Wen, B., Zhu, W., Wang, X., Cui, Z., 2012. Effect of pretreatment by a microbial consortium on methane production of waste paper and cardboard. Bioresour. Technol. 118, 281–8. doi:10.1016/j.biortech.2012.05.058</w:t>
      </w:r>
    </w:p>
    <w:p w14:paraId="37E7AAEE" w14:textId="77777777" w:rsidR="00A8001A" w:rsidRPr="00A8001A" w:rsidRDefault="00A8001A" w:rsidP="00A8001A">
      <w:pPr>
        <w:widowControl w:val="0"/>
        <w:autoSpaceDE w:val="0"/>
        <w:autoSpaceDN w:val="0"/>
        <w:adjustRightInd w:val="0"/>
        <w:spacing w:after="140"/>
        <w:ind w:left="480" w:hanging="480"/>
        <w:rPr>
          <w:rFonts w:ascii="Calibri" w:hAnsi="Calibri"/>
          <w:noProof/>
          <w:sz w:val="22"/>
        </w:rPr>
      </w:pPr>
      <w:r w:rsidRPr="00A8001A">
        <w:rPr>
          <w:rFonts w:ascii="Calibri" w:hAnsi="Calibri"/>
          <w:noProof/>
          <w:sz w:val="22"/>
        </w:rPr>
        <w:t>Zheng, Y., Zhao, J., Xu, F., Li, Y., 2014. Pretreatment of lignocellulosic biomass for enhanced biogas production. Prog. Energy Combust. Sci. 42, 35–53. doi:10.1016/j.pecs.2014.01.001</w:t>
      </w:r>
    </w:p>
    <w:p w14:paraId="44A27BC4" w14:textId="531D0DFF" w:rsidR="00630269" w:rsidRPr="00B45AA9" w:rsidRDefault="00C13CE7" w:rsidP="00A8001A">
      <w:pPr>
        <w:widowControl w:val="0"/>
        <w:autoSpaceDE w:val="0"/>
        <w:autoSpaceDN w:val="0"/>
        <w:adjustRightInd w:val="0"/>
        <w:spacing w:after="140"/>
        <w:ind w:left="480" w:hanging="480"/>
        <w:rPr>
          <w:rFonts w:eastAsia="Arial Unicode MS" w:cs="Arial Unicode MS"/>
          <w:szCs w:val="20"/>
        </w:rPr>
      </w:pPr>
      <w:r w:rsidRPr="00901137">
        <w:rPr>
          <w:rFonts w:asciiTheme="minorHAnsi" w:eastAsia="Arial Unicode MS" w:hAnsiTheme="minorHAnsi" w:cs="Arial Unicode MS"/>
          <w:sz w:val="22"/>
          <w:szCs w:val="22"/>
        </w:rPr>
        <w:fldChar w:fldCharType="end"/>
      </w:r>
    </w:p>
    <w:sectPr w:rsidR="00630269" w:rsidRPr="00B45AA9" w:rsidSect="00BC144E">
      <w:footerReference w:type="default" r:id="rId2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2BEF0" w14:textId="77777777" w:rsidR="00880150" w:rsidRDefault="00880150" w:rsidP="00C13CE7">
      <w:r>
        <w:separator/>
      </w:r>
    </w:p>
  </w:endnote>
  <w:endnote w:type="continuationSeparator" w:id="0">
    <w:p w14:paraId="65CA1958" w14:textId="77777777" w:rsidR="00880150" w:rsidRDefault="00880150" w:rsidP="00C13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968237"/>
      <w:docPartObj>
        <w:docPartGallery w:val="Page Numbers (Bottom of Page)"/>
        <w:docPartUnique/>
      </w:docPartObj>
    </w:sdtPr>
    <w:sdtEndPr>
      <w:rPr>
        <w:noProof/>
      </w:rPr>
    </w:sdtEndPr>
    <w:sdtContent>
      <w:p w14:paraId="58FCD6AF" w14:textId="708A79EF" w:rsidR="00D33581" w:rsidRDefault="00D33581">
        <w:pPr>
          <w:pStyle w:val="Footer"/>
          <w:jc w:val="center"/>
        </w:pPr>
        <w:r>
          <w:fldChar w:fldCharType="begin"/>
        </w:r>
        <w:r>
          <w:instrText xml:space="preserve"> PAGE   \* MERGEFORMAT </w:instrText>
        </w:r>
        <w:r>
          <w:fldChar w:fldCharType="separate"/>
        </w:r>
        <w:r w:rsidR="00E41A16">
          <w:rPr>
            <w:noProof/>
          </w:rPr>
          <w:t>2</w:t>
        </w:r>
        <w:r>
          <w:rPr>
            <w:noProof/>
          </w:rPr>
          <w:fldChar w:fldCharType="end"/>
        </w:r>
      </w:p>
    </w:sdtContent>
  </w:sdt>
  <w:p w14:paraId="76C4CC9D" w14:textId="77777777" w:rsidR="00D33581" w:rsidRDefault="00D335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9D763" w14:textId="77777777" w:rsidR="00880150" w:rsidRDefault="00880150" w:rsidP="00C13CE7">
      <w:r>
        <w:separator/>
      </w:r>
    </w:p>
  </w:footnote>
  <w:footnote w:type="continuationSeparator" w:id="0">
    <w:p w14:paraId="7CBBA0D1" w14:textId="77777777" w:rsidR="00880150" w:rsidRDefault="00880150" w:rsidP="00C13C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C66C82"/>
    <w:multiLevelType w:val="hybridMultilevel"/>
    <w:tmpl w:val="2AE4E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57322E"/>
    <w:multiLevelType w:val="multilevel"/>
    <w:tmpl w:val="09AAFF4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54A"/>
    <w:rsid w:val="00002976"/>
    <w:rsid w:val="00017AC3"/>
    <w:rsid w:val="00027EA8"/>
    <w:rsid w:val="0003323E"/>
    <w:rsid w:val="00036C3C"/>
    <w:rsid w:val="00041983"/>
    <w:rsid w:val="00042F95"/>
    <w:rsid w:val="00051D74"/>
    <w:rsid w:val="00061F4E"/>
    <w:rsid w:val="00070F57"/>
    <w:rsid w:val="000837C1"/>
    <w:rsid w:val="00083D6A"/>
    <w:rsid w:val="0008581A"/>
    <w:rsid w:val="00090A30"/>
    <w:rsid w:val="00093265"/>
    <w:rsid w:val="000A2C01"/>
    <w:rsid w:val="000A56EC"/>
    <w:rsid w:val="000B3340"/>
    <w:rsid w:val="000B640F"/>
    <w:rsid w:val="000C19AD"/>
    <w:rsid w:val="000E38A4"/>
    <w:rsid w:val="000E7BC1"/>
    <w:rsid w:val="000F0724"/>
    <w:rsid w:val="000F16FC"/>
    <w:rsid w:val="000F74BB"/>
    <w:rsid w:val="0010192C"/>
    <w:rsid w:val="00102589"/>
    <w:rsid w:val="001079D4"/>
    <w:rsid w:val="00110D6C"/>
    <w:rsid w:val="001129BC"/>
    <w:rsid w:val="00112D9B"/>
    <w:rsid w:val="00115CEB"/>
    <w:rsid w:val="00116BF7"/>
    <w:rsid w:val="0011724F"/>
    <w:rsid w:val="001205E9"/>
    <w:rsid w:val="0012383A"/>
    <w:rsid w:val="00133240"/>
    <w:rsid w:val="00134786"/>
    <w:rsid w:val="00134C0B"/>
    <w:rsid w:val="0013554A"/>
    <w:rsid w:val="00135AAA"/>
    <w:rsid w:val="00142C14"/>
    <w:rsid w:val="0014444E"/>
    <w:rsid w:val="00144FA8"/>
    <w:rsid w:val="00146360"/>
    <w:rsid w:val="00150350"/>
    <w:rsid w:val="00152BCC"/>
    <w:rsid w:val="00153F98"/>
    <w:rsid w:val="001548DA"/>
    <w:rsid w:val="00155B59"/>
    <w:rsid w:val="001622F6"/>
    <w:rsid w:val="0016572F"/>
    <w:rsid w:val="00166427"/>
    <w:rsid w:val="00167D48"/>
    <w:rsid w:val="001838D9"/>
    <w:rsid w:val="001921C5"/>
    <w:rsid w:val="001947F6"/>
    <w:rsid w:val="00196FB6"/>
    <w:rsid w:val="001A0725"/>
    <w:rsid w:val="001A4E16"/>
    <w:rsid w:val="001C364E"/>
    <w:rsid w:val="001C4376"/>
    <w:rsid w:val="001D573B"/>
    <w:rsid w:val="001D6F13"/>
    <w:rsid w:val="001F0443"/>
    <w:rsid w:val="001F5E68"/>
    <w:rsid w:val="002004AE"/>
    <w:rsid w:val="00203491"/>
    <w:rsid w:val="0020731F"/>
    <w:rsid w:val="0020765E"/>
    <w:rsid w:val="00210D50"/>
    <w:rsid w:val="00211BAE"/>
    <w:rsid w:val="00211CB2"/>
    <w:rsid w:val="00213822"/>
    <w:rsid w:val="00221027"/>
    <w:rsid w:val="00222335"/>
    <w:rsid w:val="002314A7"/>
    <w:rsid w:val="00236572"/>
    <w:rsid w:val="002443CE"/>
    <w:rsid w:val="002462F1"/>
    <w:rsid w:val="00247321"/>
    <w:rsid w:val="00250A5A"/>
    <w:rsid w:val="00253038"/>
    <w:rsid w:val="00254076"/>
    <w:rsid w:val="0026022B"/>
    <w:rsid w:val="00260A5F"/>
    <w:rsid w:val="00262155"/>
    <w:rsid w:val="00274BAB"/>
    <w:rsid w:val="00275315"/>
    <w:rsid w:val="00276283"/>
    <w:rsid w:val="00277384"/>
    <w:rsid w:val="0029544D"/>
    <w:rsid w:val="00296765"/>
    <w:rsid w:val="002A2147"/>
    <w:rsid w:val="002A28FF"/>
    <w:rsid w:val="002A3CDA"/>
    <w:rsid w:val="002B028A"/>
    <w:rsid w:val="002B5322"/>
    <w:rsid w:val="002B7DEF"/>
    <w:rsid w:val="002C4985"/>
    <w:rsid w:val="002C66AB"/>
    <w:rsid w:val="002D1900"/>
    <w:rsid w:val="002D1D22"/>
    <w:rsid w:val="002D2B12"/>
    <w:rsid w:val="002D5C6C"/>
    <w:rsid w:val="002D6194"/>
    <w:rsid w:val="002D6429"/>
    <w:rsid w:val="002D760D"/>
    <w:rsid w:val="002E03BA"/>
    <w:rsid w:val="002E3207"/>
    <w:rsid w:val="002E3C04"/>
    <w:rsid w:val="002F0862"/>
    <w:rsid w:val="002F2D56"/>
    <w:rsid w:val="002F6BA9"/>
    <w:rsid w:val="002F72E6"/>
    <w:rsid w:val="00301C49"/>
    <w:rsid w:val="00313209"/>
    <w:rsid w:val="00313E91"/>
    <w:rsid w:val="00314E42"/>
    <w:rsid w:val="003162F7"/>
    <w:rsid w:val="003252A8"/>
    <w:rsid w:val="003370A4"/>
    <w:rsid w:val="00342DE0"/>
    <w:rsid w:val="00345CD3"/>
    <w:rsid w:val="00375F7A"/>
    <w:rsid w:val="00385468"/>
    <w:rsid w:val="00392EA2"/>
    <w:rsid w:val="00393996"/>
    <w:rsid w:val="00396F00"/>
    <w:rsid w:val="003A49B9"/>
    <w:rsid w:val="003A5CFD"/>
    <w:rsid w:val="003A7D3A"/>
    <w:rsid w:val="003B0957"/>
    <w:rsid w:val="003B2C5A"/>
    <w:rsid w:val="003C34E4"/>
    <w:rsid w:val="003C4212"/>
    <w:rsid w:val="003D4B77"/>
    <w:rsid w:val="003E428D"/>
    <w:rsid w:val="003F47C8"/>
    <w:rsid w:val="0040383A"/>
    <w:rsid w:val="00404D26"/>
    <w:rsid w:val="00405383"/>
    <w:rsid w:val="00407B43"/>
    <w:rsid w:val="0041075C"/>
    <w:rsid w:val="00416732"/>
    <w:rsid w:val="004203EF"/>
    <w:rsid w:val="00420FF0"/>
    <w:rsid w:val="00425F0E"/>
    <w:rsid w:val="00427589"/>
    <w:rsid w:val="00427844"/>
    <w:rsid w:val="00431CF4"/>
    <w:rsid w:val="00435DC1"/>
    <w:rsid w:val="00437FC7"/>
    <w:rsid w:val="004402A6"/>
    <w:rsid w:val="0045003C"/>
    <w:rsid w:val="004508B5"/>
    <w:rsid w:val="00453143"/>
    <w:rsid w:val="00457AB0"/>
    <w:rsid w:val="004674F5"/>
    <w:rsid w:val="0047015F"/>
    <w:rsid w:val="004719CA"/>
    <w:rsid w:val="00474DED"/>
    <w:rsid w:val="00483BA4"/>
    <w:rsid w:val="00491E1F"/>
    <w:rsid w:val="00493364"/>
    <w:rsid w:val="004962DB"/>
    <w:rsid w:val="004963D8"/>
    <w:rsid w:val="004A2CEC"/>
    <w:rsid w:val="004A3DF5"/>
    <w:rsid w:val="004A4BF1"/>
    <w:rsid w:val="004A7818"/>
    <w:rsid w:val="004B0CFE"/>
    <w:rsid w:val="004B395F"/>
    <w:rsid w:val="004B655C"/>
    <w:rsid w:val="004C6C64"/>
    <w:rsid w:val="004E4525"/>
    <w:rsid w:val="004E7CE4"/>
    <w:rsid w:val="004F6466"/>
    <w:rsid w:val="004F69E8"/>
    <w:rsid w:val="005005E9"/>
    <w:rsid w:val="005008E3"/>
    <w:rsid w:val="00500BCF"/>
    <w:rsid w:val="00503627"/>
    <w:rsid w:val="005036DA"/>
    <w:rsid w:val="005039DE"/>
    <w:rsid w:val="00506A27"/>
    <w:rsid w:val="00515320"/>
    <w:rsid w:val="005216AD"/>
    <w:rsid w:val="00527675"/>
    <w:rsid w:val="005364C7"/>
    <w:rsid w:val="00540A8C"/>
    <w:rsid w:val="00544360"/>
    <w:rsid w:val="0055367A"/>
    <w:rsid w:val="0055446B"/>
    <w:rsid w:val="00556FFB"/>
    <w:rsid w:val="00572FD2"/>
    <w:rsid w:val="0058132B"/>
    <w:rsid w:val="00590A70"/>
    <w:rsid w:val="00596BC1"/>
    <w:rsid w:val="005A55C0"/>
    <w:rsid w:val="005B096A"/>
    <w:rsid w:val="005B5B96"/>
    <w:rsid w:val="005C19D5"/>
    <w:rsid w:val="005C4D8B"/>
    <w:rsid w:val="005D6768"/>
    <w:rsid w:val="005D7A60"/>
    <w:rsid w:val="005E0D68"/>
    <w:rsid w:val="005F06E6"/>
    <w:rsid w:val="005F15A6"/>
    <w:rsid w:val="005F4E7F"/>
    <w:rsid w:val="00600551"/>
    <w:rsid w:val="00607F23"/>
    <w:rsid w:val="00610414"/>
    <w:rsid w:val="006120BE"/>
    <w:rsid w:val="00616C1A"/>
    <w:rsid w:val="006212D4"/>
    <w:rsid w:val="00623B5D"/>
    <w:rsid w:val="00625C45"/>
    <w:rsid w:val="00630269"/>
    <w:rsid w:val="006372A2"/>
    <w:rsid w:val="006406CB"/>
    <w:rsid w:val="006431CB"/>
    <w:rsid w:val="00643593"/>
    <w:rsid w:val="006447E0"/>
    <w:rsid w:val="00644E45"/>
    <w:rsid w:val="00647793"/>
    <w:rsid w:val="006526CC"/>
    <w:rsid w:val="00653B3B"/>
    <w:rsid w:val="006608B2"/>
    <w:rsid w:val="00662AE9"/>
    <w:rsid w:val="006661DC"/>
    <w:rsid w:val="00667D96"/>
    <w:rsid w:val="006778BD"/>
    <w:rsid w:val="00692A29"/>
    <w:rsid w:val="0069369B"/>
    <w:rsid w:val="00695D05"/>
    <w:rsid w:val="006B0161"/>
    <w:rsid w:val="006B1F52"/>
    <w:rsid w:val="006B2B76"/>
    <w:rsid w:val="006B3E90"/>
    <w:rsid w:val="006C1602"/>
    <w:rsid w:val="006C2213"/>
    <w:rsid w:val="006C6DCE"/>
    <w:rsid w:val="006D2124"/>
    <w:rsid w:val="006E0C00"/>
    <w:rsid w:val="006E30F7"/>
    <w:rsid w:val="006E3F77"/>
    <w:rsid w:val="006E4D54"/>
    <w:rsid w:val="006E655F"/>
    <w:rsid w:val="006E6A06"/>
    <w:rsid w:val="006E6E53"/>
    <w:rsid w:val="006F2C64"/>
    <w:rsid w:val="006F393F"/>
    <w:rsid w:val="006F7BE3"/>
    <w:rsid w:val="00703558"/>
    <w:rsid w:val="00706DF4"/>
    <w:rsid w:val="00713171"/>
    <w:rsid w:val="00722DF6"/>
    <w:rsid w:val="0073242E"/>
    <w:rsid w:val="00734004"/>
    <w:rsid w:val="00734485"/>
    <w:rsid w:val="007505F6"/>
    <w:rsid w:val="0075109C"/>
    <w:rsid w:val="007511CD"/>
    <w:rsid w:val="007607A8"/>
    <w:rsid w:val="007633B9"/>
    <w:rsid w:val="00772977"/>
    <w:rsid w:val="0077758F"/>
    <w:rsid w:val="00777F55"/>
    <w:rsid w:val="00780A56"/>
    <w:rsid w:val="0079601D"/>
    <w:rsid w:val="00796088"/>
    <w:rsid w:val="00796EA0"/>
    <w:rsid w:val="007A0BE7"/>
    <w:rsid w:val="007A139A"/>
    <w:rsid w:val="007A3810"/>
    <w:rsid w:val="007A43CC"/>
    <w:rsid w:val="007A5AAD"/>
    <w:rsid w:val="007A6CEF"/>
    <w:rsid w:val="007A76FC"/>
    <w:rsid w:val="007A7C50"/>
    <w:rsid w:val="007B64B2"/>
    <w:rsid w:val="007B6ECE"/>
    <w:rsid w:val="007B707E"/>
    <w:rsid w:val="007C0F68"/>
    <w:rsid w:val="007D044B"/>
    <w:rsid w:val="007D4952"/>
    <w:rsid w:val="007D54BC"/>
    <w:rsid w:val="007E4547"/>
    <w:rsid w:val="007E79CD"/>
    <w:rsid w:val="007F45EC"/>
    <w:rsid w:val="007F759E"/>
    <w:rsid w:val="00802E8E"/>
    <w:rsid w:val="00806F43"/>
    <w:rsid w:val="0081635B"/>
    <w:rsid w:val="00816F87"/>
    <w:rsid w:val="00817D69"/>
    <w:rsid w:val="00823049"/>
    <w:rsid w:val="00831BF7"/>
    <w:rsid w:val="00840C5D"/>
    <w:rsid w:val="00841385"/>
    <w:rsid w:val="008454B7"/>
    <w:rsid w:val="008463BE"/>
    <w:rsid w:val="00846E80"/>
    <w:rsid w:val="00864587"/>
    <w:rsid w:val="00867C8C"/>
    <w:rsid w:val="00877309"/>
    <w:rsid w:val="00877BD1"/>
    <w:rsid w:val="0088001B"/>
    <w:rsid w:val="00880150"/>
    <w:rsid w:val="00881959"/>
    <w:rsid w:val="00881BE2"/>
    <w:rsid w:val="008838B1"/>
    <w:rsid w:val="00890196"/>
    <w:rsid w:val="008944FC"/>
    <w:rsid w:val="00895072"/>
    <w:rsid w:val="00897888"/>
    <w:rsid w:val="008B3DBF"/>
    <w:rsid w:val="008C2B43"/>
    <w:rsid w:val="008C70F6"/>
    <w:rsid w:val="008D1558"/>
    <w:rsid w:val="008D7FD0"/>
    <w:rsid w:val="008E12A0"/>
    <w:rsid w:val="008E490D"/>
    <w:rsid w:val="00900795"/>
    <w:rsid w:val="00901137"/>
    <w:rsid w:val="009032C7"/>
    <w:rsid w:val="0093006B"/>
    <w:rsid w:val="00933FD3"/>
    <w:rsid w:val="0093529A"/>
    <w:rsid w:val="00935BC1"/>
    <w:rsid w:val="00940EB3"/>
    <w:rsid w:val="0094569D"/>
    <w:rsid w:val="009466C0"/>
    <w:rsid w:val="009478DA"/>
    <w:rsid w:val="009502F5"/>
    <w:rsid w:val="00951FD0"/>
    <w:rsid w:val="00955C8D"/>
    <w:rsid w:val="0096151B"/>
    <w:rsid w:val="00964A0B"/>
    <w:rsid w:val="009750D3"/>
    <w:rsid w:val="009764D4"/>
    <w:rsid w:val="0097778A"/>
    <w:rsid w:val="00980980"/>
    <w:rsid w:val="0098335E"/>
    <w:rsid w:val="009920A6"/>
    <w:rsid w:val="00992C91"/>
    <w:rsid w:val="009A2386"/>
    <w:rsid w:val="009A2C3E"/>
    <w:rsid w:val="009A7EDE"/>
    <w:rsid w:val="009B29FD"/>
    <w:rsid w:val="009C7CAC"/>
    <w:rsid w:val="009D139B"/>
    <w:rsid w:val="009D56D2"/>
    <w:rsid w:val="009E028F"/>
    <w:rsid w:val="009E5A3C"/>
    <w:rsid w:val="009F0D17"/>
    <w:rsid w:val="009F54A9"/>
    <w:rsid w:val="00A01951"/>
    <w:rsid w:val="00A02993"/>
    <w:rsid w:val="00A0496A"/>
    <w:rsid w:val="00A05025"/>
    <w:rsid w:val="00A26B9B"/>
    <w:rsid w:val="00A35F94"/>
    <w:rsid w:val="00A37C1E"/>
    <w:rsid w:val="00A4102E"/>
    <w:rsid w:val="00A41B33"/>
    <w:rsid w:val="00A44EED"/>
    <w:rsid w:val="00A506D2"/>
    <w:rsid w:val="00A513B5"/>
    <w:rsid w:val="00A52C6E"/>
    <w:rsid w:val="00A61655"/>
    <w:rsid w:val="00A6471E"/>
    <w:rsid w:val="00A66246"/>
    <w:rsid w:val="00A72383"/>
    <w:rsid w:val="00A72A17"/>
    <w:rsid w:val="00A7551B"/>
    <w:rsid w:val="00A8001A"/>
    <w:rsid w:val="00A83397"/>
    <w:rsid w:val="00A83B30"/>
    <w:rsid w:val="00A85702"/>
    <w:rsid w:val="00A85D09"/>
    <w:rsid w:val="00A867B5"/>
    <w:rsid w:val="00A87AD6"/>
    <w:rsid w:val="00A87E01"/>
    <w:rsid w:val="00A97565"/>
    <w:rsid w:val="00AA117E"/>
    <w:rsid w:val="00AA5E9B"/>
    <w:rsid w:val="00AA6E19"/>
    <w:rsid w:val="00AB1E6D"/>
    <w:rsid w:val="00AB5E60"/>
    <w:rsid w:val="00AC0C30"/>
    <w:rsid w:val="00AC7458"/>
    <w:rsid w:val="00AC7C08"/>
    <w:rsid w:val="00AD7066"/>
    <w:rsid w:val="00AE5715"/>
    <w:rsid w:val="00AF76DE"/>
    <w:rsid w:val="00AF7E61"/>
    <w:rsid w:val="00B006D8"/>
    <w:rsid w:val="00B02D55"/>
    <w:rsid w:val="00B05E0A"/>
    <w:rsid w:val="00B073F3"/>
    <w:rsid w:val="00B12B95"/>
    <w:rsid w:val="00B172CA"/>
    <w:rsid w:val="00B172E1"/>
    <w:rsid w:val="00B21259"/>
    <w:rsid w:val="00B224F5"/>
    <w:rsid w:val="00B23FCF"/>
    <w:rsid w:val="00B45AA9"/>
    <w:rsid w:val="00B500E6"/>
    <w:rsid w:val="00B573B4"/>
    <w:rsid w:val="00B573FA"/>
    <w:rsid w:val="00B629DE"/>
    <w:rsid w:val="00B62C96"/>
    <w:rsid w:val="00B77F04"/>
    <w:rsid w:val="00B808E2"/>
    <w:rsid w:val="00B80F61"/>
    <w:rsid w:val="00B81F20"/>
    <w:rsid w:val="00B82B94"/>
    <w:rsid w:val="00B8416E"/>
    <w:rsid w:val="00B851AF"/>
    <w:rsid w:val="00B91449"/>
    <w:rsid w:val="00B92BF4"/>
    <w:rsid w:val="00B95F22"/>
    <w:rsid w:val="00BA518A"/>
    <w:rsid w:val="00BA59D5"/>
    <w:rsid w:val="00BA7678"/>
    <w:rsid w:val="00BC144E"/>
    <w:rsid w:val="00BC3569"/>
    <w:rsid w:val="00BD0EC0"/>
    <w:rsid w:val="00BD245A"/>
    <w:rsid w:val="00BD351B"/>
    <w:rsid w:val="00BE1072"/>
    <w:rsid w:val="00BE52E6"/>
    <w:rsid w:val="00BF0F2D"/>
    <w:rsid w:val="00BF75EA"/>
    <w:rsid w:val="00C0335A"/>
    <w:rsid w:val="00C079E5"/>
    <w:rsid w:val="00C07E2A"/>
    <w:rsid w:val="00C11B51"/>
    <w:rsid w:val="00C11E37"/>
    <w:rsid w:val="00C13CE7"/>
    <w:rsid w:val="00C13EAD"/>
    <w:rsid w:val="00C143A6"/>
    <w:rsid w:val="00C16B3B"/>
    <w:rsid w:val="00C20A6A"/>
    <w:rsid w:val="00C238AD"/>
    <w:rsid w:val="00C26166"/>
    <w:rsid w:val="00C264D1"/>
    <w:rsid w:val="00C305E1"/>
    <w:rsid w:val="00C33A9C"/>
    <w:rsid w:val="00C363AF"/>
    <w:rsid w:val="00C43D0D"/>
    <w:rsid w:val="00C46E83"/>
    <w:rsid w:val="00C476C1"/>
    <w:rsid w:val="00C50A69"/>
    <w:rsid w:val="00C532C3"/>
    <w:rsid w:val="00C57EC8"/>
    <w:rsid w:val="00C767BF"/>
    <w:rsid w:val="00C77CAF"/>
    <w:rsid w:val="00C84C97"/>
    <w:rsid w:val="00C85EE9"/>
    <w:rsid w:val="00C8655A"/>
    <w:rsid w:val="00C901AC"/>
    <w:rsid w:val="00C92E77"/>
    <w:rsid w:val="00C951D7"/>
    <w:rsid w:val="00C956ED"/>
    <w:rsid w:val="00CA3560"/>
    <w:rsid w:val="00CB301A"/>
    <w:rsid w:val="00CB37BB"/>
    <w:rsid w:val="00CC248B"/>
    <w:rsid w:val="00CC2A02"/>
    <w:rsid w:val="00CC3B29"/>
    <w:rsid w:val="00CC57DB"/>
    <w:rsid w:val="00CD265A"/>
    <w:rsid w:val="00CD5BDF"/>
    <w:rsid w:val="00CE0BEF"/>
    <w:rsid w:val="00CF53CF"/>
    <w:rsid w:val="00D07FDA"/>
    <w:rsid w:val="00D15A61"/>
    <w:rsid w:val="00D15AAB"/>
    <w:rsid w:val="00D33581"/>
    <w:rsid w:val="00D35470"/>
    <w:rsid w:val="00D35F8E"/>
    <w:rsid w:val="00D420DF"/>
    <w:rsid w:val="00D46C42"/>
    <w:rsid w:val="00D51A41"/>
    <w:rsid w:val="00D539E7"/>
    <w:rsid w:val="00D5406B"/>
    <w:rsid w:val="00D570E3"/>
    <w:rsid w:val="00D5741C"/>
    <w:rsid w:val="00D6000E"/>
    <w:rsid w:val="00D66799"/>
    <w:rsid w:val="00D672C8"/>
    <w:rsid w:val="00D73302"/>
    <w:rsid w:val="00D73E0F"/>
    <w:rsid w:val="00D75512"/>
    <w:rsid w:val="00D80715"/>
    <w:rsid w:val="00D81B60"/>
    <w:rsid w:val="00D8523C"/>
    <w:rsid w:val="00D87F51"/>
    <w:rsid w:val="00DA1435"/>
    <w:rsid w:val="00DA207A"/>
    <w:rsid w:val="00DA7B43"/>
    <w:rsid w:val="00DB4F7A"/>
    <w:rsid w:val="00DC144A"/>
    <w:rsid w:val="00DD0DA9"/>
    <w:rsid w:val="00DF4EBC"/>
    <w:rsid w:val="00DF6267"/>
    <w:rsid w:val="00E04AAB"/>
    <w:rsid w:val="00E05D73"/>
    <w:rsid w:val="00E05F11"/>
    <w:rsid w:val="00E07FF0"/>
    <w:rsid w:val="00E13FD5"/>
    <w:rsid w:val="00E153FE"/>
    <w:rsid w:val="00E20F49"/>
    <w:rsid w:val="00E21732"/>
    <w:rsid w:val="00E2391E"/>
    <w:rsid w:val="00E26424"/>
    <w:rsid w:val="00E362C5"/>
    <w:rsid w:val="00E41A16"/>
    <w:rsid w:val="00E44C4E"/>
    <w:rsid w:val="00E450B7"/>
    <w:rsid w:val="00E45811"/>
    <w:rsid w:val="00E64AFC"/>
    <w:rsid w:val="00E65496"/>
    <w:rsid w:val="00E66B37"/>
    <w:rsid w:val="00E7263B"/>
    <w:rsid w:val="00E809FA"/>
    <w:rsid w:val="00E85699"/>
    <w:rsid w:val="00EB50B9"/>
    <w:rsid w:val="00EC3372"/>
    <w:rsid w:val="00EC7202"/>
    <w:rsid w:val="00ED1DDA"/>
    <w:rsid w:val="00ED3679"/>
    <w:rsid w:val="00ED545B"/>
    <w:rsid w:val="00EF6C4F"/>
    <w:rsid w:val="00EF7C19"/>
    <w:rsid w:val="00F03EDC"/>
    <w:rsid w:val="00F06507"/>
    <w:rsid w:val="00F07F87"/>
    <w:rsid w:val="00F1101B"/>
    <w:rsid w:val="00F16547"/>
    <w:rsid w:val="00F17C1A"/>
    <w:rsid w:val="00F236EE"/>
    <w:rsid w:val="00F27946"/>
    <w:rsid w:val="00F32B38"/>
    <w:rsid w:val="00F334D3"/>
    <w:rsid w:val="00F33BF9"/>
    <w:rsid w:val="00F3498C"/>
    <w:rsid w:val="00F532C8"/>
    <w:rsid w:val="00F56149"/>
    <w:rsid w:val="00F57E2E"/>
    <w:rsid w:val="00F609E6"/>
    <w:rsid w:val="00F60BDE"/>
    <w:rsid w:val="00F61D17"/>
    <w:rsid w:val="00F6493C"/>
    <w:rsid w:val="00F65924"/>
    <w:rsid w:val="00F934F1"/>
    <w:rsid w:val="00F946BC"/>
    <w:rsid w:val="00F948E6"/>
    <w:rsid w:val="00F958D2"/>
    <w:rsid w:val="00FA2B29"/>
    <w:rsid w:val="00FB6689"/>
    <w:rsid w:val="00FC40DC"/>
    <w:rsid w:val="00FC5AC4"/>
    <w:rsid w:val="00FD09A2"/>
    <w:rsid w:val="00FD495B"/>
    <w:rsid w:val="00FD60FF"/>
    <w:rsid w:val="00FD6DED"/>
    <w:rsid w:val="00FF1A49"/>
    <w:rsid w:val="00FF1D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C85FFB"/>
  <w15:docId w15:val="{66948CDE-AF62-4F76-973A-82EA0502B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AA9"/>
    <w:pPr>
      <w:spacing w:after="0" w:line="240" w:lineRule="auto"/>
    </w:pPr>
    <w:rPr>
      <w:rFonts w:ascii="Arial Unicode MS" w:eastAsia="Times New Roman" w:hAnsi="Arial Unicode MS" w:cs="Times New Roman"/>
      <w:sz w:val="20"/>
      <w:szCs w:val="24"/>
      <w:lang w:val="en-GB"/>
    </w:rPr>
  </w:style>
  <w:style w:type="paragraph" w:styleId="Heading1">
    <w:name w:val="heading 1"/>
    <w:basedOn w:val="Normal"/>
    <w:next w:val="BodyText"/>
    <w:link w:val="Heading1Char"/>
    <w:qFormat/>
    <w:rsid w:val="00EC7202"/>
    <w:pPr>
      <w:keepNext/>
      <w:numPr>
        <w:numId w:val="1"/>
      </w:numPr>
      <w:tabs>
        <w:tab w:val="right" w:pos="8640"/>
      </w:tabs>
      <w:spacing w:before="120"/>
      <w:outlineLvl w:val="0"/>
    </w:pPr>
    <w:rPr>
      <w:b/>
      <w:caps/>
      <w:szCs w:val="20"/>
    </w:rPr>
  </w:style>
  <w:style w:type="paragraph" w:styleId="Heading2">
    <w:name w:val="heading 2"/>
    <w:basedOn w:val="Normal"/>
    <w:next w:val="BodyText"/>
    <w:link w:val="Heading2Char"/>
    <w:qFormat/>
    <w:rsid w:val="00EC7202"/>
    <w:pPr>
      <w:keepNext/>
      <w:numPr>
        <w:ilvl w:val="1"/>
        <w:numId w:val="1"/>
      </w:numPr>
      <w:tabs>
        <w:tab w:val="clear" w:pos="360"/>
        <w:tab w:val="right" w:pos="431"/>
        <w:tab w:val="right" w:pos="8640"/>
      </w:tabs>
      <w:spacing w:before="120"/>
      <w:outlineLvl w:val="1"/>
    </w:pPr>
    <w:rPr>
      <w:b/>
      <w:kern w:val="28"/>
      <w:szCs w:val="20"/>
    </w:rPr>
  </w:style>
  <w:style w:type="paragraph" w:styleId="Heading4">
    <w:name w:val="heading 4"/>
    <w:basedOn w:val="Normal"/>
    <w:next w:val="BodyText"/>
    <w:link w:val="Heading4Char"/>
    <w:qFormat/>
    <w:rsid w:val="0013554A"/>
    <w:pPr>
      <w:keepNext/>
      <w:numPr>
        <w:ilvl w:val="3"/>
        <w:numId w:val="1"/>
      </w:numPr>
      <w:tabs>
        <w:tab w:val="right" w:pos="8640"/>
      </w:tabs>
      <w:spacing w:line="360" w:lineRule="auto"/>
      <w:outlineLvl w:val="3"/>
    </w:pPr>
    <w:rPr>
      <w:rFonts w:ascii="Garamond" w:hAnsi="Garamond"/>
      <w:i/>
      <w:kern w:val="28"/>
      <w:szCs w:val="20"/>
    </w:rPr>
  </w:style>
  <w:style w:type="paragraph" w:styleId="Heading5">
    <w:name w:val="heading 5"/>
    <w:basedOn w:val="Normal"/>
    <w:next w:val="Normal"/>
    <w:link w:val="Heading5Char"/>
    <w:qFormat/>
    <w:rsid w:val="0013554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3554A"/>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3554A"/>
    <w:pPr>
      <w:numPr>
        <w:ilvl w:val="6"/>
        <w:numId w:val="1"/>
      </w:numPr>
      <w:spacing w:before="240" w:after="60"/>
      <w:outlineLvl w:val="6"/>
    </w:pPr>
  </w:style>
  <w:style w:type="paragraph" w:styleId="Heading8">
    <w:name w:val="heading 8"/>
    <w:basedOn w:val="Normal"/>
    <w:next w:val="Normal"/>
    <w:link w:val="Heading8Char"/>
    <w:qFormat/>
    <w:rsid w:val="0013554A"/>
    <w:pPr>
      <w:numPr>
        <w:ilvl w:val="7"/>
        <w:numId w:val="1"/>
      </w:numPr>
      <w:spacing w:before="240" w:after="60"/>
      <w:outlineLvl w:val="7"/>
    </w:pPr>
    <w:rPr>
      <w:i/>
      <w:iCs/>
    </w:rPr>
  </w:style>
  <w:style w:type="paragraph" w:styleId="Heading9">
    <w:name w:val="heading 9"/>
    <w:basedOn w:val="Normal"/>
    <w:next w:val="Normal"/>
    <w:link w:val="Heading9Char"/>
    <w:qFormat/>
    <w:rsid w:val="0013554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7202"/>
    <w:rPr>
      <w:rFonts w:ascii="Times New Roman" w:eastAsia="Times New Roman" w:hAnsi="Times New Roman" w:cs="Times New Roman"/>
      <w:b/>
      <w:caps/>
      <w:sz w:val="24"/>
      <w:szCs w:val="20"/>
      <w:lang w:val="en-GB"/>
    </w:rPr>
  </w:style>
  <w:style w:type="character" w:customStyle="1" w:styleId="Heading2Char">
    <w:name w:val="Heading 2 Char"/>
    <w:basedOn w:val="DefaultParagraphFont"/>
    <w:link w:val="Heading2"/>
    <w:rsid w:val="00EC7202"/>
    <w:rPr>
      <w:rFonts w:ascii="Times New Roman" w:eastAsia="Times New Roman" w:hAnsi="Times New Roman" w:cs="Times New Roman"/>
      <w:b/>
      <w:kern w:val="28"/>
      <w:sz w:val="24"/>
      <w:szCs w:val="20"/>
      <w:lang w:val="en-GB"/>
    </w:rPr>
  </w:style>
  <w:style w:type="character" w:customStyle="1" w:styleId="Heading4Char">
    <w:name w:val="Heading 4 Char"/>
    <w:basedOn w:val="DefaultParagraphFont"/>
    <w:link w:val="Heading4"/>
    <w:rsid w:val="0013554A"/>
    <w:rPr>
      <w:rFonts w:ascii="Garamond" w:eastAsia="Times New Roman" w:hAnsi="Garamond" w:cs="Times New Roman"/>
      <w:i/>
      <w:kern w:val="28"/>
      <w:sz w:val="24"/>
      <w:szCs w:val="20"/>
      <w:lang w:val="en-GB"/>
    </w:rPr>
  </w:style>
  <w:style w:type="character" w:customStyle="1" w:styleId="Heading5Char">
    <w:name w:val="Heading 5 Char"/>
    <w:basedOn w:val="DefaultParagraphFont"/>
    <w:link w:val="Heading5"/>
    <w:rsid w:val="0013554A"/>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13554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13554A"/>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13554A"/>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13554A"/>
    <w:rPr>
      <w:rFonts w:ascii="Arial" w:eastAsia="Times New Roman" w:hAnsi="Arial" w:cs="Arial"/>
      <w:lang w:val="en-GB"/>
    </w:rPr>
  </w:style>
  <w:style w:type="paragraph" w:customStyle="1" w:styleId="Author">
    <w:name w:val="Author"/>
    <w:basedOn w:val="BodyText"/>
    <w:next w:val="BodyText"/>
    <w:rsid w:val="0013554A"/>
  </w:style>
  <w:style w:type="paragraph" w:styleId="BodyText">
    <w:name w:val="Body Text"/>
    <w:basedOn w:val="Normal"/>
    <w:link w:val="BodyTextChar"/>
    <w:rsid w:val="0013554A"/>
    <w:pPr>
      <w:jc w:val="both"/>
    </w:pPr>
  </w:style>
  <w:style w:type="character" w:customStyle="1" w:styleId="BodyTextChar">
    <w:name w:val="Body Text Char"/>
    <w:basedOn w:val="DefaultParagraphFont"/>
    <w:link w:val="BodyText"/>
    <w:rsid w:val="0013554A"/>
    <w:rPr>
      <w:rFonts w:ascii="Times New Roman" w:eastAsia="Times New Roman" w:hAnsi="Times New Roman" w:cs="Times New Roman"/>
      <w:sz w:val="24"/>
      <w:szCs w:val="24"/>
      <w:lang w:val="en-GB"/>
    </w:rPr>
  </w:style>
  <w:style w:type="paragraph" w:styleId="Header">
    <w:name w:val="header"/>
    <w:basedOn w:val="Normal"/>
    <w:link w:val="HeaderChar"/>
    <w:rsid w:val="0013554A"/>
    <w:pPr>
      <w:tabs>
        <w:tab w:val="center" w:pos="4153"/>
        <w:tab w:val="right" w:pos="8306"/>
      </w:tabs>
    </w:pPr>
  </w:style>
  <w:style w:type="character" w:customStyle="1" w:styleId="HeaderChar">
    <w:name w:val="Header Char"/>
    <w:basedOn w:val="DefaultParagraphFont"/>
    <w:link w:val="Header"/>
    <w:rsid w:val="0013554A"/>
    <w:rPr>
      <w:rFonts w:ascii="Times New Roman" w:eastAsia="Times New Roman" w:hAnsi="Times New Roman" w:cs="Times New Roman"/>
      <w:sz w:val="24"/>
      <w:szCs w:val="24"/>
      <w:lang w:val="en-GB"/>
    </w:rPr>
  </w:style>
  <w:style w:type="paragraph" w:customStyle="1" w:styleId="Keyword">
    <w:name w:val="Keyword"/>
    <w:basedOn w:val="BodyText"/>
    <w:next w:val="Heading2"/>
    <w:rsid w:val="0013554A"/>
    <w:pPr>
      <w:spacing w:before="120"/>
      <w:jc w:val="left"/>
    </w:pPr>
    <w:rPr>
      <w:iCs/>
    </w:rPr>
  </w:style>
  <w:style w:type="table" w:styleId="TableGrid">
    <w:name w:val="Table Grid"/>
    <w:basedOn w:val="TableNormal"/>
    <w:uiPriority w:val="39"/>
    <w:rsid w:val="0013554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554A"/>
    <w:rPr>
      <w:color w:val="0000FF" w:themeColor="hyperlink"/>
      <w:u w:val="single"/>
    </w:rPr>
  </w:style>
  <w:style w:type="paragraph" w:styleId="BalloonText">
    <w:name w:val="Balloon Text"/>
    <w:basedOn w:val="Normal"/>
    <w:link w:val="BalloonTextChar"/>
    <w:uiPriority w:val="99"/>
    <w:semiHidden/>
    <w:unhideWhenUsed/>
    <w:rsid w:val="0013554A"/>
    <w:rPr>
      <w:rFonts w:ascii="Tahoma" w:hAnsi="Tahoma" w:cs="Tahoma"/>
      <w:sz w:val="16"/>
      <w:szCs w:val="16"/>
    </w:rPr>
  </w:style>
  <w:style w:type="character" w:customStyle="1" w:styleId="BalloonTextChar">
    <w:name w:val="Balloon Text Char"/>
    <w:basedOn w:val="DefaultParagraphFont"/>
    <w:link w:val="BalloonText"/>
    <w:uiPriority w:val="99"/>
    <w:semiHidden/>
    <w:rsid w:val="0013554A"/>
    <w:rPr>
      <w:rFonts w:ascii="Tahoma" w:eastAsia="Times New Roman" w:hAnsi="Tahoma" w:cs="Tahoma"/>
      <w:sz w:val="16"/>
      <w:szCs w:val="16"/>
      <w:lang w:val="en-GB"/>
    </w:rPr>
  </w:style>
  <w:style w:type="paragraph" w:styleId="NormalWeb">
    <w:name w:val="Normal (Web)"/>
    <w:basedOn w:val="Normal"/>
    <w:uiPriority w:val="99"/>
    <w:unhideWhenUsed/>
    <w:rsid w:val="0013554A"/>
    <w:pPr>
      <w:spacing w:before="100" w:beforeAutospacing="1" w:after="100" w:afterAutospacing="1"/>
    </w:pPr>
    <w:rPr>
      <w:rFonts w:eastAsiaTheme="minorEastAsia"/>
      <w:lang w:val="en-US"/>
    </w:rPr>
  </w:style>
  <w:style w:type="paragraph" w:styleId="Footer">
    <w:name w:val="footer"/>
    <w:basedOn w:val="Normal"/>
    <w:link w:val="FooterChar"/>
    <w:uiPriority w:val="99"/>
    <w:unhideWhenUsed/>
    <w:rsid w:val="000E7BC1"/>
    <w:pPr>
      <w:tabs>
        <w:tab w:val="center" w:pos="4513"/>
        <w:tab w:val="right" w:pos="9026"/>
      </w:tabs>
    </w:pPr>
  </w:style>
  <w:style w:type="character" w:customStyle="1" w:styleId="FooterChar">
    <w:name w:val="Footer Char"/>
    <w:basedOn w:val="DefaultParagraphFont"/>
    <w:link w:val="Footer"/>
    <w:uiPriority w:val="99"/>
    <w:rsid w:val="000E7BC1"/>
    <w:rPr>
      <w:rFonts w:ascii="Times New Roman" w:eastAsia="Times New Roman" w:hAnsi="Times New Roman" w:cs="Times New Roman"/>
      <w:sz w:val="24"/>
      <w:szCs w:val="24"/>
      <w:lang w:val="en-GB"/>
    </w:rPr>
  </w:style>
  <w:style w:type="character" w:customStyle="1" w:styleId="current-selection">
    <w:name w:val="current-selection"/>
    <w:basedOn w:val="DefaultParagraphFont"/>
    <w:rsid w:val="00C767BF"/>
  </w:style>
  <w:style w:type="character" w:customStyle="1" w:styleId="a">
    <w:name w:val="_"/>
    <w:basedOn w:val="DefaultParagraphFont"/>
    <w:rsid w:val="00C767BF"/>
  </w:style>
  <w:style w:type="character" w:customStyle="1" w:styleId="ffa">
    <w:name w:val="ffa"/>
    <w:basedOn w:val="DefaultParagraphFont"/>
    <w:rsid w:val="00C767BF"/>
  </w:style>
  <w:style w:type="character" w:customStyle="1" w:styleId="ffb">
    <w:name w:val="ffb"/>
    <w:basedOn w:val="DefaultParagraphFont"/>
    <w:rsid w:val="00C767BF"/>
  </w:style>
  <w:style w:type="paragraph" w:styleId="FootnoteText">
    <w:name w:val="footnote text"/>
    <w:basedOn w:val="Normal"/>
    <w:link w:val="FootnoteTextChar"/>
    <w:uiPriority w:val="99"/>
    <w:semiHidden/>
    <w:unhideWhenUsed/>
    <w:rsid w:val="005A55C0"/>
    <w:rPr>
      <w:szCs w:val="20"/>
    </w:rPr>
  </w:style>
  <w:style w:type="character" w:customStyle="1" w:styleId="FootnoteTextChar">
    <w:name w:val="Footnote Text Char"/>
    <w:basedOn w:val="DefaultParagraphFont"/>
    <w:link w:val="FootnoteText"/>
    <w:uiPriority w:val="99"/>
    <w:semiHidden/>
    <w:rsid w:val="005A55C0"/>
    <w:rPr>
      <w:rFonts w:ascii="Arial Unicode MS" w:eastAsia="Times New Roman" w:hAnsi="Arial Unicode MS" w:cs="Times New Roman"/>
      <w:sz w:val="20"/>
      <w:szCs w:val="20"/>
      <w:lang w:val="en-GB"/>
    </w:rPr>
  </w:style>
  <w:style w:type="character" w:styleId="FootnoteReference">
    <w:name w:val="footnote reference"/>
    <w:basedOn w:val="DefaultParagraphFont"/>
    <w:uiPriority w:val="99"/>
    <w:semiHidden/>
    <w:unhideWhenUsed/>
    <w:rsid w:val="005A55C0"/>
    <w:rPr>
      <w:vertAlign w:val="superscript"/>
    </w:rPr>
  </w:style>
  <w:style w:type="character" w:styleId="CommentReference">
    <w:name w:val="annotation reference"/>
    <w:basedOn w:val="DefaultParagraphFont"/>
    <w:uiPriority w:val="99"/>
    <w:semiHidden/>
    <w:unhideWhenUsed/>
    <w:rsid w:val="00B23FCF"/>
    <w:rPr>
      <w:sz w:val="16"/>
      <w:szCs w:val="16"/>
    </w:rPr>
  </w:style>
  <w:style w:type="paragraph" w:styleId="CommentText">
    <w:name w:val="annotation text"/>
    <w:basedOn w:val="Normal"/>
    <w:link w:val="CommentTextChar"/>
    <w:uiPriority w:val="99"/>
    <w:semiHidden/>
    <w:unhideWhenUsed/>
    <w:rsid w:val="00B23FCF"/>
    <w:rPr>
      <w:szCs w:val="20"/>
    </w:rPr>
  </w:style>
  <w:style w:type="character" w:customStyle="1" w:styleId="CommentTextChar">
    <w:name w:val="Comment Text Char"/>
    <w:basedOn w:val="DefaultParagraphFont"/>
    <w:link w:val="CommentText"/>
    <w:uiPriority w:val="99"/>
    <w:semiHidden/>
    <w:rsid w:val="00B23FCF"/>
    <w:rPr>
      <w:rFonts w:ascii="Arial Unicode MS" w:eastAsia="Times New Roman" w:hAnsi="Arial Unicode M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23FCF"/>
    <w:rPr>
      <w:b/>
      <w:bCs/>
    </w:rPr>
  </w:style>
  <w:style w:type="character" w:customStyle="1" w:styleId="CommentSubjectChar">
    <w:name w:val="Comment Subject Char"/>
    <w:basedOn w:val="CommentTextChar"/>
    <w:link w:val="CommentSubject"/>
    <w:uiPriority w:val="99"/>
    <w:semiHidden/>
    <w:rsid w:val="00B23FCF"/>
    <w:rPr>
      <w:rFonts w:ascii="Arial Unicode MS" w:eastAsia="Times New Roman" w:hAnsi="Arial Unicode MS" w:cs="Times New Roman"/>
      <w:b/>
      <w:bCs/>
      <w:sz w:val="20"/>
      <w:szCs w:val="20"/>
      <w:lang w:val="en-GB"/>
    </w:rPr>
  </w:style>
  <w:style w:type="character" w:styleId="LineNumber">
    <w:name w:val="line number"/>
    <w:basedOn w:val="DefaultParagraphFont"/>
    <w:uiPriority w:val="99"/>
    <w:semiHidden/>
    <w:unhideWhenUsed/>
    <w:rsid w:val="00C305E1"/>
  </w:style>
  <w:style w:type="paragraph" w:styleId="Caption">
    <w:name w:val="caption"/>
    <w:basedOn w:val="Normal"/>
    <w:next w:val="Normal"/>
    <w:uiPriority w:val="35"/>
    <w:unhideWhenUsed/>
    <w:qFormat/>
    <w:rsid w:val="00C07E2A"/>
    <w:pPr>
      <w:spacing w:before="120" w:after="320"/>
      <w:jc w:val="center"/>
    </w:pPr>
    <w:rPr>
      <w:rFonts w:eastAsia="Arial Unicode MS" w:cs="Arial Unicode MS"/>
      <w:b/>
      <w:bCs/>
      <w:szCs w:val="18"/>
    </w:rPr>
  </w:style>
  <w:style w:type="paragraph" w:customStyle="1" w:styleId="TEXT">
    <w:name w:val="TEXT"/>
    <w:basedOn w:val="Normal"/>
    <w:link w:val="TEXTChar"/>
    <w:rsid w:val="00C43D0D"/>
    <w:pPr>
      <w:widowControl w:val="0"/>
      <w:tabs>
        <w:tab w:val="left" w:pos="9498"/>
      </w:tabs>
      <w:spacing w:line="280" w:lineRule="atLeast"/>
      <w:ind w:firstLine="284"/>
      <w:jc w:val="both"/>
    </w:pPr>
    <w:rPr>
      <w:rFonts w:ascii="Times" w:hAnsi="Times"/>
      <w:sz w:val="24"/>
      <w:lang w:val="it-IT" w:eastAsia="it-IT"/>
    </w:rPr>
  </w:style>
  <w:style w:type="character" w:customStyle="1" w:styleId="TEXTChar">
    <w:name w:val="TEXT Char"/>
    <w:link w:val="TEXT"/>
    <w:rsid w:val="00C43D0D"/>
    <w:rPr>
      <w:rFonts w:ascii="Times" w:eastAsia="Times New Roman" w:hAnsi="Times"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54063">
      <w:bodyDiv w:val="1"/>
      <w:marLeft w:val="0"/>
      <w:marRight w:val="0"/>
      <w:marTop w:val="0"/>
      <w:marBottom w:val="0"/>
      <w:divBdr>
        <w:top w:val="none" w:sz="0" w:space="0" w:color="auto"/>
        <w:left w:val="none" w:sz="0" w:space="0" w:color="auto"/>
        <w:bottom w:val="none" w:sz="0" w:space="0" w:color="auto"/>
        <w:right w:val="none" w:sz="0" w:space="0" w:color="auto"/>
      </w:divBdr>
      <w:divsChild>
        <w:div w:id="1734354193">
          <w:marLeft w:val="0"/>
          <w:marRight w:val="0"/>
          <w:marTop w:val="0"/>
          <w:marBottom w:val="0"/>
          <w:divBdr>
            <w:top w:val="none" w:sz="0" w:space="0" w:color="auto"/>
            <w:left w:val="none" w:sz="0" w:space="0" w:color="auto"/>
            <w:bottom w:val="none" w:sz="0" w:space="0" w:color="auto"/>
            <w:right w:val="none" w:sz="0" w:space="0" w:color="auto"/>
          </w:divBdr>
          <w:divsChild>
            <w:div w:id="114911331">
              <w:marLeft w:val="0"/>
              <w:marRight w:val="0"/>
              <w:marTop w:val="0"/>
              <w:marBottom w:val="0"/>
              <w:divBdr>
                <w:top w:val="none" w:sz="0" w:space="0" w:color="auto"/>
                <w:left w:val="none" w:sz="0" w:space="0" w:color="auto"/>
                <w:bottom w:val="none" w:sz="0" w:space="0" w:color="auto"/>
                <w:right w:val="none" w:sz="0" w:space="0" w:color="auto"/>
              </w:divBdr>
              <w:divsChild>
                <w:div w:id="1104883431">
                  <w:marLeft w:val="0"/>
                  <w:marRight w:val="0"/>
                  <w:marTop w:val="0"/>
                  <w:marBottom w:val="0"/>
                  <w:divBdr>
                    <w:top w:val="none" w:sz="0" w:space="0" w:color="auto"/>
                    <w:left w:val="none" w:sz="0" w:space="0" w:color="auto"/>
                    <w:bottom w:val="none" w:sz="0" w:space="0" w:color="auto"/>
                    <w:right w:val="none" w:sz="0" w:space="0" w:color="auto"/>
                  </w:divBdr>
                  <w:divsChild>
                    <w:div w:id="1814366901">
                      <w:marLeft w:val="0"/>
                      <w:marRight w:val="0"/>
                      <w:marTop w:val="0"/>
                      <w:marBottom w:val="0"/>
                      <w:divBdr>
                        <w:top w:val="none" w:sz="0" w:space="0" w:color="auto"/>
                        <w:left w:val="none" w:sz="0" w:space="0" w:color="auto"/>
                        <w:bottom w:val="none" w:sz="0" w:space="0" w:color="auto"/>
                        <w:right w:val="none" w:sz="0" w:space="0" w:color="auto"/>
                      </w:divBdr>
                      <w:divsChild>
                        <w:div w:id="116031460">
                          <w:marLeft w:val="0"/>
                          <w:marRight w:val="0"/>
                          <w:marTop w:val="0"/>
                          <w:marBottom w:val="0"/>
                          <w:divBdr>
                            <w:top w:val="none" w:sz="0" w:space="0" w:color="auto"/>
                            <w:left w:val="none" w:sz="0" w:space="0" w:color="auto"/>
                            <w:bottom w:val="none" w:sz="0" w:space="0" w:color="auto"/>
                            <w:right w:val="none" w:sz="0" w:space="0" w:color="auto"/>
                          </w:divBdr>
                          <w:divsChild>
                            <w:div w:id="99884842">
                              <w:marLeft w:val="0"/>
                              <w:marRight w:val="0"/>
                              <w:marTop w:val="0"/>
                              <w:marBottom w:val="0"/>
                              <w:divBdr>
                                <w:top w:val="none" w:sz="0" w:space="0" w:color="auto"/>
                                <w:left w:val="none" w:sz="0" w:space="0" w:color="auto"/>
                                <w:bottom w:val="none" w:sz="0" w:space="0" w:color="auto"/>
                                <w:right w:val="none" w:sz="0" w:space="0" w:color="auto"/>
                              </w:divBdr>
                              <w:divsChild>
                                <w:div w:id="215044657">
                                  <w:marLeft w:val="0"/>
                                  <w:marRight w:val="0"/>
                                  <w:marTop w:val="0"/>
                                  <w:marBottom w:val="0"/>
                                  <w:divBdr>
                                    <w:top w:val="none" w:sz="0" w:space="0" w:color="auto"/>
                                    <w:left w:val="none" w:sz="0" w:space="0" w:color="auto"/>
                                    <w:bottom w:val="none" w:sz="0" w:space="0" w:color="auto"/>
                                    <w:right w:val="none" w:sz="0" w:space="0" w:color="auto"/>
                                  </w:divBdr>
                                  <w:divsChild>
                                    <w:div w:id="308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68104">
      <w:bodyDiv w:val="1"/>
      <w:marLeft w:val="0"/>
      <w:marRight w:val="0"/>
      <w:marTop w:val="0"/>
      <w:marBottom w:val="0"/>
      <w:divBdr>
        <w:top w:val="none" w:sz="0" w:space="0" w:color="auto"/>
        <w:left w:val="none" w:sz="0" w:space="0" w:color="auto"/>
        <w:bottom w:val="none" w:sz="0" w:space="0" w:color="auto"/>
        <w:right w:val="none" w:sz="0" w:space="0" w:color="auto"/>
      </w:divBdr>
      <w:divsChild>
        <w:div w:id="1300382516">
          <w:marLeft w:val="0"/>
          <w:marRight w:val="0"/>
          <w:marTop w:val="0"/>
          <w:marBottom w:val="0"/>
          <w:divBdr>
            <w:top w:val="none" w:sz="0" w:space="0" w:color="auto"/>
            <w:left w:val="none" w:sz="0" w:space="0" w:color="auto"/>
            <w:bottom w:val="none" w:sz="0" w:space="0" w:color="auto"/>
            <w:right w:val="none" w:sz="0" w:space="0" w:color="auto"/>
          </w:divBdr>
        </w:div>
        <w:div w:id="938218183">
          <w:marLeft w:val="0"/>
          <w:marRight w:val="0"/>
          <w:marTop w:val="0"/>
          <w:marBottom w:val="0"/>
          <w:divBdr>
            <w:top w:val="none" w:sz="0" w:space="0" w:color="auto"/>
            <w:left w:val="none" w:sz="0" w:space="0" w:color="auto"/>
            <w:bottom w:val="none" w:sz="0" w:space="0" w:color="auto"/>
            <w:right w:val="none" w:sz="0" w:space="0" w:color="auto"/>
          </w:divBdr>
        </w:div>
        <w:div w:id="1920167262">
          <w:marLeft w:val="0"/>
          <w:marRight w:val="0"/>
          <w:marTop w:val="0"/>
          <w:marBottom w:val="0"/>
          <w:divBdr>
            <w:top w:val="none" w:sz="0" w:space="0" w:color="auto"/>
            <w:left w:val="none" w:sz="0" w:space="0" w:color="auto"/>
            <w:bottom w:val="none" w:sz="0" w:space="0" w:color="auto"/>
            <w:right w:val="none" w:sz="0" w:space="0" w:color="auto"/>
          </w:divBdr>
        </w:div>
        <w:div w:id="1747459745">
          <w:marLeft w:val="0"/>
          <w:marRight w:val="0"/>
          <w:marTop w:val="0"/>
          <w:marBottom w:val="0"/>
          <w:divBdr>
            <w:top w:val="none" w:sz="0" w:space="0" w:color="auto"/>
            <w:left w:val="none" w:sz="0" w:space="0" w:color="auto"/>
            <w:bottom w:val="none" w:sz="0" w:space="0" w:color="auto"/>
            <w:right w:val="none" w:sz="0" w:space="0" w:color="auto"/>
          </w:divBdr>
        </w:div>
        <w:div w:id="214240664">
          <w:marLeft w:val="0"/>
          <w:marRight w:val="0"/>
          <w:marTop w:val="0"/>
          <w:marBottom w:val="0"/>
          <w:divBdr>
            <w:top w:val="none" w:sz="0" w:space="0" w:color="auto"/>
            <w:left w:val="none" w:sz="0" w:space="0" w:color="auto"/>
            <w:bottom w:val="none" w:sz="0" w:space="0" w:color="auto"/>
            <w:right w:val="none" w:sz="0" w:space="0" w:color="auto"/>
          </w:divBdr>
        </w:div>
        <w:div w:id="33576933">
          <w:marLeft w:val="0"/>
          <w:marRight w:val="0"/>
          <w:marTop w:val="0"/>
          <w:marBottom w:val="0"/>
          <w:divBdr>
            <w:top w:val="none" w:sz="0" w:space="0" w:color="auto"/>
            <w:left w:val="none" w:sz="0" w:space="0" w:color="auto"/>
            <w:bottom w:val="none" w:sz="0" w:space="0" w:color="auto"/>
            <w:right w:val="none" w:sz="0" w:space="0" w:color="auto"/>
          </w:divBdr>
        </w:div>
        <w:div w:id="168907092">
          <w:marLeft w:val="0"/>
          <w:marRight w:val="0"/>
          <w:marTop w:val="0"/>
          <w:marBottom w:val="0"/>
          <w:divBdr>
            <w:top w:val="none" w:sz="0" w:space="0" w:color="auto"/>
            <w:left w:val="none" w:sz="0" w:space="0" w:color="auto"/>
            <w:bottom w:val="none" w:sz="0" w:space="0" w:color="auto"/>
            <w:right w:val="none" w:sz="0" w:space="0" w:color="auto"/>
          </w:divBdr>
        </w:div>
        <w:div w:id="717824365">
          <w:marLeft w:val="0"/>
          <w:marRight w:val="0"/>
          <w:marTop w:val="0"/>
          <w:marBottom w:val="0"/>
          <w:divBdr>
            <w:top w:val="none" w:sz="0" w:space="0" w:color="auto"/>
            <w:left w:val="none" w:sz="0" w:space="0" w:color="auto"/>
            <w:bottom w:val="none" w:sz="0" w:space="0" w:color="auto"/>
            <w:right w:val="none" w:sz="0" w:space="0" w:color="auto"/>
          </w:divBdr>
        </w:div>
        <w:div w:id="1690763856">
          <w:marLeft w:val="0"/>
          <w:marRight w:val="0"/>
          <w:marTop w:val="0"/>
          <w:marBottom w:val="0"/>
          <w:divBdr>
            <w:top w:val="none" w:sz="0" w:space="0" w:color="auto"/>
            <w:left w:val="none" w:sz="0" w:space="0" w:color="auto"/>
            <w:bottom w:val="none" w:sz="0" w:space="0" w:color="auto"/>
            <w:right w:val="none" w:sz="0" w:space="0" w:color="auto"/>
          </w:divBdr>
        </w:div>
        <w:div w:id="1329480516">
          <w:marLeft w:val="0"/>
          <w:marRight w:val="0"/>
          <w:marTop w:val="0"/>
          <w:marBottom w:val="0"/>
          <w:divBdr>
            <w:top w:val="none" w:sz="0" w:space="0" w:color="auto"/>
            <w:left w:val="none" w:sz="0" w:space="0" w:color="auto"/>
            <w:bottom w:val="none" w:sz="0" w:space="0" w:color="auto"/>
            <w:right w:val="none" w:sz="0" w:space="0" w:color="auto"/>
          </w:divBdr>
        </w:div>
        <w:div w:id="292641712">
          <w:marLeft w:val="0"/>
          <w:marRight w:val="0"/>
          <w:marTop w:val="0"/>
          <w:marBottom w:val="0"/>
          <w:divBdr>
            <w:top w:val="none" w:sz="0" w:space="0" w:color="auto"/>
            <w:left w:val="none" w:sz="0" w:space="0" w:color="auto"/>
            <w:bottom w:val="none" w:sz="0" w:space="0" w:color="auto"/>
            <w:right w:val="none" w:sz="0" w:space="0" w:color="auto"/>
          </w:divBdr>
        </w:div>
        <w:div w:id="298264422">
          <w:marLeft w:val="0"/>
          <w:marRight w:val="0"/>
          <w:marTop w:val="0"/>
          <w:marBottom w:val="0"/>
          <w:divBdr>
            <w:top w:val="none" w:sz="0" w:space="0" w:color="auto"/>
            <w:left w:val="none" w:sz="0" w:space="0" w:color="auto"/>
            <w:bottom w:val="none" w:sz="0" w:space="0" w:color="auto"/>
            <w:right w:val="none" w:sz="0" w:space="0" w:color="auto"/>
          </w:divBdr>
        </w:div>
      </w:divsChild>
    </w:div>
    <w:div w:id="183596482">
      <w:bodyDiv w:val="1"/>
      <w:marLeft w:val="0"/>
      <w:marRight w:val="0"/>
      <w:marTop w:val="0"/>
      <w:marBottom w:val="0"/>
      <w:divBdr>
        <w:top w:val="none" w:sz="0" w:space="0" w:color="auto"/>
        <w:left w:val="none" w:sz="0" w:space="0" w:color="auto"/>
        <w:bottom w:val="none" w:sz="0" w:space="0" w:color="auto"/>
        <w:right w:val="none" w:sz="0" w:space="0" w:color="auto"/>
      </w:divBdr>
    </w:div>
    <w:div w:id="227962019">
      <w:bodyDiv w:val="1"/>
      <w:marLeft w:val="0"/>
      <w:marRight w:val="0"/>
      <w:marTop w:val="0"/>
      <w:marBottom w:val="0"/>
      <w:divBdr>
        <w:top w:val="none" w:sz="0" w:space="0" w:color="auto"/>
        <w:left w:val="none" w:sz="0" w:space="0" w:color="auto"/>
        <w:bottom w:val="none" w:sz="0" w:space="0" w:color="auto"/>
        <w:right w:val="none" w:sz="0" w:space="0" w:color="auto"/>
      </w:divBdr>
    </w:div>
    <w:div w:id="313681697">
      <w:bodyDiv w:val="1"/>
      <w:marLeft w:val="0"/>
      <w:marRight w:val="0"/>
      <w:marTop w:val="0"/>
      <w:marBottom w:val="0"/>
      <w:divBdr>
        <w:top w:val="none" w:sz="0" w:space="0" w:color="auto"/>
        <w:left w:val="none" w:sz="0" w:space="0" w:color="auto"/>
        <w:bottom w:val="none" w:sz="0" w:space="0" w:color="auto"/>
        <w:right w:val="none" w:sz="0" w:space="0" w:color="auto"/>
      </w:divBdr>
    </w:div>
    <w:div w:id="386995952">
      <w:bodyDiv w:val="1"/>
      <w:marLeft w:val="0"/>
      <w:marRight w:val="0"/>
      <w:marTop w:val="0"/>
      <w:marBottom w:val="0"/>
      <w:divBdr>
        <w:top w:val="none" w:sz="0" w:space="0" w:color="auto"/>
        <w:left w:val="none" w:sz="0" w:space="0" w:color="auto"/>
        <w:bottom w:val="none" w:sz="0" w:space="0" w:color="auto"/>
        <w:right w:val="none" w:sz="0" w:space="0" w:color="auto"/>
      </w:divBdr>
    </w:div>
    <w:div w:id="397167559">
      <w:bodyDiv w:val="1"/>
      <w:marLeft w:val="0"/>
      <w:marRight w:val="0"/>
      <w:marTop w:val="0"/>
      <w:marBottom w:val="0"/>
      <w:divBdr>
        <w:top w:val="none" w:sz="0" w:space="0" w:color="auto"/>
        <w:left w:val="none" w:sz="0" w:space="0" w:color="auto"/>
        <w:bottom w:val="none" w:sz="0" w:space="0" w:color="auto"/>
        <w:right w:val="none" w:sz="0" w:space="0" w:color="auto"/>
      </w:divBdr>
    </w:div>
    <w:div w:id="437256376">
      <w:bodyDiv w:val="1"/>
      <w:marLeft w:val="0"/>
      <w:marRight w:val="0"/>
      <w:marTop w:val="0"/>
      <w:marBottom w:val="0"/>
      <w:divBdr>
        <w:top w:val="none" w:sz="0" w:space="0" w:color="auto"/>
        <w:left w:val="none" w:sz="0" w:space="0" w:color="auto"/>
        <w:bottom w:val="none" w:sz="0" w:space="0" w:color="auto"/>
        <w:right w:val="none" w:sz="0" w:space="0" w:color="auto"/>
      </w:divBdr>
    </w:div>
    <w:div w:id="627012878">
      <w:bodyDiv w:val="1"/>
      <w:marLeft w:val="0"/>
      <w:marRight w:val="0"/>
      <w:marTop w:val="0"/>
      <w:marBottom w:val="0"/>
      <w:divBdr>
        <w:top w:val="none" w:sz="0" w:space="0" w:color="auto"/>
        <w:left w:val="none" w:sz="0" w:space="0" w:color="auto"/>
        <w:bottom w:val="none" w:sz="0" w:space="0" w:color="auto"/>
        <w:right w:val="none" w:sz="0" w:space="0" w:color="auto"/>
      </w:divBdr>
    </w:div>
    <w:div w:id="633213877">
      <w:bodyDiv w:val="1"/>
      <w:marLeft w:val="0"/>
      <w:marRight w:val="0"/>
      <w:marTop w:val="0"/>
      <w:marBottom w:val="0"/>
      <w:divBdr>
        <w:top w:val="none" w:sz="0" w:space="0" w:color="auto"/>
        <w:left w:val="none" w:sz="0" w:space="0" w:color="auto"/>
        <w:bottom w:val="none" w:sz="0" w:space="0" w:color="auto"/>
        <w:right w:val="none" w:sz="0" w:space="0" w:color="auto"/>
      </w:divBdr>
    </w:div>
    <w:div w:id="644504228">
      <w:bodyDiv w:val="1"/>
      <w:marLeft w:val="0"/>
      <w:marRight w:val="0"/>
      <w:marTop w:val="0"/>
      <w:marBottom w:val="0"/>
      <w:divBdr>
        <w:top w:val="none" w:sz="0" w:space="0" w:color="auto"/>
        <w:left w:val="none" w:sz="0" w:space="0" w:color="auto"/>
        <w:bottom w:val="none" w:sz="0" w:space="0" w:color="auto"/>
        <w:right w:val="none" w:sz="0" w:space="0" w:color="auto"/>
      </w:divBdr>
    </w:div>
    <w:div w:id="974406119">
      <w:bodyDiv w:val="1"/>
      <w:marLeft w:val="0"/>
      <w:marRight w:val="0"/>
      <w:marTop w:val="0"/>
      <w:marBottom w:val="0"/>
      <w:divBdr>
        <w:top w:val="none" w:sz="0" w:space="0" w:color="auto"/>
        <w:left w:val="none" w:sz="0" w:space="0" w:color="auto"/>
        <w:bottom w:val="none" w:sz="0" w:space="0" w:color="auto"/>
        <w:right w:val="none" w:sz="0" w:space="0" w:color="auto"/>
      </w:divBdr>
    </w:div>
    <w:div w:id="980958119">
      <w:bodyDiv w:val="1"/>
      <w:marLeft w:val="0"/>
      <w:marRight w:val="0"/>
      <w:marTop w:val="0"/>
      <w:marBottom w:val="0"/>
      <w:divBdr>
        <w:top w:val="none" w:sz="0" w:space="0" w:color="auto"/>
        <w:left w:val="none" w:sz="0" w:space="0" w:color="auto"/>
        <w:bottom w:val="none" w:sz="0" w:space="0" w:color="auto"/>
        <w:right w:val="none" w:sz="0" w:space="0" w:color="auto"/>
      </w:divBdr>
    </w:div>
    <w:div w:id="995037222">
      <w:bodyDiv w:val="1"/>
      <w:marLeft w:val="0"/>
      <w:marRight w:val="0"/>
      <w:marTop w:val="0"/>
      <w:marBottom w:val="0"/>
      <w:divBdr>
        <w:top w:val="none" w:sz="0" w:space="0" w:color="auto"/>
        <w:left w:val="none" w:sz="0" w:space="0" w:color="auto"/>
        <w:bottom w:val="none" w:sz="0" w:space="0" w:color="auto"/>
        <w:right w:val="none" w:sz="0" w:space="0" w:color="auto"/>
      </w:divBdr>
    </w:div>
    <w:div w:id="1040283498">
      <w:bodyDiv w:val="1"/>
      <w:marLeft w:val="0"/>
      <w:marRight w:val="0"/>
      <w:marTop w:val="0"/>
      <w:marBottom w:val="0"/>
      <w:divBdr>
        <w:top w:val="none" w:sz="0" w:space="0" w:color="auto"/>
        <w:left w:val="none" w:sz="0" w:space="0" w:color="auto"/>
        <w:bottom w:val="none" w:sz="0" w:space="0" w:color="auto"/>
        <w:right w:val="none" w:sz="0" w:space="0" w:color="auto"/>
      </w:divBdr>
    </w:div>
    <w:div w:id="1054617374">
      <w:bodyDiv w:val="1"/>
      <w:marLeft w:val="0"/>
      <w:marRight w:val="0"/>
      <w:marTop w:val="0"/>
      <w:marBottom w:val="0"/>
      <w:divBdr>
        <w:top w:val="none" w:sz="0" w:space="0" w:color="auto"/>
        <w:left w:val="none" w:sz="0" w:space="0" w:color="auto"/>
        <w:bottom w:val="none" w:sz="0" w:space="0" w:color="auto"/>
        <w:right w:val="none" w:sz="0" w:space="0" w:color="auto"/>
      </w:divBdr>
    </w:div>
    <w:div w:id="1063681533">
      <w:bodyDiv w:val="1"/>
      <w:marLeft w:val="0"/>
      <w:marRight w:val="0"/>
      <w:marTop w:val="0"/>
      <w:marBottom w:val="0"/>
      <w:divBdr>
        <w:top w:val="none" w:sz="0" w:space="0" w:color="auto"/>
        <w:left w:val="none" w:sz="0" w:space="0" w:color="auto"/>
        <w:bottom w:val="none" w:sz="0" w:space="0" w:color="auto"/>
        <w:right w:val="none" w:sz="0" w:space="0" w:color="auto"/>
      </w:divBdr>
    </w:div>
    <w:div w:id="1142649788">
      <w:bodyDiv w:val="1"/>
      <w:marLeft w:val="0"/>
      <w:marRight w:val="0"/>
      <w:marTop w:val="0"/>
      <w:marBottom w:val="0"/>
      <w:divBdr>
        <w:top w:val="none" w:sz="0" w:space="0" w:color="auto"/>
        <w:left w:val="none" w:sz="0" w:space="0" w:color="auto"/>
        <w:bottom w:val="none" w:sz="0" w:space="0" w:color="auto"/>
        <w:right w:val="none" w:sz="0" w:space="0" w:color="auto"/>
      </w:divBdr>
      <w:divsChild>
        <w:div w:id="145711179">
          <w:marLeft w:val="0"/>
          <w:marRight w:val="0"/>
          <w:marTop w:val="0"/>
          <w:marBottom w:val="0"/>
          <w:divBdr>
            <w:top w:val="none" w:sz="0" w:space="0" w:color="auto"/>
            <w:left w:val="none" w:sz="0" w:space="0" w:color="auto"/>
            <w:bottom w:val="none" w:sz="0" w:space="0" w:color="auto"/>
            <w:right w:val="none" w:sz="0" w:space="0" w:color="auto"/>
          </w:divBdr>
        </w:div>
        <w:div w:id="876239516">
          <w:marLeft w:val="0"/>
          <w:marRight w:val="0"/>
          <w:marTop w:val="0"/>
          <w:marBottom w:val="0"/>
          <w:divBdr>
            <w:top w:val="none" w:sz="0" w:space="0" w:color="auto"/>
            <w:left w:val="none" w:sz="0" w:space="0" w:color="auto"/>
            <w:bottom w:val="none" w:sz="0" w:space="0" w:color="auto"/>
            <w:right w:val="none" w:sz="0" w:space="0" w:color="auto"/>
          </w:divBdr>
        </w:div>
        <w:div w:id="1210069288">
          <w:marLeft w:val="0"/>
          <w:marRight w:val="0"/>
          <w:marTop w:val="0"/>
          <w:marBottom w:val="0"/>
          <w:divBdr>
            <w:top w:val="none" w:sz="0" w:space="0" w:color="auto"/>
            <w:left w:val="none" w:sz="0" w:space="0" w:color="auto"/>
            <w:bottom w:val="none" w:sz="0" w:space="0" w:color="auto"/>
            <w:right w:val="none" w:sz="0" w:space="0" w:color="auto"/>
          </w:divBdr>
        </w:div>
        <w:div w:id="1919945440">
          <w:marLeft w:val="0"/>
          <w:marRight w:val="0"/>
          <w:marTop w:val="0"/>
          <w:marBottom w:val="0"/>
          <w:divBdr>
            <w:top w:val="none" w:sz="0" w:space="0" w:color="auto"/>
            <w:left w:val="none" w:sz="0" w:space="0" w:color="auto"/>
            <w:bottom w:val="none" w:sz="0" w:space="0" w:color="auto"/>
            <w:right w:val="none" w:sz="0" w:space="0" w:color="auto"/>
          </w:divBdr>
        </w:div>
        <w:div w:id="972440745">
          <w:marLeft w:val="0"/>
          <w:marRight w:val="0"/>
          <w:marTop w:val="0"/>
          <w:marBottom w:val="0"/>
          <w:divBdr>
            <w:top w:val="none" w:sz="0" w:space="0" w:color="auto"/>
            <w:left w:val="none" w:sz="0" w:space="0" w:color="auto"/>
            <w:bottom w:val="none" w:sz="0" w:space="0" w:color="auto"/>
            <w:right w:val="none" w:sz="0" w:space="0" w:color="auto"/>
          </w:divBdr>
        </w:div>
        <w:div w:id="453447554">
          <w:marLeft w:val="0"/>
          <w:marRight w:val="0"/>
          <w:marTop w:val="0"/>
          <w:marBottom w:val="0"/>
          <w:divBdr>
            <w:top w:val="none" w:sz="0" w:space="0" w:color="auto"/>
            <w:left w:val="none" w:sz="0" w:space="0" w:color="auto"/>
            <w:bottom w:val="none" w:sz="0" w:space="0" w:color="auto"/>
            <w:right w:val="none" w:sz="0" w:space="0" w:color="auto"/>
          </w:divBdr>
        </w:div>
        <w:div w:id="2082369548">
          <w:marLeft w:val="0"/>
          <w:marRight w:val="0"/>
          <w:marTop w:val="0"/>
          <w:marBottom w:val="0"/>
          <w:divBdr>
            <w:top w:val="none" w:sz="0" w:space="0" w:color="auto"/>
            <w:left w:val="none" w:sz="0" w:space="0" w:color="auto"/>
            <w:bottom w:val="none" w:sz="0" w:space="0" w:color="auto"/>
            <w:right w:val="none" w:sz="0" w:space="0" w:color="auto"/>
          </w:divBdr>
        </w:div>
        <w:div w:id="654912995">
          <w:marLeft w:val="0"/>
          <w:marRight w:val="0"/>
          <w:marTop w:val="0"/>
          <w:marBottom w:val="0"/>
          <w:divBdr>
            <w:top w:val="none" w:sz="0" w:space="0" w:color="auto"/>
            <w:left w:val="none" w:sz="0" w:space="0" w:color="auto"/>
            <w:bottom w:val="none" w:sz="0" w:space="0" w:color="auto"/>
            <w:right w:val="none" w:sz="0" w:space="0" w:color="auto"/>
          </w:divBdr>
        </w:div>
        <w:div w:id="2006712386">
          <w:marLeft w:val="0"/>
          <w:marRight w:val="0"/>
          <w:marTop w:val="0"/>
          <w:marBottom w:val="0"/>
          <w:divBdr>
            <w:top w:val="none" w:sz="0" w:space="0" w:color="auto"/>
            <w:left w:val="none" w:sz="0" w:space="0" w:color="auto"/>
            <w:bottom w:val="none" w:sz="0" w:space="0" w:color="auto"/>
            <w:right w:val="none" w:sz="0" w:space="0" w:color="auto"/>
          </w:divBdr>
        </w:div>
        <w:div w:id="2041274324">
          <w:marLeft w:val="0"/>
          <w:marRight w:val="0"/>
          <w:marTop w:val="0"/>
          <w:marBottom w:val="0"/>
          <w:divBdr>
            <w:top w:val="none" w:sz="0" w:space="0" w:color="auto"/>
            <w:left w:val="none" w:sz="0" w:space="0" w:color="auto"/>
            <w:bottom w:val="none" w:sz="0" w:space="0" w:color="auto"/>
            <w:right w:val="none" w:sz="0" w:space="0" w:color="auto"/>
          </w:divBdr>
        </w:div>
        <w:div w:id="1844974658">
          <w:marLeft w:val="0"/>
          <w:marRight w:val="0"/>
          <w:marTop w:val="0"/>
          <w:marBottom w:val="0"/>
          <w:divBdr>
            <w:top w:val="none" w:sz="0" w:space="0" w:color="auto"/>
            <w:left w:val="none" w:sz="0" w:space="0" w:color="auto"/>
            <w:bottom w:val="none" w:sz="0" w:space="0" w:color="auto"/>
            <w:right w:val="none" w:sz="0" w:space="0" w:color="auto"/>
          </w:divBdr>
        </w:div>
        <w:div w:id="754740840">
          <w:marLeft w:val="0"/>
          <w:marRight w:val="0"/>
          <w:marTop w:val="0"/>
          <w:marBottom w:val="0"/>
          <w:divBdr>
            <w:top w:val="none" w:sz="0" w:space="0" w:color="auto"/>
            <w:left w:val="none" w:sz="0" w:space="0" w:color="auto"/>
            <w:bottom w:val="none" w:sz="0" w:space="0" w:color="auto"/>
            <w:right w:val="none" w:sz="0" w:space="0" w:color="auto"/>
          </w:divBdr>
        </w:div>
      </w:divsChild>
    </w:div>
    <w:div w:id="1149902055">
      <w:bodyDiv w:val="1"/>
      <w:marLeft w:val="0"/>
      <w:marRight w:val="0"/>
      <w:marTop w:val="0"/>
      <w:marBottom w:val="0"/>
      <w:divBdr>
        <w:top w:val="none" w:sz="0" w:space="0" w:color="auto"/>
        <w:left w:val="none" w:sz="0" w:space="0" w:color="auto"/>
        <w:bottom w:val="none" w:sz="0" w:space="0" w:color="auto"/>
        <w:right w:val="none" w:sz="0" w:space="0" w:color="auto"/>
      </w:divBdr>
    </w:div>
    <w:div w:id="1226137491">
      <w:bodyDiv w:val="1"/>
      <w:marLeft w:val="0"/>
      <w:marRight w:val="0"/>
      <w:marTop w:val="0"/>
      <w:marBottom w:val="0"/>
      <w:divBdr>
        <w:top w:val="none" w:sz="0" w:space="0" w:color="auto"/>
        <w:left w:val="none" w:sz="0" w:space="0" w:color="auto"/>
        <w:bottom w:val="none" w:sz="0" w:space="0" w:color="auto"/>
        <w:right w:val="none" w:sz="0" w:space="0" w:color="auto"/>
      </w:divBdr>
      <w:divsChild>
        <w:div w:id="259530748">
          <w:marLeft w:val="60"/>
          <w:marRight w:val="0"/>
          <w:marTop w:val="15"/>
          <w:marBottom w:val="0"/>
          <w:divBdr>
            <w:top w:val="none" w:sz="0" w:space="0" w:color="auto"/>
            <w:left w:val="none" w:sz="0" w:space="0" w:color="auto"/>
            <w:bottom w:val="none" w:sz="0" w:space="0" w:color="auto"/>
            <w:right w:val="none" w:sz="0" w:space="0" w:color="auto"/>
          </w:divBdr>
        </w:div>
      </w:divsChild>
    </w:div>
    <w:div w:id="1272124082">
      <w:bodyDiv w:val="1"/>
      <w:marLeft w:val="0"/>
      <w:marRight w:val="0"/>
      <w:marTop w:val="0"/>
      <w:marBottom w:val="0"/>
      <w:divBdr>
        <w:top w:val="none" w:sz="0" w:space="0" w:color="auto"/>
        <w:left w:val="none" w:sz="0" w:space="0" w:color="auto"/>
        <w:bottom w:val="none" w:sz="0" w:space="0" w:color="auto"/>
        <w:right w:val="none" w:sz="0" w:space="0" w:color="auto"/>
      </w:divBdr>
    </w:div>
    <w:div w:id="1330405526">
      <w:bodyDiv w:val="1"/>
      <w:marLeft w:val="0"/>
      <w:marRight w:val="0"/>
      <w:marTop w:val="0"/>
      <w:marBottom w:val="0"/>
      <w:divBdr>
        <w:top w:val="none" w:sz="0" w:space="0" w:color="auto"/>
        <w:left w:val="none" w:sz="0" w:space="0" w:color="auto"/>
        <w:bottom w:val="none" w:sz="0" w:space="0" w:color="auto"/>
        <w:right w:val="none" w:sz="0" w:space="0" w:color="auto"/>
      </w:divBdr>
    </w:div>
    <w:div w:id="1407922472">
      <w:bodyDiv w:val="1"/>
      <w:marLeft w:val="0"/>
      <w:marRight w:val="0"/>
      <w:marTop w:val="0"/>
      <w:marBottom w:val="0"/>
      <w:divBdr>
        <w:top w:val="none" w:sz="0" w:space="0" w:color="auto"/>
        <w:left w:val="none" w:sz="0" w:space="0" w:color="auto"/>
        <w:bottom w:val="none" w:sz="0" w:space="0" w:color="auto"/>
        <w:right w:val="none" w:sz="0" w:space="0" w:color="auto"/>
      </w:divBdr>
    </w:div>
    <w:div w:id="1495992058">
      <w:bodyDiv w:val="1"/>
      <w:marLeft w:val="0"/>
      <w:marRight w:val="0"/>
      <w:marTop w:val="0"/>
      <w:marBottom w:val="0"/>
      <w:divBdr>
        <w:top w:val="none" w:sz="0" w:space="0" w:color="auto"/>
        <w:left w:val="none" w:sz="0" w:space="0" w:color="auto"/>
        <w:bottom w:val="none" w:sz="0" w:space="0" w:color="auto"/>
        <w:right w:val="none" w:sz="0" w:space="0" w:color="auto"/>
      </w:divBdr>
      <w:divsChild>
        <w:div w:id="255285860">
          <w:marLeft w:val="0"/>
          <w:marRight w:val="0"/>
          <w:marTop w:val="0"/>
          <w:marBottom w:val="0"/>
          <w:divBdr>
            <w:top w:val="none" w:sz="0" w:space="0" w:color="auto"/>
            <w:left w:val="none" w:sz="0" w:space="0" w:color="auto"/>
            <w:bottom w:val="none" w:sz="0" w:space="0" w:color="auto"/>
            <w:right w:val="none" w:sz="0" w:space="0" w:color="auto"/>
          </w:divBdr>
        </w:div>
        <w:div w:id="1193883260">
          <w:marLeft w:val="0"/>
          <w:marRight w:val="0"/>
          <w:marTop w:val="0"/>
          <w:marBottom w:val="0"/>
          <w:divBdr>
            <w:top w:val="none" w:sz="0" w:space="0" w:color="auto"/>
            <w:left w:val="none" w:sz="0" w:space="0" w:color="auto"/>
            <w:bottom w:val="none" w:sz="0" w:space="0" w:color="auto"/>
            <w:right w:val="none" w:sz="0" w:space="0" w:color="auto"/>
          </w:divBdr>
        </w:div>
        <w:div w:id="1021054156">
          <w:marLeft w:val="0"/>
          <w:marRight w:val="0"/>
          <w:marTop w:val="0"/>
          <w:marBottom w:val="0"/>
          <w:divBdr>
            <w:top w:val="none" w:sz="0" w:space="0" w:color="auto"/>
            <w:left w:val="none" w:sz="0" w:space="0" w:color="auto"/>
            <w:bottom w:val="none" w:sz="0" w:space="0" w:color="auto"/>
            <w:right w:val="none" w:sz="0" w:space="0" w:color="auto"/>
          </w:divBdr>
        </w:div>
        <w:div w:id="2136025737">
          <w:marLeft w:val="0"/>
          <w:marRight w:val="0"/>
          <w:marTop w:val="0"/>
          <w:marBottom w:val="0"/>
          <w:divBdr>
            <w:top w:val="none" w:sz="0" w:space="0" w:color="auto"/>
            <w:left w:val="none" w:sz="0" w:space="0" w:color="auto"/>
            <w:bottom w:val="none" w:sz="0" w:space="0" w:color="auto"/>
            <w:right w:val="none" w:sz="0" w:space="0" w:color="auto"/>
          </w:divBdr>
        </w:div>
        <w:div w:id="1665090043">
          <w:marLeft w:val="0"/>
          <w:marRight w:val="0"/>
          <w:marTop w:val="0"/>
          <w:marBottom w:val="0"/>
          <w:divBdr>
            <w:top w:val="none" w:sz="0" w:space="0" w:color="auto"/>
            <w:left w:val="none" w:sz="0" w:space="0" w:color="auto"/>
            <w:bottom w:val="none" w:sz="0" w:space="0" w:color="auto"/>
            <w:right w:val="none" w:sz="0" w:space="0" w:color="auto"/>
          </w:divBdr>
        </w:div>
      </w:divsChild>
    </w:div>
    <w:div w:id="1596864019">
      <w:bodyDiv w:val="1"/>
      <w:marLeft w:val="0"/>
      <w:marRight w:val="0"/>
      <w:marTop w:val="0"/>
      <w:marBottom w:val="0"/>
      <w:divBdr>
        <w:top w:val="none" w:sz="0" w:space="0" w:color="auto"/>
        <w:left w:val="none" w:sz="0" w:space="0" w:color="auto"/>
        <w:bottom w:val="none" w:sz="0" w:space="0" w:color="auto"/>
        <w:right w:val="none" w:sz="0" w:space="0" w:color="auto"/>
      </w:divBdr>
    </w:div>
    <w:div w:id="1757362854">
      <w:bodyDiv w:val="1"/>
      <w:marLeft w:val="0"/>
      <w:marRight w:val="0"/>
      <w:marTop w:val="0"/>
      <w:marBottom w:val="0"/>
      <w:divBdr>
        <w:top w:val="none" w:sz="0" w:space="0" w:color="auto"/>
        <w:left w:val="none" w:sz="0" w:space="0" w:color="auto"/>
        <w:bottom w:val="none" w:sz="0" w:space="0" w:color="auto"/>
        <w:right w:val="none" w:sz="0" w:space="0" w:color="auto"/>
      </w:divBdr>
      <w:divsChild>
        <w:div w:id="1826974379">
          <w:marLeft w:val="60"/>
          <w:marRight w:val="0"/>
          <w:marTop w:val="15"/>
          <w:marBottom w:val="0"/>
          <w:divBdr>
            <w:top w:val="none" w:sz="0" w:space="0" w:color="auto"/>
            <w:left w:val="none" w:sz="0" w:space="0" w:color="auto"/>
            <w:bottom w:val="none" w:sz="0" w:space="0" w:color="auto"/>
            <w:right w:val="none" w:sz="0" w:space="0" w:color="auto"/>
          </w:divBdr>
        </w:div>
      </w:divsChild>
    </w:div>
    <w:div w:id="1821657968">
      <w:bodyDiv w:val="1"/>
      <w:marLeft w:val="0"/>
      <w:marRight w:val="0"/>
      <w:marTop w:val="0"/>
      <w:marBottom w:val="0"/>
      <w:divBdr>
        <w:top w:val="none" w:sz="0" w:space="0" w:color="auto"/>
        <w:left w:val="none" w:sz="0" w:space="0" w:color="auto"/>
        <w:bottom w:val="none" w:sz="0" w:space="0" w:color="auto"/>
        <w:right w:val="none" w:sz="0" w:space="0" w:color="auto"/>
      </w:divBdr>
    </w:div>
    <w:div w:id="1839613219">
      <w:bodyDiv w:val="1"/>
      <w:marLeft w:val="0"/>
      <w:marRight w:val="0"/>
      <w:marTop w:val="0"/>
      <w:marBottom w:val="0"/>
      <w:divBdr>
        <w:top w:val="none" w:sz="0" w:space="0" w:color="auto"/>
        <w:left w:val="none" w:sz="0" w:space="0" w:color="auto"/>
        <w:bottom w:val="none" w:sz="0" w:space="0" w:color="auto"/>
        <w:right w:val="none" w:sz="0" w:space="0" w:color="auto"/>
      </w:divBdr>
      <w:divsChild>
        <w:div w:id="1030843313">
          <w:marLeft w:val="0"/>
          <w:marRight w:val="0"/>
          <w:marTop w:val="0"/>
          <w:marBottom w:val="0"/>
          <w:divBdr>
            <w:top w:val="none" w:sz="0" w:space="0" w:color="auto"/>
            <w:left w:val="none" w:sz="0" w:space="0" w:color="auto"/>
            <w:bottom w:val="none" w:sz="0" w:space="0" w:color="auto"/>
            <w:right w:val="none" w:sz="0" w:space="0" w:color="auto"/>
          </w:divBdr>
        </w:div>
        <w:div w:id="2061664128">
          <w:marLeft w:val="0"/>
          <w:marRight w:val="0"/>
          <w:marTop w:val="0"/>
          <w:marBottom w:val="0"/>
          <w:divBdr>
            <w:top w:val="none" w:sz="0" w:space="0" w:color="auto"/>
            <w:left w:val="none" w:sz="0" w:space="0" w:color="auto"/>
            <w:bottom w:val="none" w:sz="0" w:space="0" w:color="auto"/>
            <w:right w:val="none" w:sz="0" w:space="0" w:color="auto"/>
          </w:divBdr>
        </w:div>
        <w:div w:id="1998805687">
          <w:marLeft w:val="0"/>
          <w:marRight w:val="0"/>
          <w:marTop w:val="0"/>
          <w:marBottom w:val="0"/>
          <w:divBdr>
            <w:top w:val="none" w:sz="0" w:space="0" w:color="auto"/>
            <w:left w:val="none" w:sz="0" w:space="0" w:color="auto"/>
            <w:bottom w:val="none" w:sz="0" w:space="0" w:color="auto"/>
            <w:right w:val="none" w:sz="0" w:space="0" w:color="auto"/>
          </w:divBdr>
        </w:div>
        <w:div w:id="1138113890">
          <w:marLeft w:val="0"/>
          <w:marRight w:val="0"/>
          <w:marTop w:val="0"/>
          <w:marBottom w:val="0"/>
          <w:divBdr>
            <w:top w:val="none" w:sz="0" w:space="0" w:color="auto"/>
            <w:left w:val="none" w:sz="0" w:space="0" w:color="auto"/>
            <w:bottom w:val="none" w:sz="0" w:space="0" w:color="auto"/>
            <w:right w:val="none" w:sz="0" w:space="0" w:color="auto"/>
          </w:divBdr>
        </w:div>
        <w:div w:id="2002191611">
          <w:marLeft w:val="0"/>
          <w:marRight w:val="0"/>
          <w:marTop w:val="0"/>
          <w:marBottom w:val="0"/>
          <w:divBdr>
            <w:top w:val="none" w:sz="0" w:space="0" w:color="auto"/>
            <w:left w:val="none" w:sz="0" w:space="0" w:color="auto"/>
            <w:bottom w:val="none" w:sz="0" w:space="0" w:color="auto"/>
            <w:right w:val="none" w:sz="0" w:space="0" w:color="auto"/>
          </w:divBdr>
        </w:div>
        <w:div w:id="480854745">
          <w:marLeft w:val="0"/>
          <w:marRight w:val="0"/>
          <w:marTop w:val="0"/>
          <w:marBottom w:val="0"/>
          <w:divBdr>
            <w:top w:val="none" w:sz="0" w:space="0" w:color="auto"/>
            <w:left w:val="none" w:sz="0" w:space="0" w:color="auto"/>
            <w:bottom w:val="none" w:sz="0" w:space="0" w:color="auto"/>
            <w:right w:val="none" w:sz="0" w:space="0" w:color="auto"/>
          </w:divBdr>
        </w:div>
        <w:div w:id="491143856">
          <w:marLeft w:val="0"/>
          <w:marRight w:val="0"/>
          <w:marTop w:val="0"/>
          <w:marBottom w:val="0"/>
          <w:divBdr>
            <w:top w:val="none" w:sz="0" w:space="0" w:color="auto"/>
            <w:left w:val="none" w:sz="0" w:space="0" w:color="auto"/>
            <w:bottom w:val="none" w:sz="0" w:space="0" w:color="auto"/>
            <w:right w:val="none" w:sz="0" w:space="0" w:color="auto"/>
          </w:divBdr>
        </w:div>
        <w:div w:id="108010488">
          <w:marLeft w:val="0"/>
          <w:marRight w:val="0"/>
          <w:marTop w:val="0"/>
          <w:marBottom w:val="0"/>
          <w:divBdr>
            <w:top w:val="none" w:sz="0" w:space="0" w:color="auto"/>
            <w:left w:val="none" w:sz="0" w:space="0" w:color="auto"/>
            <w:bottom w:val="none" w:sz="0" w:space="0" w:color="auto"/>
            <w:right w:val="none" w:sz="0" w:space="0" w:color="auto"/>
          </w:divBdr>
        </w:div>
        <w:div w:id="2087410928">
          <w:marLeft w:val="0"/>
          <w:marRight w:val="0"/>
          <w:marTop w:val="0"/>
          <w:marBottom w:val="0"/>
          <w:divBdr>
            <w:top w:val="none" w:sz="0" w:space="0" w:color="auto"/>
            <w:left w:val="none" w:sz="0" w:space="0" w:color="auto"/>
            <w:bottom w:val="none" w:sz="0" w:space="0" w:color="auto"/>
            <w:right w:val="none" w:sz="0" w:space="0" w:color="auto"/>
          </w:divBdr>
        </w:div>
        <w:div w:id="152645039">
          <w:marLeft w:val="0"/>
          <w:marRight w:val="0"/>
          <w:marTop w:val="0"/>
          <w:marBottom w:val="0"/>
          <w:divBdr>
            <w:top w:val="none" w:sz="0" w:space="0" w:color="auto"/>
            <w:left w:val="none" w:sz="0" w:space="0" w:color="auto"/>
            <w:bottom w:val="none" w:sz="0" w:space="0" w:color="auto"/>
            <w:right w:val="none" w:sz="0" w:space="0" w:color="auto"/>
          </w:divBdr>
        </w:div>
        <w:div w:id="405881503">
          <w:marLeft w:val="0"/>
          <w:marRight w:val="0"/>
          <w:marTop w:val="0"/>
          <w:marBottom w:val="0"/>
          <w:divBdr>
            <w:top w:val="none" w:sz="0" w:space="0" w:color="auto"/>
            <w:left w:val="none" w:sz="0" w:space="0" w:color="auto"/>
            <w:bottom w:val="none" w:sz="0" w:space="0" w:color="auto"/>
            <w:right w:val="none" w:sz="0" w:space="0" w:color="auto"/>
          </w:divBdr>
        </w:div>
        <w:div w:id="1488009046">
          <w:marLeft w:val="0"/>
          <w:marRight w:val="0"/>
          <w:marTop w:val="0"/>
          <w:marBottom w:val="0"/>
          <w:divBdr>
            <w:top w:val="none" w:sz="0" w:space="0" w:color="auto"/>
            <w:left w:val="none" w:sz="0" w:space="0" w:color="auto"/>
            <w:bottom w:val="none" w:sz="0" w:space="0" w:color="auto"/>
            <w:right w:val="none" w:sz="0" w:space="0" w:color="auto"/>
          </w:divBdr>
        </w:div>
      </w:divsChild>
    </w:div>
    <w:div w:id="1962035822">
      <w:bodyDiv w:val="1"/>
      <w:marLeft w:val="0"/>
      <w:marRight w:val="0"/>
      <w:marTop w:val="0"/>
      <w:marBottom w:val="0"/>
      <w:divBdr>
        <w:top w:val="none" w:sz="0" w:space="0" w:color="auto"/>
        <w:left w:val="none" w:sz="0" w:space="0" w:color="auto"/>
        <w:bottom w:val="none" w:sz="0" w:space="0" w:color="auto"/>
        <w:right w:val="none" w:sz="0" w:space="0" w:color="auto"/>
      </w:divBdr>
    </w:div>
    <w:div w:id="2087266325">
      <w:bodyDiv w:val="1"/>
      <w:marLeft w:val="0"/>
      <w:marRight w:val="0"/>
      <w:marTop w:val="0"/>
      <w:marBottom w:val="0"/>
      <w:divBdr>
        <w:top w:val="none" w:sz="0" w:space="0" w:color="auto"/>
        <w:left w:val="none" w:sz="0" w:space="0" w:color="auto"/>
        <w:bottom w:val="none" w:sz="0" w:space="0" w:color="auto"/>
        <w:right w:val="none" w:sz="0" w:space="0" w:color="auto"/>
      </w:divBdr>
    </w:div>
    <w:div w:id="2118940210">
      <w:bodyDiv w:val="1"/>
      <w:marLeft w:val="0"/>
      <w:marRight w:val="0"/>
      <w:marTop w:val="0"/>
      <w:marBottom w:val="0"/>
      <w:divBdr>
        <w:top w:val="none" w:sz="0" w:space="0" w:color="auto"/>
        <w:left w:val="none" w:sz="0" w:space="0" w:color="auto"/>
        <w:bottom w:val="none" w:sz="0" w:space="0" w:color="auto"/>
        <w:right w:val="none" w:sz="0" w:space="0" w:color="auto"/>
      </w:divBdr>
    </w:div>
    <w:div w:id="212600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istina.rodriguez@uws.ac.uk"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staffcifs.staff.uws.loc\77780971$\PhD\Biomass\Waste%20Paper\Data\Third%20Experiment\3PaperExp-v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0887098415022"/>
          <c:y val="4.3519135802469133E-2"/>
          <c:w val="0.84349739228332887"/>
          <c:h val="0.72676371173160548"/>
        </c:manualLayout>
      </c:layout>
      <c:scatterChart>
        <c:scatterStyle val="smoothMarker"/>
        <c:varyColors val="0"/>
        <c:ser>
          <c:idx val="0"/>
          <c:order val="0"/>
          <c:tx>
            <c:v>F/I0.3 BT0</c:v>
          </c:tx>
          <c:spPr>
            <a:ln w="19050">
              <a:solidFill>
                <a:schemeClr val="accent1"/>
              </a:solidFill>
              <a:prstDash val="sysDash"/>
            </a:ln>
          </c:spPr>
          <c:marker>
            <c:symbol val="none"/>
          </c:marker>
          <c:xVal>
            <c:numRef>
              <c:f>'Kinetics 0.3'!$J$9:$J$12</c:f>
              <c:numCache>
                <c:formatCode>General</c:formatCode>
                <c:ptCount val="4"/>
                <c:pt idx="0">
                  <c:v>0</c:v>
                </c:pt>
                <c:pt idx="1">
                  <c:v>7</c:v>
                </c:pt>
                <c:pt idx="2">
                  <c:v>14</c:v>
                </c:pt>
                <c:pt idx="3">
                  <c:v>21</c:v>
                </c:pt>
              </c:numCache>
            </c:numRef>
          </c:xVal>
          <c:yVal>
            <c:numRef>
              <c:f>'Kinetics 0.3'!$O$9:$O$12</c:f>
              <c:numCache>
                <c:formatCode>General</c:formatCode>
                <c:ptCount val="4"/>
                <c:pt idx="0">
                  <c:v>0</c:v>
                </c:pt>
                <c:pt idx="1">
                  <c:v>120.14545153370005</c:v>
                </c:pt>
                <c:pt idx="2">
                  <c:v>171.65169871997639</c:v>
                </c:pt>
                <c:pt idx="3">
                  <c:v>193.73238063800702</c:v>
                </c:pt>
              </c:numCache>
            </c:numRef>
          </c:yVal>
          <c:smooth val="1"/>
        </c:ser>
        <c:ser>
          <c:idx val="2"/>
          <c:order val="1"/>
          <c:tx>
            <c:v>F/I0.3 BT30</c:v>
          </c:tx>
          <c:spPr>
            <a:ln w="19050">
              <a:solidFill>
                <a:srgbClr val="C00000"/>
              </a:solidFill>
            </a:ln>
          </c:spPr>
          <c:marker>
            <c:symbol val="none"/>
          </c:marker>
          <c:xVal>
            <c:numRef>
              <c:f>'Kinetics 0.3'!$J$16:$J$19</c:f>
              <c:numCache>
                <c:formatCode>General</c:formatCode>
                <c:ptCount val="4"/>
                <c:pt idx="0">
                  <c:v>0</c:v>
                </c:pt>
                <c:pt idx="1">
                  <c:v>7</c:v>
                </c:pt>
                <c:pt idx="2">
                  <c:v>14</c:v>
                </c:pt>
                <c:pt idx="3">
                  <c:v>21</c:v>
                </c:pt>
              </c:numCache>
            </c:numRef>
          </c:xVal>
          <c:yVal>
            <c:numRef>
              <c:f>'Kinetics 0.3'!$O$16:$O$19</c:f>
              <c:numCache>
                <c:formatCode>General</c:formatCode>
                <c:ptCount val="4"/>
                <c:pt idx="0">
                  <c:v>0</c:v>
                </c:pt>
                <c:pt idx="1">
                  <c:v>143.07120049176118</c:v>
                </c:pt>
                <c:pt idx="2">
                  <c:v>183.42729449458392</c:v>
                </c:pt>
                <c:pt idx="3">
                  <c:v>194.8105380653852</c:v>
                </c:pt>
              </c:numCache>
            </c:numRef>
          </c:yVal>
          <c:smooth val="1"/>
        </c:ser>
        <c:ser>
          <c:idx val="4"/>
          <c:order val="2"/>
          <c:tx>
            <c:v>F/I0.3 BT60</c:v>
          </c:tx>
          <c:spPr>
            <a:ln>
              <a:solidFill>
                <a:srgbClr val="00B050"/>
              </a:solidFill>
              <a:prstDash val="sysDot"/>
            </a:ln>
          </c:spPr>
          <c:marker>
            <c:symbol val="none"/>
          </c:marker>
          <c:xVal>
            <c:numRef>
              <c:f>'Kinetics 0.3'!$J$23:$J$26</c:f>
              <c:numCache>
                <c:formatCode>General</c:formatCode>
                <c:ptCount val="4"/>
                <c:pt idx="0">
                  <c:v>0</c:v>
                </c:pt>
                <c:pt idx="1">
                  <c:v>7</c:v>
                </c:pt>
                <c:pt idx="2">
                  <c:v>14</c:v>
                </c:pt>
                <c:pt idx="3">
                  <c:v>21</c:v>
                </c:pt>
              </c:numCache>
            </c:numRef>
          </c:xVal>
          <c:yVal>
            <c:numRef>
              <c:f>'Kinetics 0.3'!$R$29:$R$32</c:f>
              <c:numCache>
                <c:formatCode>0</c:formatCode>
                <c:ptCount val="4"/>
                <c:pt idx="0">
                  <c:v>0</c:v>
                </c:pt>
                <c:pt idx="1">
                  <c:v>157.43265214873128</c:v>
                </c:pt>
                <c:pt idx="2">
                  <c:v>237</c:v>
                </c:pt>
                <c:pt idx="3">
                  <c:v>252</c:v>
                </c:pt>
              </c:numCache>
            </c:numRef>
          </c:yVal>
          <c:smooth val="1"/>
        </c:ser>
        <c:ser>
          <c:idx val="1"/>
          <c:order val="3"/>
          <c:tx>
            <c:v>F/I0.7 BT0</c:v>
          </c:tx>
          <c:spPr>
            <a:ln w="19050">
              <a:solidFill>
                <a:schemeClr val="accent4">
                  <a:lumMod val="60000"/>
                  <a:lumOff val="40000"/>
                </a:schemeClr>
              </a:solidFill>
              <a:prstDash val="sysDash"/>
            </a:ln>
          </c:spPr>
          <c:marker>
            <c:symbol val="none"/>
          </c:marker>
          <c:xVal>
            <c:numRef>
              <c:f>'Kinetics 0.7'!$J$9:$J$12</c:f>
              <c:numCache>
                <c:formatCode>General</c:formatCode>
                <c:ptCount val="4"/>
                <c:pt idx="0">
                  <c:v>0</c:v>
                </c:pt>
                <c:pt idx="1">
                  <c:v>7</c:v>
                </c:pt>
                <c:pt idx="2">
                  <c:v>14</c:v>
                </c:pt>
                <c:pt idx="3">
                  <c:v>21</c:v>
                </c:pt>
              </c:numCache>
            </c:numRef>
          </c:xVal>
          <c:yVal>
            <c:numRef>
              <c:f>'Kinetics 0.7'!$O$9:$O$12</c:f>
              <c:numCache>
                <c:formatCode>General</c:formatCode>
                <c:ptCount val="4"/>
                <c:pt idx="0">
                  <c:v>0</c:v>
                </c:pt>
                <c:pt idx="1">
                  <c:v>86.987982446375213</c:v>
                </c:pt>
                <c:pt idx="2">
                  <c:v>103.73081025954762</c:v>
                </c:pt>
                <c:pt idx="3">
                  <c:v>106.95335060705307</c:v>
                </c:pt>
              </c:numCache>
            </c:numRef>
          </c:yVal>
          <c:smooth val="1"/>
          <c:extLst xmlns:c16r2="http://schemas.microsoft.com/office/drawing/2015/06/chart">
            <c:ext xmlns:c16="http://schemas.microsoft.com/office/drawing/2014/chart" uri="{C3380CC4-5D6E-409C-BE32-E72D297353CC}">
              <c16:uniqueId val="{00000002-D166-4A13-BE48-1A67B484189B}"/>
            </c:ext>
          </c:extLst>
        </c:ser>
        <c:ser>
          <c:idx val="3"/>
          <c:order val="4"/>
          <c:tx>
            <c:v>F/I0.7 BT30</c:v>
          </c:tx>
          <c:spPr>
            <a:ln w="19050">
              <a:solidFill>
                <a:schemeClr val="bg2">
                  <a:lumMod val="50000"/>
                </a:schemeClr>
              </a:solidFill>
            </a:ln>
          </c:spPr>
          <c:marker>
            <c:symbol val="none"/>
          </c:marker>
          <c:xVal>
            <c:numRef>
              <c:f>'Kinetics 0.7'!$J$16:$J$19</c:f>
              <c:numCache>
                <c:formatCode>General</c:formatCode>
                <c:ptCount val="4"/>
                <c:pt idx="0">
                  <c:v>0</c:v>
                </c:pt>
                <c:pt idx="1">
                  <c:v>7</c:v>
                </c:pt>
                <c:pt idx="2">
                  <c:v>14</c:v>
                </c:pt>
                <c:pt idx="3">
                  <c:v>21</c:v>
                </c:pt>
              </c:numCache>
            </c:numRef>
          </c:xVal>
          <c:yVal>
            <c:numRef>
              <c:f>'Kinetics 0.7'!$O$16:$O$19</c:f>
              <c:numCache>
                <c:formatCode>General</c:formatCode>
                <c:ptCount val="4"/>
                <c:pt idx="0">
                  <c:v>0</c:v>
                </c:pt>
                <c:pt idx="1">
                  <c:v>87.623837316891709</c:v>
                </c:pt>
                <c:pt idx="2">
                  <c:v>107.28318779456964</c:v>
                </c:pt>
                <c:pt idx="3">
                  <c:v>111.69397455121937</c:v>
                </c:pt>
              </c:numCache>
            </c:numRef>
          </c:yVal>
          <c:smooth val="1"/>
          <c:extLst xmlns:c16r2="http://schemas.microsoft.com/office/drawing/2015/06/chart">
            <c:ext xmlns:c16="http://schemas.microsoft.com/office/drawing/2014/chart" uri="{C3380CC4-5D6E-409C-BE32-E72D297353CC}">
              <c16:uniqueId val="{00000003-D166-4A13-BE48-1A67B484189B}"/>
            </c:ext>
          </c:extLst>
        </c:ser>
        <c:ser>
          <c:idx val="5"/>
          <c:order val="5"/>
          <c:tx>
            <c:v>F/I0.7 BT60</c:v>
          </c:tx>
          <c:spPr>
            <a:ln>
              <a:solidFill>
                <a:schemeClr val="accent6"/>
              </a:solidFill>
              <a:prstDash val="sysDot"/>
            </a:ln>
          </c:spPr>
          <c:marker>
            <c:symbol val="none"/>
          </c:marker>
          <c:xVal>
            <c:numRef>
              <c:f>'Kinetics 0.7'!$J$23:$J$26</c:f>
              <c:numCache>
                <c:formatCode>General</c:formatCode>
                <c:ptCount val="4"/>
                <c:pt idx="0">
                  <c:v>0</c:v>
                </c:pt>
                <c:pt idx="1">
                  <c:v>7</c:v>
                </c:pt>
                <c:pt idx="2">
                  <c:v>14</c:v>
                </c:pt>
                <c:pt idx="3">
                  <c:v>21</c:v>
                </c:pt>
              </c:numCache>
            </c:numRef>
          </c:xVal>
          <c:yVal>
            <c:numRef>
              <c:f>'Kinetics 0.7'!$Q$29:$Q$32</c:f>
              <c:numCache>
                <c:formatCode>General</c:formatCode>
                <c:ptCount val="4"/>
                <c:pt idx="0">
                  <c:v>0</c:v>
                </c:pt>
                <c:pt idx="1">
                  <c:v>92.624510973551196</c:v>
                </c:pt>
                <c:pt idx="2">
                  <c:v>136.38390802682099</c:v>
                </c:pt>
                <c:pt idx="3">
                  <c:v>145.559655851565</c:v>
                </c:pt>
              </c:numCache>
            </c:numRef>
          </c:yVal>
          <c:smooth val="1"/>
          <c:extLst xmlns:c16r2="http://schemas.microsoft.com/office/drawing/2015/06/chart">
            <c:ext xmlns:c16="http://schemas.microsoft.com/office/drawing/2014/chart" uri="{C3380CC4-5D6E-409C-BE32-E72D297353CC}">
              <c16:uniqueId val="{00000005-D166-4A13-BE48-1A67B484189B}"/>
            </c:ext>
          </c:extLst>
        </c:ser>
        <c:dLbls>
          <c:showLegendKey val="0"/>
          <c:showVal val="0"/>
          <c:showCatName val="0"/>
          <c:showSerName val="0"/>
          <c:showPercent val="0"/>
          <c:showBubbleSize val="0"/>
        </c:dLbls>
        <c:axId val="518545792"/>
        <c:axId val="518542656"/>
      </c:scatterChart>
      <c:valAx>
        <c:axId val="518545792"/>
        <c:scaling>
          <c:orientation val="minMax"/>
        </c:scaling>
        <c:delete val="0"/>
        <c:axPos val="b"/>
        <c:title>
          <c:tx>
            <c:rich>
              <a:bodyPr/>
              <a:lstStyle/>
              <a:p>
                <a:pPr>
                  <a:defRPr/>
                </a:pPr>
                <a:r>
                  <a:rPr lang="en-GB" b="0"/>
                  <a:t>Digestion</a:t>
                </a:r>
                <a:r>
                  <a:rPr lang="en-GB" b="0" baseline="0"/>
                  <a:t> time (d)</a:t>
                </a:r>
                <a:endParaRPr lang="en-GB" b="0"/>
              </a:p>
            </c:rich>
          </c:tx>
          <c:layout>
            <c:manualLayout>
              <c:xMode val="edge"/>
              <c:yMode val="edge"/>
              <c:x val="0.4400826059533256"/>
              <c:y val="0.85817958179581799"/>
            </c:manualLayout>
          </c:layout>
          <c:overlay val="0"/>
        </c:title>
        <c:numFmt formatCode="General" sourceLinked="1"/>
        <c:majorTickMark val="out"/>
        <c:minorTickMark val="none"/>
        <c:tickLblPos val="nextTo"/>
        <c:crossAx val="518542656"/>
        <c:crosses val="autoZero"/>
        <c:crossBetween val="midCat"/>
        <c:minorUnit val="5"/>
      </c:valAx>
      <c:valAx>
        <c:axId val="518542656"/>
        <c:scaling>
          <c:orientation val="minMax"/>
          <c:max val="270"/>
          <c:min val="0"/>
        </c:scaling>
        <c:delete val="0"/>
        <c:axPos val="l"/>
        <c:title>
          <c:tx>
            <c:rich>
              <a:bodyPr/>
              <a:lstStyle/>
              <a:p>
                <a:pPr>
                  <a:defRPr b="0"/>
                </a:pPr>
                <a:r>
                  <a:rPr lang="en-GB" b="0" baseline="0"/>
                  <a:t>CH</a:t>
                </a:r>
                <a:r>
                  <a:rPr lang="en-GB" sz="800" b="0" baseline="0"/>
                  <a:t>4</a:t>
                </a:r>
                <a:r>
                  <a:rPr lang="en-GB" b="0" baseline="0"/>
                  <a:t> yield (ml/gVS)</a:t>
                </a:r>
                <a:endParaRPr lang="en-GB" b="0"/>
              </a:p>
            </c:rich>
          </c:tx>
          <c:layout>
            <c:manualLayout>
              <c:xMode val="edge"/>
              <c:yMode val="edge"/>
              <c:x val="2.0287018386267609E-2"/>
              <c:y val="0.33679325139708083"/>
            </c:manualLayout>
          </c:layout>
          <c:overlay val="0"/>
        </c:title>
        <c:numFmt formatCode="General" sourceLinked="1"/>
        <c:majorTickMark val="out"/>
        <c:minorTickMark val="none"/>
        <c:tickLblPos val="nextTo"/>
        <c:crossAx val="518545792"/>
        <c:crosses val="autoZero"/>
        <c:crossBetween val="midCat"/>
      </c:valAx>
    </c:plotArea>
    <c:legend>
      <c:legendPos val="b"/>
      <c:layout>
        <c:manualLayout>
          <c:xMode val="edge"/>
          <c:yMode val="edge"/>
          <c:x val="3.3305798015558136E-2"/>
          <c:y val="0.91440082904766051"/>
          <c:w val="0.92582896825396821"/>
          <c:h val="7.6840902267290387E-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376B6E-FE39-4C25-B45B-AEE31CD74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25090</Words>
  <Characters>143019</Characters>
  <Application>Microsoft Office Word</Application>
  <DocSecurity>0</DocSecurity>
  <Lines>1191</Lines>
  <Paragraphs>335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dc:creator>
  <cp:lastModifiedBy>Ian McDonald</cp:lastModifiedBy>
  <cp:revision>2</cp:revision>
  <cp:lastPrinted>2017-04-07T10:39:00Z</cp:lastPrinted>
  <dcterms:created xsi:type="dcterms:W3CDTF">2017-11-01T08:38:00Z</dcterms:created>
  <dcterms:modified xsi:type="dcterms:W3CDTF">2017-11-01T08:38:00Z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http://www.zotero.org/styles/bioresource-technology</vt:lpwstr>
  </property>
  <property fmtid="{D5CDD505-2E9C-101B-9397-08002B2CF9AE}" pid="8" name="Mendeley Recent Style Name 2_1">
    <vt:lpwstr>Bioresource Technology</vt:lpwstr>
  </property>
  <property fmtid="{D5CDD505-2E9C-101B-9397-08002B2CF9AE}" pid="9" name="Mendeley Recent Style Id 3_1">
    <vt:lpwstr>http://www.zotero.org/styles/harvard1</vt:lpwstr>
  </property>
  <property fmtid="{D5CDD505-2E9C-101B-9397-08002B2CF9AE}" pid="10" name="Mendeley Recent Style Name 3_1">
    <vt:lpwstr>Harvard Reference format 1 (author-date)</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7th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http://www.zotero.org/styles/renewable-energy</vt:lpwstr>
  </property>
  <property fmtid="{D5CDD505-2E9C-101B-9397-08002B2CF9AE}" pid="20" name="Mendeley Recent Style Name 8_1">
    <vt:lpwstr>Renewable Energy</vt:lpwstr>
  </property>
  <property fmtid="{D5CDD505-2E9C-101B-9397-08002B2CF9AE}" pid="21" name="Mendeley Recent Style Id 9_1">
    <vt:lpwstr>http://www.zotero.org/styles/waste-management</vt:lpwstr>
  </property>
  <property fmtid="{D5CDD505-2E9C-101B-9397-08002B2CF9AE}" pid="22" name="Mendeley Recent Style Name 9_1">
    <vt:lpwstr>Waste Management</vt:lpwstr>
  </property>
  <property fmtid="{D5CDD505-2E9C-101B-9397-08002B2CF9AE}" pid="23" name="Mendeley Unique User Id_1">
    <vt:lpwstr>800bf2b9-954b-333a-ab47-141696397bc1</vt:lpwstr>
  </property>
  <property fmtid="{D5CDD505-2E9C-101B-9397-08002B2CF9AE}" pid="24" name="Mendeley Citation Style_1">
    <vt:lpwstr>http://www.zotero.org/styles/waste-management</vt:lpwstr>
  </property>
</Properties>
</file>