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2FA" w:rsidRDefault="005442FA" w:rsidP="005442FA">
      <w:pPr>
        <w:pStyle w:val="Standard2"/>
        <w:pBdr>
          <w:top w:val="single" w:sz="4" w:space="1" w:color="auto"/>
          <w:left w:val="single" w:sz="4" w:space="4" w:color="auto"/>
          <w:bottom w:val="single" w:sz="4" w:space="1" w:color="auto"/>
          <w:right w:val="single" w:sz="4" w:space="4" w:color="auto"/>
        </w:pBdr>
        <w:spacing w:before="100" w:after="100" w:line="480" w:lineRule="auto"/>
        <w:rPr>
          <w:rFonts w:ascii="Times New Roman" w:hAnsi="Times New Roman"/>
          <w:sz w:val="24"/>
        </w:rPr>
      </w:pPr>
      <w:bookmarkStart w:id="0" w:name="page1"/>
      <w:bookmarkEnd w:id="0"/>
      <w:r>
        <w:rPr>
          <w:rFonts w:ascii="Times New Roman" w:hAnsi="Times New Roman"/>
          <w:sz w:val="24"/>
        </w:rPr>
        <w:t xml:space="preserve">This is the accepted version of the manuscript published by Elsevier in </w:t>
      </w:r>
      <w:r w:rsidRPr="005442FA">
        <w:rPr>
          <w:rFonts w:ascii="Times New Roman" w:hAnsi="Times New Roman"/>
          <w:i/>
          <w:sz w:val="24"/>
        </w:rPr>
        <w:t>Archives of Psychiatric Nursing</w:t>
      </w:r>
      <w:r>
        <w:rPr>
          <w:rFonts w:ascii="Times New Roman" w:hAnsi="Times New Roman"/>
          <w:sz w:val="24"/>
        </w:rPr>
        <w:t xml:space="preserve">, available online: </w:t>
      </w:r>
      <w:r w:rsidRPr="005442FA">
        <w:rPr>
          <w:rFonts w:ascii="Times New Roman" w:hAnsi="Times New Roman"/>
          <w:sz w:val="24"/>
        </w:rPr>
        <w:t>https://doi.org/10.1016/j.apnu.2015.12.007</w:t>
      </w:r>
    </w:p>
    <w:p w:rsidR="005442FA" w:rsidRDefault="005442FA">
      <w:pPr>
        <w:spacing w:line="516" w:lineRule="auto"/>
        <w:jc w:val="center"/>
        <w:rPr>
          <w:rFonts w:eastAsia="Times New Roman"/>
          <w:b/>
          <w:bCs/>
          <w:sz w:val="24"/>
          <w:szCs w:val="24"/>
        </w:rPr>
      </w:pPr>
    </w:p>
    <w:p w:rsidR="005442FA" w:rsidRDefault="005442FA">
      <w:pPr>
        <w:spacing w:line="516" w:lineRule="auto"/>
        <w:jc w:val="center"/>
        <w:rPr>
          <w:rFonts w:eastAsia="Times New Roman"/>
          <w:b/>
          <w:bCs/>
          <w:sz w:val="24"/>
          <w:szCs w:val="24"/>
        </w:rPr>
      </w:pPr>
    </w:p>
    <w:p w:rsidR="005A54F9" w:rsidRDefault="005442FA">
      <w:pPr>
        <w:spacing w:line="516" w:lineRule="auto"/>
        <w:jc w:val="center"/>
        <w:rPr>
          <w:sz w:val="20"/>
          <w:szCs w:val="20"/>
        </w:rPr>
      </w:pPr>
      <w:r>
        <w:rPr>
          <w:rFonts w:eastAsia="Times New Roman"/>
          <w:b/>
          <w:bCs/>
          <w:sz w:val="24"/>
          <w:szCs w:val="24"/>
        </w:rPr>
        <w:t>Ward Climate within a High Secure Forensic Psychiatric Hospital: Perceptions of Patients and Nursing staff and the Role of Patient Characteristics.</w:t>
      </w:r>
    </w:p>
    <w:p w:rsidR="005A54F9" w:rsidRDefault="005A54F9">
      <w:pPr>
        <w:spacing w:line="200" w:lineRule="exact"/>
        <w:rPr>
          <w:sz w:val="24"/>
          <w:szCs w:val="24"/>
        </w:rPr>
      </w:pPr>
    </w:p>
    <w:p w:rsidR="005A54F9" w:rsidRDefault="005A54F9">
      <w:pPr>
        <w:spacing w:line="265" w:lineRule="exact"/>
        <w:rPr>
          <w:sz w:val="24"/>
          <w:szCs w:val="24"/>
        </w:rPr>
      </w:pPr>
    </w:p>
    <w:p w:rsidR="005A54F9" w:rsidRDefault="005442FA">
      <w:pPr>
        <w:rPr>
          <w:sz w:val="20"/>
          <w:szCs w:val="20"/>
        </w:rPr>
      </w:pPr>
      <w:r>
        <w:rPr>
          <w:rFonts w:eastAsia="Times New Roman"/>
          <w:i/>
          <w:iCs/>
          <w:sz w:val="24"/>
          <w:szCs w:val="24"/>
        </w:rPr>
        <w:t xml:space="preserve">Meike Godelieve de </w:t>
      </w:r>
      <w:proofErr w:type="spellStart"/>
      <w:r>
        <w:rPr>
          <w:rFonts w:eastAsia="Times New Roman"/>
          <w:i/>
          <w:iCs/>
          <w:sz w:val="24"/>
          <w:szCs w:val="24"/>
        </w:rPr>
        <w:t>Vries</w:t>
      </w:r>
      <w:proofErr w:type="spellEnd"/>
      <w:r>
        <w:rPr>
          <w:rFonts w:eastAsia="Times New Roman"/>
          <w:i/>
          <w:iCs/>
          <w:sz w:val="24"/>
          <w:szCs w:val="24"/>
        </w:rPr>
        <w:t>, Inti Angelo Brazil</w:t>
      </w:r>
      <w:r>
        <w:rPr>
          <w:rFonts w:eastAsia="Times New Roman"/>
          <w:i/>
          <w:iCs/>
          <w:sz w:val="24"/>
          <w:szCs w:val="24"/>
        </w:rPr>
        <w:t xml:space="preserve">, Matthew Tonkin, </w:t>
      </w:r>
      <w:proofErr w:type="spellStart"/>
      <w:r>
        <w:rPr>
          <w:rFonts w:eastAsia="Times New Roman"/>
          <w:i/>
          <w:iCs/>
          <w:sz w:val="24"/>
          <w:szCs w:val="24"/>
        </w:rPr>
        <w:t>Berend</w:t>
      </w:r>
      <w:proofErr w:type="spellEnd"/>
      <w:r>
        <w:rPr>
          <w:rFonts w:eastAsia="Times New Roman"/>
          <w:i/>
          <w:iCs/>
          <w:sz w:val="24"/>
          <w:szCs w:val="24"/>
        </w:rPr>
        <w:t xml:space="preserve"> Hendrik </w:t>
      </w:r>
      <w:proofErr w:type="spellStart"/>
      <w:r>
        <w:rPr>
          <w:rFonts w:eastAsia="Times New Roman"/>
          <w:i/>
          <w:iCs/>
          <w:sz w:val="24"/>
          <w:szCs w:val="24"/>
        </w:rPr>
        <w:t>Bulten</w:t>
      </w:r>
      <w:proofErr w:type="spellEnd"/>
    </w:p>
    <w:p w:rsidR="005A54F9" w:rsidRDefault="005A54F9">
      <w:pPr>
        <w:spacing w:line="200" w:lineRule="exact"/>
        <w:rPr>
          <w:sz w:val="24"/>
          <w:szCs w:val="24"/>
        </w:rPr>
      </w:pPr>
    </w:p>
    <w:p w:rsidR="005A54F9" w:rsidRDefault="005A54F9">
      <w:pPr>
        <w:spacing w:line="200" w:lineRule="exact"/>
        <w:rPr>
          <w:sz w:val="24"/>
          <w:szCs w:val="24"/>
        </w:rPr>
      </w:pPr>
    </w:p>
    <w:p w:rsidR="005A54F9" w:rsidRDefault="005A54F9">
      <w:pPr>
        <w:spacing w:line="200" w:lineRule="exact"/>
        <w:rPr>
          <w:sz w:val="24"/>
          <w:szCs w:val="24"/>
        </w:rPr>
      </w:pPr>
    </w:p>
    <w:p w:rsidR="005A54F9" w:rsidRDefault="005A54F9">
      <w:pPr>
        <w:spacing w:line="200" w:lineRule="exact"/>
        <w:rPr>
          <w:sz w:val="24"/>
          <w:szCs w:val="24"/>
        </w:rPr>
      </w:pPr>
    </w:p>
    <w:p w:rsidR="005A54F9" w:rsidRDefault="005A54F9">
      <w:pPr>
        <w:spacing w:line="200" w:lineRule="exact"/>
        <w:rPr>
          <w:sz w:val="24"/>
          <w:szCs w:val="24"/>
        </w:rPr>
      </w:pPr>
    </w:p>
    <w:p w:rsidR="005A54F9" w:rsidRDefault="005A54F9">
      <w:pPr>
        <w:spacing w:line="200" w:lineRule="exact"/>
        <w:rPr>
          <w:sz w:val="24"/>
          <w:szCs w:val="24"/>
        </w:rPr>
      </w:pPr>
    </w:p>
    <w:p w:rsidR="005A54F9" w:rsidRDefault="005A54F9">
      <w:pPr>
        <w:spacing w:line="200" w:lineRule="exact"/>
        <w:rPr>
          <w:sz w:val="24"/>
          <w:szCs w:val="24"/>
        </w:rPr>
      </w:pPr>
    </w:p>
    <w:p w:rsidR="005A54F9" w:rsidRDefault="005A54F9">
      <w:pPr>
        <w:spacing w:line="224" w:lineRule="exact"/>
        <w:rPr>
          <w:sz w:val="24"/>
          <w:szCs w:val="24"/>
        </w:rPr>
      </w:pPr>
    </w:p>
    <w:p w:rsidR="005A54F9" w:rsidRDefault="005442FA">
      <w:pPr>
        <w:rPr>
          <w:sz w:val="20"/>
          <w:szCs w:val="20"/>
        </w:rPr>
      </w:pPr>
      <w:r>
        <w:rPr>
          <w:rFonts w:eastAsia="Times New Roman"/>
          <w:sz w:val="24"/>
          <w:szCs w:val="24"/>
        </w:rPr>
        <w:t>Abstract</w:t>
      </w:r>
    </w:p>
    <w:p w:rsidR="005A54F9" w:rsidRDefault="005A54F9">
      <w:pPr>
        <w:spacing w:line="200" w:lineRule="exact"/>
        <w:rPr>
          <w:sz w:val="24"/>
          <w:szCs w:val="24"/>
        </w:rPr>
      </w:pPr>
    </w:p>
    <w:p w:rsidR="005A54F9" w:rsidRDefault="005A54F9">
      <w:pPr>
        <w:spacing w:line="200" w:lineRule="exact"/>
        <w:rPr>
          <w:sz w:val="24"/>
          <w:szCs w:val="24"/>
        </w:rPr>
      </w:pPr>
    </w:p>
    <w:p w:rsidR="005A54F9" w:rsidRDefault="005A54F9">
      <w:pPr>
        <w:spacing w:line="200" w:lineRule="exact"/>
        <w:rPr>
          <w:sz w:val="24"/>
          <w:szCs w:val="24"/>
        </w:rPr>
      </w:pPr>
    </w:p>
    <w:p w:rsidR="005A54F9" w:rsidRDefault="005A54F9">
      <w:pPr>
        <w:spacing w:line="224" w:lineRule="exact"/>
        <w:rPr>
          <w:sz w:val="24"/>
          <w:szCs w:val="24"/>
        </w:rPr>
      </w:pPr>
    </w:p>
    <w:p w:rsidR="005A54F9" w:rsidRDefault="005442FA">
      <w:pPr>
        <w:spacing w:line="485" w:lineRule="auto"/>
        <w:jc w:val="both"/>
        <w:rPr>
          <w:sz w:val="20"/>
          <w:szCs w:val="20"/>
        </w:rPr>
      </w:pPr>
      <w:r>
        <w:rPr>
          <w:rFonts w:eastAsia="Times New Roman"/>
          <w:i/>
          <w:iCs/>
          <w:sz w:val="24"/>
          <w:szCs w:val="24"/>
        </w:rPr>
        <w:t>Within this study the relationship between patient characteristics (age, length of stay, risk, psychopathy) and individual perceived ward climate (n=83), and differences between staff’s and patient perceptions of climate (n=185) was investigat</w:t>
      </w:r>
      <w:r>
        <w:rPr>
          <w:rFonts w:eastAsia="Times New Roman"/>
          <w:i/>
          <w:iCs/>
          <w:sz w:val="24"/>
          <w:szCs w:val="24"/>
        </w:rPr>
        <w:t>ed within a high secure forensic hospital. Results show that therapeutic hold was rated higher among staff compared to patients, while patients held a more favorable view on patient cohesion and experienced safety. Furthermore, patient characteristics (age</w:t>
      </w:r>
      <w:r>
        <w:rPr>
          <w:rFonts w:eastAsia="Times New Roman"/>
          <w:i/>
          <w:iCs/>
          <w:sz w:val="24"/>
          <w:szCs w:val="24"/>
        </w:rPr>
        <w:t>, risk and psychopathy) were found to be related with individual ratings of ward climate. The findings underline the importance of assessing ward climate among both patients and staff in clinical practice.</w:t>
      </w:r>
    </w:p>
    <w:p w:rsidR="005A54F9" w:rsidRDefault="005A54F9">
      <w:pPr>
        <w:spacing w:line="200" w:lineRule="exact"/>
        <w:rPr>
          <w:sz w:val="24"/>
          <w:szCs w:val="24"/>
        </w:rPr>
      </w:pPr>
    </w:p>
    <w:p w:rsidR="005A54F9" w:rsidRDefault="005A54F9">
      <w:pPr>
        <w:spacing w:line="306" w:lineRule="exact"/>
        <w:rPr>
          <w:sz w:val="24"/>
          <w:szCs w:val="24"/>
        </w:rPr>
      </w:pPr>
    </w:p>
    <w:p w:rsidR="005A54F9" w:rsidRDefault="005442FA">
      <w:pPr>
        <w:rPr>
          <w:sz w:val="20"/>
          <w:szCs w:val="20"/>
        </w:rPr>
      </w:pPr>
      <w:r>
        <w:rPr>
          <w:rFonts w:eastAsia="Times New Roman"/>
          <w:sz w:val="24"/>
          <w:szCs w:val="24"/>
        </w:rPr>
        <w:t xml:space="preserve">Keywords: </w:t>
      </w:r>
      <w:r>
        <w:rPr>
          <w:rFonts w:eastAsia="Times New Roman"/>
          <w:i/>
          <w:iCs/>
          <w:sz w:val="24"/>
          <w:szCs w:val="24"/>
        </w:rPr>
        <w:t>ward climate; EssenCES;</w:t>
      </w:r>
      <w:r>
        <w:rPr>
          <w:rFonts w:eastAsia="Times New Roman"/>
          <w:sz w:val="24"/>
          <w:szCs w:val="24"/>
        </w:rPr>
        <w:t xml:space="preserve"> </w:t>
      </w:r>
      <w:r>
        <w:rPr>
          <w:rFonts w:eastAsia="Times New Roman"/>
          <w:i/>
          <w:iCs/>
          <w:sz w:val="24"/>
          <w:szCs w:val="24"/>
        </w:rPr>
        <w:t>patient charac</w:t>
      </w:r>
      <w:r>
        <w:rPr>
          <w:rFonts w:eastAsia="Times New Roman"/>
          <w:i/>
          <w:iCs/>
          <w:sz w:val="24"/>
          <w:szCs w:val="24"/>
        </w:rPr>
        <w:t>teristics; forensic setting; nursing staff</w:t>
      </w:r>
    </w:p>
    <w:p w:rsidR="005A54F9" w:rsidRDefault="005A54F9">
      <w:pPr>
        <w:spacing w:line="200" w:lineRule="exact"/>
        <w:rPr>
          <w:sz w:val="24"/>
          <w:szCs w:val="24"/>
        </w:rPr>
      </w:pPr>
    </w:p>
    <w:p w:rsidR="005A54F9" w:rsidRDefault="005A54F9">
      <w:pPr>
        <w:spacing w:line="200" w:lineRule="exact"/>
        <w:rPr>
          <w:sz w:val="24"/>
          <w:szCs w:val="24"/>
        </w:rPr>
      </w:pPr>
    </w:p>
    <w:p w:rsidR="005A54F9" w:rsidRDefault="005A54F9">
      <w:pPr>
        <w:spacing w:line="200" w:lineRule="exact"/>
        <w:rPr>
          <w:sz w:val="24"/>
          <w:szCs w:val="24"/>
        </w:rPr>
      </w:pPr>
    </w:p>
    <w:p w:rsidR="005A54F9" w:rsidRDefault="005A54F9">
      <w:pPr>
        <w:spacing w:line="200" w:lineRule="exact"/>
        <w:rPr>
          <w:sz w:val="24"/>
          <w:szCs w:val="24"/>
        </w:rPr>
      </w:pPr>
    </w:p>
    <w:p w:rsidR="005A54F9" w:rsidRDefault="005A54F9">
      <w:pPr>
        <w:spacing w:line="200" w:lineRule="exact"/>
        <w:rPr>
          <w:sz w:val="24"/>
          <w:szCs w:val="24"/>
        </w:rPr>
      </w:pPr>
    </w:p>
    <w:p w:rsidR="005A54F9" w:rsidRDefault="005A54F9">
      <w:pPr>
        <w:spacing w:line="200" w:lineRule="exact"/>
        <w:rPr>
          <w:sz w:val="24"/>
          <w:szCs w:val="24"/>
        </w:rPr>
      </w:pPr>
    </w:p>
    <w:p w:rsidR="005A54F9" w:rsidRDefault="005A54F9">
      <w:pPr>
        <w:spacing w:line="200" w:lineRule="exact"/>
        <w:rPr>
          <w:sz w:val="24"/>
          <w:szCs w:val="24"/>
        </w:rPr>
      </w:pPr>
      <w:bookmarkStart w:id="1" w:name="_GoBack"/>
      <w:bookmarkEnd w:id="1"/>
    </w:p>
    <w:p w:rsidR="005A54F9" w:rsidRDefault="005A54F9">
      <w:pPr>
        <w:spacing w:line="200" w:lineRule="exact"/>
        <w:rPr>
          <w:sz w:val="24"/>
          <w:szCs w:val="24"/>
        </w:rPr>
      </w:pPr>
    </w:p>
    <w:p w:rsidR="005A54F9" w:rsidRDefault="005A54F9">
      <w:pPr>
        <w:spacing w:line="200" w:lineRule="exact"/>
        <w:rPr>
          <w:sz w:val="24"/>
          <w:szCs w:val="24"/>
        </w:rPr>
      </w:pPr>
    </w:p>
    <w:p w:rsidR="005A54F9" w:rsidRDefault="005A54F9">
      <w:pPr>
        <w:spacing w:line="200" w:lineRule="exact"/>
        <w:rPr>
          <w:sz w:val="24"/>
          <w:szCs w:val="24"/>
        </w:rPr>
      </w:pPr>
    </w:p>
    <w:p w:rsidR="005A54F9" w:rsidRDefault="005A54F9">
      <w:pPr>
        <w:spacing w:line="396" w:lineRule="exact"/>
        <w:rPr>
          <w:sz w:val="24"/>
          <w:szCs w:val="24"/>
        </w:rPr>
      </w:pPr>
    </w:p>
    <w:p w:rsidR="005A54F9" w:rsidRDefault="005442FA">
      <w:pPr>
        <w:ind w:left="8960"/>
        <w:rPr>
          <w:sz w:val="20"/>
          <w:szCs w:val="20"/>
        </w:rPr>
      </w:pPr>
      <w:r>
        <w:rPr>
          <w:rFonts w:ascii="Verdana" w:eastAsia="Verdana" w:hAnsi="Verdana" w:cs="Verdana"/>
          <w:sz w:val="18"/>
          <w:szCs w:val="18"/>
        </w:rPr>
        <w:t>1</w:t>
      </w:r>
    </w:p>
    <w:p w:rsidR="005A54F9" w:rsidRDefault="005A54F9">
      <w:pPr>
        <w:sectPr w:rsidR="005A54F9">
          <w:pgSz w:w="11900" w:h="16838"/>
          <w:pgMar w:top="1392" w:right="1406" w:bottom="371" w:left="1420" w:header="0" w:footer="0" w:gutter="0"/>
          <w:cols w:space="720" w:equalWidth="0">
            <w:col w:w="9080"/>
          </w:cols>
        </w:sectPr>
      </w:pPr>
    </w:p>
    <w:p w:rsidR="005A54F9" w:rsidRDefault="005442FA">
      <w:pPr>
        <w:rPr>
          <w:sz w:val="20"/>
          <w:szCs w:val="20"/>
        </w:rPr>
      </w:pPr>
      <w:bookmarkStart w:id="2" w:name="page2"/>
      <w:bookmarkEnd w:id="2"/>
      <w:r>
        <w:rPr>
          <w:rFonts w:eastAsia="Times New Roman"/>
          <w:b/>
          <w:bCs/>
          <w:sz w:val="24"/>
          <w:szCs w:val="24"/>
        </w:rPr>
        <w:lastRenderedPageBreak/>
        <w:t>1. Introduction</w:t>
      </w:r>
    </w:p>
    <w:p w:rsidR="005A54F9" w:rsidRDefault="005A54F9">
      <w:pPr>
        <w:spacing w:line="276" w:lineRule="exact"/>
        <w:rPr>
          <w:sz w:val="20"/>
          <w:szCs w:val="20"/>
        </w:rPr>
      </w:pPr>
    </w:p>
    <w:p w:rsidR="005A54F9" w:rsidRDefault="005442FA">
      <w:pPr>
        <w:spacing w:line="480" w:lineRule="auto"/>
        <w:ind w:right="40"/>
        <w:rPr>
          <w:sz w:val="20"/>
          <w:szCs w:val="20"/>
        </w:rPr>
      </w:pPr>
      <w:r>
        <w:rPr>
          <w:rFonts w:eastAsia="Times New Roman"/>
          <w:sz w:val="24"/>
          <w:szCs w:val="24"/>
        </w:rPr>
        <w:t>Ward climate is an important factor within the treatment of inpatients in secure settings and has been studied for almost 50 years. Ward climate can be</w:t>
      </w:r>
      <w:r>
        <w:rPr>
          <w:rFonts w:eastAsia="Times New Roman"/>
          <w:sz w:val="24"/>
          <w:szCs w:val="24"/>
        </w:rPr>
        <w:t xml:space="preserve"> seen as a multifactorial construct including the material, social, and emotional conditions of a given ward and the interaction between these factors (Moos, 1989; Tonkin, 2015). Ward climate is found to play a role in therapeutic outcomes like drop out-, </w:t>
      </w:r>
      <w:r>
        <w:rPr>
          <w:rFonts w:eastAsia="Times New Roman"/>
          <w:sz w:val="24"/>
          <w:szCs w:val="24"/>
        </w:rPr>
        <w:t>release-, and re-admission rates (Moos, Shelton, &amp; Petty, 1973), patient satisfaction (Bressington, Stewart, Beer, &amp; MacInnes, 2011; Middelboe, Schjùdt, Byrsting, &amp; Gjerris, 2001; Nesset, Rossberg, &amp; Almvik, 2009; Rossberg &amp; Friis, 2004), motivation for tr</w:t>
      </w:r>
      <w:r>
        <w:rPr>
          <w:rFonts w:eastAsia="Times New Roman"/>
          <w:sz w:val="24"/>
          <w:szCs w:val="24"/>
        </w:rPr>
        <w:t>eatment (van der Helm, Beunk, Stams, &amp; van der Laan, 2014), treatment engagement and therapeutic alliance (Long, Anagnostakis, Fox, Silaule, Somers, West, &amp; Webster, 2011). Climate can be seen as an aspect of program responsivity that enhances treatment ef</w:t>
      </w:r>
      <w:r>
        <w:rPr>
          <w:rFonts w:eastAsia="Times New Roman"/>
          <w:sz w:val="24"/>
          <w:szCs w:val="24"/>
        </w:rPr>
        <w:t>fects (Beech &amp; Hamilton-Giachritsis, 2005; Howells &amp; Day, 2003; Ward, Day, Howells, &amp; Birgden, 2004). Ward climate has also found to be a determinant of staff wellbeing, playing a role in staff performance and morale (Moos &amp; Schaefer, 1987), job satisfacti</w:t>
      </w:r>
      <w:r>
        <w:rPr>
          <w:rFonts w:eastAsia="Times New Roman"/>
          <w:sz w:val="24"/>
          <w:szCs w:val="24"/>
        </w:rPr>
        <w:t>on (Bressington et al., 2011; Middelboe et al., 2001</w:t>
      </w:r>
      <w:r>
        <w:rPr>
          <w:rFonts w:eastAsia="Times New Roman"/>
        </w:rPr>
        <w:t>; Rossberg &amp; Friis, 2004</w:t>
      </w:r>
      <w:r>
        <w:rPr>
          <w:rFonts w:eastAsia="Times New Roman"/>
          <w:sz w:val="24"/>
          <w:szCs w:val="24"/>
        </w:rPr>
        <w:t>), and occupational stress (</w:t>
      </w:r>
      <w:r>
        <w:rPr>
          <w:rFonts w:eastAsia="Times New Roman"/>
        </w:rPr>
        <w:t>Kirby &amp; Pollock, 1995).</w:t>
      </w:r>
    </w:p>
    <w:p w:rsidR="005A54F9" w:rsidRDefault="005A54F9">
      <w:pPr>
        <w:spacing w:line="1" w:lineRule="exact"/>
        <w:rPr>
          <w:sz w:val="20"/>
          <w:szCs w:val="20"/>
        </w:rPr>
      </w:pPr>
    </w:p>
    <w:p w:rsidR="005A54F9" w:rsidRDefault="005442FA">
      <w:pPr>
        <w:spacing w:line="506" w:lineRule="auto"/>
        <w:ind w:right="100" w:firstLine="708"/>
        <w:rPr>
          <w:sz w:val="20"/>
          <w:szCs w:val="20"/>
        </w:rPr>
      </w:pPr>
      <w:r>
        <w:rPr>
          <w:rFonts w:eastAsia="Times New Roman"/>
          <w:sz w:val="23"/>
          <w:szCs w:val="23"/>
        </w:rPr>
        <w:t xml:space="preserve">The relationship between ward climate and organizational- and therapeutic outcomes underlines the importance of establishing </w:t>
      </w:r>
      <w:r>
        <w:rPr>
          <w:rFonts w:eastAsia="Times New Roman"/>
          <w:sz w:val="23"/>
          <w:szCs w:val="23"/>
        </w:rPr>
        <w:t>and maintaining an environment in which therapeutic progress is encouraged and that supports staff’ ability to deliver responsible high quality care to their patients. However, creating an optimal climate within a high security forensic setting can be very</w:t>
      </w:r>
      <w:r>
        <w:rPr>
          <w:rFonts w:eastAsia="Times New Roman"/>
          <w:sz w:val="23"/>
          <w:szCs w:val="23"/>
        </w:rPr>
        <w:t xml:space="preserve"> challenging due to the complex patient population, involuntary admission within a closed setting and the balance between security needs and treatment goals (Burrows, 1991; Campling, Davies, &amp; Farquharson, 2004; Howells, Krishnan, &amp; Daffern, 2007). Moreove</w:t>
      </w:r>
      <w:r>
        <w:rPr>
          <w:rFonts w:eastAsia="Times New Roman"/>
          <w:sz w:val="23"/>
          <w:szCs w:val="23"/>
        </w:rPr>
        <w:t>r, patients and staff members working within forensic psychiatric settings seem to evaluate ward climate differently (Caplan, 1993; Day, Casey, Vess, &amp; Huisy, 2011;</w:t>
      </w:r>
    </w:p>
    <w:p w:rsidR="005A54F9" w:rsidRDefault="005A54F9">
      <w:pPr>
        <w:spacing w:line="200" w:lineRule="exact"/>
        <w:rPr>
          <w:sz w:val="20"/>
          <w:szCs w:val="20"/>
        </w:rPr>
      </w:pPr>
    </w:p>
    <w:p w:rsidR="005A54F9" w:rsidRDefault="005A54F9">
      <w:pPr>
        <w:spacing w:line="241" w:lineRule="exact"/>
        <w:rPr>
          <w:sz w:val="20"/>
          <w:szCs w:val="20"/>
        </w:rPr>
      </w:pPr>
    </w:p>
    <w:p w:rsidR="005A54F9" w:rsidRDefault="005442FA">
      <w:pPr>
        <w:jc w:val="right"/>
        <w:rPr>
          <w:sz w:val="20"/>
          <w:szCs w:val="20"/>
        </w:rPr>
      </w:pPr>
      <w:r>
        <w:rPr>
          <w:rFonts w:ascii="Verdana" w:eastAsia="Verdana" w:hAnsi="Verdana" w:cs="Verdana"/>
          <w:sz w:val="18"/>
          <w:szCs w:val="18"/>
        </w:rPr>
        <w:t>2</w:t>
      </w:r>
    </w:p>
    <w:p w:rsidR="005A54F9" w:rsidRDefault="005A54F9">
      <w:pPr>
        <w:sectPr w:rsidR="005A54F9">
          <w:pgSz w:w="11900" w:h="16838"/>
          <w:pgMar w:top="1392" w:right="1426" w:bottom="371" w:left="1420" w:header="0" w:footer="0" w:gutter="0"/>
          <w:cols w:space="720" w:equalWidth="0">
            <w:col w:w="9060"/>
          </w:cols>
        </w:sectPr>
      </w:pPr>
    </w:p>
    <w:p w:rsidR="005A54F9" w:rsidRDefault="005442FA">
      <w:pPr>
        <w:spacing w:line="480" w:lineRule="auto"/>
        <w:ind w:right="120"/>
        <w:rPr>
          <w:sz w:val="20"/>
          <w:szCs w:val="20"/>
        </w:rPr>
      </w:pPr>
      <w:bookmarkStart w:id="3" w:name="page3"/>
      <w:bookmarkEnd w:id="3"/>
      <w:r>
        <w:rPr>
          <w:rFonts w:eastAsia="Times New Roman"/>
          <w:sz w:val="24"/>
          <w:szCs w:val="24"/>
        </w:rPr>
        <w:lastRenderedPageBreak/>
        <w:t>Dickens, Suesse, Snyman, &amp; Picchioni, 2014; Howells et al., 2009;</w:t>
      </w:r>
      <w:r>
        <w:rPr>
          <w:rFonts w:eastAsia="Times New Roman"/>
          <w:sz w:val="24"/>
          <w:szCs w:val="24"/>
        </w:rPr>
        <w:t xml:space="preserve"> Livingston et al., 2012</w:t>
      </w:r>
      <w:r>
        <w:rPr>
          <w:rFonts w:eastAsia="Times New Roman"/>
          <w:b/>
          <w:bCs/>
          <w:sz w:val="24"/>
          <w:szCs w:val="24"/>
        </w:rPr>
        <w:t>;</w:t>
      </w:r>
      <w:r>
        <w:rPr>
          <w:rFonts w:eastAsia="Times New Roman"/>
          <w:sz w:val="24"/>
          <w:szCs w:val="24"/>
        </w:rPr>
        <w:t xml:space="preserve"> Long et al., 2011; Moos, 1975</w:t>
      </w:r>
      <w:r>
        <w:rPr>
          <w:rFonts w:eastAsia="Times New Roman"/>
          <w:b/>
          <w:bCs/>
          <w:sz w:val="24"/>
          <w:szCs w:val="24"/>
        </w:rPr>
        <w:t>;</w:t>
      </w:r>
      <w:r>
        <w:rPr>
          <w:rFonts w:eastAsia="Times New Roman"/>
          <w:sz w:val="24"/>
          <w:szCs w:val="24"/>
        </w:rPr>
        <w:t xml:space="preserve"> Rossberg &amp; Friis, 2004; Schalast, Redies, Collins, Stacey, &amp; Howell, 2008; Morrison, Burnard, &amp; Phillips, 1997). For instance, Howells et al. (2009) found that patients in a high secure hospital service in the United Kingdom (UK) evaluated cohesion among </w:t>
      </w:r>
      <w:r>
        <w:rPr>
          <w:rFonts w:eastAsia="Times New Roman"/>
          <w:sz w:val="24"/>
          <w:szCs w:val="24"/>
        </w:rPr>
        <w:t>patients more favorably than staff members. Another study found that patients in open, low and medium secure wards of a psychiatric hospital in the UK evaluated the ward climate as safer than staff members (Dickens et al., 2014). In both studies, staff mem</w:t>
      </w:r>
      <w:r>
        <w:rPr>
          <w:rFonts w:eastAsia="Times New Roman"/>
          <w:sz w:val="24"/>
          <w:szCs w:val="24"/>
        </w:rPr>
        <w:t>bers evaluated the therapeutic hold (how much the environment is supportive of therapy and therapeutic change) more favorably compared to patients. Caplan (1993) found that staff and patient perceptions differed with regard to several scales of the Ward At</w:t>
      </w:r>
      <w:r>
        <w:rPr>
          <w:rFonts w:eastAsia="Times New Roman"/>
          <w:sz w:val="24"/>
          <w:szCs w:val="24"/>
        </w:rPr>
        <w:t>mosphere Scale (WAS; Moos, 1968; 1989, Moos &amp; Houts, 1974), including order and organization, program clarity and staff control. Possible explanations given in previous research for the divergent perceptions between nursing staff and patients are, the diff</w:t>
      </w:r>
      <w:r>
        <w:rPr>
          <w:rFonts w:eastAsia="Times New Roman"/>
          <w:sz w:val="24"/>
          <w:szCs w:val="24"/>
        </w:rPr>
        <w:t>erent roles and functions that staff and patients have within a forensic institution (Caplan,1993; Goffman, 1961; Rossberg &amp; Friis, 2004), and the restrictions to the liberty and personal freedom of incarcerated patients (Langdon, Cosgrave &amp; Tranah, 2004).</w:t>
      </w:r>
      <w:r>
        <w:rPr>
          <w:rFonts w:eastAsia="Times New Roman"/>
          <w:sz w:val="24"/>
          <w:szCs w:val="24"/>
        </w:rPr>
        <w:t xml:space="preserve"> Patients’ restricted liberty could also be a potential explanation for the finding that the perception of climate differs as a function of the level of security (Dickens et al., 2014; Long et al., 2011; Milsom et al., 2014).</w:t>
      </w:r>
    </w:p>
    <w:p w:rsidR="005A54F9" w:rsidRDefault="005A54F9">
      <w:pPr>
        <w:spacing w:line="3" w:lineRule="exact"/>
        <w:rPr>
          <w:sz w:val="20"/>
          <w:szCs w:val="20"/>
        </w:rPr>
      </w:pPr>
    </w:p>
    <w:p w:rsidR="005A54F9" w:rsidRDefault="005442FA">
      <w:pPr>
        <w:spacing w:line="485" w:lineRule="auto"/>
        <w:ind w:right="80" w:firstLine="708"/>
        <w:rPr>
          <w:sz w:val="20"/>
          <w:szCs w:val="20"/>
        </w:rPr>
      </w:pPr>
      <w:r>
        <w:rPr>
          <w:rFonts w:eastAsia="Times New Roman"/>
          <w:sz w:val="24"/>
          <w:szCs w:val="24"/>
        </w:rPr>
        <w:t>It follows that gaining insig</w:t>
      </w:r>
      <w:r>
        <w:rPr>
          <w:rFonts w:eastAsia="Times New Roman"/>
          <w:sz w:val="24"/>
          <w:szCs w:val="24"/>
        </w:rPr>
        <w:t xml:space="preserve">ht into patients’ and staff’s perception of ward climate is highly informative and promotes the discovery of potentially meaningful discrepancies between the groups. Friis (1986) has argued that the patient’s perception of the ward milieu can be seen as a </w:t>
      </w:r>
      <w:r>
        <w:rPr>
          <w:rFonts w:eastAsia="Times New Roman"/>
          <w:sz w:val="24"/>
          <w:szCs w:val="24"/>
        </w:rPr>
        <w:t>most important indicator of how the milieu affects the patient. When striving to keep patients in a responsive therapeutic environment which is designed to address their needs (in order to enhance treatment efficacy), it is important to have insight in how</w:t>
      </w:r>
      <w:r>
        <w:rPr>
          <w:rFonts w:eastAsia="Times New Roman"/>
          <w:sz w:val="24"/>
          <w:szCs w:val="24"/>
        </w:rPr>
        <w:t xml:space="preserve"> the climate is actually perceived by patients. Forensic nurses could use this information in their</w:t>
      </w:r>
    </w:p>
    <w:p w:rsidR="005A54F9" w:rsidRDefault="005A54F9">
      <w:pPr>
        <w:spacing w:line="200" w:lineRule="exact"/>
        <w:rPr>
          <w:sz w:val="20"/>
          <w:szCs w:val="20"/>
        </w:rPr>
      </w:pPr>
    </w:p>
    <w:p w:rsidR="005A54F9" w:rsidRDefault="005A54F9">
      <w:pPr>
        <w:spacing w:line="254" w:lineRule="exact"/>
        <w:rPr>
          <w:sz w:val="20"/>
          <w:szCs w:val="20"/>
        </w:rPr>
      </w:pPr>
    </w:p>
    <w:p w:rsidR="005A54F9" w:rsidRDefault="005442FA">
      <w:pPr>
        <w:jc w:val="right"/>
        <w:rPr>
          <w:sz w:val="20"/>
          <w:szCs w:val="20"/>
        </w:rPr>
      </w:pPr>
      <w:r>
        <w:rPr>
          <w:rFonts w:ascii="Verdana" w:eastAsia="Verdana" w:hAnsi="Verdana" w:cs="Verdana"/>
          <w:sz w:val="18"/>
          <w:szCs w:val="18"/>
        </w:rPr>
        <w:t>3</w:t>
      </w:r>
    </w:p>
    <w:p w:rsidR="005A54F9" w:rsidRDefault="005A54F9">
      <w:pPr>
        <w:sectPr w:rsidR="005A54F9">
          <w:pgSz w:w="11900" w:h="16838"/>
          <w:pgMar w:top="1388" w:right="1426" w:bottom="371" w:left="1420" w:header="0" w:footer="0" w:gutter="0"/>
          <w:cols w:space="720" w:equalWidth="0">
            <w:col w:w="9060"/>
          </w:cols>
        </w:sectPr>
      </w:pPr>
    </w:p>
    <w:p w:rsidR="005A54F9" w:rsidRDefault="005442FA">
      <w:pPr>
        <w:spacing w:line="480" w:lineRule="auto"/>
        <w:ind w:right="40"/>
        <w:rPr>
          <w:sz w:val="20"/>
          <w:szCs w:val="20"/>
        </w:rPr>
      </w:pPr>
      <w:bookmarkStart w:id="4" w:name="page4"/>
      <w:bookmarkEnd w:id="4"/>
      <w:r>
        <w:rPr>
          <w:rFonts w:eastAsia="Times New Roman"/>
          <w:sz w:val="24"/>
          <w:szCs w:val="24"/>
        </w:rPr>
        <w:lastRenderedPageBreak/>
        <w:t xml:space="preserve">daily work, actively discussing the different views on ward climate within their team and with their patient group. Together they </w:t>
      </w:r>
      <w:r>
        <w:rPr>
          <w:rFonts w:eastAsia="Times New Roman"/>
          <w:sz w:val="24"/>
          <w:szCs w:val="24"/>
        </w:rPr>
        <w:t>could identify different needs, create opportunities for improvement of the treatment milieu and subsequently improve treatment success.</w:t>
      </w:r>
    </w:p>
    <w:p w:rsidR="005A54F9" w:rsidRDefault="005442FA">
      <w:pPr>
        <w:spacing w:line="480" w:lineRule="auto"/>
        <w:ind w:right="60" w:firstLine="708"/>
        <w:rPr>
          <w:sz w:val="20"/>
          <w:szCs w:val="20"/>
        </w:rPr>
      </w:pPr>
      <w:r>
        <w:rPr>
          <w:rFonts w:eastAsia="Times New Roman"/>
          <w:sz w:val="24"/>
          <w:szCs w:val="24"/>
        </w:rPr>
        <w:t>Importantly, however, ward climate perception is also dependent on other factors. Recent research by Dickens et al. (20</w:t>
      </w:r>
      <w:r>
        <w:rPr>
          <w:rFonts w:eastAsia="Times New Roman"/>
          <w:sz w:val="24"/>
          <w:szCs w:val="24"/>
        </w:rPr>
        <w:t>14) revealed associations between patient characteristics and mean evaluation scores of ward climate. They found that female gender positively predicted patient cohesion and perceived safety measured with the Essen Climate Evaluation Scale (EssenCES; Schal</w:t>
      </w:r>
      <w:r>
        <w:rPr>
          <w:rFonts w:eastAsia="Times New Roman"/>
          <w:sz w:val="24"/>
          <w:szCs w:val="24"/>
        </w:rPr>
        <w:t>ast et al., 2008) among patients residing in open, low and medium secure forensic settings. Furthermore, higher perceived risk measured with the Historical, Clinical and Risk Management 20 (HCR-20; Webster, Douglas, Eaves, &amp; Hart, 1997) was associated with</w:t>
      </w:r>
      <w:r>
        <w:rPr>
          <w:rFonts w:eastAsia="Times New Roman"/>
          <w:sz w:val="24"/>
          <w:szCs w:val="24"/>
        </w:rPr>
        <w:t xml:space="preserve"> lower perceived patient cohesion, a diagnosis of personality disorder or psychosis according to the ICD-10 (WHO, 2010) was related to higher experienced safety, and higher levels of engagement (i.e., the number of programmed therapeutic sessions attended </w:t>
      </w:r>
      <w:r>
        <w:rPr>
          <w:rFonts w:eastAsia="Times New Roman"/>
          <w:sz w:val="24"/>
          <w:szCs w:val="24"/>
        </w:rPr>
        <w:t>over a two-week period) was associated with greater therapeutic hold.</w:t>
      </w:r>
    </w:p>
    <w:p w:rsidR="005A54F9" w:rsidRDefault="005A54F9">
      <w:pPr>
        <w:spacing w:line="1" w:lineRule="exact"/>
        <w:rPr>
          <w:sz w:val="20"/>
          <w:szCs w:val="20"/>
        </w:rPr>
      </w:pPr>
    </w:p>
    <w:p w:rsidR="005A54F9" w:rsidRDefault="005442FA">
      <w:pPr>
        <w:spacing w:line="479" w:lineRule="auto"/>
        <w:ind w:firstLine="708"/>
        <w:rPr>
          <w:sz w:val="20"/>
          <w:szCs w:val="20"/>
        </w:rPr>
      </w:pPr>
      <w:r>
        <w:rPr>
          <w:rFonts w:eastAsia="Times New Roman"/>
          <w:sz w:val="24"/>
          <w:szCs w:val="24"/>
        </w:rPr>
        <w:t>While not accounting for all relationships presented above, the relationship between ward climate and various environmental, social and individual characteristics might reflect the inte</w:t>
      </w:r>
      <w:r>
        <w:rPr>
          <w:rFonts w:eastAsia="Times New Roman"/>
          <w:sz w:val="24"/>
          <w:szCs w:val="24"/>
        </w:rPr>
        <w:t>rplay between patients’ (security) needs and climate. Hence, individuals at high risk of showing violence or who are suffering from severe psychiatric problems might have higher security needs, leading them to be more exposed to physical, procedural and re</w:t>
      </w:r>
      <w:r>
        <w:rPr>
          <w:rFonts w:eastAsia="Times New Roman"/>
          <w:sz w:val="24"/>
          <w:szCs w:val="24"/>
        </w:rPr>
        <w:t xml:space="preserve">lational security, ultimately influencing their (perception of) ward climate. Norton (2004) describes how five functional properties of a ward (containment, support, structure, involvement and validation) can also reflect the patient’s changing needs, and </w:t>
      </w:r>
      <w:r>
        <w:rPr>
          <w:rFonts w:eastAsia="Times New Roman"/>
          <w:sz w:val="24"/>
          <w:szCs w:val="24"/>
        </w:rPr>
        <w:t>how the emphasis on these factors can change during a treatment process (and during crisis situations).</w:t>
      </w:r>
    </w:p>
    <w:p w:rsidR="005A54F9" w:rsidRDefault="005A54F9">
      <w:pPr>
        <w:spacing w:line="8" w:lineRule="exact"/>
        <w:rPr>
          <w:sz w:val="20"/>
          <w:szCs w:val="20"/>
        </w:rPr>
      </w:pPr>
    </w:p>
    <w:p w:rsidR="005A54F9" w:rsidRDefault="005442FA">
      <w:pPr>
        <w:spacing w:line="545" w:lineRule="auto"/>
        <w:ind w:right="60" w:firstLine="708"/>
        <w:rPr>
          <w:sz w:val="20"/>
          <w:szCs w:val="20"/>
        </w:rPr>
      </w:pPr>
      <w:r>
        <w:rPr>
          <w:rFonts w:eastAsia="Times New Roman"/>
          <w:sz w:val="23"/>
          <w:szCs w:val="23"/>
        </w:rPr>
        <w:t>In contrast to Dickens et al. (2014) there is also research showing that patient characteristics have a small or no impact on ward climate (Moos, 1997;</w:t>
      </w:r>
      <w:r>
        <w:rPr>
          <w:rFonts w:eastAsia="Times New Roman"/>
          <w:sz w:val="23"/>
          <w:szCs w:val="23"/>
        </w:rPr>
        <w:t xml:space="preserve"> Pedersen &amp; Karterud,</w:t>
      </w:r>
    </w:p>
    <w:p w:rsidR="005A54F9" w:rsidRDefault="005A54F9">
      <w:pPr>
        <w:spacing w:line="397" w:lineRule="exact"/>
        <w:rPr>
          <w:sz w:val="20"/>
          <w:szCs w:val="20"/>
        </w:rPr>
      </w:pPr>
    </w:p>
    <w:p w:rsidR="005A54F9" w:rsidRDefault="005442FA">
      <w:pPr>
        <w:jc w:val="right"/>
        <w:rPr>
          <w:sz w:val="20"/>
          <w:szCs w:val="20"/>
        </w:rPr>
      </w:pPr>
      <w:r>
        <w:rPr>
          <w:rFonts w:ascii="Verdana" w:eastAsia="Verdana" w:hAnsi="Verdana" w:cs="Verdana"/>
          <w:sz w:val="18"/>
          <w:szCs w:val="18"/>
        </w:rPr>
        <w:t>4</w:t>
      </w:r>
    </w:p>
    <w:p w:rsidR="005A54F9" w:rsidRDefault="005A54F9">
      <w:pPr>
        <w:sectPr w:rsidR="005A54F9">
          <w:pgSz w:w="11900" w:h="16838"/>
          <w:pgMar w:top="1392" w:right="1426" w:bottom="371" w:left="1420" w:header="0" w:footer="0" w:gutter="0"/>
          <w:cols w:space="720" w:equalWidth="0">
            <w:col w:w="9060"/>
          </w:cols>
        </w:sectPr>
      </w:pPr>
    </w:p>
    <w:p w:rsidR="005A54F9" w:rsidRDefault="005442FA">
      <w:pPr>
        <w:spacing w:line="480" w:lineRule="auto"/>
        <w:ind w:right="160"/>
        <w:rPr>
          <w:sz w:val="20"/>
          <w:szCs w:val="20"/>
        </w:rPr>
      </w:pPr>
      <w:bookmarkStart w:id="5" w:name="page5"/>
      <w:bookmarkEnd w:id="5"/>
      <w:r>
        <w:rPr>
          <w:rFonts w:eastAsia="Times New Roman"/>
          <w:sz w:val="24"/>
          <w:szCs w:val="24"/>
        </w:rPr>
        <w:lastRenderedPageBreak/>
        <w:t>2007). Pedersen and Karterud (2007) found no substantial associations between patient characteristics (gender, age, level of education, self reported symptom distress, interpersonal problems, diagnosis) and in</w:t>
      </w:r>
      <w:r>
        <w:rPr>
          <w:rFonts w:eastAsia="Times New Roman"/>
          <w:sz w:val="24"/>
          <w:szCs w:val="24"/>
        </w:rPr>
        <w:t>dividual ratings of treatment milieu. Data were collected from patients (71% women) suffering mainly from personality, mood and anxiety disorders who had been admitted to day-treatment units. Pedersen and Karterud (2007) argue that since differences betwee</w:t>
      </w:r>
      <w:r>
        <w:rPr>
          <w:rFonts w:eastAsia="Times New Roman"/>
          <w:sz w:val="24"/>
          <w:szCs w:val="24"/>
        </w:rPr>
        <w:t>n patients’ views on ward climate cannot be attributed to patient characteristics they must be largely idiosyncratic. Alternative explanations for the discrepant findings with regard to the role of patient characteristics might be found in differences in m</w:t>
      </w:r>
      <w:r>
        <w:rPr>
          <w:rFonts w:eastAsia="Times New Roman"/>
          <w:sz w:val="24"/>
          <w:szCs w:val="24"/>
        </w:rPr>
        <w:t>ethodology (using the EssenCES versus the WAS for assessing climate), and different clinical setting/samples used in the studies of Dickens and colleagues (2014) and Pedersen and Karterud (2007).</w:t>
      </w:r>
    </w:p>
    <w:p w:rsidR="005A54F9" w:rsidRDefault="005A54F9">
      <w:pPr>
        <w:spacing w:line="1" w:lineRule="exact"/>
        <w:rPr>
          <w:sz w:val="20"/>
          <w:szCs w:val="20"/>
        </w:rPr>
      </w:pPr>
    </w:p>
    <w:p w:rsidR="005A54F9" w:rsidRDefault="005442FA">
      <w:pPr>
        <w:spacing w:line="479" w:lineRule="auto"/>
        <w:ind w:right="80" w:firstLine="708"/>
        <w:rPr>
          <w:sz w:val="20"/>
          <w:szCs w:val="20"/>
        </w:rPr>
      </w:pPr>
      <w:r>
        <w:rPr>
          <w:rFonts w:eastAsia="Times New Roman"/>
          <w:sz w:val="24"/>
          <w:szCs w:val="24"/>
        </w:rPr>
        <w:t>Contradictory findings highlight the importance of conducti</w:t>
      </w:r>
      <w:r>
        <w:rPr>
          <w:rFonts w:eastAsia="Times New Roman"/>
          <w:sz w:val="24"/>
          <w:szCs w:val="24"/>
        </w:rPr>
        <w:t>ng more research in order to disentangle the possible relationships between patient characteristics and ward climate within secure forensic settings. Gaining more knowledge about these relationships could be beneficial for clinical practice by providing gu</w:t>
      </w:r>
      <w:r>
        <w:rPr>
          <w:rFonts w:eastAsia="Times New Roman"/>
          <w:sz w:val="24"/>
          <w:szCs w:val="24"/>
        </w:rPr>
        <w:t>idance for active management of ward climate. Hence, when striving to keep patients in a therapeutic environment designed to address their needs, taking into account individual patient characteristics is essential. In order to do so, more research is neede</w:t>
      </w:r>
      <w:r>
        <w:rPr>
          <w:rFonts w:eastAsia="Times New Roman"/>
          <w:sz w:val="24"/>
          <w:szCs w:val="24"/>
        </w:rPr>
        <w:t>d, demonstrating whether or not certain personal characteristics are related to the perception of ward climate. When relationships and underlying mechanisms are clearer, this knowledge could be used to guide assessment, evaluation, assignment to specific w</w:t>
      </w:r>
      <w:r>
        <w:rPr>
          <w:rFonts w:eastAsia="Times New Roman"/>
          <w:sz w:val="24"/>
          <w:szCs w:val="24"/>
        </w:rPr>
        <w:t>ards, composing patient groups and staff training.</w:t>
      </w:r>
    </w:p>
    <w:p w:rsidR="005A54F9" w:rsidRDefault="005A54F9">
      <w:pPr>
        <w:spacing w:line="10" w:lineRule="exact"/>
        <w:rPr>
          <w:sz w:val="20"/>
          <w:szCs w:val="20"/>
        </w:rPr>
      </w:pPr>
    </w:p>
    <w:p w:rsidR="005A54F9" w:rsidRDefault="005442FA">
      <w:pPr>
        <w:spacing w:line="515" w:lineRule="auto"/>
        <w:ind w:right="100" w:firstLine="708"/>
        <w:rPr>
          <w:sz w:val="20"/>
          <w:szCs w:val="20"/>
        </w:rPr>
      </w:pPr>
      <w:r>
        <w:rPr>
          <w:rFonts w:eastAsia="Times New Roman"/>
          <w:sz w:val="23"/>
          <w:szCs w:val="23"/>
        </w:rPr>
        <w:t>Since there are very few studies of the relationship between ward climate and patient characteristics this study contributes to an under-explored but important area. The aim of this current study is to pr</w:t>
      </w:r>
      <w:r>
        <w:rPr>
          <w:rFonts w:eastAsia="Times New Roman"/>
          <w:sz w:val="23"/>
          <w:szCs w:val="23"/>
        </w:rPr>
        <w:t>ovide more insight into the relationship between patient characteristics and perceived ward climate. Based on previous findings, the demographic characteristics that</w:t>
      </w:r>
    </w:p>
    <w:p w:rsidR="005A54F9" w:rsidRDefault="005A54F9">
      <w:pPr>
        <w:spacing w:line="200" w:lineRule="exact"/>
        <w:rPr>
          <w:sz w:val="20"/>
          <w:szCs w:val="20"/>
        </w:rPr>
      </w:pPr>
    </w:p>
    <w:p w:rsidR="005A54F9" w:rsidRDefault="005A54F9">
      <w:pPr>
        <w:spacing w:line="232" w:lineRule="exact"/>
        <w:rPr>
          <w:sz w:val="20"/>
          <w:szCs w:val="20"/>
        </w:rPr>
      </w:pPr>
    </w:p>
    <w:p w:rsidR="005A54F9" w:rsidRDefault="005442FA">
      <w:pPr>
        <w:jc w:val="right"/>
        <w:rPr>
          <w:sz w:val="20"/>
          <w:szCs w:val="20"/>
        </w:rPr>
      </w:pPr>
      <w:r>
        <w:rPr>
          <w:rFonts w:ascii="Verdana" w:eastAsia="Verdana" w:hAnsi="Verdana" w:cs="Verdana"/>
          <w:sz w:val="18"/>
          <w:szCs w:val="18"/>
        </w:rPr>
        <w:t>5</w:t>
      </w:r>
    </w:p>
    <w:p w:rsidR="005A54F9" w:rsidRDefault="005A54F9">
      <w:pPr>
        <w:sectPr w:rsidR="005A54F9">
          <w:pgSz w:w="11900" w:h="16838"/>
          <w:pgMar w:top="1392" w:right="1426" w:bottom="371" w:left="1420" w:header="0" w:footer="0" w:gutter="0"/>
          <w:cols w:space="720" w:equalWidth="0">
            <w:col w:w="9060"/>
          </w:cols>
        </w:sectPr>
      </w:pPr>
    </w:p>
    <w:p w:rsidR="005A54F9" w:rsidRDefault="005442FA">
      <w:pPr>
        <w:spacing w:line="480" w:lineRule="auto"/>
        <w:ind w:right="40"/>
        <w:rPr>
          <w:sz w:val="20"/>
          <w:szCs w:val="20"/>
        </w:rPr>
      </w:pPr>
      <w:bookmarkStart w:id="6" w:name="page6"/>
      <w:bookmarkEnd w:id="6"/>
      <w:r>
        <w:rPr>
          <w:rFonts w:eastAsia="Times New Roman"/>
          <w:sz w:val="24"/>
          <w:szCs w:val="24"/>
        </w:rPr>
        <w:lastRenderedPageBreak/>
        <w:t>might be related to perception of ward climate targeted in the p</w:t>
      </w:r>
      <w:r>
        <w:rPr>
          <w:rFonts w:eastAsia="Times New Roman"/>
          <w:sz w:val="24"/>
          <w:szCs w:val="24"/>
        </w:rPr>
        <w:t>resent study were patients’ age (Campbell, Allan, &amp; Sims, 2014; Middelboe et al., 2001; Pedersen &amp; Karterud, 2007), length of stay within the facility (van der Helm et al., 2014), and risk of violence (Dickens et al., 2014). With respect to pathological pe</w:t>
      </w:r>
      <w:r>
        <w:rPr>
          <w:rFonts w:eastAsia="Times New Roman"/>
          <w:sz w:val="24"/>
          <w:szCs w:val="24"/>
        </w:rPr>
        <w:t xml:space="preserve">rsonality features, there are reports that psychopathy may be a key determinant of climate in forensic therapeutic settings (Harkins, Beech, &amp; Thornton, 2012). Psychopathy is a severe condition characterized by a combination of personality characteristics </w:t>
      </w:r>
      <w:r>
        <w:rPr>
          <w:rFonts w:eastAsia="Times New Roman"/>
          <w:sz w:val="24"/>
          <w:szCs w:val="24"/>
        </w:rPr>
        <w:t>entailing disturbed interpersonal-affective functioning combined with high anti-sociality (Neumann, Hare, &amp; Newman, 2007). Therefore, the impact of having psychopathic features on the perception of ward climate was also assessed. This study has an explorat</w:t>
      </w:r>
      <w:r>
        <w:rPr>
          <w:rFonts w:eastAsia="Times New Roman"/>
          <w:sz w:val="24"/>
          <w:szCs w:val="24"/>
        </w:rPr>
        <w:t>ive nature, since the literature provides inconclusive findings and therefore precludes the formulation of clear hypotheses.</w:t>
      </w:r>
    </w:p>
    <w:p w:rsidR="005A54F9" w:rsidRDefault="005A54F9">
      <w:pPr>
        <w:spacing w:line="1" w:lineRule="exact"/>
        <w:rPr>
          <w:sz w:val="20"/>
          <w:szCs w:val="20"/>
        </w:rPr>
      </w:pPr>
    </w:p>
    <w:p w:rsidR="005A54F9" w:rsidRDefault="005442FA">
      <w:pPr>
        <w:spacing w:line="480" w:lineRule="auto"/>
        <w:ind w:right="200" w:firstLine="708"/>
        <w:rPr>
          <w:sz w:val="20"/>
          <w:szCs w:val="20"/>
        </w:rPr>
      </w:pPr>
      <w:r>
        <w:rPr>
          <w:rFonts w:eastAsia="Times New Roman"/>
          <w:sz w:val="24"/>
          <w:szCs w:val="24"/>
        </w:rPr>
        <w:t>As very little research on ward climate has been conducted outside of the US and the UK, this study also aims to assess whether th</w:t>
      </w:r>
      <w:r>
        <w:rPr>
          <w:rFonts w:eastAsia="Times New Roman"/>
          <w:sz w:val="24"/>
          <w:szCs w:val="24"/>
        </w:rPr>
        <w:t>e differences between patients’ and staff’s perceptions of ward climate can be found in the high secure forensic setting in the Netherlands. Based on previous findings, we hypothesized that patients should report higher levels of experienced safety and pat</w:t>
      </w:r>
      <w:r>
        <w:rPr>
          <w:rFonts w:eastAsia="Times New Roman"/>
          <w:sz w:val="24"/>
          <w:szCs w:val="24"/>
        </w:rPr>
        <w:t>ient cohesion compared to staff members and that staff members should report higher levels of therapeutic hold compared to patients.</w:t>
      </w:r>
    </w:p>
    <w:p w:rsidR="005A54F9" w:rsidRDefault="005442FA">
      <w:pPr>
        <w:spacing w:line="495" w:lineRule="auto"/>
        <w:ind w:firstLine="708"/>
        <w:rPr>
          <w:sz w:val="20"/>
          <w:szCs w:val="20"/>
        </w:rPr>
      </w:pPr>
      <w:r>
        <w:rPr>
          <w:rFonts w:eastAsia="Times New Roman"/>
          <w:sz w:val="24"/>
          <w:szCs w:val="24"/>
        </w:rPr>
        <w:t xml:space="preserve">To conclude, the aim of this current study is to provide more insight into the differences between patients’ and staff’s </w:t>
      </w:r>
      <w:r>
        <w:rPr>
          <w:rFonts w:eastAsia="Times New Roman"/>
          <w:sz w:val="24"/>
          <w:szCs w:val="24"/>
        </w:rPr>
        <w:t>perceptions of ward climate, and into the relationship between patient characteristics and perceived ward climate.</w:t>
      </w:r>
    </w:p>
    <w:p w:rsidR="005A54F9" w:rsidRDefault="005A54F9">
      <w:pPr>
        <w:spacing w:line="200" w:lineRule="exact"/>
        <w:rPr>
          <w:sz w:val="20"/>
          <w:szCs w:val="20"/>
        </w:rPr>
      </w:pPr>
    </w:p>
    <w:p w:rsidR="005A54F9" w:rsidRDefault="005A54F9">
      <w:pPr>
        <w:spacing w:line="301" w:lineRule="exact"/>
        <w:rPr>
          <w:sz w:val="20"/>
          <w:szCs w:val="20"/>
        </w:rPr>
      </w:pPr>
    </w:p>
    <w:p w:rsidR="005A54F9" w:rsidRDefault="005442FA">
      <w:pPr>
        <w:rPr>
          <w:sz w:val="20"/>
          <w:szCs w:val="20"/>
        </w:rPr>
      </w:pPr>
      <w:r>
        <w:rPr>
          <w:rFonts w:eastAsia="Times New Roman"/>
          <w:b/>
          <w:bCs/>
          <w:sz w:val="24"/>
          <w:szCs w:val="24"/>
        </w:rPr>
        <w:t>2. Material and Methods</w:t>
      </w:r>
    </w:p>
    <w:p w:rsidR="005A54F9" w:rsidRDefault="005A54F9">
      <w:pPr>
        <w:spacing w:line="200" w:lineRule="exact"/>
        <w:rPr>
          <w:sz w:val="20"/>
          <w:szCs w:val="20"/>
        </w:rPr>
      </w:pPr>
    </w:p>
    <w:p w:rsidR="005A54F9" w:rsidRDefault="005A54F9">
      <w:pPr>
        <w:spacing w:line="275" w:lineRule="exact"/>
        <w:rPr>
          <w:sz w:val="20"/>
          <w:szCs w:val="20"/>
        </w:rPr>
      </w:pPr>
    </w:p>
    <w:p w:rsidR="005A54F9" w:rsidRDefault="005442FA">
      <w:pPr>
        <w:rPr>
          <w:sz w:val="20"/>
          <w:szCs w:val="20"/>
        </w:rPr>
      </w:pPr>
      <w:r>
        <w:rPr>
          <w:rFonts w:eastAsia="Times New Roman"/>
          <w:sz w:val="24"/>
          <w:szCs w:val="24"/>
        </w:rPr>
        <w:t>2.1 Subjects</w:t>
      </w:r>
    </w:p>
    <w:p w:rsidR="005A54F9" w:rsidRDefault="005A54F9">
      <w:pPr>
        <w:spacing w:line="276" w:lineRule="exact"/>
        <w:rPr>
          <w:sz w:val="20"/>
          <w:szCs w:val="20"/>
        </w:rPr>
      </w:pPr>
    </w:p>
    <w:p w:rsidR="005A54F9" w:rsidRDefault="005442FA">
      <w:pPr>
        <w:ind w:left="700"/>
        <w:rPr>
          <w:sz w:val="20"/>
          <w:szCs w:val="20"/>
        </w:rPr>
      </w:pPr>
      <w:r>
        <w:rPr>
          <w:rFonts w:eastAsia="Times New Roman"/>
          <w:sz w:val="24"/>
          <w:szCs w:val="24"/>
        </w:rPr>
        <w:t>Data were collected within a high secure forensic psychiatric institution in the</w:t>
      </w:r>
    </w:p>
    <w:p w:rsidR="005A54F9" w:rsidRDefault="005A54F9">
      <w:pPr>
        <w:spacing w:line="276" w:lineRule="exact"/>
        <w:rPr>
          <w:sz w:val="20"/>
          <w:szCs w:val="20"/>
        </w:rPr>
      </w:pPr>
    </w:p>
    <w:p w:rsidR="005A54F9" w:rsidRDefault="005442FA">
      <w:pPr>
        <w:rPr>
          <w:sz w:val="20"/>
          <w:szCs w:val="20"/>
        </w:rPr>
      </w:pPr>
      <w:r>
        <w:rPr>
          <w:rFonts w:eastAsia="Times New Roman"/>
          <w:sz w:val="24"/>
          <w:szCs w:val="24"/>
        </w:rPr>
        <w:t>Netherlands. In t</w:t>
      </w:r>
      <w:r>
        <w:rPr>
          <w:rFonts w:eastAsia="Times New Roman"/>
          <w:sz w:val="24"/>
          <w:szCs w:val="24"/>
        </w:rPr>
        <w:t>he Netherlands, offenders who have committed a serious crime, (partly) due</w:t>
      </w:r>
    </w:p>
    <w:p w:rsidR="005A54F9" w:rsidRDefault="005A54F9">
      <w:pPr>
        <w:spacing w:line="200" w:lineRule="exact"/>
        <w:rPr>
          <w:sz w:val="20"/>
          <w:szCs w:val="20"/>
        </w:rPr>
      </w:pPr>
    </w:p>
    <w:p w:rsidR="005A54F9" w:rsidRDefault="005A54F9">
      <w:pPr>
        <w:spacing w:line="369" w:lineRule="exact"/>
        <w:rPr>
          <w:sz w:val="20"/>
          <w:szCs w:val="20"/>
        </w:rPr>
      </w:pPr>
    </w:p>
    <w:p w:rsidR="005A54F9" w:rsidRDefault="005442FA">
      <w:pPr>
        <w:jc w:val="right"/>
        <w:rPr>
          <w:sz w:val="20"/>
          <w:szCs w:val="20"/>
        </w:rPr>
      </w:pPr>
      <w:r>
        <w:rPr>
          <w:rFonts w:ascii="Verdana" w:eastAsia="Verdana" w:hAnsi="Verdana" w:cs="Verdana"/>
          <w:sz w:val="18"/>
          <w:szCs w:val="18"/>
        </w:rPr>
        <w:t>6</w:t>
      </w:r>
    </w:p>
    <w:p w:rsidR="005A54F9" w:rsidRDefault="005A54F9">
      <w:pPr>
        <w:sectPr w:rsidR="005A54F9">
          <w:pgSz w:w="11900" w:h="16838"/>
          <w:pgMar w:top="1392" w:right="1426" w:bottom="371" w:left="1420" w:header="0" w:footer="0" w:gutter="0"/>
          <w:cols w:space="720" w:equalWidth="0">
            <w:col w:w="9060"/>
          </w:cols>
        </w:sectPr>
      </w:pPr>
    </w:p>
    <w:p w:rsidR="005A54F9" w:rsidRDefault="005442FA">
      <w:pPr>
        <w:spacing w:line="500" w:lineRule="auto"/>
        <w:ind w:right="120"/>
        <w:rPr>
          <w:sz w:val="20"/>
          <w:szCs w:val="20"/>
        </w:rPr>
      </w:pPr>
      <w:bookmarkStart w:id="7" w:name="page7"/>
      <w:bookmarkEnd w:id="7"/>
      <w:r>
        <w:rPr>
          <w:rFonts w:eastAsia="Times New Roman"/>
          <w:sz w:val="23"/>
          <w:szCs w:val="23"/>
        </w:rPr>
        <w:lastRenderedPageBreak/>
        <w:t>to a psychopathological condition (Diagnostic and Statistical Manual of Mental Disorders, version IV-TR axis-I and/or axis–II disorder; American Psychiatri</w:t>
      </w:r>
      <w:r>
        <w:rPr>
          <w:rFonts w:eastAsia="Times New Roman"/>
          <w:sz w:val="23"/>
          <w:szCs w:val="23"/>
        </w:rPr>
        <w:t xml:space="preserve">c Association, 2000), can be assigned to a measure to be treated on behalf of the state (Ter Beschikking Stelling; TBS). TBS is not a punishment, but an entrustment act for offenders with mental disorders, which aims to protect society against the risk of </w:t>
      </w:r>
      <w:r>
        <w:rPr>
          <w:rFonts w:eastAsia="Times New Roman"/>
          <w:sz w:val="23"/>
          <w:szCs w:val="23"/>
        </w:rPr>
        <w:t>recidivism through incarceration and treatment.</w:t>
      </w:r>
    </w:p>
    <w:p w:rsidR="005A54F9" w:rsidRDefault="005A54F9">
      <w:pPr>
        <w:spacing w:line="5" w:lineRule="exact"/>
        <w:rPr>
          <w:sz w:val="20"/>
          <w:szCs w:val="20"/>
        </w:rPr>
      </w:pPr>
    </w:p>
    <w:p w:rsidR="005A54F9" w:rsidRDefault="005442FA">
      <w:pPr>
        <w:spacing w:line="481" w:lineRule="auto"/>
        <w:ind w:firstLine="708"/>
        <w:rPr>
          <w:sz w:val="20"/>
          <w:szCs w:val="20"/>
        </w:rPr>
      </w:pPr>
      <w:r>
        <w:rPr>
          <w:rFonts w:eastAsia="Times New Roman"/>
          <w:sz w:val="24"/>
          <w:szCs w:val="24"/>
        </w:rPr>
        <w:t>Between 2007 and 2012 a total of 1399 measurements of the EssenCES were obtained (891 EssenCES scored by staff members and 508 by patients, including repeated measures). In order to include as many participa</w:t>
      </w:r>
      <w:r>
        <w:rPr>
          <w:rFonts w:eastAsia="Times New Roman"/>
          <w:sz w:val="24"/>
          <w:szCs w:val="24"/>
        </w:rPr>
        <w:t>nts as possible within the analysis of this present study two sub-samples were extracted from this total dataset. One sample was used to compare staff members and patients’ views on ward climate. Therefore, only wards where at least half of the staff membe</w:t>
      </w:r>
      <w:r>
        <w:rPr>
          <w:rFonts w:eastAsia="Times New Roman"/>
          <w:sz w:val="24"/>
          <w:szCs w:val="24"/>
        </w:rPr>
        <w:t>rs and half of the patients participated during the same measurement point, were selected. A response rate of at least 50% seemed sufficient to obtain a climate profile (Dickens et al., 2014). Schalast et al. (2008) argue that it is not necessary for all p</w:t>
      </w:r>
      <w:r>
        <w:rPr>
          <w:rFonts w:eastAsia="Times New Roman"/>
          <w:sz w:val="24"/>
          <w:szCs w:val="24"/>
        </w:rPr>
        <w:t>atients and staff to fill in the questionnaire to get a realistic or valid view. This method resulted in a sample of 72 patients and 113 staff members from 13 wards</w:t>
      </w:r>
      <w:r>
        <w:rPr>
          <w:rFonts w:eastAsia="Times New Roman"/>
          <w:i/>
          <w:iCs/>
          <w:sz w:val="24"/>
          <w:szCs w:val="24"/>
        </w:rPr>
        <w:t>.</w:t>
      </w:r>
      <w:r>
        <w:rPr>
          <w:rFonts w:eastAsia="Times New Roman"/>
          <w:sz w:val="24"/>
          <w:szCs w:val="24"/>
        </w:rPr>
        <w:t xml:space="preserve"> In order to investigate the reliability of the scale within this Dutch forensic sample and</w:t>
      </w:r>
      <w:r>
        <w:rPr>
          <w:rFonts w:eastAsia="Times New Roman"/>
          <w:sz w:val="24"/>
          <w:szCs w:val="24"/>
        </w:rPr>
        <w:t xml:space="preserve"> in order to look at the role that individual patient characteristics play in the perception of ward climate, the first measurement from each participant (excluding repeated measures), was extracted from the total dataset to form a second sample. This resu</w:t>
      </w:r>
      <w:r>
        <w:rPr>
          <w:rFonts w:eastAsia="Times New Roman"/>
          <w:sz w:val="24"/>
          <w:szCs w:val="24"/>
        </w:rPr>
        <w:t>lted in a sample of 373 participants, 154 patients and 219 staff members. Demographic and clinical characteristics of the participating patients are shown in table 1</w:t>
      </w:r>
      <w:r>
        <w:rPr>
          <w:rFonts w:eastAsia="Times New Roman"/>
          <w:color w:val="0000FF"/>
          <w:sz w:val="24"/>
          <w:szCs w:val="24"/>
        </w:rPr>
        <w:t>.</w:t>
      </w:r>
      <w:r>
        <w:rPr>
          <w:rFonts w:eastAsia="Times New Roman"/>
          <w:sz w:val="24"/>
          <w:szCs w:val="24"/>
        </w:rPr>
        <w:t xml:space="preserve"> All participating patients were male and were diagnosed with one or more diagnoses on Axi</w:t>
      </w:r>
      <w:r>
        <w:rPr>
          <w:rFonts w:eastAsia="Times New Roman"/>
          <w:sz w:val="24"/>
          <w:szCs w:val="24"/>
        </w:rPr>
        <w:t>s I and/or Axis II defined according to the DSM IV/V (American Psychiatric Association, 2000).</w:t>
      </w:r>
    </w:p>
    <w:p w:rsidR="005A54F9" w:rsidRDefault="005A54F9">
      <w:pPr>
        <w:spacing w:line="200" w:lineRule="exact"/>
        <w:rPr>
          <w:sz w:val="20"/>
          <w:szCs w:val="20"/>
        </w:rPr>
      </w:pPr>
    </w:p>
    <w:p w:rsidR="005A54F9" w:rsidRDefault="005A54F9">
      <w:pPr>
        <w:spacing w:line="330" w:lineRule="exact"/>
        <w:rPr>
          <w:sz w:val="20"/>
          <w:szCs w:val="20"/>
        </w:rPr>
      </w:pPr>
    </w:p>
    <w:p w:rsidR="005A54F9" w:rsidRDefault="005442FA">
      <w:pPr>
        <w:rPr>
          <w:sz w:val="20"/>
          <w:szCs w:val="20"/>
        </w:rPr>
      </w:pPr>
      <w:r>
        <w:rPr>
          <w:rFonts w:eastAsia="Times New Roman"/>
          <w:sz w:val="24"/>
          <w:szCs w:val="24"/>
        </w:rPr>
        <w:t>2.2 Procedure</w:t>
      </w: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370" w:lineRule="exact"/>
        <w:rPr>
          <w:sz w:val="20"/>
          <w:szCs w:val="20"/>
        </w:rPr>
      </w:pPr>
    </w:p>
    <w:p w:rsidR="005A54F9" w:rsidRDefault="005442FA">
      <w:pPr>
        <w:ind w:left="8960"/>
        <w:rPr>
          <w:sz w:val="20"/>
          <w:szCs w:val="20"/>
        </w:rPr>
      </w:pPr>
      <w:r>
        <w:rPr>
          <w:rFonts w:ascii="Verdana" w:eastAsia="Verdana" w:hAnsi="Verdana" w:cs="Verdana"/>
          <w:sz w:val="15"/>
          <w:szCs w:val="15"/>
        </w:rPr>
        <w:t>7</w:t>
      </w:r>
    </w:p>
    <w:p w:rsidR="005A54F9" w:rsidRDefault="005A54F9">
      <w:pPr>
        <w:sectPr w:rsidR="005A54F9">
          <w:pgSz w:w="11900" w:h="16838"/>
          <w:pgMar w:top="1392" w:right="1426" w:bottom="407" w:left="1420" w:header="0" w:footer="0" w:gutter="0"/>
          <w:cols w:space="720" w:equalWidth="0">
            <w:col w:w="9060"/>
          </w:cols>
        </w:sectPr>
      </w:pPr>
    </w:p>
    <w:p w:rsidR="005A54F9" w:rsidRDefault="005442FA">
      <w:pPr>
        <w:spacing w:line="480" w:lineRule="auto"/>
        <w:ind w:firstLine="708"/>
        <w:rPr>
          <w:sz w:val="20"/>
          <w:szCs w:val="20"/>
        </w:rPr>
      </w:pPr>
      <w:bookmarkStart w:id="8" w:name="page8"/>
      <w:bookmarkEnd w:id="8"/>
      <w:r>
        <w:rPr>
          <w:rFonts w:eastAsia="Times New Roman"/>
          <w:sz w:val="24"/>
          <w:szCs w:val="24"/>
        </w:rPr>
        <w:lastRenderedPageBreak/>
        <w:t xml:space="preserve">The data collection was part of routine evaluation of the ward climate within the institution. Staff members working </w:t>
      </w:r>
      <w:r>
        <w:rPr>
          <w:rFonts w:eastAsia="Times New Roman"/>
          <w:sz w:val="24"/>
          <w:szCs w:val="24"/>
        </w:rPr>
        <w:t>on the wards and patients that resided on the wards were routinely (three times per year) asked to complete the EssenCES. The researcher gave oral and written information concerning the data collection, the study aims and objectives. Staff members complete</w:t>
      </w:r>
      <w:r>
        <w:rPr>
          <w:rFonts w:eastAsia="Times New Roman"/>
          <w:sz w:val="24"/>
          <w:szCs w:val="24"/>
        </w:rPr>
        <w:t>d the measures during work hours, patients were rewarded with € 2,35. The completed questionnaires were returned to the researcher, after which the scores were entered into SPSS version 20 (IBM, SPSS Statistics) for analyses.</w:t>
      </w:r>
    </w:p>
    <w:p w:rsidR="005A54F9" w:rsidRDefault="005442FA">
      <w:pPr>
        <w:spacing w:line="485" w:lineRule="auto"/>
        <w:ind w:right="160" w:firstLine="708"/>
        <w:rPr>
          <w:sz w:val="20"/>
          <w:szCs w:val="20"/>
        </w:rPr>
      </w:pPr>
      <w:r>
        <w:rPr>
          <w:rFonts w:eastAsia="Times New Roman"/>
          <w:sz w:val="24"/>
          <w:szCs w:val="24"/>
        </w:rPr>
        <w:t>Data on patient characteristic</w:t>
      </w:r>
      <w:r>
        <w:rPr>
          <w:rFonts w:eastAsia="Times New Roman"/>
          <w:sz w:val="24"/>
          <w:szCs w:val="24"/>
        </w:rPr>
        <w:t>s (age, length of stay, disorder, risk, and psychopathy) were extracted from the clinical records of the patients and added to the SPSS database. Collection of data about, e.g., mental disorders (DSM IV/V) and level of risk (HCR-20) is important and mandat</w:t>
      </w:r>
      <w:r>
        <w:rPr>
          <w:rFonts w:eastAsia="Times New Roman"/>
          <w:sz w:val="24"/>
          <w:szCs w:val="24"/>
        </w:rPr>
        <w:t>ory upon admission to the forensic mental health system. As the HCR-20 (and in some cases the PCL-R) are administered multiple times in order to monitor a patient’s risk, the assessment that had taken place most closely to the assessment of climate was use</w:t>
      </w:r>
      <w:r>
        <w:rPr>
          <w:rFonts w:eastAsia="Times New Roman"/>
          <w:sz w:val="24"/>
          <w:szCs w:val="24"/>
        </w:rPr>
        <w:t>d in this study.</w:t>
      </w:r>
    </w:p>
    <w:p w:rsidR="005A54F9" w:rsidRDefault="005A54F9">
      <w:pPr>
        <w:spacing w:line="200" w:lineRule="exact"/>
        <w:rPr>
          <w:sz w:val="20"/>
          <w:szCs w:val="20"/>
        </w:rPr>
      </w:pPr>
    </w:p>
    <w:p w:rsidR="005A54F9" w:rsidRDefault="005A54F9">
      <w:pPr>
        <w:spacing w:line="312" w:lineRule="exact"/>
        <w:rPr>
          <w:sz w:val="20"/>
          <w:szCs w:val="20"/>
        </w:rPr>
      </w:pPr>
    </w:p>
    <w:p w:rsidR="005A54F9" w:rsidRDefault="005442FA">
      <w:pPr>
        <w:rPr>
          <w:sz w:val="20"/>
          <w:szCs w:val="20"/>
        </w:rPr>
      </w:pPr>
      <w:r>
        <w:rPr>
          <w:rFonts w:eastAsia="Times New Roman"/>
          <w:sz w:val="24"/>
          <w:szCs w:val="24"/>
        </w:rPr>
        <w:t>2.3 Measures</w:t>
      </w:r>
    </w:p>
    <w:p w:rsidR="005A54F9" w:rsidRDefault="005A54F9">
      <w:pPr>
        <w:spacing w:line="272" w:lineRule="exact"/>
        <w:rPr>
          <w:sz w:val="20"/>
          <w:szCs w:val="20"/>
        </w:rPr>
      </w:pPr>
    </w:p>
    <w:p w:rsidR="005A54F9" w:rsidRDefault="005442FA">
      <w:pPr>
        <w:rPr>
          <w:sz w:val="20"/>
          <w:szCs w:val="20"/>
        </w:rPr>
      </w:pPr>
      <w:r>
        <w:rPr>
          <w:rFonts w:eastAsia="Times New Roman"/>
          <w:i/>
          <w:iCs/>
          <w:sz w:val="24"/>
          <w:szCs w:val="24"/>
        </w:rPr>
        <w:t>2.3.1 Climate</w:t>
      </w:r>
    </w:p>
    <w:p w:rsidR="005A54F9" w:rsidRDefault="005A54F9">
      <w:pPr>
        <w:spacing w:line="280" w:lineRule="exact"/>
        <w:rPr>
          <w:sz w:val="20"/>
          <w:szCs w:val="20"/>
        </w:rPr>
      </w:pPr>
    </w:p>
    <w:p w:rsidR="005A54F9" w:rsidRDefault="005442FA">
      <w:pPr>
        <w:spacing w:line="484" w:lineRule="auto"/>
        <w:ind w:right="20"/>
        <w:rPr>
          <w:sz w:val="20"/>
          <w:szCs w:val="20"/>
        </w:rPr>
      </w:pPr>
      <w:r>
        <w:rPr>
          <w:rFonts w:eastAsia="Times New Roman"/>
          <w:sz w:val="24"/>
          <w:szCs w:val="24"/>
        </w:rPr>
        <w:t>The Essen Climate Evaluation Schema (EssenCES; Schalast et al., 2008) is a 17-item questionnaire measuring three aspects of climate in forensic services (Therapeutic Hold (TH), Experienced Safety (ES), and Pa</w:t>
      </w:r>
      <w:r>
        <w:rPr>
          <w:rFonts w:eastAsia="Times New Roman"/>
          <w:sz w:val="24"/>
          <w:szCs w:val="24"/>
        </w:rPr>
        <w:t>tients Cohesion and Mutual Support (PC)). The first and final items of the questionnaire are not scored, since they are meant to start and end the questionnaire with a positive note. Examples of items representing the different factors are ‘</w:t>
      </w:r>
      <w:r>
        <w:rPr>
          <w:rFonts w:eastAsia="Times New Roman"/>
          <w:i/>
          <w:iCs/>
          <w:sz w:val="24"/>
          <w:szCs w:val="24"/>
        </w:rPr>
        <w:t>The patients ca</w:t>
      </w:r>
      <w:r>
        <w:rPr>
          <w:rFonts w:eastAsia="Times New Roman"/>
          <w:i/>
          <w:iCs/>
          <w:sz w:val="24"/>
          <w:szCs w:val="24"/>
        </w:rPr>
        <w:t>re for each other</w:t>
      </w:r>
      <w:r>
        <w:rPr>
          <w:rFonts w:eastAsia="Times New Roman"/>
          <w:sz w:val="24"/>
          <w:szCs w:val="24"/>
        </w:rPr>
        <w:t>’ (PC), ‘</w:t>
      </w:r>
      <w:r>
        <w:rPr>
          <w:rFonts w:eastAsia="Times New Roman"/>
          <w:i/>
          <w:iCs/>
          <w:sz w:val="24"/>
          <w:szCs w:val="24"/>
        </w:rPr>
        <w:t>Really threatening situations can occur here</w:t>
      </w:r>
      <w:r>
        <w:rPr>
          <w:rFonts w:eastAsia="Times New Roman"/>
          <w:sz w:val="24"/>
          <w:szCs w:val="24"/>
        </w:rPr>
        <w:t>’ (ES), ‘</w:t>
      </w:r>
      <w:r>
        <w:rPr>
          <w:rFonts w:eastAsia="Times New Roman"/>
          <w:i/>
          <w:iCs/>
          <w:sz w:val="24"/>
          <w:szCs w:val="24"/>
        </w:rPr>
        <w:t>On this ward, patients can openly talk to staff about all their problems</w:t>
      </w:r>
      <w:r>
        <w:rPr>
          <w:rFonts w:eastAsia="Times New Roman"/>
          <w:sz w:val="24"/>
          <w:szCs w:val="24"/>
        </w:rPr>
        <w:t>’ (TH). The Dutch translation of the EssenCES was used (Bulten &amp; Fluttert, 2007). Ratings were obtained u</w:t>
      </w:r>
      <w:r>
        <w:rPr>
          <w:rFonts w:eastAsia="Times New Roman"/>
          <w:sz w:val="24"/>
          <w:szCs w:val="24"/>
        </w:rPr>
        <w:t>sing</w:t>
      </w:r>
    </w:p>
    <w:p w:rsidR="005A54F9" w:rsidRDefault="005A54F9">
      <w:pPr>
        <w:spacing w:line="200" w:lineRule="exact"/>
        <w:rPr>
          <w:sz w:val="20"/>
          <w:szCs w:val="20"/>
        </w:rPr>
      </w:pPr>
    </w:p>
    <w:p w:rsidR="005A54F9" w:rsidRDefault="005A54F9">
      <w:pPr>
        <w:spacing w:line="255" w:lineRule="exact"/>
        <w:rPr>
          <w:sz w:val="20"/>
          <w:szCs w:val="20"/>
        </w:rPr>
      </w:pPr>
    </w:p>
    <w:p w:rsidR="005A54F9" w:rsidRDefault="005442FA">
      <w:pPr>
        <w:jc w:val="right"/>
        <w:rPr>
          <w:sz w:val="20"/>
          <w:szCs w:val="20"/>
        </w:rPr>
      </w:pPr>
      <w:r>
        <w:rPr>
          <w:rFonts w:ascii="Verdana" w:eastAsia="Verdana" w:hAnsi="Verdana" w:cs="Verdana"/>
          <w:sz w:val="18"/>
          <w:szCs w:val="18"/>
        </w:rPr>
        <w:t>8</w:t>
      </w:r>
    </w:p>
    <w:p w:rsidR="005A54F9" w:rsidRDefault="005A54F9">
      <w:pPr>
        <w:sectPr w:rsidR="005A54F9">
          <w:pgSz w:w="11900" w:h="16838"/>
          <w:pgMar w:top="1392" w:right="1426" w:bottom="371" w:left="1420" w:header="0" w:footer="0" w:gutter="0"/>
          <w:cols w:space="720" w:equalWidth="0">
            <w:col w:w="9060"/>
          </w:cols>
        </w:sectPr>
      </w:pPr>
    </w:p>
    <w:p w:rsidR="005A54F9" w:rsidRDefault="005442FA">
      <w:pPr>
        <w:spacing w:line="485" w:lineRule="auto"/>
        <w:ind w:right="20"/>
        <w:rPr>
          <w:sz w:val="20"/>
          <w:szCs w:val="20"/>
        </w:rPr>
      </w:pPr>
      <w:bookmarkStart w:id="9" w:name="page9"/>
      <w:bookmarkEnd w:id="9"/>
      <w:r>
        <w:rPr>
          <w:rFonts w:eastAsia="Times New Roman"/>
          <w:sz w:val="24"/>
          <w:szCs w:val="24"/>
        </w:rPr>
        <w:lastRenderedPageBreak/>
        <w:t>a Visual Analogue response Scale (VAS) ranging from ‘not at all’ (0) up to ‘very much’ (100). The scores on items 3, 6, 8, 9, 12, 13, 15 were reversed prior to analyses, as a result high scores reflect a positive perceived wa</w:t>
      </w:r>
      <w:r>
        <w:rPr>
          <w:rFonts w:eastAsia="Times New Roman"/>
          <w:sz w:val="24"/>
          <w:szCs w:val="24"/>
        </w:rPr>
        <w:t>rd climate. Several studies provide good empirical support for the psychometric properties of the EssenCES (Schalast et al., 2008; Howells et al., 2009; Tonkin et. al., 2012). Tonkin (2015) reported in a review ten studies on the internal consistency of th</w:t>
      </w:r>
      <w:r>
        <w:rPr>
          <w:rFonts w:eastAsia="Times New Roman"/>
          <w:sz w:val="24"/>
          <w:szCs w:val="24"/>
        </w:rPr>
        <w:t>e EssenCES, the mean Cronbach’s alpha’s ranged from: .82 (PC), .77 (ES), and .81 (TH).</w:t>
      </w:r>
    </w:p>
    <w:p w:rsidR="005A54F9" w:rsidRDefault="005A54F9">
      <w:pPr>
        <w:spacing w:line="200" w:lineRule="exact"/>
        <w:rPr>
          <w:sz w:val="20"/>
          <w:szCs w:val="20"/>
        </w:rPr>
      </w:pPr>
    </w:p>
    <w:p w:rsidR="005A54F9" w:rsidRDefault="005A54F9">
      <w:pPr>
        <w:spacing w:line="308" w:lineRule="exact"/>
        <w:rPr>
          <w:sz w:val="20"/>
          <w:szCs w:val="20"/>
        </w:rPr>
      </w:pPr>
    </w:p>
    <w:p w:rsidR="005A54F9" w:rsidRDefault="005442FA">
      <w:pPr>
        <w:rPr>
          <w:sz w:val="20"/>
          <w:szCs w:val="20"/>
        </w:rPr>
      </w:pPr>
      <w:r>
        <w:rPr>
          <w:rFonts w:eastAsia="Times New Roman"/>
          <w:i/>
          <w:iCs/>
          <w:sz w:val="24"/>
          <w:szCs w:val="24"/>
        </w:rPr>
        <w:t>2.3.2 Risk for violence.</w:t>
      </w:r>
    </w:p>
    <w:p w:rsidR="005A54F9" w:rsidRDefault="005A54F9">
      <w:pPr>
        <w:spacing w:line="280" w:lineRule="exact"/>
        <w:rPr>
          <w:sz w:val="20"/>
          <w:szCs w:val="20"/>
        </w:rPr>
      </w:pPr>
    </w:p>
    <w:p w:rsidR="005A54F9" w:rsidRDefault="005442FA">
      <w:pPr>
        <w:spacing w:line="486" w:lineRule="auto"/>
        <w:ind w:right="180"/>
        <w:rPr>
          <w:sz w:val="20"/>
          <w:szCs w:val="20"/>
        </w:rPr>
      </w:pPr>
      <w:r>
        <w:rPr>
          <w:rFonts w:eastAsia="Times New Roman"/>
          <w:sz w:val="24"/>
          <w:szCs w:val="24"/>
        </w:rPr>
        <w:t>The HCR-20 (Webster et al., 1997) is a risk assessment tool broadly used by clinicians to assess risk of future violence. The HCR-20 reliably</w:t>
      </w:r>
      <w:r>
        <w:rPr>
          <w:rFonts w:eastAsia="Times New Roman"/>
          <w:sz w:val="24"/>
          <w:szCs w:val="24"/>
        </w:rPr>
        <w:t xml:space="preserve"> predicts future violence (Douglas &amp; Webster, 1999). The HCR-20 consists of 20 items (rated on a three-point scale 0 = criteria is not present, 1 = possibly present and 2 = definitely present) divided into three subscales, Historical, Clinical, and Risk ma</w:t>
      </w:r>
      <w:r>
        <w:rPr>
          <w:rFonts w:eastAsia="Times New Roman"/>
          <w:sz w:val="24"/>
          <w:szCs w:val="24"/>
        </w:rPr>
        <w:t>nagement that relate to risk factors in the past, present and future.</w:t>
      </w:r>
    </w:p>
    <w:p w:rsidR="005A54F9" w:rsidRDefault="005A54F9">
      <w:pPr>
        <w:spacing w:line="200" w:lineRule="exact"/>
        <w:rPr>
          <w:sz w:val="20"/>
          <w:szCs w:val="20"/>
        </w:rPr>
      </w:pPr>
    </w:p>
    <w:p w:rsidR="005A54F9" w:rsidRDefault="005A54F9">
      <w:pPr>
        <w:spacing w:line="307" w:lineRule="exact"/>
        <w:rPr>
          <w:sz w:val="20"/>
          <w:szCs w:val="20"/>
        </w:rPr>
      </w:pPr>
    </w:p>
    <w:p w:rsidR="005A54F9" w:rsidRDefault="005442FA">
      <w:pPr>
        <w:rPr>
          <w:sz w:val="20"/>
          <w:szCs w:val="20"/>
        </w:rPr>
      </w:pPr>
      <w:r>
        <w:rPr>
          <w:rFonts w:eastAsia="Times New Roman"/>
          <w:i/>
          <w:iCs/>
          <w:sz w:val="24"/>
          <w:szCs w:val="24"/>
        </w:rPr>
        <w:t>2.3.3 Psychopathy</w:t>
      </w:r>
    </w:p>
    <w:p w:rsidR="005A54F9" w:rsidRDefault="005A54F9">
      <w:pPr>
        <w:spacing w:line="280" w:lineRule="exact"/>
        <w:rPr>
          <w:sz w:val="20"/>
          <w:szCs w:val="20"/>
        </w:rPr>
      </w:pPr>
    </w:p>
    <w:p w:rsidR="005A54F9" w:rsidRDefault="005442FA">
      <w:pPr>
        <w:spacing w:line="487" w:lineRule="auto"/>
        <w:ind w:right="220"/>
        <w:rPr>
          <w:sz w:val="20"/>
          <w:szCs w:val="20"/>
        </w:rPr>
      </w:pPr>
      <w:r>
        <w:rPr>
          <w:rFonts w:eastAsia="Times New Roman"/>
          <w:sz w:val="24"/>
          <w:szCs w:val="24"/>
        </w:rPr>
        <w:t xml:space="preserve">The Hare Psychopathy Checklist – Revised (PCL-R; Hare, 2003) is a clinical tool for assessing psychopathy. The 20 items are scored (as 0, 1 or 2) by two independent </w:t>
      </w:r>
      <w:r>
        <w:rPr>
          <w:rFonts w:eastAsia="Times New Roman"/>
          <w:sz w:val="24"/>
          <w:szCs w:val="24"/>
        </w:rPr>
        <w:t>trained raters based on a semi-structured interview and case-history information. Sum scores can be obtained for four facets, reflecting interpersonal problems, affective problems, impulsive behavior lifestyle and antisocial behavior (Hare, 2003; Hare &amp; Ne</w:t>
      </w:r>
      <w:r>
        <w:rPr>
          <w:rFonts w:eastAsia="Times New Roman"/>
          <w:sz w:val="24"/>
          <w:szCs w:val="24"/>
        </w:rPr>
        <w:t>umann, 2005).</w:t>
      </w:r>
    </w:p>
    <w:p w:rsidR="005A54F9" w:rsidRDefault="005A54F9">
      <w:pPr>
        <w:spacing w:line="200" w:lineRule="exact"/>
        <w:rPr>
          <w:sz w:val="20"/>
          <w:szCs w:val="20"/>
        </w:rPr>
      </w:pPr>
    </w:p>
    <w:p w:rsidR="005A54F9" w:rsidRDefault="005A54F9">
      <w:pPr>
        <w:spacing w:line="310" w:lineRule="exact"/>
        <w:rPr>
          <w:sz w:val="20"/>
          <w:szCs w:val="20"/>
        </w:rPr>
      </w:pPr>
    </w:p>
    <w:p w:rsidR="005A54F9" w:rsidRDefault="005442FA">
      <w:pPr>
        <w:rPr>
          <w:sz w:val="20"/>
          <w:szCs w:val="20"/>
        </w:rPr>
      </w:pPr>
      <w:r>
        <w:rPr>
          <w:rFonts w:eastAsia="Times New Roman"/>
          <w:sz w:val="24"/>
          <w:szCs w:val="24"/>
        </w:rPr>
        <w:t>2.4 Statistical Analyses</w:t>
      </w: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322" w:lineRule="exact"/>
        <w:rPr>
          <w:sz w:val="20"/>
          <w:szCs w:val="20"/>
        </w:rPr>
      </w:pPr>
    </w:p>
    <w:p w:rsidR="005A54F9" w:rsidRDefault="005442FA">
      <w:pPr>
        <w:jc w:val="right"/>
        <w:rPr>
          <w:sz w:val="20"/>
          <w:szCs w:val="20"/>
        </w:rPr>
      </w:pPr>
      <w:r>
        <w:rPr>
          <w:rFonts w:ascii="Verdana" w:eastAsia="Verdana" w:hAnsi="Verdana" w:cs="Verdana"/>
          <w:sz w:val="18"/>
          <w:szCs w:val="18"/>
        </w:rPr>
        <w:t>9</w:t>
      </w:r>
    </w:p>
    <w:p w:rsidR="005A54F9" w:rsidRDefault="005A54F9">
      <w:pPr>
        <w:sectPr w:rsidR="005A54F9">
          <w:pgSz w:w="11900" w:h="16838"/>
          <w:pgMar w:top="1392" w:right="1426" w:bottom="371" w:left="1420" w:header="0" w:footer="0" w:gutter="0"/>
          <w:cols w:space="720" w:equalWidth="0">
            <w:col w:w="9060"/>
          </w:cols>
        </w:sectPr>
      </w:pPr>
    </w:p>
    <w:p w:rsidR="005A54F9" w:rsidRDefault="005442FA">
      <w:pPr>
        <w:spacing w:line="480" w:lineRule="auto"/>
        <w:ind w:right="520" w:firstLine="708"/>
        <w:rPr>
          <w:sz w:val="20"/>
          <w:szCs w:val="20"/>
        </w:rPr>
      </w:pPr>
      <w:bookmarkStart w:id="10" w:name="page10"/>
      <w:bookmarkEnd w:id="10"/>
      <w:r>
        <w:rPr>
          <w:rFonts w:eastAsia="Times New Roman"/>
          <w:sz w:val="24"/>
          <w:szCs w:val="24"/>
        </w:rPr>
        <w:lastRenderedPageBreak/>
        <w:t xml:space="preserve">Mean scores and standard deviations on the EssenCES subscales were calculated. Internal consistency was examined using Cronbachs alpha (α) and Corrected Item Total Correlation (CITC) </w:t>
      </w:r>
      <w:r>
        <w:rPr>
          <w:rFonts w:eastAsia="Times New Roman"/>
          <w:sz w:val="24"/>
          <w:szCs w:val="24"/>
        </w:rPr>
        <w:t>coefficients. Internal consistency was examined for the sample as a whole, as well as for staff and patients separately.</w:t>
      </w:r>
    </w:p>
    <w:p w:rsidR="005A54F9" w:rsidRDefault="005442FA">
      <w:pPr>
        <w:spacing w:line="500" w:lineRule="auto"/>
        <w:ind w:right="360" w:firstLine="708"/>
        <w:rPr>
          <w:sz w:val="20"/>
          <w:szCs w:val="20"/>
        </w:rPr>
      </w:pPr>
      <w:r>
        <w:rPr>
          <w:rFonts w:eastAsia="Times New Roman"/>
          <w:sz w:val="23"/>
          <w:szCs w:val="23"/>
        </w:rPr>
        <w:t>A one-way multivariate analysis of variance (MANOVA) was conducted to see whether scores on the subscales of the EssenCES differed betw</w:t>
      </w:r>
      <w:r>
        <w:rPr>
          <w:rFonts w:eastAsia="Times New Roman"/>
          <w:sz w:val="23"/>
          <w:szCs w:val="23"/>
        </w:rPr>
        <w:t>een respondent types (staff, patient). The subscores on PC and TH of two staff members and the sub score of one staff member on ES could not be taken into account due to missing items on the EssenCES.</w:t>
      </w:r>
    </w:p>
    <w:p w:rsidR="005A54F9" w:rsidRDefault="005A54F9">
      <w:pPr>
        <w:spacing w:line="4" w:lineRule="exact"/>
        <w:rPr>
          <w:sz w:val="20"/>
          <w:szCs w:val="20"/>
        </w:rPr>
      </w:pPr>
    </w:p>
    <w:p w:rsidR="005A54F9" w:rsidRDefault="005442FA">
      <w:pPr>
        <w:spacing w:line="480" w:lineRule="auto"/>
        <w:ind w:right="40" w:firstLine="708"/>
        <w:rPr>
          <w:sz w:val="20"/>
          <w:szCs w:val="20"/>
        </w:rPr>
      </w:pPr>
      <w:r>
        <w:rPr>
          <w:rFonts w:eastAsia="Times New Roman"/>
          <w:sz w:val="24"/>
          <w:szCs w:val="24"/>
        </w:rPr>
        <w:t>To assess the relationship between patient characteris</w:t>
      </w:r>
      <w:r>
        <w:rPr>
          <w:rFonts w:eastAsia="Times New Roman"/>
          <w:sz w:val="24"/>
          <w:szCs w:val="24"/>
        </w:rPr>
        <w:t>tics and ward climate path analyses were conducted using Mplus v7.0 (Muthen &amp; Muthen, 1998). Age, length of stay, the four facet scores of the PCL-R and the scores for the three scales of the HCR-20 were entered as predictors, while the scores on the three</w:t>
      </w:r>
      <w:r>
        <w:rPr>
          <w:rFonts w:eastAsia="Times New Roman"/>
          <w:sz w:val="24"/>
          <w:szCs w:val="24"/>
        </w:rPr>
        <w:t xml:space="preserve"> scales of the EssenCES served as mutually related dependent variables. Not all patients had a score on the PCL-R (PCL-R Interpersonal scale: 37 missing values; Affective scale: 46 missing values; Lifestyle scale: 48 missing values; Antisocial scale: 55 mi</w:t>
      </w:r>
      <w:r>
        <w:rPr>
          <w:rFonts w:eastAsia="Times New Roman"/>
          <w:sz w:val="24"/>
          <w:szCs w:val="24"/>
        </w:rPr>
        <w:t>ssing values). Also not all the HCR-20 scores were available (HCR-20 Historical scale 33 missing values; Clinical scale: 23 missing values; Risk scale: 24 missing values).</w:t>
      </w:r>
    </w:p>
    <w:p w:rsidR="005A54F9" w:rsidRDefault="005442FA">
      <w:pPr>
        <w:spacing w:line="506" w:lineRule="auto"/>
        <w:ind w:right="20" w:firstLine="708"/>
        <w:rPr>
          <w:sz w:val="20"/>
          <w:szCs w:val="20"/>
        </w:rPr>
      </w:pPr>
      <w:r>
        <w:rPr>
          <w:rFonts w:eastAsia="Times New Roman"/>
          <w:sz w:val="23"/>
          <w:szCs w:val="23"/>
        </w:rPr>
        <w:t>Eighty three patients had scores on all variables and were included in the analyses.</w:t>
      </w:r>
      <w:r>
        <w:rPr>
          <w:rFonts w:eastAsia="Times New Roman"/>
          <w:sz w:val="23"/>
          <w:szCs w:val="23"/>
        </w:rPr>
        <w:t xml:space="preserve"> A Bayesian estimator was used with 5 Markov chain Monte Carlo (MCMC) chains and 75000 iterations using the default Gibbs sampler (PX1) in Mplus. The Bayesian estimator has been found to outperform traditional maximum likelihood estimators (Muthén, 2010) a</w:t>
      </w:r>
      <w:r>
        <w:rPr>
          <w:rFonts w:eastAsia="Times New Roman"/>
          <w:sz w:val="23"/>
          <w:szCs w:val="23"/>
        </w:rPr>
        <w:t xml:space="preserve">nd provides reliable results even in relatively small samples (e.g., </w:t>
      </w:r>
      <w:r>
        <w:rPr>
          <w:rFonts w:eastAsia="Times New Roman"/>
          <w:i/>
          <w:iCs/>
          <w:sz w:val="23"/>
          <w:szCs w:val="23"/>
        </w:rPr>
        <w:t>n</w:t>
      </w:r>
      <w:r>
        <w:rPr>
          <w:rFonts w:eastAsia="Times New Roman"/>
          <w:sz w:val="23"/>
          <w:szCs w:val="23"/>
        </w:rPr>
        <w:t>=50) (Scheines, Hoijtink, &amp; Boomsma, 1999). As is common in Bayesian analyses, the first half of the MCMC iterations was discarded to reduce the effect of the initial values found by the</w:t>
      </w:r>
      <w:r>
        <w:rPr>
          <w:rFonts w:eastAsia="Times New Roman"/>
          <w:sz w:val="23"/>
          <w:szCs w:val="23"/>
        </w:rPr>
        <w:t xml:space="preserve"> chains (burn-in trials). Model fit was determined using three different fit indexes for Bayesian testing: i) Chi-Square tests to</w:t>
      </w:r>
    </w:p>
    <w:p w:rsidR="005A54F9" w:rsidRDefault="005A54F9">
      <w:pPr>
        <w:spacing w:line="200" w:lineRule="exact"/>
        <w:rPr>
          <w:sz w:val="20"/>
          <w:szCs w:val="20"/>
        </w:rPr>
      </w:pPr>
    </w:p>
    <w:p w:rsidR="005A54F9" w:rsidRDefault="005A54F9">
      <w:pPr>
        <w:spacing w:line="247" w:lineRule="exact"/>
        <w:rPr>
          <w:sz w:val="20"/>
          <w:szCs w:val="20"/>
        </w:rPr>
      </w:pPr>
    </w:p>
    <w:p w:rsidR="005A54F9" w:rsidRDefault="005442FA">
      <w:pPr>
        <w:jc w:val="right"/>
        <w:rPr>
          <w:sz w:val="20"/>
          <w:szCs w:val="20"/>
        </w:rPr>
      </w:pPr>
      <w:r>
        <w:rPr>
          <w:rFonts w:ascii="Verdana" w:eastAsia="Verdana" w:hAnsi="Verdana" w:cs="Verdana"/>
          <w:sz w:val="18"/>
          <w:szCs w:val="18"/>
        </w:rPr>
        <w:t>10</w:t>
      </w:r>
    </w:p>
    <w:p w:rsidR="005A54F9" w:rsidRDefault="005A54F9">
      <w:pPr>
        <w:sectPr w:rsidR="005A54F9">
          <w:pgSz w:w="11900" w:h="16838"/>
          <w:pgMar w:top="1392" w:right="1426" w:bottom="371" w:left="1420" w:header="0" w:footer="0" w:gutter="0"/>
          <w:cols w:space="720" w:equalWidth="0">
            <w:col w:w="9060"/>
          </w:cols>
        </w:sectPr>
      </w:pPr>
    </w:p>
    <w:p w:rsidR="005A54F9" w:rsidRDefault="005442FA">
      <w:pPr>
        <w:spacing w:line="484" w:lineRule="auto"/>
        <w:ind w:left="2" w:right="100"/>
        <w:rPr>
          <w:sz w:val="20"/>
          <w:szCs w:val="20"/>
        </w:rPr>
      </w:pPr>
      <w:bookmarkStart w:id="11" w:name="page11"/>
      <w:bookmarkEnd w:id="11"/>
      <w:r>
        <w:rPr>
          <w:rFonts w:eastAsia="Times New Roman"/>
          <w:sz w:val="24"/>
          <w:szCs w:val="24"/>
        </w:rPr>
        <w:lastRenderedPageBreak/>
        <w:t xml:space="preserve">conduct Posterior Predictive Checking (95% credibility interval; CI), ii) the Posterior Predictive </w:t>
      </w:r>
      <w:r>
        <w:rPr>
          <w:rFonts w:eastAsia="Times New Roman"/>
          <w:sz w:val="24"/>
          <w:szCs w:val="24"/>
        </w:rPr>
        <w:t>P-value (PPP-value) and iii) convergence according to the Gelman-Rubin criterion based on the potential scale reduction (PSR) factor for each parameter (Gelman &amp; Rubin, 1992; Gelman et al., 2004, pp. 296- 297). In general, the 95% CI for the Chi-square pos</w:t>
      </w:r>
      <w:r>
        <w:rPr>
          <w:rFonts w:eastAsia="Times New Roman"/>
          <w:sz w:val="24"/>
          <w:szCs w:val="24"/>
        </w:rPr>
        <w:t>terior predictive checking should include the value 0 (in contrast to non-Bayesian frameworks), the PPP-value should be close to the value 0.50 and convergence is achieved when the PSR is below 1.05 (Muthen &amp; Muthen, 1998). Significance of the regression w</w:t>
      </w:r>
      <w:r>
        <w:rPr>
          <w:rFonts w:eastAsia="Times New Roman"/>
          <w:sz w:val="24"/>
          <w:szCs w:val="24"/>
        </w:rPr>
        <w:t>eights were determined based on the 95% CIs of the Bayesian posterior distribution. Regressor CIs not containing the value 0 were considered significant.</w:t>
      </w: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313" w:lineRule="exact"/>
        <w:rPr>
          <w:sz w:val="20"/>
          <w:szCs w:val="20"/>
        </w:rPr>
      </w:pPr>
    </w:p>
    <w:p w:rsidR="005A54F9" w:rsidRDefault="005442FA">
      <w:pPr>
        <w:ind w:left="2"/>
        <w:rPr>
          <w:sz w:val="20"/>
          <w:szCs w:val="20"/>
        </w:rPr>
      </w:pPr>
      <w:r>
        <w:rPr>
          <w:rFonts w:eastAsia="Times New Roman"/>
          <w:b/>
          <w:bCs/>
          <w:sz w:val="24"/>
          <w:szCs w:val="24"/>
        </w:rPr>
        <w:t>3. Results</w:t>
      </w:r>
    </w:p>
    <w:p w:rsidR="005A54F9" w:rsidRDefault="005A54F9">
      <w:pPr>
        <w:spacing w:line="200" w:lineRule="exact"/>
        <w:rPr>
          <w:sz w:val="20"/>
          <w:szCs w:val="20"/>
        </w:rPr>
      </w:pPr>
    </w:p>
    <w:p w:rsidR="005A54F9" w:rsidRDefault="005A54F9">
      <w:pPr>
        <w:spacing w:line="269" w:lineRule="exact"/>
        <w:rPr>
          <w:sz w:val="20"/>
          <w:szCs w:val="20"/>
        </w:rPr>
      </w:pPr>
    </w:p>
    <w:p w:rsidR="005A54F9" w:rsidRDefault="005442FA">
      <w:pPr>
        <w:spacing w:line="518" w:lineRule="auto"/>
        <w:ind w:left="2" w:right="400"/>
        <w:rPr>
          <w:sz w:val="20"/>
          <w:szCs w:val="20"/>
        </w:rPr>
      </w:pPr>
      <w:r>
        <w:rPr>
          <w:rFonts w:eastAsia="Times New Roman"/>
          <w:sz w:val="24"/>
          <w:szCs w:val="24"/>
        </w:rPr>
        <w:t>From the patient group (</w:t>
      </w:r>
      <w:r>
        <w:rPr>
          <w:rFonts w:eastAsia="Times New Roman"/>
          <w:i/>
          <w:iCs/>
          <w:sz w:val="24"/>
          <w:szCs w:val="24"/>
        </w:rPr>
        <w:t>n</w:t>
      </w:r>
      <w:r>
        <w:rPr>
          <w:rFonts w:eastAsia="Times New Roman"/>
          <w:sz w:val="24"/>
          <w:szCs w:val="24"/>
        </w:rPr>
        <w:t xml:space="preserve"> = 154) demographic and clinical characteristics are displayed in table 1.</w:t>
      </w:r>
    </w:p>
    <w:p w:rsidR="005A54F9" w:rsidRDefault="005A54F9">
      <w:pPr>
        <w:spacing w:line="118" w:lineRule="exact"/>
        <w:rPr>
          <w:sz w:val="20"/>
          <w:szCs w:val="20"/>
        </w:rPr>
      </w:pPr>
    </w:p>
    <w:p w:rsidR="005A54F9" w:rsidRDefault="005442FA">
      <w:pPr>
        <w:ind w:left="2"/>
        <w:rPr>
          <w:rFonts w:eastAsia="Times New Roman"/>
          <w:sz w:val="24"/>
          <w:szCs w:val="24"/>
        </w:rPr>
      </w:pPr>
      <w:r>
        <w:rPr>
          <w:rFonts w:eastAsia="Times New Roman"/>
          <w:sz w:val="24"/>
          <w:szCs w:val="24"/>
        </w:rPr>
        <w:t>Table 1.  Demographic and clinical characteristics of the patient sample</w:t>
      </w:r>
      <w:hyperlink w:anchor="page11">
        <w:r>
          <w:rPr>
            <w:rFonts w:ascii="Verdana" w:eastAsia="Verdana" w:hAnsi="Verdana" w:cs="Verdana"/>
            <w:sz w:val="12"/>
            <w:szCs w:val="12"/>
          </w:rPr>
          <w:t>1</w:t>
        </w:r>
      </w:hyperlink>
      <w:r>
        <w:rPr>
          <w:rFonts w:eastAsia="Times New Roman"/>
          <w:sz w:val="24"/>
          <w:szCs w:val="24"/>
        </w:rPr>
        <w:t>.</w:t>
      </w:r>
    </w:p>
    <w:p w:rsidR="005A54F9" w:rsidRDefault="005A54F9">
      <w:pPr>
        <w:spacing w:line="282" w:lineRule="exact"/>
        <w:rPr>
          <w:sz w:val="20"/>
          <w:szCs w:val="20"/>
        </w:rPr>
      </w:pPr>
    </w:p>
    <w:tbl>
      <w:tblPr>
        <w:tblW w:w="0" w:type="auto"/>
        <w:tblInd w:w="2" w:type="dxa"/>
        <w:tblLayout w:type="fixed"/>
        <w:tblCellMar>
          <w:left w:w="0" w:type="dxa"/>
          <w:right w:w="0" w:type="dxa"/>
        </w:tblCellMar>
        <w:tblLook w:val="04A0" w:firstRow="1" w:lastRow="0" w:firstColumn="1" w:lastColumn="0" w:noHBand="0" w:noVBand="1"/>
      </w:tblPr>
      <w:tblGrid>
        <w:gridCol w:w="3220"/>
        <w:gridCol w:w="1080"/>
        <w:gridCol w:w="1640"/>
        <w:gridCol w:w="1440"/>
        <w:gridCol w:w="500"/>
        <w:gridCol w:w="1180"/>
      </w:tblGrid>
      <w:tr w:rsidR="005A54F9">
        <w:trPr>
          <w:trHeight w:val="326"/>
        </w:trPr>
        <w:tc>
          <w:tcPr>
            <w:tcW w:w="3220" w:type="dxa"/>
            <w:tcBorders>
              <w:top w:val="single" w:sz="8" w:space="0" w:color="auto"/>
            </w:tcBorders>
            <w:vAlign w:val="bottom"/>
          </w:tcPr>
          <w:p w:rsidR="005A54F9" w:rsidRDefault="005A54F9">
            <w:pPr>
              <w:rPr>
                <w:sz w:val="24"/>
                <w:szCs w:val="24"/>
              </w:rPr>
            </w:pPr>
          </w:p>
        </w:tc>
        <w:tc>
          <w:tcPr>
            <w:tcW w:w="1080" w:type="dxa"/>
            <w:tcBorders>
              <w:top w:val="single" w:sz="8" w:space="0" w:color="auto"/>
            </w:tcBorders>
            <w:vAlign w:val="bottom"/>
          </w:tcPr>
          <w:p w:rsidR="005A54F9" w:rsidRDefault="005442FA">
            <w:pPr>
              <w:ind w:left="180"/>
              <w:rPr>
                <w:sz w:val="20"/>
                <w:szCs w:val="20"/>
              </w:rPr>
            </w:pPr>
            <w:r>
              <w:rPr>
                <w:rFonts w:eastAsia="Times New Roman"/>
                <w:i/>
                <w:iCs/>
                <w:sz w:val="24"/>
                <w:szCs w:val="24"/>
              </w:rPr>
              <w:t>n</w:t>
            </w:r>
          </w:p>
        </w:tc>
        <w:tc>
          <w:tcPr>
            <w:tcW w:w="1640" w:type="dxa"/>
            <w:tcBorders>
              <w:top w:val="single" w:sz="8" w:space="0" w:color="auto"/>
            </w:tcBorders>
            <w:vAlign w:val="bottom"/>
          </w:tcPr>
          <w:p w:rsidR="005A54F9" w:rsidRDefault="005442FA">
            <w:pPr>
              <w:ind w:left="540"/>
              <w:rPr>
                <w:sz w:val="20"/>
                <w:szCs w:val="20"/>
              </w:rPr>
            </w:pPr>
            <w:r>
              <w:rPr>
                <w:rFonts w:eastAsia="Times New Roman"/>
                <w:i/>
                <w:iCs/>
                <w:sz w:val="24"/>
                <w:szCs w:val="24"/>
              </w:rPr>
              <w:t>M</w:t>
            </w:r>
          </w:p>
        </w:tc>
        <w:tc>
          <w:tcPr>
            <w:tcW w:w="1440" w:type="dxa"/>
            <w:tcBorders>
              <w:top w:val="single" w:sz="8" w:space="0" w:color="auto"/>
            </w:tcBorders>
            <w:vAlign w:val="bottom"/>
          </w:tcPr>
          <w:p w:rsidR="005A54F9" w:rsidRDefault="005442FA">
            <w:pPr>
              <w:ind w:left="360"/>
              <w:rPr>
                <w:sz w:val="20"/>
                <w:szCs w:val="20"/>
              </w:rPr>
            </w:pPr>
            <w:r>
              <w:rPr>
                <w:rFonts w:eastAsia="Times New Roman"/>
                <w:i/>
                <w:iCs/>
                <w:sz w:val="24"/>
                <w:szCs w:val="24"/>
              </w:rPr>
              <w:t>SD</w:t>
            </w:r>
          </w:p>
        </w:tc>
        <w:tc>
          <w:tcPr>
            <w:tcW w:w="1680" w:type="dxa"/>
            <w:gridSpan w:val="2"/>
            <w:tcBorders>
              <w:top w:val="single" w:sz="8" w:space="0" w:color="auto"/>
            </w:tcBorders>
            <w:vAlign w:val="bottom"/>
          </w:tcPr>
          <w:p w:rsidR="005A54F9" w:rsidRDefault="005442FA">
            <w:pPr>
              <w:ind w:left="360"/>
              <w:rPr>
                <w:sz w:val="20"/>
                <w:szCs w:val="20"/>
              </w:rPr>
            </w:pPr>
            <w:r>
              <w:rPr>
                <w:rFonts w:eastAsia="Times New Roman"/>
                <w:i/>
                <w:iCs/>
                <w:sz w:val="24"/>
                <w:szCs w:val="24"/>
              </w:rPr>
              <w:t>Range</w:t>
            </w:r>
          </w:p>
        </w:tc>
      </w:tr>
      <w:tr w:rsidR="005A54F9">
        <w:trPr>
          <w:trHeight w:val="80"/>
        </w:trPr>
        <w:tc>
          <w:tcPr>
            <w:tcW w:w="3220" w:type="dxa"/>
            <w:tcBorders>
              <w:bottom w:val="single" w:sz="8" w:space="0" w:color="auto"/>
            </w:tcBorders>
            <w:vAlign w:val="bottom"/>
          </w:tcPr>
          <w:p w:rsidR="005A54F9" w:rsidRDefault="005A54F9">
            <w:pPr>
              <w:rPr>
                <w:sz w:val="6"/>
                <w:szCs w:val="6"/>
              </w:rPr>
            </w:pPr>
          </w:p>
        </w:tc>
        <w:tc>
          <w:tcPr>
            <w:tcW w:w="1080" w:type="dxa"/>
            <w:tcBorders>
              <w:bottom w:val="single" w:sz="8" w:space="0" w:color="auto"/>
            </w:tcBorders>
            <w:vAlign w:val="bottom"/>
          </w:tcPr>
          <w:p w:rsidR="005A54F9" w:rsidRDefault="005A54F9">
            <w:pPr>
              <w:rPr>
                <w:sz w:val="6"/>
                <w:szCs w:val="6"/>
              </w:rPr>
            </w:pPr>
          </w:p>
        </w:tc>
        <w:tc>
          <w:tcPr>
            <w:tcW w:w="1640" w:type="dxa"/>
            <w:tcBorders>
              <w:bottom w:val="single" w:sz="8" w:space="0" w:color="auto"/>
            </w:tcBorders>
            <w:vAlign w:val="bottom"/>
          </w:tcPr>
          <w:p w:rsidR="005A54F9" w:rsidRDefault="005A54F9">
            <w:pPr>
              <w:rPr>
                <w:sz w:val="6"/>
                <w:szCs w:val="6"/>
              </w:rPr>
            </w:pPr>
          </w:p>
        </w:tc>
        <w:tc>
          <w:tcPr>
            <w:tcW w:w="1440" w:type="dxa"/>
            <w:tcBorders>
              <w:bottom w:val="single" w:sz="8" w:space="0" w:color="auto"/>
            </w:tcBorders>
            <w:vAlign w:val="bottom"/>
          </w:tcPr>
          <w:p w:rsidR="005A54F9" w:rsidRDefault="005A54F9">
            <w:pPr>
              <w:rPr>
                <w:sz w:val="6"/>
                <w:szCs w:val="6"/>
              </w:rPr>
            </w:pPr>
          </w:p>
        </w:tc>
        <w:tc>
          <w:tcPr>
            <w:tcW w:w="1680" w:type="dxa"/>
            <w:gridSpan w:val="2"/>
            <w:tcBorders>
              <w:bottom w:val="single" w:sz="8" w:space="0" w:color="auto"/>
            </w:tcBorders>
            <w:vAlign w:val="bottom"/>
          </w:tcPr>
          <w:p w:rsidR="005A54F9" w:rsidRDefault="005A54F9">
            <w:pPr>
              <w:rPr>
                <w:sz w:val="6"/>
                <w:szCs w:val="6"/>
              </w:rPr>
            </w:pPr>
          </w:p>
        </w:tc>
      </w:tr>
      <w:tr w:rsidR="005A54F9">
        <w:trPr>
          <w:trHeight w:val="302"/>
        </w:trPr>
        <w:tc>
          <w:tcPr>
            <w:tcW w:w="3220" w:type="dxa"/>
            <w:vAlign w:val="bottom"/>
          </w:tcPr>
          <w:p w:rsidR="005A54F9" w:rsidRDefault="005442FA">
            <w:pPr>
              <w:ind w:left="100"/>
              <w:rPr>
                <w:sz w:val="20"/>
                <w:szCs w:val="20"/>
              </w:rPr>
            </w:pPr>
            <w:r>
              <w:rPr>
                <w:rFonts w:eastAsia="Times New Roman"/>
                <w:sz w:val="24"/>
                <w:szCs w:val="24"/>
              </w:rPr>
              <w:t>Age (in years)</w:t>
            </w:r>
          </w:p>
        </w:tc>
        <w:tc>
          <w:tcPr>
            <w:tcW w:w="1080" w:type="dxa"/>
            <w:vAlign w:val="bottom"/>
          </w:tcPr>
          <w:p w:rsidR="005A54F9" w:rsidRDefault="005442FA">
            <w:pPr>
              <w:ind w:left="180"/>
              <w:rPr>
                <w:sz w:val="20"/>
                <w:szCs w:val="20"/>
              </w:rPr>
            </w:pPr>
            <w:r>
              <w:rPr>
                <w:rFonts w:eastAsia="Times New Roman"/>
                <w:sz w:val="24"/>
                <w:szCs w:val="24"/>
              </w:rPr>
              <w:t>154</w:t>
            </w:r>
          </w:p>
        </w:tc>
        <w:tc>
          <w:tcPr>
            <w:tcW w:w="1640" w:type="dxa"/>
            <w:vAlign w:val="bottom"/>
          </w:tcPr>
          <w:p w:rsidR="005A54F9" w:rsidRDefault="005442FA">
            <w:pPr>
              <w:ind w:left="540"/>
              <w:rPr>
                <w:sz w:val="20"/>
                <w:szCs w:val="20"/>
              </w:rPr>
            </w:pPr>
            <w:r>
              <w:rPr>
                <w:rFonts w:eastAsia="Times New Roman"/>
                <w:sz w:val="24"/>
                <w:szCs w:val="24"/>
              </w:rPr>
              <w:t>39.25</w:t>
            </w:r>
          </w:p>
        </w:tc>
        <w:tc>
          <w:tcPr>
            <w:tcW w:w="1440" w:type="dxa"/>
            <w:vAlign w:val="bottom"/>
          </w:tcPr>
          <w:p w:rsidR="005A54F9" w:rsidRDefault="005442FA">
            <w:pPr>
              <w:ind w:left="360"/>
              <w:rPr>
                <w:sz w:val="20"/>
                <w:szCs w:val="20"/>
              </w:rPr>
            </w:pPr>
            <w:r>
              <w:rPr>
                <w:rFonts w:eastAsia="Times New Roman"/>
                <w:sz w:val="24"/>
                <w:szCs w:val="24"/>
              </w:rPr>
              <w:t>10.02</w:t>
            </w:r>
          </w:p>
        </w:tc>
        <w:tc>
          <w:tcPr>
            <w:tcW w:w="1680" w:type="dxa"/>
            <w:gridSpan w:val="2"/>
            <w:vAlign w:val="bottom"/>
          </w:tcPr>
          <w:p w:rsidR="005A54F9" w:rsidRDefault="005442FA">
            <w:pPr>
              <w:ind w:left="360"/>
              <w:rPr>
                <w:sz w:val="20"/>
                <w:szCs w:val="20"/>
              </w:rPr>
            </w:pPr>
            <w:r>
              <w:rPr>
                <w:rFonts w:eastAsia="Times New Roman"/>
                <w:sz w:val="24"/>
                <w:szCs w:val="24"/>
              </w:rPr>
              <w:t>22 - 67</w:t>
            </w:r>
          </w:p>
        </w:tc>
      </w:tr>
      <w:tr w:rsidR="005A54F9">
        <w:trPr>
          <w:trHeight w:val="312"/>
        </w:trPr>
        <w:tc>
          <w:tcPr>
            <w:tcW w:w="3220" w:type="dxa"/>
            <w:vAlign w:val="bottom"/>
          </w:tcPr>
          <w:p w:rsidR="005A54F9" w:rsidRDefault="005442FA">
            <w:pPr>
              <w:ind w:left="100"/>
              <w:rPr>
                <w:sz w:val="20"/>
                <w:szCs w:val="20"/>
              </w:rPr>
            </w:pPr>
            <w:r>
              <w:rPr>
                <w:rFonts w:eastAsia="Times New Roman"/>
                <w:sz w:val="24"/>
                <w:szCs w:val="24"/>
              </w:rPr>
              <w:t>Length of stay</w:t>
            </w:r>
            <w:r>
              <w:rPr>
                <w:rFonts w:eastAsia="Times New Roman"/>
                <w:sz w:val="24"/>
                <w:szCs w:val="24"/>
              </w:rPr>
              <w:t xml:space="preserve"> (in months)</w:t>
            </w:r>
          </w:p>
        </w:tc>
        <w:tc>
          <w:tcPr>
            <w:tcW w:w="1080" w:type="dxa"/>
            <w:vAlign w:val="bottom"/>
          </w:tcPr>
          <w:p w:rsidR="005A54F9" w:rsidRDefault="005442FA">
            <w:pPr>
              <w:ind w:left="180"/>
              <w:rPr>
                <w:sz w:val="20"/>
                <w:szCs w:val="20"/>
              </w:rPr>
            </w:pPr>
            <w:r>
              <w:rPr>
                <w:rFonts w:eastAsia="Times New Roman"/>
                <w:sz w:val="24"/>
                <w:szCs w:val="24"/>
              </w:rPr>
              <w:t>154</w:t>
            </w:r>
          </w:p>
        </w:tc>
        <w:tc>
          <w:tcPr>
            <w:tcW w:w="1640" w:type="dxa"/>
            <w:vAlign w:val="bottom"/>
          </w:tcPr>
          <w:p w:rsidR="005A54F9" w:rsidRDefault="005442FA">
            <w:pPr>
              <w:ind w:left="540"/>
              <w:rPr>
                <w:sz w:val="20"/>
                <w:szCs w:val="20"/>
              </w:rPr>
            </w:pPr>
            <w:r>
              <w:rPr>
                <w:rFonts w:eastAsia="Times New Roman"/>
                <w:sz w:val="24"/>
                <w:szCs w:val="24"/>
              </w:rPr>
              <w:t>29.20</w:t>
            </w:r>
          </w:p>
        </w:tc>
        <w:tc>
          <w:tcPr>
            <w:tcW w:w="1440" w:type="dxa"/>
            <w:vAlign w:val="bottom"/>
          </w:tcPr>
          <w:p w:rsidR="005A54F9" w:rsidRDefault="005442FA">
            <w:pPr>
              <w:ind w:left="360"/>
              <w:rPr>
                <w:sz w:val="20"/>
                <w:szCs w:val="20"/>
              </w:rPr>
            </w:pPr>
            <w:r>
              <w:rPr>
                <w:rFonts w:eastAsia="Times New Roman"/>
                <w:sz w:val="24"/>
                <w:szCs w:val="24"/>
              </w:rPr>
              <w:t>24.87</w:t>
            </w:r>
          </w:p>
        </w:tc>
        <w:tc>
          <w:tcPr>
            <w:tcW w:w="500" w:type="dxa"/>
            <w:vAlign w:val="bottom"/>
          </w:tcPr>
          <w:p w:rsidR="005A54F9" w:rsidRDefault="005442FA">
            <w:pPr>
              <w:ind w:left="360"/>
              <w:rPr>
                <w:sz w:val="20"/>
                <w:szCs w:val="20"/>
              </w:rPr>
            </w:pPr>
            <w:r>
              <w:rPr>
                <w:rFonts w:eastAsia="Times New Roman"/>
                <w:w w:val="99"/>
                <w:sz w:val="24"/>
                <w:szCs w:val="24"/>
              </w:rPr>
              <w:t>0</w:t>
            </w:r>
          </w:p>
        </w:tc>
        <w:tc>
          <w:tcPr>
            <w:tcW w:w="1180" w:type="dxa"/>
            <w:vAlign w:val="bottom"/>
          </w:tcPr>
          <w:p w:rsidR="005A54F9" w:rsidRDefault="005442FA">
            <w:pPr>
              <w:ind w:left="40"/>
              <w:rPr>
                <w:sz w:val="20"/>
                <w:szCs w:val="20"/>
              </w:rPr>
            </w:pPr>
            <w:r>
              <w:rPr>
                <w:rFonts w:eastAsia="Times New Roman"/>
                <w:sz w:val="24"/>
                <w:szCs w:val="24"/>
              </w:rPr>
              <w:t>- 145</w:t>
            </w:r>
          </w:p>
        </w:tc>
      </w:tr>
      <w:tr w:rsidR="005A54F9">
        <w:trPr>
          <w:trHeight w:val="576"/>
        </w:trPr>
        <w:tc>
          <w:tcPr>
            <w:tcW w:w="3220" w:type="dxa"/>
            <w:vAlign w:val="bottom"/>
          </w:tcPr>
          <w:p w:rsidR="005A54F9" w:rsidRDefault="005442FA">
            <w:pPr>
              <w:ind w:left="100"/>
              <w:rPr>
                <w:sz w:val="20"/>
                <w:szCs w:val="20"/>
              </w:rPr>
            </w:pPr>
            <w:r>
              <w:rPr>
                <w:rFonts w:eastAsia="Times New Roman"/>
                <w:sz w:val="24"/>
                <w:szCs w:val="24"/>
              </w:rPr>
              <w:t>EssenCES* Patient cohesion</w:t>
            </w:r>
          </w:p>
        </w:tc>
        <w:tc>
          <w:tcPr>
            <w:tcW w:w="1080" w:type="dxa"/>
            <w:vAlign w:val="bottom"/>
          </w:tcPr>
          <w:p w:rsidR="005A54F9" w:rsidRDefault="005442FA">
            <w:pPr>
              <w:ind w:left="180"/>
              <w:rPr>
                <w:sz w:val="20"/>
                <w:szCs w:val="20"/>
              </w:rPr>
            </w:pPr>
            <w:r>
              <w:rPr>
                <w:rFonts w:eastAsia="Times New Roman"/>
                <w:sz w:val="24"/>
                <w:szCs w:val="24"/>
              </w:rPr>
              <w:t>154</w:t>
            </w:r>
          </w:p>
        </w:tc>
        <w:tc>
          <w:tcPr>
            <w:tcW w:w="1640" w:type="dxa"/>
            <w:vAlign w:val="bottom"/>
          </w:tcPr>
          <w:p w:rsidR="005A54F9" w:rsidRDefault="005442FA">
            <w:pPr>
              <w:ind w:left="600"/>
              <w:rPr>
                <w:sz w:val="20"/>
                <w:szCs w:val="20"/>
              </w:rPr>
            </w:pPr>
            <w:r>
              <w:rPr>
                <w:rFonts w:eastAsia="Times New Roman"/>
                <w:sz w:val="24"/>
                <w:szCs w:val="24"/>
              </w:rPr>
              <w:t>258.79</w:t>
            </w:r>
          </w:p>
        </w:tc>
        <w:tc>
          <w:tcPr>
            <w:tcW w:w="1440" w:type="dxa"/>
            <w:vAlign w:val="bottom"/>
          </w:tcPr>
          <w:p w:rsidR="005A54F9" w:rsidRDefault="005442FA">
            <w:pPr>
              <w:ind w:left="420"/>
              <w:rPr>
                <w:sz w:val="20"/>
                <w:szCs w:val="20"/>
              </w:rPr>
            </w:pPr>
            <w:r>
              <w:rPr>
                <w:rFonts w:eastAsia="Times New Roman"/>
                <w:sz w:val="24"/>
                <w:szCs w:val="24"/>
              </w:rPr>
              <w:t>110.20</w:t>
            </w:r>
          </w:p>
        </w:tc>
        <w:tc>
          <w:tcPr>
            <w:tcW w:w="500" w:type="dxa"/>
            <w:vAlign w:val="bottom"/>
          </w:tcPr>
          <w:p w:rsidR="005A54F9" w:rsidRDefault="005442FA">
            <w:pPr>
              <w:ind w:left="360"/>
              <w:rPr>
                <w:sz w:val="20"/>
                <w:szCs w:val="20"/>
              </w:rPr>
            </w:pPr>
            <w:r>
              <w:rPr>
                <w:rFonts w:eastAsia="Times New Roman"/>
                <w:w w:val="99"/>
                <w:sz w:val="24"/>
                <w:szCs w:val="24"/>
              </w:rPr>
              <w:t>0</w:t>
            </w:r>
          </w:p>
        </w:tc>
        <w:tc>
          <w:tcPr>
            <w:tcW w:w="1180" w:type="dxa"/>
            <w:vAlign w:val="bottom"/>
          </w:tcPr>
          <w:p w:rsidR="005A54F9" w:rsidRDefault="005442FA">
            <w:pPr>
              <w:ind w:left="40"/>
              <w:rPr>
                <w:sz w:val="20"/>
                <w:szCs w:val="20"/>
              </w:rPr>
            </w:pPr>
            <w:r>
              <w:rPr>
                <w:rFonts w:eastAsia="Times New Roman"/>
                <w:sz w:val="24"/>
                <w:szCs w:val="24"/>
              </w:rPr>
              <w:t>- 500</w:t>
            </w:r>
          </w:p>
        </w:tc>
      </w:tr>
      <w:tr w:rsidR="005A54F9">
        <w:trPr>
          <w:trHeight w:val="276"/>
        </w:trPr>
        <w:tc>
          <w:tcPr>
            <w:tcW w:w="3220" w:type="dxa"/>
            <w:vAlign w:val="bottom"/>
          </w:tcPr>
          <w:p w:rsidR="005A54F9" w:rsidRDefault="005442FA">
            <w:pPr>
              <w:ind w:left="100"/>
              <w:rPr>
                <w:sz w:val="20"/>
                <w:szCs w:val="20"/>
              </w:rPr>
            </w:pPr>
            <w:r>
              <w:rPr>
                <w:rFonts w:eastAsia="Times New Roman"/>
                <w:sz w:val="24"/>
                <w:szCs w:val="24"/>
              </w:rPr>
              <w:t>EssenCES Experienced Safety</w:t>
            </w:r>
          </w:p>
        </w:tc>
        <w:tc>
          <w:tcPr>
            <w:tcW w:w="1080" w:type="dxa"/>
            <w:vAlign w:val="bottom"/>
          </w:tcPr>
          <w:p w:rsidR="005A54F9" w:rsidRDefault="005442FA">
            <w:pPr>
              <w:ind w:left="180"/>
              <w:rPr>
                <w:sz w:val="20"/>
                <w:szCs w:val="20"/>
              </w:rPr>
            </w:pPr>
            <w:r>
              <w:rPr>
                <w:rFonts w:eastAsia="Times New Roman"/>
                <w:sz w:val="24"/>
                <w:szCs w:val="24"/>
              </w:rPr>
              <w:t>154</w:t>
            </w:r>
          </w:p>
        </w:tc>
        <w:tc>
          <w:tcPr>
            <w:tcW w:w="1640" w:type="dxa"/>
            <w:vAlign w:val="bottom"/>
          </w:tcPr>
          <w:p w:rsidR="005A54F9" w:rsidRDefault="005442FA">
            <w:pPr>
              <w:ind w:left="600"/>
              <w:rPr>
                <w:sz w:val="20"/>
                <w:szCs w:val="20"/>
              </w:rPr>
            </w:pPr>
            <w:r>
              <w:rPr>
                <w:rFonts w:eastAsia="Times New Roman"/>
                <w:sz w:val="24"/>
                <w:szCs w:val="24"/>
              </w:rPr>
              <w:t>266.10</w:t>
            </w:r>
          </w:p>
        </w:tc>
        <w:tc>
          <w:tcPr>
            <w:tcW w:w="1440" w:type="dxa"/>
            <w:vAlign w:val="bottom"/>
          </w:tcPr>
          <w:p w:rsidR="005A54F9" w:rsidRDefault="005442FA">
            <w:pPr>
              <w:ind w:left="420"/>
              <w:rPr>
                <w:sz w:val="20"/>
                <w:szCs w:val="20"/>
              </w:rPr>
            </w:pPr>
            <w:r>
              <w:rPr>
                <w:rFonts w:eastAsia="Times New Roman"/>
                <w:sz w:val="24"/>
                <w:szCs w:val="24"/>
              </w:rPr>
              <w:t>113.79</w:t>
            </w:r>
          </w:p>
        </w:tc>
        <w:tc>
          <w:tcPr>
            <w:tcW w:w="500" w:type="dxa"/>
            <w:vAlign w:val="bottom"/>
          </w:tcPr>
          <w:p w:rsidR="005A54F9" w:rsidRDefault="005442FA">
            <w:pPr>
              <w:ind w:left="360"/>
              <w:rPr>
                <w:sz w:val="20"/>
                <w:szCs w:val="20"/>
              </w:rPr>
            </w:pPr>
            <w:r>
              <w:rPr>
                <w:rFonts w:eastAsia="Times New Roman"/>
                <w:w w:val="99"/>
                <w:sz w:val="24"/>
                <w:szCs w:val="24"/>
              </w:rPr>
              <w:t>0</w:t>
            </w:r>
          </w:p>
        </w:tc>
        <w:tc>
          <w:tcPr>
            <w:tcW w:w="1180" w:type="dxa"/>
            <w:vAlign w:val="bottom"/>
          </w:tcPr>
          <w:p w:rsidR="005A54F9" w:rsidRDefault="005442FA">
            <w:pPr>
              <w:ind w:left="40"/>
              <w:rPr>
                <w:sz w:val="20"/>
                <w:szCs w:val="20"/>
              </w:rPr>
            </w:pPr>
            <w:r>
              <w:rPr>
                <w:rFonts w:eastAsia="Times New Roman"/>
                <w:sz w:val="24"/>
                <w:szCs w:val="24"/>
              </w:rPr>
              <w:t>- 494</w:t>
            </w:r>
          </w:p>
        </w:tc>
      </w:tr>
      <w:tr w:rsidR="005A54F9">
        <w:trPr>
          <w:trHeight w:val="312"/>
        </w:trPr>
        <w:tc>
          <w:tcPr>
            <w:tcW w:w="3220" w:type="dxa"/>
            <w:vAlign w:val="bottom"/>
          </w:tcPr>
          <w:p w:rsidR="005A54F9" w:rsidRDefault="005442FA">
            <w:pPr>
              <w:ind w:left="100"/>
              <w:rPr>
                <w:sz w:val="20"/>
                <w:szCs w:val="20"/>
              </w:rPr>
            </w:pPr>
            <w:r>
              <w:rPr>
                <w:rFonts w:eastAsia="Times New Roman"/>
                <w:sz w:val="24"/>
                <w:szCs w:val="24"/>
              </w:rPr>
              <w:t>EssenCES Therapeutic Hold</w:t>
            </w:r>
          </w:p>
        </w:tc>
        <w:tc>
          <w:tcPr>
            <w:tcW w:w="1080" w:type="dxa"/>
            <w:vAlign w:val="bottom"/>
          </w:tcPr>
          <w:p w:rsidR="005A54F9" w:rsidRDefault="005442FA">
            <w:pPr>
              <w:ind w:left="180"/>
              <w:rPr>
                <w:sz w:val="20"/>
                <w:szCs w:val="20"/>
              </w:rPr>
            </w:pPr>
            <w:r>
              <w:rPr>
                <w:rFonts w:eastAsia="Times New Roman"/>
                <w:sz w:val="24"/>
                <w:szCs w:val="24"/>
              </w:rPr>
              <w:t>154</w:t>
            </w:r>
          </w:p>
        </w:tc>
        <w:tc>
          <w:tcPr>
            <w:tcW w:w="1640" w:type="dxa"/>
            <w:vAlign w:val="bottom"/>
          </w:tcPr>
          <w:p w:rsidR="005A54F9" w:rsidRDefault="005442FA">
            <w:pPr>
              <w:ind w:left="600"/>
              <w:rPr>
                <w:sz w:val="20"/>
                <w:szCs w:val="20"/>
              </w:rPr>
            </w:pPr>
            <w:r>
              <w:rPr>
                <w:rFonts w:eastAsia="Times New Roman"/>
                <w:sz w:val="24"/>
                <w:szCs w:val="24"/>
              </w:rPr>
              <w:t>230.16</w:t>
            </w:r>
          </w:p>
        </w:tc>
        <w:tc>
          <w:tcPr>
            <w:tcW w:w="1440" w:type="dxa"/>
            <w:vAlign w:val="bottom"/>
          </w:tcPr>
          <w:p w:rsidR="005A54F9" w:rsidRDefault="005442FA">
            <w:pPr>
              <w:ind w:left="420"/>
              <w:rPr>
                <w:sz w:val="20"/>
                <w:szCs w:val="20"/>
              </w:rPr>
            </w:pPr>
            <w:r>
              <w:rPr>
                <w:rFonts w:eastAsia="Times New Roman"/>
                <w:sz w:val="24"/>
                <w:szCs w:val="24"/>
              </w:rPr>
              <w:t>124.49</w:t>
            </w:r>
          </w:p>
        </w:tc>
        <w:tc>
          <w:tcPr>
            <w:tcW w:w="500" w:type="dxa"/>
            <w:vAlign w:val="bottom"/>
          </w:tcPr>
          <w:p w:rsidR="005A54F9" w:rsidRDefault="005442FA">
            <w:pPr>
              <w:ind w:left="360"/>
              <w:rPr>
                <w:sz w:val="20"/>
                <w:szCs w:val="20"/>
              </w:rPr>
            </w:pPr>
            <w:r>
              <w:rPr>
                <w:rFonts w:eastAsia="Times New Roman"/>
                <w:w w:val="99"/>
                <w:sz w:val="24"/>
                <w:szCs w:val="24"/>
              </w:rPr>
              <w:t>0</w:t>
            </w:r>
          </w:p>
        </w:tc>
        <w:tc>
          <w:tcPr>
            <w:tcW w:w="1180" w:type="dxa"/>
            <w:vAlign w:val="bottom"/>
          </w:tcPr>
          <w:p w:rsidR="005A54F9" w:rsidRDefault="005442FA">
            <w:pPr>
              <w:ind w:left="40"/>
              <w:rPr>
                <w:sz w:val="20"/>
                <w:szCs w:val="20"/>
              </w:rPr>
            </w:pPr>
            <w:r>
              <w:rPr>
                <w:rFonts w:eastAsia="Times New Roman"/>
                <w:sz w:val="24"/>
                <w:szCs w:val="24"/>
              </w:rPr>
              <w:t>- 500</w:t>
            </w:r>
          </w:p>
        </w:tc>
      </w:tr>
      <w:tr w:rsidR="005A54F9">
        <w:trPr>
          <w:trHeight w:val="516"/>
        </w:trPr>
        <w:tc>
          <w:tcPr>
            <w:tcW w:w="3220" w:type="dxa"/>
            <w:vAlign w:val="bottom"/>
          </w:tcPr>
          <w:p w:rsidR="005A54F9" w:rsidRDefault="005442FA">
            <w:pPr>
              <w:ind w:left="100"/>
              <w:rPr>
                <w:sz w:val="20"/>
                <w:szCs w:val="20"/>
              </w:rPr>
            </w:pPr>
            <w:r>
              <w:rPr>
                <w:rFonts w:eastAsia="Times New Roman"/>
                <w:sz w:val="24"/>
                <w:szCs w:val="24"/>
              </w:rPr>
              <w:t>PCL-R Total score**</w:t>
            </w:r>
          </w:p>
        </w:tc>
        <w:tc>
          <w:tcPr>
            <w:tcW w:w="1080" w:type="dxa"/>
            <w:vAlign w:val="bottom"/>
          </w:tcPr>
          <w:p w:rsidR="005A54F9" w:rsidRDefault="005442FA">
            <w:pPr>
              <w:ind w:left="180"/>
              <w:rPr>
                <w:sz w:val="20"/>
                <w:szCs w:val="20"/>
              </w:rPr>
            </w:pPr>
            <w:r>
              <w:rPr>
                <w:rFonts w:eastAsia="Times New Roman"/>
                <w:sz w:val="24"/>
                <w:szCs w:val="24"/>
              </w:rPr>
              <w:t>120</w:t>
            </w:r>
          </w:p>
        </w:tc>
        <w:tc>
          <w:tcPr>
            <w:tcW w:w="1640" w:type="dxa"/>
            <w:vAlign w:val="bottom"/>
          </w:tcPr>
          <w:p w:rsidR="005A54F9" w:rsidRDefault="005442FA">
            <w:pPr>
              <w:ind w:left="540"/>
              <w:rPr>
                <w:sz w:val="20"/>
                <w:szCs w:val="20"/>
              </w:rPr>
            </w:pPr>
            <w:r>
              <w:rPr>
                <w:rFonts w:eastAsia="Times New Roman"/>
                <w:sz w:val="24"/>
                <w:szCs w:val="24"/>
              </w:rPr>
              <w:t>19.65</w:t>
            </w:r>
          </w:p>
        </w:tc>
        <w:tc>
          <w:tcPr>
            <w:tcW w:w="1440" w:type="dxa"/>
            <w:vAlign w:val="bottom"/>
          </w:tcPr>
          <w:p w:rsidR="005A54F9" w:rsidRDefault="005442FA">
            <w:pPr>
              <w:ind w:left="360"/>
              <w:rPr>
                <w:sz w:val="20"/>
                <w:szCs w:val="20"/>
              </w:rPr>
            </w:pPr>
            <w:r>
              <w:rPr>
                <w:rFonts w:eastAsia="Times New Roman"/>
                <w:sz w:val="24"/>
                <w:szCs w:val="24"/>
              </w:rPr>
              <w:t>7.05</w:t>
            </w:r>
          </w:p>
        </w:tc>
        <w:tc>
          <w:tcPr>
            <w:tcW w:w="500" w:type="dxa"/>
            <w:vAlign w:val="bottom"/>
          </w:tcPr>
          <w:p w:rsidR="005A54F9" w:rsidRDefault="005442FA">
            <w:pPr>
              <w:ind w:left="360"/>
              <w:rPr>
                <w:sz w:val="20"/>
                <w:szCs w:val="20"/>
              </w:rPr>
            </w:pPr>
            <w:r>
              <w:rPr>
                <w:rFonts w:eastAsia="Times New Roman"/>
                <w:w w:val="99"/>
                <w:sz w:val="24"/>
                <w:szCs w:val="24"/>
              </w:rPr>
              <w:t>6</w:t>
            </w:r>
          </w:p>
        </w:tc>
        <w:tc>
          <w:tcPr>
            <w:tcW w:w="1180" w:type="dxa"/>
            <w:vAlign w:val="bottom"/>
          </w:tcPr>
          <w:p w:rsidR="005A54F9" w:rsidRDefault="005442FA">
            <w:pPr>
              <w:ind w:left="40"/>
              <w:rPr>
                <w:sz w:val="20"/>
                <w:szCs w:val="20"/>
              </w:rPr>
            </w:pPr>
            <w:r>
              <w:rPr>
                <w:rFonts w:eastAsia="Times New Roman"/>
                <w:sz w:val="24"/>
                <w:szCs w:val="24"/>
              </w:rPr>
              <w:t>- 36</w:t>
            </w:r>
          </w:p>
        </w:tc>
      </w:tr>
      <w:tr w:rsidR="005A54F9">
        <w:trPr>
          <w:trHeight w:val="276"/>
        </w:trPr>
        <w:tc>
          <w:tcPr>
            <w:tcW w:w="3220" w:type="dxa"/>
            <w:vAlign w:val="bottom"/>
          </w:tcPr>
          <w:p w:rsidR="005A54F9" w:rsidRDefault="005442FA">
            <w:pPr>
              <w:ind w:left="100"/>
              <w:rPr>
                <w:sz w:val="20"/>
                <w:szCs w:val="20"/>
              </w:rPr>
            </w:pPr>
            <w:r>
              <w:rPr>
                <w:rFonts w:eastAsia="Times New Roman"/>
                <w:sz w:val="24"/>
                <w:szCs w:val="24"/>
              </w:rPr>
              <w:t xml:space="preserve">PCL-R </w:t>
            </w:r>
            <w:r>
              <w:rPr>
                <w:rFonts w:eastAsia="Times New Roman"/>
                <w:sz w:val="24"/>
                <w:szCs w:val="24"/>
              </w:rPr>
              <w:t>Interpersonal scale</w:t>
            </w:r>
          </w:p>
        </w:tc>
        <w:tc>
          <w:tcPr>
            <w:tcW w:w="1080" w:type="dxa"/>
            <w:vAlign w:val="bottom"/>
          </w:tcPr>
          <w:p w:rsidR="005A54F9" w:rsidRDefault="005442FA">
            <w:pPr>
              <w:ind w:left="180"/>
              <w:rPr>
                <w:sz w:val="20"/>
                <w:szCs w:val="20"/>
              </w:rPr>
            </w:pPr>
            <w:r>
              <w:rPr>
                <w:rFonts w:eastAsia="Times New Roman"/>
                <w:sz w:val="24"/>
                <w:szCs w:val="24"/>
              </w:rPr>
              <w:t>117</w:t>
            </w:r>
          </w:p>
        </w:tc>
        <w:tc>
          <w:tcPr>
            <w:tcW w:w="1640" w:type="dxa"/>
            <w:vAlign w:val="bottom"/>
          </w:tcPr>
          <w:p w:rsidR="005A54F9" w:rsidRDefault="005442FA">
            <w:pPr>
              <w:ind w:left="540"/>
              <w:rPr>
                <w:sz w:val="20"/>
                <w:szCs w:val="20"/>
              </w:rPr>
            </w:pPr>
            <w:r>
              <w:rPr>
                <w:rFonts w:eastAsia="Times New Roman"/>
                <w:sz w:val="24"/>
                <w:szCs w:val="24"/>
              </w:rPr>
              <w:t>3.19</w:t>
            </w:r>
          </w:p>
        </w:tc>
        <w:tc>
          <w:tcPr>
            <w:tcW w:w="1440" w:type="dxa"/>
            <w:vAlign w:val="bottom"/>
          </w:tcPr>
          <w:p w:rsidR="005A54F9" w:rsidRDefault="005442FA">
            <w:pPr>
              <w:ind w:left="360"/>
              <w:rPr>
                <w:sz w:val="20"/>
                <w:szCs w:val="20"/>
              </w:rPr>
            </w:pPr>
            <w:r>
              <w:rPr>
                <w:rFonts w:eastAsia="Times New Roman"/>
                <w:sz w:val="24"/>
                <w:szCs w:val="24"/>
              </w:rPr>
              <w:t>2.00</w:t>
            </w:r>
          </w:p>
        </w:tc>
        <w:tc>
          <w:tcPr>
            <w:tcW w:w="500" w:type="dxa"/>
            <w:vAlign w:val="bottom"/>
          </w:tcPr>
          <w:p w:rsidR="005A54F9" w:rsidRDefault="005442FA">
            <w:pPr>
              <w:ind w:left="360"/>
              <w:rPr>
                <w:sz w:val="20"/>
                <w:szCs w:val="20"/>
              </w:rPr>
            </w:pPr>
            <w:r>
              <w:rPr>
                <w:rFonts w:eastAsia="Times New Roman"/>
                <w:w w:val="99"/>
                <w:sz w:val="24"/>
                <w:szCs w:val="24"/>
              </w:rPr>
              <w:t>0</w:t>
            </w:r>
          </w:p>
        </w:tc>
        <w:tc>
          <w:tcPr>
            <w:tcW w:w="1180" w:type="dxa"/>
            <w:vAlign w:val="bottom"/>
          </w:tcPr>
          <w:p w:rsidR="005A54F9" w:rsidRDefault="005442FA">
            <w:pPr>
              <w:ind w:left="40"/>
              <w:rPr>
                <w:sz w:val="20"/>
                <w:szCs w:val="20"/>
              </w:rPr>
            </w:pPr>
            <w:r>
              <w:rPr>
                <w:rFonts w:eastAsia="Times New Roman"/>
                <w:sz w:val="24"/>
                <w:szCs w:val="24"/>
              </w:rPr>
              <w:t>- 8</w:t>
            </w:r>
          </w:p>
        </w:tc>
      </w:tr>
      <w:tr w:rsidR="005A54F9">
        <w:trPr>
          <w:trHeight w:val="276"/>
        </w:trPr>
        <w:tc>
          <w:tcPr>
            <w:tcW w:w="3220" w:type="dxa"/>
            <w:vAlign w:val="bottom"/>
          </w:tcPr>
          <w:p w:rsidR="005A54F9" w:rsidRDefault="005442FA">
            <w:pPr>
              <w:ind w:left="100"/>
              <w:rPr>
                <w:sz w:val="20"/>
                <w:szCs w:val="20"/>
              </w:rPr>
            </w:pPr>
            <w:r>
              <w:rPr>
                <w:rFonts w:eastAsia="Times New Roman"/>
                <w:sz w:val="24"/>
                <w:szCs w:val="24"/>
              </w:rPr>
              <w:t>PCL-R Affective scale</w:t>
            </w:r>
          </w:p>
        </w:tc>
        <w:tc>
          <w:tcPr>
            <w:tcW w:w="1080" w:type="dxa"/>
            <w:vAlign w:val="bottom"/>
          </w:tcPr>
          <w:p w:rsidR="005A54F9" w:rsidRDefault="005442FA">
            <w:pPr>
              <w:ind w:left="180"/>
              <w:rPr>
                <w:sz w:val="20"/>
                <w:szCs w:val="20"/>
              </w:rPr>
            </w:pPr>
            <w:r>
              <w:rPr>
                <w:rFonts w:eastAsia="Times New Roman"/>
                <w:sz w:val="24"/>
                <w:szCs w:val="24"/>
              </w:rPr>
              <w:t>108</w:t>
            </w:r>
          </w:p>
        </w:tc>
        <w:tc>
          <w:tcPr>
            <w:tcW w:w="1640" w:type="dxa"/>
            <w:vAlign w:val="bottom"/>
          </w:tcPr>
          <w:p w:rsidR="005A54F9" w:rsidRDefault="005442FA">
            <w:pPr>
              <w:ind w:left="540"/>
              <w:rPr>
                <w:sz w:val="20"/>
                <w:szCs w:val="20"/>
              </w:rPr>
            </w:pPr>
            <w:r>
              <w:rPr>
                <w:rFonts w:eastAsia="Times New Roman"/>
                <w:sz w:val="24"/>
                <w:szCs w:val="24"/>
              </w:rPr>
              <w:t>5.24</w:t>
            </w:r>
          </w:p>
        </w:tc>
        <w:tc>
          <w:tcPr>
            <w:tcW w:w="1440" w:type="dxa"/>
            <w:vAlign w:val="bottom"/>
          </w:tcPr>
          <w:p w:rsidR="005A54F9" w:rsidRDefault="005442FA">
            <w:pPr>
              <w:ind w:left="360"/>
              <w:rPr>
                <w:sz w:val="20"/>
                <w:szCs w:val="20"/>
              </w:rPr>
            </w:pPr>
            <w:r>
              <w:rPr>
                <w:rFonts w:eastAsia="Times New Roman"/>
                <w:sz w:val="24"/>
                <w:szCs w:val="24"/>
              </w:rPr>
              <w:t>2.21</w:t>
            </w:r>
          </w:p>
        </w:tc>
        <w:tc>
          <w:tcPr>
            <w:tcW w:w="500" w:type="dxa"/>
            <w:vAlign w:val="bottom"/>
          </w:tcPr>
          <w:p w:rsidR="005A54F9" w:rsidRDefault="005442FA">
            <w:pPr>
              <w:ind w:left="360"/>
              <w:rPr>
                <w:sz w:val="20"/>
                <w:szCs w:val="20"/>
              </w:rPr>
            </w:pPr>
            <w:r>
              <w:rPr>
                <w:rFonts w:eastAsia="Times New Roman"/>
                <w:w w:val="99"/>
                <w:sz w:val="24"/>
                <w:szCs w:val="24"/>
              </w:rPr>
              <w:t>0</w:t>
            </w:r>
          </w:p>
        </w:tc>
        <w:tc>
          <w:tcPr>
            <w:tcW w:w="1180" w:type="dxa"/>
            <w:vAlign w:val="bottom"/>
          </w:tcPr>
          <w:p w:rsidR="005A54F9" w:rsidRDefault="005442FA">
            <w:pPr>
              <w:ind w:left="40"/>
              <w:rPr>
                <w:sz w:val="20"/>
                <w:szCs w:val="20"/>
              </w:rPr>
            </w:pPr>
            <w:r>
              <w:rPr>
                <w:rFonts w:eastAsia="Times New Roman"/>
                <w:sz w:val="24"/>
                <w:szCs w:val="24"/>
              </w:rPr>
              <w:t>- 8</w:t>
            </w:r>
          </w:p>
        </w:tc>
      </w:tr>
      <w:tr w:rsidR="005A54F9">
        <w:trPr>
          <w:trHeight w:val="276"/>
        </w:trPr>
        <w:tc>
          <w:tcPr>
            <w:tcW w:w="3220" w:type="dxa"/>
            <w:vAlign w:val="bottom"/>
          </w:tcPr>
          <w:p w:rsidR="005A54F9" w:rsidRDefault="005442FA">
            <w:pPr>
              <w:ind w:left="100"/>
              <w:rPr>
                <w:sz w:val="20"/>
                <w:szCs w:val="20"/>
              </w:rPr>
            </w:pPr>
            <w:r>
              <w:rPr>
                <w:rFonts w:eastAsia="Times New Roman"/>
                <w:sz w:val="24"/>
                <w:szCs w:val="24"/>
              </w:rPr>
              <w:t>PCL-R Lifestyle scale</w:t>
            </w:r>
          </w:p>
        </w:tc>
        <w:tc>
          <w:tcPr>
            <w:tcW w:w="1080" w:type="dxa"/>
            <w:vAlign w:val="bottom"/>
          </w:tcPr>
          <w:p w:rsidR="005A54F9" w:rsidRDefault="005442FA">
            <w:pPr>
              <w:ind w:left="180"/>
              <w:rPr>
                <w:sz w:val="20"/>
                <w:szCs w:val="20"/>
              </w:rPr>
            </w:pPr>
            <w:r>
              <w:rPr>
                <w:rFonts w:eastAsia="Times New Roman"/>
                <w:sz w:val="24"/>
                <w:szCs w:val="24"/>
              </w:rPr>
              <w:t>106</w:t>
            </w:r>
          </w:p>
        </w:tc>
        <w:tc>
          <w:tcPr>
            <w:tcW w:w="1640" w:type="dxa"/>
            <w:vAlign w:val="bottom"/>
          </w:tcPr>
          <w:p w:rsidR="005A54F9" w:rsidRDefault="005442FA">
            <w:pPr>
              <w:ind w:left="540"/>
              <w:rPr>
                <w:sz w:val="20"/>
                <w:szCs w:val="20"/>
              </w:rPr>
            </w:pPr>
            <w:r>
              <w:rPr>
                <w:rFonts w:eastAsia="Times New Roman"/>
                <w:sz w:val="24"/>
                <w:szCs w:val="24"/>
              </w:rPr>
              <w:t>5.15</w:t>
            </w:r>
          </w:p>
        </w:tc>
        <w:tc>
          <w:tcPr>
            <w:tcW w:w="1440" w:type="dxa"/>
            <w:vAlign w:val="bottom"/>
          </w:tcPr>
          <w:p w:rsidR="005A54F9" w:rsidRDefault="005442FA">
            <w:pPr>
              <w:ind w:left="360"/>
              <w:rPr>
                <w:sz w:val="20"/>
                <w:szCs w:val="20"/>
              </w:rPr>
            </w:pPr>
            <w:r>
              <w:rPr>
                <w:rFonts w:eastAsia="Times New Roman"/>
                <w:sz w:val="24"/>
                <w:szCs w:val="24"/>
              </w:rPr>
              <w:t>2.44</w:t>
            </w:r>
          </w:p>
        </w:tc>
        <w:tc>
          <w:tcPr>
            <w:tcW w:w="500" w:type="dxa"/>
            <w:vAlign w:val="bottom"/>
          </w:tcPr>
          <w:p w:rsidR="005A54F9" w:rsidRDefault="005442FA">
            <w:pPr>
              <w:ind w:left="360"/>
              <w:rPr>
                <w:sz w:val="20"/>
                <w:szCs w:val="20"/>
              </w:rPr>
            </w:pPr>
            <w:r>
              <w:rPr>
                <w:rFonts w:eastAsia="Times New Roman"/>
                <w:w w:val="99"/>
                <w:sz w:val="24"/>
                <w:szCs w:val="24"/>
              </w:rPr>
              <w:t>0</w:t>
            </w:r>
          </w:p>
        </w:tc>
        <w:tc>
          <w:tcPr>
            <w:tcW w:w="1180" w:type="dxa"/>
            <w:vAlign w:val="bottom"/>
          </w:tcPr>
          <w:p w:rsidR="005A54F9" w:rsidRDefault="005442FA">
            <w:pPr>
              <w:ind w:left="40"/>
              <w:rPr>
                <w:sz w:val="20"/>
                <w:szCs w:val="20"/>
              </w:rPr>
            </w:pPr>
            <w:r>
              <w:rPr>
                <w:rFonts w:eastAsia="Times New Roman"/>
                <w:sz w:val="24"/>
                <w:szCs w:val="24"/>
              </w:rPr>
              <w:t>- 10</w:t>
            </w:r>
          </w:p>
        </w:tc>
      </w:tr>
      <w:tr w:rsidR="005A54F9">
        <w:trPr>
          <w:trHeight w:val="312"/>
        </w:trPr>
        <w:tc>
          <w:tcPr>
            <w:tcW w:w="3220" w:type="dxa"/>
            <w:vAlign w:val="bottom"/>
          </w:tcPr>
          <w:p w:rsidR="005A54F9" w:rsidRDefault="005442FA">
            <w:pPr>
              <w:ind w:left="100"/>
              <w:rPr>
                <w:sz w:val="20"/>
                <w:szCs w:val="20"/>
              </w:rPr>
            </w:pPr>
            <w:r>
              <w:rPr>
                <w:rFonts w:eastAsia="Times New Roman"/>
                <w:sz w:val="24"/>
                <w:szCs w:val="24"/>
              </w:rPr>
              <w:t>PCL-R Antisocial scale</w:t>
            </w:r>
          </w:p>
        </w:tc>
        <w:tc>
          <w:tcPr>
            <w:tcW w:w="1080" w:type="dxa"/>
            <w:vAlign w:val="bottom"/>
          </w:tcPr>
          <w:p w:rsidR="005A54F9" w:rsidRDefault="005442FA">
            <w:pPr>
              <w:ind w:left="180"/>
              <w:rPr>
                <w:sz w:val="20"/>
                <w:szCs w:val="20"/>
              </w:rPr>
            </w:pPr>
            <w:r>
              <w:rPr>
                <w:rFonts w:eastAsia="Times New Roman"/>
                <w:sz w:val="24"/>
                <w:szCs w:val="24"/>
              </w:rPr>
              <w:t>99</w:t>
            </w:r>
          </w:p>
        </w:tc>
        <w:tc>
          <w:tcPr>
            <w:tcW w:w="1640" w:type="dxa"/>
            <w:vAlign w:val="bottom"/>
          </w:tcPr>
          <w:p w:rsidR="005A54F9" w:rsidRDefault="005442FA">
            <w:pPr>
              <w:ind w:left="540"/>
              <w:rPr>
                <w:sz w:val="20"/>
                <w:szCs w:val="20"/>
              </w:rPr>
            </w:pPr>
            <w:r>
              <w:rPr>
                <w:rFonts w:eastAsia="Times New Roman"/>
                <w:sz w:val="24"/>
                <w:szCs w:val="24"/>
              </w:rPr>
              <w:t>5.22</w:t>
            </w:r>
          </w:p>
        </w:tc>
        <w:tc>
          <w:tcPr>
            <w:tcW w:w="1440" w:type="dxa"/>
            <w:vAlign w:val="bottom"/>
          </w:tcPr>
          <w:p w:rsidR="005A54F9" w:rsidRDefault="005442FA">
            <w:pPr>
              <w:ind w:left="360"/>
              <w:rPr>
                <w:sz w:val="20"/>
                <w:szCs w:val="20"/>
              </w:rPr>
            </w:pPr>
            <w:r>
              <w:rPr>
                <w:rFonts w:eastAsia="Times New Roman"/>
                <w:sz w:val="24"/>
                <w:szCs w:val="24"/>
              </w:rPr>
              <w:t>2.80</w:t>
            </w:r>
          </w:p>
        </w:tc>
        <w:tc>
          <w:tcPr>
            <w:tcW w:w="500" w:type="dxa"/>
            <w:vAlign w:val="bottom"/>
          </w:tcPr>
          <w:p w:rsidR="005A54F9" w:rsidRDefault="005442FA">
            <w:pPr>
              <w:ind w:left="360"/>
              <w:rPr>
                <w:sz w:val="20"/>
                <w:szCs w:val="20"/>
              </w:rPr>
            </w:pPr>
            <w:r>
              <w:rPr>
                <w:rFonts w:eastAsia="Times New Roman"/>
                <w:w w:val="99"/>
                <w:sz w:val="24"/>
                <w:szCs w:val="24"/>
              </w:rPr>
              <w:t>0</w:t>
            </w:r>
          </w:p>
        </w:tc>
        <w:tc>
          <w:tcPr>
            <w:tcW w:w="1180" w:type="dxa"/>
            <w:vAlign w:val="bottom"/>
          </w:tcPr>
          <w:p w:rsidR="005A54F9" w:rsidRDefault="005442FA">
            <w:pPr>
              <w:ind w:left="40"/>
              <w:rPr>
                <w:sz w:val="20"/>
                <w:szCs w:val="20"/>
              </w:rPr>
            </w:pPr>
            <w:r>
              <w:rPr>
                <w:rFonts w:eastAsia="Times New Roman"/>
                <w:sz w:val="24"/>
                <w:szCs w:val="24"/>
              </w:rPr>
              <w:t>- 10</w:t>
            </w:r>
          </w:p>
        </w:tc>
      </w:tr>
      <w:tr w:rsidR="005A54F9">
        <w:trPr>
          <w:trHeight w:val="552"/>
        </w:trPr>
        <w:tc>
          <w:tcPr>
            <w:tcW w:w="3220" w:type="dxa"/>
            <w:vAlign w:val="bottom"/>
          </w:tcPr>
          <w:p w:rsidR="005A54F9" w:rsidRDefault="005442FA">
            <w:pPr>
              <w:ind w:left="100"/>
              <w:rPr>
                <w:sz w:val="20"/>
                <w:szCs w:val="20"/>
              </w:rPr>
            </w:pPr>
            <w:r>
              <w:rPr>
                <w:rFonts w:eastAsia="Times New Roman"/>
                <w:sz w:val="24"/>
                <w:szCs w:val="24"/>
              </w:rPr>
              <w:t>HCR Total score***</w:t>
            </w:r>
          </w:p>
        </w:tc>
        <w:tc>
          <w:tcPr>
            <w:tcW w:w="1080" w:type="dxa"/>
            <w:vAlign w:val="bottom"/>
          </w:tcPr>
          <w:p w:rsidR="005A54F9" w:rsidRDefault="005442FA">
            <w:pPr>
              <w:ind w:left="180"/>
              <w:rPr>
                <w:sz w:val="20"/>
                <w:szCs w:val="20"/>
              </w:rPr>
            </w:pPr>
            <w:r>
              <w:rPr>
                <w:rFonts w:eastAsia="Times New Roman"/>
                <w:sz w:val="24"/>
                <w:szCs w:val="24"/>
              </w:rPr>
              <w:t>132</w:t>
            </w:r>
          </w:p>
        </w:tc>
        <w:tc>
          <w:tcPr>
            <w:tcW w:w="1640" w:type="dxa"/>
            <w:vAlign w:val="bottom"/>
          </w:tcPr>
          <w:p w:rsidR="005A54F9" w:rsidRDefault="005442FA">
            <w:pPr>
              <w:ind w:left="540"/>
              <w:rPr>
                <w:sz w:val="20"/>
                <w:szCs w:val="20"/>
              </w:rPr>
            </w:pPr>
            <w:r>
              <w:rPr>
                <w:rFonts w:eastAsia="Times New Roman"/>
                <w:sz w:val="24"/>
                <w:szCs w:val="24"/>
              </w:rPr>
              <w:t>3.01</w:t>
            </w:r>
          </w:p>
        </w:tc>
        <w:tc>
          <w:tcPr>
            <w:tcW w:w="1440" w:type="dxa"/>
            <w:vAlign w:val="bottom"/>
          </w:tcPr>
          <w:p w:rsidR="005A54F9" w:rsidRDefault="005442FA">
            <w:pPr>
              <w:ind w:left="360"/>
              <w:rPr>
                <w:sz w:val="20"/>
                <w:szCs w:val="20"/>
              </w:rPr>
            </w:pPr>
            <w:r>
              <w:rPr>
                <w:rFonts w:eastAsia="Times New Roman"/>
                <w:sz w:val="24"/>
                <w:szCs w:val="24"/>
              </w:rPr>
              <w:t>1.41</w:t>
            </w:r>
          </w:p>
        </w:tc>
        <w:tc>
          <w:tcPr>
            <w:tcW w:w="500" w:type="dxa"/>
            <w:vAlign w:val="bottom"/>
          </w:tcPr>
          <w:p w:rsidR="005A54F9" w:rsidRDefault="005442FA">
            <w:pPr>
              <w:ind w:left="360"/>
              <w:rPr>
                <w:sz w:val="20"/>
                <w:szCs w:val="20"/>
              </w:rPr>
            </w:pPr>
            <w:r>
              <w:rPr>
                <w:rFonts w:eastAsia="Times New Roman"/>
                <w:w w:val="99"/>
                <w:sz w:val="24"/>
                <w:szCs w:val="24"/>
              </w:rPr>
              <w:t>1</w:t>
            </w:r>
          </w:p>
        </w:tc>
        <w:tc>
          <w:tcPr>
            <w:tcW w:w="1180" w:type="dxa"/>
            <w:vAlign w:val="bottom"/>
          </w:tcPr>
          <w:p w:rsidR="005A54F9" w:rsidRDefault="005442FA">
            <w:pPr>
              <w:ind w:left="40"/>
              <w:rPr>
                <w:sz w:val="20"/>
                <w:szCs w:val="20"/>
              </w:rPr>
            </w:pPr>
            <w:r>
              <w:rPr>
                <w:rFonts w:eastAsia="Times New Roman"/>
                <w:sz w:val="24"/>
                <w:szCs w:val="24"/>
              </w:rPr>
              <w:t>- 5</w:t>
            </w:r>
          </w:p>
        </w:tc>
      </w:tr>
    </w:tbl>
    <w:p w:rsidR="005A54F9" w:rsidRDefault="005442FA">
      <w:pPr>
        <w:spacing w:line="20" w:lineRule="exact"/>
        <w:rPr>
          <w:sz w:val="20"/>
          <w:szCs w:val="20"/>
        </w:rPr>
      </w:pPr>
      <w:r>
        <w:rPr>
          <w:noProof/>
          <w:sz w:val="20"/>
          <w:szCs w:val="20"/>
        </w:rPr>
        <mc:AlternateContent>
          <mc:Choice Requires="wps">
            <w:drawing>
              <wp:anchor distT="0" distB="0" distL="114300" distR="114300" simplePos="0" relativeHeight="251656704" behindDoc="1" locked="0" layoutInCell="0" allowOverlap="1">
                <wp:simplePos x="0" y="0"/>
                <wp:positionH relativeFrom="column">
                  <wp:posOffset>0</wp:posOffset>
                </wp:positionH>
                <wp:positionV relativeFrom="paragraph">
                  <wp:posOffset>217805</wp:posOffset>
                </wp:positionV>
                <wp:extent cx="182880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26DF5CC" id="Shape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7.15pt" to="2in,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" o:allowincell="f" filled="t" strokeweight=".48pt">
                <v:stroke joinstyle="miter"/>
                <o:lock v:ext="edit" shapetype="f"/>
              </v:line>
            </w:pict>
          </mc:Fallback>
        </mc:AlternateContent>
      </w:r>
    </w:p>
    <w:p w:rsidR="005A54F9" w:rsidRDefault="005A54F9">
      <w:pPr>
        <w:spacing w:line="385" w:lineRule="exact"/>
        <w:rPr>
          <w:sz w:val="20"/>
          <w:szCs w:val="20"/>
        </w:rPr>
      </w:pPr>
    </w:p>
    <w:p w:rsidR="005A54F9" w:rsidRDefault="005442FA">
      <w:pPr>
        <w:numPr>
          <w:ilvl w:val="0"/>
          <w:numId w:val="1"/>
        </w:numPr>
        <w:tabs>
          <w:tab w:val="left" w:pos="153"/>
        </w:tabs>
        <w:spacing w:line="258" w:lineRule="auto"/>
        <w:ind w:left="2" w:right="80" w:hanging="2"/>
        <w:rPr>
          <w:rFonts w:ascii="Verdana" w:eastAsia="Verdana" w:hAnsi="Verdana" w:cs="Verdana"/>
          <w:sz w:val="13"/>
          <w:szCs w:val="13"/>
        </w:rPr>
      </w:pPr>
      <w:r>
        <w:rPr>
          <w:rFonts w:eastAsia="Times New Roman"/>
          <w:i/>
          <w:iCs/>
          <w:sz w:val="24"/>
          <w:szCs w:val="24"/>
        </w:rPr>
        <w:t xml:space="preserve">Mean scores and standard deviations of </w:t>
      </w:r>
      <w:r>
        <w:rPr>
          <w:rFonts w:eastAsia="Times New Roman"/>
          <w:i/>
          <w:iCs/>
          <w:sz w:val="24"/>
          <w:szCs w:val="24"/>
        </w:rPr>
        <w:t>the sub-sample used in the path analysis are comparable with the scores reported here. Descriptives are available from the first author on request.</w:t>
      </w:r>
    </w:p>
    <w:p w:rsidR="005A54F9" w:rsidRDefault="005A54F9">
      <w:pPr>
        <w:spacing w:line="232" w:lineRule="exact"/>
        <w:rPr>
          <w:sz w:val="20"/>
          <w:szCs w:val="20"/>
        </w:rPr>
      </w:pPr>
    </w:p>
    <w:p w:rsidR="005A54F9" w:rsidRDefault="005442FA">
      <w:pPr>
        <w:jc w:val="right"/>
        <w:rPr>
          <w:sz w:val="20"/>
          <w:szCs w:val="20"/>
        </w:rPr>
      </w:pPr>
      <w:r>
        <w:rPr>
          <w:rFonts w:ascii="Verdana" w:eastAsia="Verdana" w:hAnsi="Verdana" w:cs="Verdana"/>
          <w:sz w:val="18"/>
          <w:szCs w:val="18"/>
        </w:rPr>
        <w:t>11</w:t>
      </w:r>
    </w:p>
    <w:p w:rsidR="005A54F9" w:rsidRDefault="005A54F9">
      <w:pPr>
        <w:sectPr w:rsidR="005A54F9">
          <w:pgSz w:w="11900" w:h="16838"/>
          <w:pgMar w:top="1392" w:right="1426" w:bottom="371" w:left="1418" w:header="0" w:footer="0" w:gutter="0"/>
          <w:cols w:space="720" w:equalWidth="0">
            <w:col w:w="9062"/>
          </w:cols>
        </w:sectPr>
      </w:pPr>
    </w:p>
    <w:tbl>
      <w:tblPr>
        <w:tblW w:w="0" w:type="auto"/>
        <w:tblInd w:w="120" w:type="dxa"/>
        <w:tblLayout w:type="fixed"/>
        <w:tblCellMar>
          <w:left w:w="0" w:type="dxa"/>
          <w:right w:w="0" w:type="dxa"/>
        </w:tblCellMar>
        <w:tblLook w:val="04A0" w:firstRow="1" w:lastRow="0" w:firstColumn="1" w:lastColumn="0" w:noHBand="0" w:noVBand="1"/>
      </w:tblPr>
      <w:tblGrid>
        <w:gridCol w:w="2680"/>
        <w:gridCol w:w="1520"/>
        <w:gridCol w:w="1540"/>
        <w:gridCol w:w="1380"/>
        <w:gridCol w:w="660"/>
        <w:gridCol w:w="460"/>
      </w:tblGrid>
      <w:tr w:rsidR="005A54F9">
        <w:trPr>
          <w:trHeight w:val="276"/>
        </w:trPr>
        <w:tc>
          <w:tcPr>
            <w:tcW w:w="2680" w:type="dxa"/>
            <w:vAlign w:val="bottom"/>
          </w:tcPr>
          <w:p w:rsidR="005A54F9" w:rsidRDefault="005442FA">
            <w:pPr>
              <w:rPr>
                <w:sz w:val="20"/>
                <w:szCs w:val="20"/>
              </w:rPr>
            </w:pPr>
            <w:bookmarkStart w:id="12" w:name="page12"/>
            <w:bookmarkEnd w:id="12"/>
            <w:r>
              <w:rPr>
                <w:rFonts w:eastAsia="Times New Roman"/>
                <w:sz w:val="24"/>
                <w:szCs w:val="24"/>
              </w:rPr>
              <w:lastRenderedPageBreak/>
              <w:t>HCR Historical scale</w:t>
            </w:r>
          </w:p>
        </w:tc>
        <w:tc>
          <w:tcPr>
            <w:tcW w:w="1520" w:type="dxa"/>
            <w:vAlign w:val="bottom"/>
          </w:tcPr>
          <w:p w:rsidR="005A54F9" w:rsidRDefault="005442FA">
            <w:pPr>
              <w:ind w:right="420"/>
              <w:jc w:val="right"/>
              <w:rPr>
                <w:sz w:val="20"/>
                <w:szCs w:val="20"/>
              </w:rPr>
            </w:pPr>
            <w:r>
              <w:rPr>
                <w:rFonts w:eastAsia="Times New Roman"/>
                <w:sz w:val="24"/>
                <w:szCs w:val="24"/>
              </w:rPr>
              <w:t>121</w:t>
            </w:r>
          </w:p>
        </w:tc>
        <w:tc>
          <w:tcPr>
            <w:tcW w:w="1540" w:type="dxa"/>
            <w:vAlign w:val="bottom"/>
          </w:tcPr>
          <w:p w:rsidR="005A54F9" w:rsidRDefault="005442FA">
            <w:pPr>
              <w:ind w:left="540"/>
              <w:rPr>
                <w:sz w:val="20"/>
                <w:szCs w:val="20"/>
              </w:rPr>
            </w:pPr>
            <w:r>
              <w:rPr>
                <w:rFonts w:eastAsia="Times New Roman"/>
                <w:sz w:val="24"/>
                <w:szCs w:val="24"/>
              </w:rPr>
              <w:t>14.01</w:t>
            </w:r>
          </w:p>
        </w:tc>
        <w:tc>
          <w:tcPr>
            <w:tcW w:w="1380" w:type="dxa"/>
            <w:vAlign w:val="bottom"/>
          </w:tcPr>
          <w:p w:rsidR="005A54F9" w:rsidRDefault="005442FA">
            <w:pPr>
              <w:ind w:right="380"/>
              <w:jc w:val="right"/>
              <w:rPr>
                <w:sz w:val="20"/>
                <w:szCs w:val="20"/>
              </w:rPr>
            </w:pPr>
            <w:r>
              <w:rPr>
                <w:rFonts w:eastAsia="Times New Roman"/>
                <w:sz w:val="24"/>
                <w:szCs w:val="24"/>
              </w:rPr>
              <w:t>2.53</w:t>
            </w:r>
          </w:p>
        </w:tc>
        <w:tc>
          <w:tcPr>
            <w:tcW w:w="660" w:type="dxa"/>
            <w:vAlign w:val="bottom"/>
          </w:tcPr>
          <w:p w:rsidR="005A54F9" w:rsidRDefault="005442FA">
            <w:pPr>
              <w:jc w:val="right"/>
              <w:rPr>
                <w:sz w:val="20"/>
                <w:szCs w:val="20"/>
              </w:rPr>
            </w:pPr>
            <w:r>
              <w:rPr>
                <w:rFonts w:eastAsia="Times New Roman"/>
                <w:sz w:val="24"/>
                <w:szCs w:val="24"/>
              </w:rPr>
              <w:t>6</w:t>
            </w:r>
          </w:p>
        </w:tc>
        <w:tc>
          <w:tcPr>
            <w:tcW w:w="460" w:type="dxa"/>
            <w:vAlign w:val="bottom"/>
          </w:tcPr>
          <w:p w:rsidR="005A54F9" w:rsidRDefault="005442FA">
            <w:pPr>
              <w:ind w:left="40"/>
              <w:rPr>
                <w:sz w:val="20"/>
                <w:szCs w:val="20"/>
              </w:rPr>
            </w:pPr>
            <w:r>
              <w:rPr>
                <w:rFonts w:eastAsia="Times New Roman"/>
                <w:sz w:val="24"/>
                <w:szCs w:val="24"/>
              </w:rPr>
              <w:t>- 18</w:t>
            </w:r>
          </w:p>
        </w:tc>
      </w:tr>
      <w:tr w:rsidR="005A54F9">
        <w:trPr>
          <w:trHeight w:val="276"/>
        </w:trPr>
        <w:tc>
          <w:tcPr>
            <w:tcW w:w="2680" w:type="dxa"/>
            <w:vAlign w:val="bottom"/>
          </w:tcPr>
          <w:p w:rsidR="005A54F9" w:rsidRDefault="005442FA">
            <w:pPr>
              <w:rPr>
                <w:sz w:val="20"/>
                <w:szCs w:val="20"/>
              </w:rPr>
            </w:pPr>
            <w:r>
              <w:rPr>
                <w:rFonts w:eastAsia="Times New Roman"/>
                <w:sz w:val="24"/>
                <w:szCs w:val="24"/>
              </w:rPr>
              <w:t>HCR Clinical scale</w:t>
            </w:r>
          </w:p>
        </w:tc>
        <w:tc>
          <w:tcPr>
            <w:tcW w:w="1520" w:type="dxa"/>
            <w:vAlign w:val="bottom"/>
          </w:tcPr>
          <w:p w:rsidR="005A54F9" w:rsidRDefault="005442FA">
            <w:pPr>
              <w:ind w:right="420"/>
              <w:jc w:val="right"/>
              <w:rPr>
                <w:sz w:val="20"/>
                <w:szCs w:val="20"/>
              </w:rPr>
            </w:pPr>
            <w:r>
              <w:rPr>
                <w:rFonts w:eastAsia="Times New Roman"/>
                <w:sz w:val="24"/>
                <w:szCs w:val="24"/>
              </w:rPr>
              <w:t>131</w:t>
            </w:r>
          </w:p>
        </w:tc>
        <w:tc>
          <w:tcPr>
            <w:tcW w:w="1540" w:type="dxa"/>
            <w:vAlign w:val="bottom"/>
          </w:tcPr>
          <w:p w:rsidR="005A54F9" w:rsidRDefault="005442FA">
            <w:pPr>
              <w:ind w:left="540"/>
              <w:rPr>
                <w:sz w:val="20"/>
                <w:szCs w:val="20"/>
              </w:rPr>
            </w:pPr>
            <w:r>
              <w:rPr>
                <w:rFonts w:eastAsia="Times New Roman"/>
                <w:sz w:val="24"/>
                <w:szCs w:val="24"/>
              </w:rPr>
              <w:t>4.60</w:t>
            </w:r>
          </w:p>
        </w:tc>
        <w:tc>
          <w:tcPr>
            <w:tcW w:w="1380" w:type="dxa"/>
            <w:vAlign w:val="bottom"/>
          </w:tcPr>
          <w:p w:rsidR="005A54F9" w:rsidRDefault="005442FA">
            <w:pPr>
              <w:ind w:right="380"/>
              <w:jc w:val="right"/>
              <w:rPr>
                <w:sz w:val="20"/>
                <w:szCs w:val="20"/>
              </w:rPr>
            </w:pPr>
            <w:r>
              <w:rPr>
                <w:rFonts w:eastAsia="Times New Roman"/>
                <w:sz w:val="24"/>
                <w:szCs w:val="24"/>
              </w:rPr>
              <w:t>1.95</w:t>
            </w:r>
          </w:p>
        </w:tc>
        <w:tc>
          <w:tcPr>
            <w:tcW w:w="660" w:type="dxa"/>
            <w:vAlign w:val="bottom"/>
          </w:tcPr>
          <w:p w:rsidR="005A54F9" w:rsidRDefault="005442FA">
            <w:pPr>
              <w:jc w:val="right"/>
              <w:rPr>
                <w:sz w:val="20"/>
                <w:szCs w:val="20"/>
              </w:rPr>
            </w:pPr>
            <w:r>
              <w:rPr>
                <w:rFonts w:eastAsia="Times New Roman"/>
                <w:sz w:val="24"/>
                <w:szCs w:val="24"/>
              </w:rPr>
              <w:t>0</w:t>
            </w:r>
          </w:p>
        </w:tc>
        <w:tc>
          <w:tcPr>
            <w:tcW w:w="460" w:type="dxa"/>
            <w:vAlign w:val="bottom"/>
          </w:tcPr>
          <w:p w:rsidR="005A54F9" w:rsidRDefault="005442FA">
            <w:pPr>
              <w:ind w:left="40"/>
              <w:rPr>
                <w:sz w:val="20"/>
                <w:szCs w:val="20"/>
              </w:rPr>
            </w:pPr>
            <w:r>
              <w:rPr>
                <w:rFonts w:eastAsia="Times New Roman"/>
                <w:sz w:val="24"/>
                <w:szCs w:val="24"/>
              </w:rPr>
              <w:t>- 9</w:t>
            </w:r>
          </w:p>
        </w:tc>
      </w:tr>
      <w:tr w:rsidR="005A54F9">
        <w:trPr>
          <w:trHeight w:val="280"/>
        </w:trPr>
        <w:tc>
          <w:tcPr>
            <w:tcW w:w="2680" w:type="dxa"/>
            <w:vAlign w:val="bottom"/>
          </w:tcPr>
          <w:p w:rsidR="005A54F9" w:rsidRDefault="005442FA">
            <w:pPr>
              <w:rPr>
                <w:sz w:val="20"/>
                <w:szCs w:val="20"/>
              </w:rPr>
            </w:pPr>
            <w:r>
              <w:rPr>
                <w:rFonts w:eastAsia="Times New Roman"/>
                <w:sz w:val="24"/>
                <w:szCs w:val="24"/>
              </w:rPr>
              <w:t>HCR Risk scale</w:t>
            </w:r>
          </w:p>
        </w:tc>
        <w:tc>
          <w:tcPr>
            <w:tcW w:w="1520" w:type="dxa"/>
            <w:vAlign w:val="bottom"/>
          </w:tcPr>
          <w:p w:rsidR="005A54F9" w:rsidRDefault="005442FA">
            <w:pPr>
              <w:ind w:right="420"/>
              <w:jc w:val="right"/>
              <w:rPr>
                <w:sz w:val="20"/>
                <w:szCs w:val="20"/>
              </w:rPr>
            </w:pPr>
            <w:r>
              <w:rPr>
                <w:rFonts w:eastAsia="Times New Roman"/>
                <w:sz w:val="24"/>
                <w:szCs w:val="24"/>
              </w:rPr>
              <w:t>130</w:t>
            </w:r>
          </w:p>
        </w:tc>
        <w:tc>
          <w:tcPr>
            <w:tcW w:w="1540" w:type="dxa"/>
            <w:vAlign w:val="bottom"/>
          </w:tcPr>
          <w:p w:rsidR="005A54F9" w:rsidRDefault="005442FA">
            <w:pPr>
              <w:ind w:left="540"/>
              <w:rPr>
                <w:sz w:val="20"/>
                <w:szCs w:val="20"/>
              </w:rPr>
            </w:pPr>
            <w:r>
              <w:rPr>
                <w:rFonts w:eastAsia="Times New Roman"/>
                <w:sz w:val="24"/>
                <w:szCs w:val="24"/>
              </w:rPr>
              <w:t>4.81</w:t>
            </w:r>
          </w:p>
        </w:tc>
        <w:tc>
          <w:tcPr>
            <w:tcW w:w="1380" w:type="dxa"/>
            <w:vAlign w:val="bottom"/>
          </w:tcPr>
          <w:p w:rsidR="005A54F9" w:rsidRDefault="005442FA">
            <w:pPr>
              <w:ind w:right="380"/>
              <w:jc w:val="right"/>
              <w:rPr>
                <w:sz w:val="20"/>
                <w:szCs w:val="20"/>
              </w:rPr>
            </w:pPr>
            <w:r>
              <w:rPr>
                <w:rFonts w:eastAsia="Times New Roman"/>
                <w:sz w:val="24"/>
                <w:szCs w:val="24"/>
              </w:rPr>
              <w:t>2.40</w:t>
            </w:r>
          </w:p>
        </w:tc>
        <w:tc>
          <w:tcPr>
            <w:tcW w:w="660" w:type="dxa"/>
            <w:vAlign w:val="bottom"/>
          </w:tcPr>
          <w:p w:rsidR="005A54F9" w:rsidRDefault="005442FA">
            <w:pPr>
              <w:jc w:val="right"/>
              <w:rPr>
                <w:sz w:val="20"/>
                <w:szCs w:val="20"/>
              </w:rPr>
            </w:pPr>
            <w:r>
              <w:rPr>
                <w:rFonts w:eastAsia="Times New Roman"/>
                <w:sz w:val="24"/>
                <w:szCs w:val="24"/>
              </w:rPr>
              <w:t>0</w:t>
            </w:r>
          </w:p>
        </w:tc>
        <w:tc>
          <w:tcPr>
            <w:tcW w:w="460" w:type="dxa"/>
            <w:vAlign w:val="bottom"/>
          </w:tcPr>
          <w:p w:rsidR="005A54F9" w:rsidRDefault="005442FA">
            <w:pPr>
              <w:ind w:left="40"/>
              <w:rPr>
                <w:sz w:val="20"/>
                <w:szCs w:val="20"/>
              </w:rPr>
            </w:pPr>
            <w:r>
              <w:rPr>
                <w:rFonts w:eastAsia="Times New Roman"/>
                <w:w w:val="95"/>
                <w:sz w:val="24"/>
                <w:szCs w:val="24"/>
              </w:rPr>
              <w:t>– 10</w:t>
            </w:r>
          </w:p>
        </w:tc>
      </w:tr>
    </w:tbl>
    <w:p w:rsidR="005A54F9" w:rsidRDefault="005442FA">
      <w:pPr>
        <w:numPr>
          <w:ilvl w:val="0"/>
          <w:numId w:val="2"/>
        </w:numPr>
        <w:tabs>
          <w:tab w:val="left" w:pos="202"/>
        </w:tabs>
        <w:ind w:left="20" w:right="200" w:hanging="2"/>
        <w:rPr>
          <w:rFonts w:eastAsia="Times New Roman"/>
          <w:i/>
          <w:iCs/>
          <w:sz w:val="24"/>
          <w:szCs w:val="24"/>
        </w:rPr>
      </w:pPr>
      <w:r>
        <w:rPr>
          <w:rFonts w:eastAsia="Times New Roman"/>
          <w:i/>
          <w:iCs/>
          <w:sz w:val="24"/>
          <w:szCs w:val="24"/>
        </w:rPr>
        <w:t>the minimum and maximum scores that can be obtained for the subscales of the EssenCES using a Visual Analogue Response scale are: 0-500.</w:t>
      </w:r>
    </w:p>
    <w:p w:rsidR="005A54F9" w:rsidRDefault="005442FA">
      <w:pPr>
        <w:numPr>
          <w:ilvl w:val="0"/>
          <w:numId w:val="3"/>
        </w:numPr>
        <w:tabs>
          <w:tab w:val="left" w:pos="320"/>
        </w:tabs>
        <w:ind w:left="320" w:hanging="302"/>
        <w:rPr>
          <w:rFonts w:eastAsia="Times New Roman"/>
          <w:i/>
          <w:iCs/>
          <w:sz w:val="24"/>
          <w:szCs w:val="24"/>
        </w:rPr>
      </w:pPr>
      <w:r>
        <w:rPr>
          <w:rFonts w:eastAsia="Times New Roman"/>
          <w:i/>
          <w:iCs/>
          <w:sz w:val="24"/>
          <w:szCs w:val="24"/>
        </w:rPr>
        <w:t xml:space="preserve">the minimum and maximum scores that can be obtained for the PCL-R are: Total: </w:t>
      </w:r>
      <w:r>
        <w:rPr>
          <w:rFonts w:eastAsia="Times New Roman"/>
          <w:i/>
          <w:iCs/>
          <w:sz w:val="24"/>
          <w:szCs w:val="24"/>
        </w:rPr>
        <w:t>0-40;</w:t>
      </w:r>
    </w:p>
    <w:p w:rsidR="005A54F9" w:rsidRDefault="005442FA">
      <w:pPr>
        <w:ind w:left="20"/>
        <w:rPr>
          <w:rFonts w:eastAsia="Times New Roman"/>
          <w:i/>
          <w:iCs/>
          <w:sz w:val="24"/>
          <w:szCs w:val="24"/>
        </w:rPr>
      </w:pPr>
      <w:r>
        <w:rPr>
          <w:rFonts w:eastAsia="Times New Roman"/>
          <w:i/>
          <w:iCs/>
          <w:sz w:val="24"/>
          <w:szCs w:val="24"/>
        </w:rPr>
        <w:t>Interpersonal and Affective scale: 0-8;Lifestyle and Antisocial scale:0-10.</w:t>
      </w:r>
    </w:p>
    <w:p w:rsidR="005A54F9" w:rsidRDefault="005442FA">
      <w:pPr>
        <w:numPr>
          <w:ilvl w:val="0"/>
          <w:numId w:val="4"/>
        </w:numPr>
        <w:tabs>
          <w:tab w:val="left" w:pos="440"/>
        </w:tabs>
        <w:spacing w:line="276" w:lineRule="auto"/>
        <w:ind w:left="20" w:right="160" w:hanging="2"/>
        <w:rPr>
          <w:rFonts w:eastAsia="Times New Roman"/>
          <w:i/>
          <w:iCs/>
          <w:sz w:val="24"/>
          <w:szCs w:val="24"/>
        </w:rPr>
      </w:pPr>
      <w:r>
        <w:rPr>
          <w:rFonts w:eastAsia="Times New Roman"/>
          <w:i/>
          <w:iCs/>
          <w:sz w:val="24"/>
          <w:szCs w:val="24"/>
        </w:rPr>
        <w:t>the minimum and maximum scores that can be obtained for the HCR-20 are: Total: 0-5; Historical scale: 0-20; Clinical scale: 0-10; Risk scale:0-10.</w:t>
      </w:r>
    </w:p>
    <w:p w:rsidR="005A54F9" w:rsidRDefault="005442FA">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simplePos x="0" y="0"/>
                <wp:positionH relativeFrom="column">
                  <wp:posOffset>1905</wp:posOffset>
                </wp:positionH>
                <wp:positionV relativeFrom="paragraph">
                  <wp:posOffset>-1088390</wp:posOffset>
                </wp:positionV>
                <wp:extent cx="576897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8975" cy="4763"/>
                        </a:xfrm>
                        <a:prstGeom prst="line">
                          <a:avLst/>
                        </a:prstGeom>
                        <a:solidFill>
                          <a:srgbClr val="FFFFFF"/>
                        </a:solidFill>
                        <a:ln w="6108">
                          <a:solidFill>
                            <a:srgbClr val="000000"/>
                          </a:solidFill>
                          <a:miter lim="800000"/>
                          <a:headEnd/>
                          <a:tailEnd/>
                        </a:ln>
                      </wps:spPr>
                      <wps:bodyPr/>
                    </wps:wsp>
                  </a:graphicData>
                </a:graphic>
              </wp:anchor>
            </w:drawing>
          </mc:Choice>
          <mc:Fallback>
            <w:pict>
              <v:line w14:anchorId="21B3BEEF" id="Shape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5pt,-85.7pt" to="454.4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" o:allowincell="f" filled="t" strokeweight=".16967mm">
                <v:stroke joinstyle="miter"/>
                <o:lock v:ext="edit" shapetype="f"/>
              </v:line>
            </w:pict>
          </mc:Fallback>
        </mc:AlternateContent>
      </w:r>
    </w:p>
    <w:p w:rsidR="005A54F9" w:rsidRDefault="005A54F9">
      <w:pPr>
        <w:spacing w:line="200" w:lineRule="exact"/>
        <w:rPr>
          <w:sz w:val="20"/>
          <w:szCs w:val="20"/>
        </w:rPr>
      </w:pPr>
    </w:p>
    <w:p w:rsidR="005A54F9" w:rsidRDefault="005A54F9">
      <w:pPr>
        <w:spacing w:line="255" w:lineRule="exact"/>
        <w:rPr>
          <w:sz w:val="20"/>
          <w:szCs w:val="20"/>
        </w:rPr>
      </w:pPr>
    </w:p>
    <w:p w:rsidR="005A54F9" w:rsidRDefault="005442FA">
      <w:pPr>
        <w:ind w:left="20"/>
        <w:rPr>
          <w:sz w:val="20"/>
          <w:szCs w:val="20"/>
        </w:rPr>
      </w:pPr>
      <w:r>
        <w:rPr>
          <w:rFonts w:eastAsia="Times New Roman"/>
          <w:sz w:val="24"/>
          <w:szCs w:val="24"/>
        </w:rPr>
        <w:t xml:space="preserve">3.1 Internal </w:t>
      </w:r>
      <w:r>
        <w:rPr>
          <w:rFonts w:eastAsia="Times New Roman"/>
          <w:sz w:val="24"/>
          <w:szCs w:val="24"/>
        </w:rPr>
        <w:t>Consistency</w:t>
      </w:r>
    </w:p>
    <w:p w:rsidR="005A54F9" w:rsidRDefault="005A54F9">
      <w:pPr>
        <w:spacing w:line="200" w:lineRule="exact"/>
        <w:rPr>
          <w:sz w:val="20"/>
          <w:szCs w:val="20"/>
        </w:rPr>
      </w:pPr>
    </w:p>
    <w:p w:rsidR="005A54F9" w:rsidRDefault="005A54F9">
      <w:pPr>
        <w:spacing w:line="273" w:lineRule="exact"/>
        <w:rPr>
          <w:sz w:val="20"/>
          <w:szCs w:val="20"/>
        </w:rPr>
      </w:pPr>
    </w:p>
    <w:p w:rsidR="005A54F9" w:rsidRDefault="005442FA">
      <w:pPr>
        <w:ind w:left="20"/>
        <w:rPr>
          <w:sz w:val="20"/>
          <w:szCs w:val="20"/>
        </w:rPr>
      </w:pPr>
      <w:r>
        <w:rPr>
          <w:rFonts w:eastAsia="Times New Roman"/>
          <w:sz w:val="24"/>
          <w:szCs w:val="24"/>
        </w:rPr>
        <w:t>The internal consistency of the EssenCES was assessed using Cronbach’s alpha (α) and</w:t>
      </w:r>
    </w:p>
    <w:p w:rsidR="005A54F9" w:rsidRDefault="005A54F9">
      <w:pPr>
        <w:spacing w:line="276" w:lineRule="exact"/>
        <w:rPr>
          <w:sz w:val="20"/>
          <w:szCs w:val="20"/>
        </w:rPr>
      </w:pPr>
    </w:p>
    <w:p w:rsidR="005A54F9" w:rsidRDefault="005442FA">
      <w:pPr>
        <w:ind w:left="20"/>
        <w:rPr>
          <w:sz w:val="20"/>
          <w:szCs w:val="20"/>
        </w:rPr>
      </w:pPr>
      <w:r>
        <w:rPr>
          <w:rFonts w:eastAsia="Times New Roman"/>
          <w:sz w:val="24"/>
          <w:szCs w:val="24"/>
        </w:rPr>
        <w:t>Corrected Item Total Correlation (CITC) coefficients. Within the total sample Cronbach’s α</w:t>
      </w:r>
    </w:p>
    <w:p w:rsidR="005A54F9" w:rsidRDefault="005A54F9">
      <w:pPr>
        <w:spacing w:line="276" w:lineRule="exact"/>
        <w:rPr>
          <w:sz w:val="20"/>
          <w:szCs w:val="20"/>
        </w:rPr>
      </w:pPr>
    </w:p>
    <w:p w:rsidR="005A54F9" w:rsidRDefault="005442FA">
      <w:pPr>
        <w:ind w:left="20"/>
        <w:rPr>
          <w:sz w:val="20"/>
          <w:szCs w:val="20"/>
        </w:rPr>
      </w:pPr>
      <w:r>
        <w:rPr>
          <w:rFonts w:eastAsia="Times New Roman"/>
          <w:sz w:val="24"/>
          <w:szCs w:val="24"/>
        </w:rPr>
        <w:t>ranged from .73 to .84 (see table 2). CITC ranged from .45 to .7</w:t>
      </w:r>
      <w:r>
        <w:rPr>
          <w:rFonts w:eastAsia="Times New Roman"/>
          <w:sz w:val="24"/>
          <w:szCs w:val="24"/>
        </w:rPr>
        <w:t>4. According to Helmstadter</w:t>
      </w:r>
    </w:p>
    <w:p w:rsidR="005A54F9" w:rsidRDefault="005A54F9">
      <w:pPr>
        <w:spacing w:line="276" w:lineRule="exact"/>
        <w:rPr>
          <w:sz w:val="20"/>
          <w:szCs w:val="20"/>
        </w:rPr>
      </w:pPr>
    </w:p>
    <w:p w:rsidR="005A54F9" w:rsidRDefault="005442FA">
      <w:pPr>
        <w:ind w:left="20"/>
        <w:rPr>
          <w:sz w:val="20"/>
          <w:szCs w:val="20"/>
        </w:rPr>
      </w:pPr>
      <w:r>
        <w:rPr>
          <w:rFonts w:eastAsia="Times New Roman"/>
          <w:sz w:val="24"/>
          <w:szCs w:val="24"/>
        </w:rPr>
        <w:t>(1964) a CITC above .50 is considered high and α should exceed .70. Furthermore removal of</w:t>
      </w:r>
    </w:p>
    <w:p w:rsidR="005A54F9" w:rsidRDefault="005A54F9">
      <w:pPr>
        <w:spacing w:line="276" w:lineRule="exact"/>
        <w:rPr>
          <w:sz w:val="20"/>
          <w:szCs w:val="20"/>
        </w:rPr>
      </w:pPr>
    </w:p>
    <w:p w:rsidR="005A54F9" w:rsidRDefault="005442FA">
      <w:pPr>
        <w:ind w:left="20"/>
        <w:rPr>
          <w:sz w:val="20"/>
          <w:szCs w:val="20"/>
        </w:rPr>
      </w:pPr>
      <w:r>
        <w:rPr>
          <w:rFonts w:eastAsia="Times New Roman"/>
          <w:sz w:val="24"/>
          <w:szCs w:val="24"/>
        </w:rPr>
        <w:t>an item would be wise in case of a CITC below .20.</w:t>
      </w:r>
    </w:p>
    <w:p w:rsidR="005A54F9" w:rsidRDefault="005A54F9">
      <w:pPr>
        <w:spacing w:line="276" w:lineRule="exact"/>
        <w:rPr>
          <w:sz w:val="20"/>
          <w:szCs w:val="20"/>
        </w:rPr>
      </w:pPr>
    </w:p>
    <w:p w:rsidR="005A54F9" w:rsidRDefault="005442FA">
      <w:pPr>
        <w:ind w:left="720"/>
        <w:rPr>
          <w:sz w:val="20"/>
          <w:szCs w:val="20"/>
        </w:rPr>
      </w:pPr>
      <w:r>
        <w:rPr>
          <w:rFonts w:eastAsia="Times New Roman"/>
          <w:sz w:val="24"/>
          <w:szCs w:val="24"/>
        </w:rPr>
        <w:t>Within the patient sample Cronbach’s α ranged from .76 to .84. CITC ranged from .37</w:t>
      </w:r>
    </w:p>
    <w:p w:rsidR="005A54F9" w:rsidRDefault="005A54F9">
      <w:pPr>
        <w:spacing w:line="276" w:lineRule="exact"/>
        <w:rPr>
          <w:sz w:val="20"/>
          <w:szCs w:val="20"/>
        </w:rPr>
      </w:pPr>
    </w:p>
    <w:p w:rsidR="005A54F9" w:rsidRDefault="005442FA">
      <w:pPr>
        <w:ind w:left="20"/>
        <w:rPr>
          <w:sz w:val="20"/>
          <w:szCs w:val="20"/>
        </w:rPr>
      </w:pPr>
      <w:r>
        <w:rPr>
          <w:rFonts w:eastAsia="Times New Roman"/>
          <w:sz w:val="24"/>
          <w:szCs w:val="24"/>
        </w:rPr>
        <w:t>to .74. Within the staff sample CITC ranged from .30 to .76 and Cronbach’s α ranged from</w:t>
      </w:r>
    </w:p>
    <w:p w:rsidR="005A54F9" w:rsidRDefault="005A54F9">
      <w:pPr>
        <w:spacing w:line="276" w:lineRule="exact"/>
        <w:rPr>
          <w:sz w:val="20"/>
          <w:szCs w:val="20"/>
        </w:rPr>
      </w:pPr>
    </w:p>
    <w:p w:rsidR="005A54F9" w:rsidRDefault="005442FA">
      <w:pPr>
        <w:ind w:left="20"/>
        <w:rPr>
          <w:sz w:val="20"/>
          <w:szCs w:val="20"/>
        </w:rPr>
      </w:pPr>
      <w:r>
        <w:rPr>
          <w:rFonts w:eastAsia="Times New Roman"/>
          <w:sz w:val="24"/>
          <w:szCs w:val="24"/>
        </w:rPr>
        <w:t>.67 to .85. No CITC values below .20 were found and almost all Cronbach alpha values</w:t>
      </w:r>
    </w:p>
    <w:p w:rsidR="005A54F9" w:rsidRDefault="005A54F9">
      <w:pPr>
        <w:spacing w:line="276" w:lineRule="exact"/>
        <w:rPr>
          <w:sz w:val="20"/>
          <w:szCs w:val="20"/>
        </w:rPr>
      </w:pPr>
    </w:p>
    <w:p w:rsidR="005A54F9" w:rsidRDefault="005442FA">
      <w:pPr>
        <w:ind w:left="20"/>
        <w:rPr>
          <w:sz w:val="20"/>
          <w:szCs w:val="20"/>
        </w:rPr>
      </w:pPr>
      <w:r>
        <w:rPr>
          <w:rFonts w:eastAsia="Times New Roman"/>
          <w:sz w:val="24"/>
          <w:szCs w:val="24"/>
        </w:rPr>
        <w:t xml:space="preserve">exceed .70, except for TH in the staff sample (α = .67). These findings </w:t>
      </w:r>
      <w:r>
        <w:rPr>
          <w:rFonts w:eastAsia="Times New Roman"/>
          <w:sz w:val="24"/>
          <w:szCs w:val="24"/>
        </w:rPr>
        <w:t>indicate satisfactory</w:t>
      </w:r>
    </w:p>
    <w:p w:rsidR="005A54F9" w:rsidRDefault="005A54F9">
      <w:pPr>
        <w:spacing w:line="276" w:lineRule="exact"/>
        <w:rPr>
          <w:sz w:val="20"/>
          <w:szCs w:val="20"/>
        </w:rPr>
      </w:pPr>
    </w:p>
    <w:p w:rsidR="005A54F9" w:rsidRDefault="005442FA">
      <w:pPr>
        <w:ind w:left="20"/>
        <w:rPr>
          <w:sz w:val="20"/>
          <w:szCs w:val="20"/>
        </w:rPr>
      </w:pPr>
      <w:r>
        <w:rPr>
          <w:rFonts w:eastAsia="Times New Roman"/>
          <w:sz w:val="24"/>
          <w:szCs w:val="24"/>
        </w:rPr>
        <w:t>internal consistency for the Dutch translation of the EssenCES. Since Cronbach alpha values</w:t>
      </w:r>
    </w:p>
    <w:p w:rsidR="005A54F9" w:rsidRDefault="005A54F9">
      <w:pPr>
        <w:spacing w:line="276" w:lineRule="exact"/>
        <w:rPr>
          <w:sz w:val="20"/>
          <w:szCs w:val="20"/>
        </w:rPr>
      </w:pPr>
    </w:p>
    <w:p w:rsidR="005A54F9" w:rsidRDefault="005442FA">
      <w:pPr>
        <w:ind w:left="20"/>
        <w:rPr>
          <w:sz w:val="20"/>
          <w:szCs w:val="20"/>
        </w:rPr>
      </w:pPr>
      <w:r>
        <w:rPr>
          <w:rFonts w:eastAsia="Times New Roman"/>
          <w:sz w:val="24"/>
          <w:szCs w:val="24"/>
        </w:rPr>
        <w:t>are sensitive to the length of a scale, it is common to find lower α values (around .5) for short</w:t>
      </w:r>
    </w:p>
    <w:p w:rsidR="005A54F9" w:rsidRDefault="005A54F9">
      <w:pPr>
        <w:spacing w:line="276" w:lineRule="exact"/>
        <w:rPr>
          <w:sz w:val="20"/>
          <w:szCs w:val="20"/>
        </w:rPr>
      </w:pPr>
    </w:p>
    <w:p w:rsidR="005A54F9" w:rsidRDefault="005442FA">
      <w:pPr>
        <w:ind w:left="20"/>
        <w:rPr>
          <w:sz w:val="20"/>
          <w:szCs w:val="20"/>
        </w:rPr>
      </w:pPr>
      <w:r>
        <w:rPr>
          <w:rFonts w:eastAsia="Times New Roman"/>
          <w:sz w:val="24"/>
          <w:szCs w:val="24"/>
        </w:rPr>
        <w:t>scales like the EssenCES (Cortina, 1993).</w:t>
      </w: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28" w:lineRule="exact"/>
        <w:rPr>
          <w:sz w:val="20"/>
          <w:szCs w:val="20"/>
        </w:rPr>
      </w:pPr>
    </w:p>
    <w:p w:rsidR="005A54F9" w:rsidRDefault="005442FA">
      <w:pPr>
        <w:ind w:left="20"/>
        <w:rPr>
          <w:sz w:val="20"/>
          <w:szCs w:val="20"/>
        </w:rPr>
      </w:pPr>
      <w:r>
        <w:rPr>
          <w:rFonts w:eastAsia="Times New Roman"/>
          <w:sz w:val="24"/>
          <w:szCs w:val="24"/>
        </w:rPr>
        <w:t>Table 2. Internal consistency (Cronbach’s α) of the EssenCES.</w:t>
      </w:r>
    </w:p>
    <w:p w:rsidR="005A54F9" w:rsidRDefault="005A54F9">
      <w:pPr>
        <w:spacing w:line="28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2180"/>
        <w:gridCol w:w="2140"/>
        <w:gridCol w:w="2100"/>
        <w:gridCol w:w="2640"/>
      </w:tblGrid>
      <w:tr w:rsidR="005A54F9">
        <w:trPr>
          <w:trHeight w:val="286"/>
        </w:trPr>
        <w:tc>
          <w:tcPr>
            <w:tcW w:w="20" w:type="dxa"/>
            <w:vAlign w:val="bottom"/>
          </w:tcPr>
          <w:p w:rsidR="005A54F9" w:rsidRDefault="005A54F9">
            <w:pPr>
              <w:rPr>
                <w:sz w:val="24"/>
                <w:szCs w:val="24"/>
              </w:rPr>
            </w:pPr>
          </w:p>
        </w:tc>
        <w:tc>
          <w:tcPr>
            <w:tcW w:w="2180" w:type="dxa"/>
            <w:tcBorders>
              <w:top w:val="single" w:sz="8" w:space="0" w:color="auto"/>
              <w:bottom w:val="single" w:sz="8" w:space="0" w:color="auto"/>
            </w:tcBorders>
            <w:vAlign w:val="bottom"/>
          </w:tcPr>
          <w:p w:rsidR="005A54F9" w:rsidRDefault="005442FA">
            <w:pPr>
              <w:ind w:left="100"/>
              <w:rPr>
                <w:sz w:val="20"/>
                <w:szCs w:val="20"/>
              </w:rPr>
            </w:pPr>
            <w:r>
              <w:rPr>
                <w:rFonts w:eastAsia="Times New Roman"/>
                <w:sz w:val="24"/>
                <w:szCs w:val="24"/>
              </w:rPr>
              <w:t>Scale</w:t>
            </w:r>
          </w:p>
        </w:tc>
        <w:tc>
          <w:tcPr>
            <w:tcW w:w="2140" w:type="dxa"/>
            <w:tcBorders>
              <w:top w:val="single" w:sz="8" w:space="0" w:color="auto"/>
              <w:bottom w:val="single" w:sz="8" w:space="0" w:color="auto"/>
            </w:tcBorders>
            <w:vAlign w:val="bottom"/>
          </w:tcPr>
          <w:p w:rsidR="005A54F9" w:rsidRDefault="005442FA">
            <w:pPr>
              <w:ind w:left="200"/>
              <w:rPr>
                <w:sz w:val="20"/>
                <w:szCs w:val="20"/>
              </w:rPr>
            </w:pPr>
            <w:r>
              <w:rPr>
                <w:rFonts w:eastAsia="Times New Roman"/>
                <w:sz w:val="24"/>
                <w:szCs w:val="24"/>
              </w:rPr>
              <w:t>Patients (</w:t>
            </w:r>
            <w:r>
              <w:rPr>
                <w:rFonts w:eastAsia="Times New Roman"/>
                <w:i/>
                <w:iCs/>
                <w:sz w:val="24"/>
                <w:szCs w:val="24"/>
              </w:rPr>
              <w:t>n</w:t>
            </w:r>
            <w:r>
              <w:rPr>
                <w:rFonts w:eastAsia="Times New Roman"/>
                <w:sz w:val="24"/>
                <w:szCs w:val="24"/>
              </w:rPr>
              <w:t>=154)</w:t>
            </w:r>
          </w:p>
        </w:tc>
        <w:tc>
          <w:tcPr>
            <w:tcW w:w="2100" w:type="dxa"/>
            <w:tcBorders>
              <w:top w:val="single" w:sz="8" w:space="0" w:color="auto"/>
              <w:bottom w:val="single" w:sz="8" w:space="0" w:color="auto"/>
            </w:tcBorders>
            <w:vAlign w:val="bottom"/>
          </w:tcPr>
          <w:p w:rsidR="005A54F9" w:rsidRDefault="005442FA">
            <w:pPr>
              <w:ind w:left="320"/>
              <w:rPr>
                <w:sz w:val="20"/>
                <w:szCs w:val="20"/>
              </w:rPr>
            </w:pPr>
            <w:r>
              <w:rPr>
                <w:rFonts w:eastAsia="Times New Roman"/>
                <w:sz w:val="24"/>
                <w:szCs w:val="24"/>
              </w:rPr>
              <w:t>Staff (</w:t>
            </w:r>
            <w:r>
              <w:rPr>
                <w:rFonts w:eastAsia="Times New Roman"/>
                <w:i/>
                <w:iCs/>
                <w:sz w:val="24"/>
                <w:szCs w:val="24"/>
              </w:rPr>
              <w:t>n</w:t>
            </w:r>
            <w:r>
              <w:rPr>
                <w:rFonts w:eastAsia="Times New Roman"/>
                <w:sz w:val="24"/>
                <w:szCs w:val="24"/>
              </w:rPr>
              <w:t>=219)</w:t>
            </w:r>
          </w:p>
        </w:tc>
        <w:tc>
          <w:tcPr>
            <w:tcW w:w="2640" w:type="dxa"/>
            <w:tcBorders>
              <w:top w:val="single" w:sz="8" w:space="0" w:color="auto"/>
              <w:bottom w:val="single" w:sz="8" w:space="0" w:color="auto"/>
            </w:tcBorders>
            <w:vAlign w:val="bottom"/>
          </w:tcPr>
          <w:p w:rsidR="005A54F9" w:rsidRDefault="005442FA">
            <w:pPr>
              <w:ind w:left="500"/>
              <w:rPr>
                <w:sz w:val="20"/>
                <w:szCs w:val="20"/>
              </w:rPr>
            </w:pPr>
            <w:r>
              <w:rPr>
                <w:rFonts w:eastAsia="Times New Roman"/>
                <w:sz w:val="24"/>
                <w:szCs w:val="24"/>
              </w:rPr>
              <w:t>Total (</w:t>
            </w:r>
            <w:r>
              <w:rPr>
                <w:rFonts w:eastAsia="Times New Roman"/>
                <w:i/>
                <w:iCs/>
                <w:sz w:val="24"/>
                <w:szCs w:val="24"/>
              </w:rPr>
              <w:t>n</w:t>
            </w:r>
            <w:r>
              <w:rPr>
                <w:rFonts w:eastAsia="Times New Roman"/>
                <w:sz w:val="24"/>
                <w:szCs w:val="24"/>
              </w:rPr>
              <w:t>=373)</w:t>
            </w:r>
          </w:p>
        </w:tc>
      </w:tr>
      <w:tr w:rsidR="005A54F9">
        <w:trPr>
          <w:trHeight w:val="242"/>
        </w:trPr>
        <w:tc>
          <w:tcPr>
            <w:tcW w:w="20" w:type="dxa"/>
            <w:vAlign w:val="bottom"/>
          </w:tcPr>
          <w:p w:rsidR="005A54F9" w:rsidRDefault="005A54F9">
            <w:pPr>
              <w:rPr>
                <w:sz w:val="21"/>
                <w:szCs w:val="21"/>
              </w:rPr>
            </w:pPr>
          </w:p>
        </w:tc>
        <w:tc>
          <w:tcPr>
            <w:tcW w:w="2180" w:type="dxa"/>
            <w:vAlign w:val="bottom"/>
          </w:tcPr>
          <w:p w:rsidR="005A54F9" w:rsidRDefault="005442FA">
            <w:pPr>
              <w:spacing w:line="242" w:lineRule="exact"/>
              <w:ind w:left="100"/>
              <w:rPr>
                <w:sz w:val="20"/>
                <w:szCs w:val="20"/>
              </w:rPr>
            </w:pPr>
            <w:r>
              <w:rPr>
                <w:rFonts w:eastAsia="Times New Roman"/>
                <w:sz w:val="24"/>
                <w:szCs w:val="24"/>
              </w:rPr>
              <w:t>Patient Cohesion</w:t>
            </w:r>
          </w:p>
        </w:tc>
        <w:tc>
          <w:tcPr>
            <w:tcW w:w="2140" w:type="dxa"/>
            <w:vAlign w:val="bottom"/>
          </w:tcPr>
          <w:p w:rsidR="005A54F9" w:rsidRDefault="005442FA">
            <w:pPr>
              <w:spacing w:line="242" w:lineRule="exact"/>
              <w:ind w:left="200"/>
              <w:rPr>
                <w:sz w:val="20"/>
                <w:szCs w:val="20"/>
              </w:rPr>
            </w:pPr>
            <w:r>
              <w:rPr>
                <w:rFonts w:eastAsia="Times New Roman"/>
                <w:sz w:val="24"/>
                <w:szCs w:val="24"/>
              </w:rPr>
              <w:t>.82</w:t>
            </w:r>
          </w:p>
        </w:tc>
        <w:tc>
          <w:tcPr>
            <w:tcW w:w="2100" w:type="dxa"/>
            <w:vAlign w:val="bottom"/>
          </w:tcPr>
          <w:p w:rsidR="005A54F9" w:rsidRDefault="005442FA">
            <w:pPr>
              <w:spacing w:line="242" w:lineRule="exact"/>
              <w:ind w:left="320"/>
              <w:rPr>
                <w:sz w:val="20"/>
                <w:szCs w:val="20"/>
              </w:rPr>
            </w:pPr>
            <w:r>
              <w:rPr>
                <w:rFonts w:eastAsia="Times New Roman"/>
                <w:sz w:val="24"/>
                <w:szCs w:val="24"/>
              </w:rPr>
              <w:t>.85</w:t>
            </w:r>
          </w:p>
        </w:tc>
        <w:tc>
          <w:tcPr>
            <w:tcW w:w="2640" w:type="dxa"/>
            <w:vAlign w:val="bottom"/>
          </w:tcPr>
          <w:p w:rsidR="005A54F9" w:rsidRDefault="005442FA">
            <w:pPr>
              <w:spacing w:line="242" w:lineRule="exact"/>
              <w:ind w:left="500"/>
              <w:rPr>
                <w:sz w:val="20"/>
                <w:szCs w:val="20"/>
              </w:rPr>
            </w:pPr>
            <w:r>
              <w:rPr>
                <w:rFonts w:eastAsia="Times New Roman"/>
                <w:sz w:val="24"/>
                <w:szCs w:val="24"/>
              </w:rPr>
              <w:t>.84</w:t>
            </w:r>
          </w:p>
        </w:tc>
      </w:tr>
      <w:tr w:rsidR="005A54F9">
        <w:trPr>
          <w:trHeight w:val="276"/>
        </w:trPr>
        <w:tc>
          <w:tcPr>
            <w:tcW w:w="20" w:type="dxa"/>
            <w:vAlign w:val="bottom"/>
          </w:tcPr>
          <w:p w:rsidR="005A54F9" w:rsidRDefault="005A54F9">
            <w:pPr>
              <w:rPr>
                <w:sz w:val="24"/>
                <w:szCs w:val="24"/>
              </w:rPr>
            </w:pPr>
          </w:p>
        </w:tc>
        <w:tc>
          <w:tcPr>
            <w:tcW w:w="2180" w:type="dxa"/>
            <w:vAlign w:val="bottom"/>
          </w:tcPr>
          <w:p w:rsidR="005A54F9" w:rsidRDefault="005442FA">
            <w:pPr>
              <w:ind w:left="100"/>
              <w:rPr>
                <w:sz w:val="20"/>
                <w:szCs w:val="20"/>
              </w:rPr>
            </w:pPr>
            <w:r>
              <w:rPr>
                <w:rFonts w:eastAsia="Times New Roman"/>
                <w:sz w:val="24"/>
                <w:szCs w:val="24"/>
              </w:rPr>
              <w:t>Experienced Safety</w:t>
            </w:r>
          </w:p>
        </w:tc>
        <w:tc>
          <w:tcPr>
            <w:tcW w:w="2140" w:type="dxa"/>
            <w:vAlign w:val="bottom"/>
          </w:tcPr>
          <w:p w:rsidR="005A54F9" w:rsidRDefault="005442FA">
            <w:pPr>
              <w:ind w:left="200"/>
              <w:rPr>
                <w:sz w:val="20"/>
                <w:szCs w:val="20"/>
              </w:rPr>
            </w:pPr>
            <w:r>
              <w:rPr>
                <w:rFonts w:eastAsia="Times New Roman"/>
                <w:sz w:val="24"/>
                <w:szCs w:val="24"/>
              </w:rPr>
              <w:t>.76</w:t>
            </w:r>
          </w:p>
        </w:tc>
        <w:tc>
          <w:tcPr>
            <w:tcW w:w="2100" w:type="dxa"/>
            <w:vAlign w:val="bottom"/>
          </w:tcPr>
          <w:p w:rsidR="005A54F9" w:rsidRDefault="005442FA">
            <w:pPr>
              <w:ind w:left="320"/>
              <w:rPr>
                <w:sz w:val="20"/>
                <w:szCs w:val="20"/>
              </w:rPr>
            </w:pPr>
            <w:r>
              <w:rPr>
                <w:rFonts w:eastAsia="Times New Roman"/>
                <w:sz w:val="24"/>
                <w:szCs w:val="24"/>
              </w:rPr>
              <w:t>.70</w:t>
            </w:r>
          </w:p>
        </w:tc>
        <w:tc>
          <w:tcPr>
            <w:tcW w:w="2640" w:type="dxa"/>
            <w:vAlign w:val="bottom"/>
          </w:tcPr>
          <w:p w:rsidR="005A54F9" w:rsidRDefault="005442FA">
            <w:pPr>
              <w:ind w:left="500"/>
              <w:rPr>
                <w:sz w:val="20"/>
                <w:szCs w:val="20"/>
              </w:rPr>
            </w:pPr>
            <w:r>
              <w:rPr>
                <w:rFonts w:eastAsia="Times New Roman"/>
                <w:sz w:val="24"/>
                <w:szCs w:val="24"/>
              </w:rPr>
              <w:t>.73</w:t>
            </w:r>
          </w:p>
        </w:tc>
      </w:tr>
      <w:tr w:rsidR="005A54F9">
        <w:trPr>
          <w:trHeight w:val="300"/>
        </w:trPr>
        <w:tc>
          <w:tcPr>
            <w:tcW w:w="20" w:type="dxa"/>
            <w:tcBorders>
              <w:bottom w:val="single" w:sz="8" w:space="0" w:color="auto"/>
            </w:tcBorders>
            <w:vAlign w:val="bottom"/>
          </w:tcPr>
          <w:p w:rsidR="005A54F9" w:rsidRDefault="005A54F9">
            <w:pPr>
              <w:rPr>
                <w:sz w:val="24"/>
                <w:szCs w:val="24"/>
              </w:rPr>
            </w:pPr>
          </w:p>
        </w:tc>
        <w:tc>
          <w:tcPr>
            <w:tcW w:w="2180" w:type="dxa"/>
            <w:tcBorders>
              <w:bottom w:val="single" w:sz="8" w:space="0" w:color="auto"/>
            </w:tcBorders>
            <w:vAlign w:val="bottom"/>
          </w:tcPr>
          <w:p w:rsidR="005A54F9" w:rsidRDefault="005442FA">
            <w:pPr>
              <w:ind w:left="100"/>
              <w:rPr>
                <w:sz w:val="20"/>
                <w:szCs w:val="20"/>
              </w:rPr>
            </w:pPr>
            <w:r>
              <w:rPr>
                <w:rFonts w:eastAsia="Times New Roman"/>
                <w:sz w:val="24"/>
                <w:szCs w:val="24"/>
              </w:rPr>
              <w:t>Therapeutic Hold</w:t>
            </w:r>
          </w:p>
        </w:tc>
        <w:tc>
          <w:tcPr>
            <w:tcW w:w="2140" w:type="dxa"/>
            <w:tcBorders>
              <w:bottom w:val="single" w:sz="8" w:space="0" w:color="auto"/>
            </w:tcBorders>
            <w:vAlign w:val="bottom"/>
          </w:tcPr>
          <w:p w:rsidR="005A54F9" w:rsidRDefault="005442FA">
            <w:pPr>
              <w:ind w:left="200"/>
              <w:rPr>
                <w:sz w:val="20"/>
                <w:szCs w:val="20"/>
              </w:rPr>
            </w:pPr>
            <w:r>
              <w:rPr>
                <w:rFonts w:eastAsia="Times New Roman"/>
                <w:sz w:val="24"/>
                <w:szCs w:val="24"/>
              </w:rPr>
              <w:t>.84</w:t>
            </w:r>
          </w:p>
        </w:tc>
        <w:tc>
          <w:tcPr>
            <w:tcW w:w="2100" w:type="dxa"/>
            <w:tcBorders>
              <w:bottom w:val="single" w:sz="8" w:space="0" w:color="auto"/>
            </w:tcBorders>
            <w:vAlign w:val="bottom"/>
          </w:tcPr>
          <w:p w:rsidR="005A54F9" w:rsidRDefault="005442FA">
            <w:pPr>
              <w:ind w:left="320"/>
              <w:rPr>
                <w:sz w:val="20"/>
                <w:szCs w:val="20"/>
              </w:rPr>
            </w:pPr>
            <w:r>
              <w:rPr>
                <w:rFonts w:eastAsia="Times New Roman"/>
                <w:sz w:val="24"/>
                <w:szCs w:val="24"/>
              </w:rPr>
              <w:t>.67</w:t>
            </w:r>
          </w:p>
        </w:tc>
        <w:tc>
          <w:tcPr>
            <w:tcW w:w="2640" w:type="dxa"/>
            <w:tcBorders>
              <w:bottom w:val="single" w:sz="8" w:space="0" w:color="auto"/>
            </w:tcBorders>
            <w:vAlign w:val="bottom"/>
          </w:tcPr>
          <w:p w:rsidR="005A54F9" w:rsidRDefault="005442FA">
            <w:pPr>
              <w:ind w:left="500"/>
              <w:rPr>
                <w:sz w:val="20"/>
                <w:szCs w:val="20"/>
              </w:rPr>
            </w:pPr>
            <w:r>
              <w:rPr>
                <w:rFonts w:eastAsia="Times New Roman"/>
                <w:sz w:val="24"/>
                <w:szCs w:val="24"/>
              </w:rPr>
              <w:t>.84</w:t>
            </w:r>
          </w:p>
        </w:tc>
      </w:tr>
    </w:tbl>
    <w:p w:rsidR="005A54F9" w:rsidRDefault="005A54F9">
      <w:pPr>
        <w:spacing w:line="200" w:lineRule="exact"/>
        <w:rPr>
          <w:sz w:val="20"/>
          <w:szCs w:val="20"/>
        </w:rPr>
      </w:pPr>
    </w:p>
    <w:p w:rsidR="005A54F9" w:rsidRDefault="005A54F9">
      <w:pPr>
        <w:spacing w:line="326" w:lineRule="exact"/>
        <w:rPr>
          <w:sz w:val="20"/>
          <w:szCs w:val="20"/>
        </w:rPr>
      </w:pPr>
    </w:p>
    <w:p w:rsidR="005A54F9" w:rsidRDefault="005442FA">
      <w:pPr>
        <w:ind w:left="20"/>
        <w:rPr>
          <w:sz w:val="20"/>
          <w:szCs w:val="20"/>
        </w:rPr>
      </w:pPr>
      <w:r>
        <w:rPr>
          <w:rFonts w:eastAsia="Times New Roman"/>
          <w:sz w:val="24"/>
          <w:szCs w:val="24"/>
        </w:rPr>
        <w:t xml:space="preserve">3.2 Patient perception versus staff </w:t>
      </w:r>
      <w:r>
        <w:rPr>
          <w:rFonts w:eastAsia="Times New Roman"/>
          <w:sz w:val="24"/>
          <w:szCs w:val="24"/>
        </w:rPr>
        <w:t>perception of climate</w:t>
      </w: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6" w:lineRule="exact"/>
        <w:rPr>
          <w:sz w:val="20"/>
          <w:szCs w:val="20"/>
        </w:rPr>
      </w:pPr>
    </w:p>
    <w:p w:rsidR="005A54F9" w:rsidRDefault="005442FA">
      <w:pPr>
        <w:jc w:val="right"/>
        <w:rPr>
          <w:sz w:val="20"/>
          <w:szCs w:val="20"/>
        </w:rPr>
      </w:pPr>
      <w:r>
        <w:rPr>
          <w:rFonts w:ascii="Verdana" w:eastAsia="Verdana" w:hAnsi="Verdana" w:cs="Verdana"/>
          <w:sz w:val="18"/>
          <w:szCs w:val="18"/>
        </w:rPr>
        <w:t>12</w:t>
      </w:r>
    </w:p>
    <w:p w:rsidR="005A54F9" w:rsidRDefault="005A54F9">
      <w:pPr>
        <w:sectPr w:rsidR="005A54F9">
          <w:pgSz w:w="11900" w:h="16838"/>
          <w:pgMar w:top="1394" w:right="1426" w:bottom="371" w:left="1400" w:header="0" w:footer="0" w:gutter="0"/>
          <w:cols w:space="720" w:equalWidth="0">
            <w:col w:w="9080"/>
          </w:cols>
        </w:sectPr>
      </w:pPr>
    </w:p>
    <w:p w:rsidR="005A54F9" w:rsidRDefault="005442FA">
      <w:pPr>
        <w:spacing w:line="486" w:lineRule="auto"/>
        <w:ind w:left="20"/>
        <w:rPr>
          <w:sz w:val="20"/>
          <w:szCs w:val="20"/>
        </w:rPr>
      </w:pPr>
      <w:bookmarkStart w:id="13" w:name="page13"/>
      <w:bookmarkEnd w:id="13"/>
      <w:r>
        <w:rPr>
          <w:rFonts w:eastAsia="Times New Roman"/>
          <w:sz w:val="24"/>
          <w:szCs w:val="24"/>
        </w:rPr>
        <w:lastRenderedPageBreak/>
        <w:t xml:space="preserve">A MANOVA was conducted to compare patients and staff in terms of their scores on the subscales of the EssenCES (see table 3). A statistically significant MANOVA effect was obtained, Pillais’ Trace = .31, </w:t>
      </w:r>
      <w:r>
        <w:rPr>
          <w:rFonts w:eastAsia="Times New Roman"/>
          <w:i/>
          <w:iCs/>
          <w:sz w:val="24"/>
          <w:szCs w:val="24"/>
        </w:rPr>
        <w:t>F</w:t>
      </w:r>
      <w:r>
        <w:rPr>
          <w:rFonts w:eastAsia="Times New Roman"/>
          <w:sz w:val="24"/>
          <w:szCs w:val="24"/>
        </w:rPr>
        <w:t xml:space="preserve">(3, 178) = 27.16, </w:t>
      </w:r>
      <w:r>
        <w:rPr>
          <w:rFonts w:eastAsia="Times New Roman"/>
          <w:i/>
          <w:iCs/>
          <w:sz w:val="24"/>
          <w:szCs w:val="24"/>
        </w:rPr>
        <w:t>p</w:t>
      </w:r>
      <w:r>
        <w:rPr>
          <w:rFonts w:eastAsia="Times New Roman"/>
          <w:sz w:val="24"/>
          <w:szCs w:val="24"/>
        </w:rPr>
        <w:t xml:space="preserve"> &lt; .001. The univariate </w:t>
      </w:r>
      <w:r>
        <w:rPr>
          <w:rFonts w:eastAsia="Times New Roman"/>
          <w:i/>
          <w:iCs/>
          <w:sz w:val="24"/>
          <w:szCs w:val="24"/>
        </w:rPr>
        <w:t>F</w:t>
      </w:r>
      <w:r>
        <w:rPr>
          <w:rFonts w:eastAsia="Times New Roman"/>
          <w:sz w:val="24"/>
          <w:szCs w:val="24"/>
        </w:rPr>
        <w:t xml:space="preserve"> tests showed there was a significant difference between staff and patients on all subscales of the EssenCES, PC: </w:t>
      </w:r>
      <w:r>
        <w:rPr>
          <w:rFonts w:eastAsia="Times New Roman"/>
          <w:i/>
          <w:iCs/>
          <w:sz w:val="24"/>
          <w:szCs w:val="24"/>
        </w:rPr>
        <w:t xml:space="preserve">F </w:t>
      </w:r>
      <w:r>
        <w:rPr>
          <w:rFonts w:eastAsia="Times New Roman"/>
          <w:sz w:val="24"/>
          <w:szCs w:val="24"/>
        </w:rPr>
        <w:t>= 8.07,</w:t>
      </w:r>
      <w:r>
        <w:rPr>
          <w:rFonts w:eastAsia="Times New Roman"/>
          <w:i/>
          <w:iCs/>
          <w:sz w:val="24"/>
          <w:szCs w:val="24"/>
        </w:rPr>
        <w:t xml:space="preserve"> df </w:t>
      </w:r>
      <w:r>
        <w:rPr>
          <w:rFonts w:eastAsia="Times New Roman"/>
          <w:sz w:val="24"/>
          <w:szCs w:val="24"/>
        </w:rPr>
        <w:t>= (1,180),</w:t>
      </w:r>
      <w:r>
        <w:rPr>
          <w:rFonts w:eastAsia="Times New Roman"/>
          <w:i/>
          <w:iCs/>
          <w:sz w:val="24"/>
          <w:szCs w:val="24"/>
        </w:rPr>
        <w:t xml:space="preserve"> p </w:t>
      </w:r>
      <w:r>
        <w:rPr>
          <w:rFonts w:eastAsia="Times New Roman"/>
          <w:sz w:val="24"/>
          <w:szCs w:val="24"/>
        </w:rPr>
        <w:t>= .005; ES:</w:t>
      </w:r>
      <w:r>
        <w:rPr>
          <w:rFonts w:eastAsia="Times New Roman"/>
          <w:i/>
          <w:iCs/>
          <w:sz w:val="24"/>
          <w:szCs w:val="24"/>
        </w:rPr>
        <w:t xml:space="preserve"> F </w:t>
      </w:r>
      <w:r>
        <w:rPr>
          <w:rFonts w:eastAsia="Times New Roman"/>
          <w:sz w:val="24"/>
          <w:szCs w:val="24"/>
        </w:rPr>
        <w:t>= 21.23,</w:t>
      </w:r>
      <w:r>
        <w:rPr>
          <w:rFonts w:eastAsia="Times New Roman"/>
          <w:i/>
          <w:iCs/>
          <w:sz w:val="24"/>
          <w:szCs w:val="24"/>
        </w:rPr>
        <w:t xml:space="preserve"> df </w:t>
      </w:r>
      <w:r>
        <w:rPr>
          <w:rFonts w:eastAsia="Times New Roman"/>
          <w:sz w:val="24"/>
          <w:szCs w:val="24"/>
        </w:rPr>
        <w:t>= (1,180),</w:t>
      </w:r>
      <w:r>
        <w:rPr>
          <w:rFonts w:eastAsia="Times New Roman"/>
          <w:i/>
          <w:iCs/>
          <w:sz w:val="24"/>
          <w:szCs w:val="24"/>
        </w:rPr>
        <w:t xml:space="preserve"> p </w:t>
      </w:r>
      <w:r>
        <w:rPr>
          <w:rFonts w:eastAsia="Times New Roman"/>
          <w:sz w:val="24"/>
          <w:szCs w:val="24"/>
        </w:rPr>
        <w:t>&lt; .001; and TH:</w:t>
      </w:r>
      <w:r>
        <w:rPr>
          <w:rFonts w:eastAsia="Times New Roman"/>
          <w:i/>
          <w:iCs/>
          <w:sz w:val="24"/>
          <w:szCs w:val="24"/>
        </w:rPr>
        <w:t xml:space="preserve"> F </w:t>
      </w:r>
      <w:r>
        <w:rPr>
          <w:rFonts w:eastAsia="Times New Roman"/>
          <w:sz w:val="24"/>
          <w:szCs w:val="24"/>
        </w:rPr>
        <w:t>= 37.24,</w:t>
      </w:r>
      <w:r>
        <w:rPr>
          <w:rFonts w:eastAsia="Times New Roman"/>
          <w:i/>
          <w:iCs/>
          <w:sz w:val="24"/>
          <w:szCs w:val="24"/>
        </w:rPr>
        <w:t xml:space="preserve"> df </w:t>
      </w:r>
      <w:r>
        <w:rPr>
          <w:rFonts w:eastAsia="Times New Roman"/>
          <w:sz w:val="24"/>
          <w:szCs w:val="24"/>
        </w:rPr>
        <w:t xml:space="preserve">= (1,180), </w:t>
      </w:r>
      <w:r>
        <w:rPr>
          <w:rFonts w:eastAsia="Times New Roman"/>
          <w:i/>
          <w:iCs/>
          <w:sz w:val="24"/>
          <w:szCs w:val="24"/>
        </w:rPr>
        <w:t>p</w:t>
      </w:r>
      <w:r>
        <w:rPr>
          <w:rFonts w:eastAsia="Times New Roman"/>
          <w:sz w:val="24"/>
          <w:szCs w:val="24"/>
        </w:rPr>
        <w:t xml:space="preserve"> &lt; .001.</w:t>
      </w:r>
    </w:p>
    <w:p w:rsidR="005A54F9" w:rsidRDefault="005A54F9">
      <w:pPr>
        <w:spacing w:line="200" w:lineRule="exact"/>
        <w:rPr>
          <w:sz w:val="20"/>
          <w:szCs w:val="20"/>
        </w:rPr>
      </w:pPr>
    </w:p>
    <w:p w:rsidR="005A54F9" w:rsidRDefault="005A54F9">
      <w:pPr>
        <w:spacing w:line="311" w:lineRule="exact"/>
        <w:rPr>
          <w:sz w:val="20"/>
          <w:szCs w:val="20"/>
        </w:rPr>
      </w:pPr>
    </w:p>
    <w:p w:rsidR="005A54F9" w:rsidRDefault="005442FA">
      <w:pPr>
        <w:ind w:left="20"/>
        <w:rPr>
          <w:sz w:val="20"/>
          <w:szCs w:val="20"/>
        </w:rPr>
      </w:pPr>
      <w:r>
        <w:rPr>
          <w:rFonts w:eastAsia="Times New Roman"/>
          <w:sz w:val="24"/>
          <w:szCs w:val="24"/>
        </w:rPr>
        <w:t>Table 3. Results of the MANOVA analysis.</w:t>
      </w:r>
    </w:p>
    <w:p w:rsidR="005A54F9" w:rsidRDefault="005A54F9">
      <w:pPr>
        <w:spacing w:line="28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2580"/>
        <w:gridCol w:w="1940"/>
        <w:gridCol w:w="1800"/>
        <w:gridCol w:w="740"/>
        <w:gridCol w:w="920"/>
        <w:gridCol w:w="1080"/>
        <w:gridCol w:w="20"/>
      </w:tblGrid>
      <w:tr w:rsidR="005A54F9">
        <w:trPr>
          <w:trHeight w:val="256"/>
        </w:trPr>
        <w:tc>
          <w:tcPr>
            <w:tcW w:w="20" w:type="dxa"/>
            <w:vAlign w:val="bottom"/>
          </w:tcPr>
          <w:p w:rsidR="005A54F9" w:rsidRDefault="005A54F9"/>
        </w:tc>
        <w:tc>
          <w:tcPr>
            <w:tcW w:w="2580" w:type="dxa"/>
            <w:tcBorders>
              <w:top w:val="single" w:sz="8" w:space="0" w:color="auto"/>
            </w:tcBorders>
            <w:vAlign w:val="bottom"/>
          </w:tcPr>
          <w:p w:rsidR="005A54F9" w:rsidRDefault="005A54F9"/>
        </w:tc>
        <w:tc>
          <w:tcPr>
            <w:tcW w:w="1940" w:type="dxa"/>
            <w:tcBorders>
              <w:top w:val="single" w:sz="8" w:space="0" w:color="auto"/>
            </w:tcBorders>
            <w:vAlign w:val="bottom"/>
          </w:tcPr>
          <w:p w:rsidR="005A54F9" w:rsidRDefault="005442FA">
            <w:pPr>
              <w:spacing w:line="256" w:lineRule="exact"/>
              <w:jc w:val="center"/>
              <w:rPr>
                <w:sz w:val="20"/>
                <w:szCs w:val="20"/>
              </w:rPr>
            </w:pPr>
            <w:r>
              <w:rPr>
                <w:rFonts w:eastAsia="Times New Roman"/>
                <w:w w:val="99"/>
                <w:sz w:val="24"/>
                <w:szCs w:val="24"/>
              </w:rPr>
              <w:t>Patients</w:t>
            </w:r>
          </w:p>
        </w:tc>
        <w:tc>
          <w:tcPr>
            <w:tcW w:w="1800" w:type="dxa"/>
            <w:tcBorders>
              <w:top w:val="single" w:sz="8" w:space="0" w:color="auto"/>
            </w:tcBorders>
            <w:vAlign w:val="bottom"/>
          </w:tcPr>
          <w:p w:rsidR="005A54F9" w:rsidRDefault="005442FA">
            <w:pPr>
              <w:spacing w:line="256" w:lineRule="exact"/>
              <w:jc w:val="center"/>
              <w:rPr>
                <w:sz w:val="20"/>
                <w:szCs w:val="20"/>
              </w:rPr>
            </w:pPr>
            <w:r>
              <w:rPr>
                <w:rFonts w:eastAsia="Times New Roman"/>
                <w:w w:val="98"/>
                <w:sz w:val="24"/>
                <w:szCs w:val="24"/>
              </w:rPr>
              <w:t>Staff</w:t>
            </w:r>
          </w:p>
        </w:tc>
        <w:tc>
          <w:tcPr>
            <w:tcW w:w="740" w:type="dxa"/>
            <w:tcBorders>
              <w:top w:val="single" w:sz="8" w:space="0" w:color="auto"/>
            </w:tcBorders>
            <w:vAlign w:val="bottom"/>
          </w:tcPr>
          <w:p w:rsidR="005A54F9" w:rsidRDefault="005A54F9"/>
        </w:tc>
        <w:tc>
          <w:tcPr>
            <w:tcW w:w="920" w:type="dxa"/>
            <w:tcBorders>
              <w:top w:val="single" w:sz="8" w:space="0" w:color="auto"/>
            </w:tcBorders>
            <w:vAlign w:val="bottom"/>
          </w:tcPr>
          <w:p w:rsidR="005A54F9" w:rsidRDefault="005A54F9"/>
        </w:tc>
        <w:tc>
          <w:tcPr>
            <w:tcW w:w="1080" w:type="dxa"/>
            <w:tcBorders>
              <w:top w:val="single" w:sz="8" w:space="0" w:color="auto"/>
            </w:tcBorders>
            <w:vAlign w:val="bottom"/>
          </w:tcPr>
          <w:p w:rsidR="005A54F9" w:rsidRDefault="005A54F9"/>
        </w:tc>
        <w:tc>
          <w:tcPr>
            <w:tcW w:w="0" w:type="dxa"/>
            <w:vAlign w:val="bottom"/>
          </w:tcPr>
          <w:p w:rsidR="005A54F9" w:rsidRDefault="005A54F9">
            <w:pPr>
              <w:rPr>
                <w:sz w:val="1"/>
                <w:szCs w:val="1"/>
              </w:rPr>
            </w:pPr>
          </w:p>
        </w:tc>
      </w:tr>
      <w:tr w:rsidR="005A54F9">
        <w:trPr>
          <w:trHeight w:val="306"/>
        </w:trPr>
        <w:tc>
          <w:tcPr>
            <w:tcW w:w="20" w:type="dxa"/>
            <w:vAlign w:val="bottom"/>
          </w:tcPr>
          <w:p w:rsidR="005A54F9" w:rsidRDefault="005A54F9">
            <w:pPr>
              <w:rPr>
                <w:sz w:val="24"/>
                <w:szCs w:val="24"/>
              </w:rPr>
            </w:pPr>
          </w:p>
        </w:tc>
        <w:tc>
          <w:tcPr>
            <w:tcW w:w="2580" w:type="dxa"/>
            <w:vMerge w:val="restart"/>
            <w:vAlign w:val="bottom"/>
          </w:tcPr>
          <w:p w:rsidR="005A54F9" w:rsidRDefault="005442FA">
            <w:pPr>
              <w:ind w:left="100"/>
              <w:rPr>
                <w:sz w:val="20"/>
                <w:szCs w:val="20"/>
              </w:rPr>
            </w:pPr>
            <w:r>
              <w:rPr>
                <w:rFonts w:eastAsia="Times New Roman"/>
                <w:sz w:val="24"/>
                <w:szCs w:val="24"/>
              </w:rPr>
              <w:t>Statistic</w:t>
            </w:r>
          </w:p>
        </w:tc>
        <w:tc>
          <w:tcPr>
            <w:tcW w:w="1940" w:type="dxa"/>
            <w:tcBorders>
              <w:bottom w:val="single" w:sz="8" w:space="0" w:color="auto"/>
            </w:tcBorders>
            <w:vAlign w:val="bottom"/>
          </w:tcPr>
          <w:p w:rsidR="005A54F9" w:rsidRDefault="005442FA">
            <w:pPr>
              <w:jc w:val="center"/>
              <w:rPr>
                <w:sz w:val="20"/>
                <w:szCs w:val="20"/>
              </w:rPr>
            </w:pPr>
            <w:r>
              <w:rPr>
                <w:rFonts w:eastAsia="Times New Roman"/>
                <w:i/>
                <w:iCs/>
                <w:sz w:val="24"/>
                <w:szCs w:val="24"/>
              </w:rPr>
              <w:t xml:space="preserve">n </w:t>
            </w:r>
            <w:r>
              <w:rPr>
                <w:rFonts w:eastAsia="Times New Roman"/>
                <w:sz w:val="24"/>
                <w:szCs w:val="24"/>
              </w:rPr>
              <w:t>= 72</w:t>
            </w:r>
          </w:p>
        </w:tc>
        <w:tc>
          <w:tcPr>
            <w:tcW w:w="1800" w:type="dxa"/>
            <w:tcBorders>
              <w:bottom w:val="single" w:sz="8" w:space="0" w:color="auto"/>
            </w:tcBorders>
            <w:vAlign w:val="bottom"/>
          </w:tcPr>
          <w:p w:rsidR="005A54F9" w:rsidRDefault="005442FA">
            <w:pPr>
              <w:jc w:val="center"/>
              <w:rPr>
                <w:sz w:val="20"/>
                <w:szCs w:val="20"/>
              </w:rPr>
            </w:pPr>
            <w:r>
              <w:rPr>
                <w:rFonts w:eastAsia="Times New Roman"/>
                <w:i/>
                <w:iCs/>
                <w:sz w:val="24"/>
                <w:szCs w:val="24"/>
              </w:rPr>
              <w:t xml:space="preserve">n </w:t>
            </w:r>
            <w:r>
              <w:rPr>
                <w:rFonts w:eastAsia="Times New Roman"/>
                <w:sz w:val="24"/>
                <w:szCs w:val="24"/>
              </w:rPr>
              <w:t>= 110</w:t>
            </w:r>
          </w:p>
        </w:tc>
        <w:tc>
          <w:tcPr>
            <w:tcW w:w="1660" w:type="dxa"/>
            <w:gridSpan w:val="2"/>
            <w:vMerge w:val="restart"/>
            <w:vAlign w:val="bottom"/>
          </w:tcPr>
          <w:p w:rsidR="005A54F9" w:rsidRDefault="005442FA">
            <w:pPr>
              <w:ind w:right="440"/>
              <w:jc w:val="right"/>
              <w:rPr>
                <w:sz w:val="20"/>
                <w:szCs w:val="20"/>
              </w:rPr>
            </w:pPr>
            <w:r>
              <w:rPr>
                <w:rFonts w:eastAsia="Times New Roman"/>
                <w:i/>
                <w:iCs/>
                <w:sz w:val="24"/>
                <w:szCs w:val="24"/>
              </w:rPr>
              <w:t xml:space="preserve">F </w:t>
            </w:r>
            <w:r>
              <w:rPr>
                <w:rFonts w:eastAsia="Times New Roman"/>
                <w:sz w:val="24"/>
                <w:szCs w:val="24"/>
              </w:rPr>
              <w:t>(df)</w:t>
            </w:r>
          </w:p>
        </w:tc>
        <w:tc>
          <w:tcPr>
            <w:tcW w:w="1080" w:type="dxa"/>
            <w:vMerge w:val="restart"/>
            <w:vAlign w:val="bottom"/>
          </w:tcPr>
          <w:p w:rsidR="005A54F9" w:rsidRDefault="005442FA">
            <w:pPr>
              <w:ind w:left="480"/>
              <w:rPr>
                <w:sz w:val="20"/>
                <w:szCs w:val="20"/>
              </w:rPr>
            </w:pPr>
            <w:r>
              <w:rPr>
                <w:rFonts w:eastAsia="Times New Roman"/>
                <w:i/>
                <w:iCs/>
                <w:sz w:val="24"/>
                <w:szCs w:val="24"/>
              </w:rPr>
              <w:t>p</w:t>
            </w:r>
          </w:p>
        </w:tc>
        <w:tc>
          <w:tcPr>
            <w:tcW w:w="0" w:type="dxa"/>
            <w:vAlign w:val="bottom"/>
          </w:tcPr>
          <w:p w:rsidR="005A54F9" w:rsidRDefault="005A54F9">
            <w:pPr>
              <w:rPr>
                <w:sz w:val="1"/>
                <w:szCs w:val="1"/>
              </w:rPr>
            </w:pPr>
          </w:p>
        </w:tc>
      </w:tr>
      <w:tr w:rsidR="005A54F9">
        <w:trPr>
          <w:trHeight w:val="266"/>
        </w:trPr>
        <w:tc>
          <w:tcPr>
            <w:tcW w:w="20" w:type="dxa"/>
            <w:vAlign w:val="bottom"/>
          </w:tcPr>
          <w:p w:rsidR="005A54F9" w:rsidRDefault="005A54F9">
            <w:pPr>
              <w:rPr>
                <w:sz w:val="23"/>
                <w:szCs w:val="23"/>
              </w:rPr>
            </w:pPr>
          </w:p>
        </w:tc>
        <w:tc>
          <w:tcPr>
            <w:tcW w:w="2580" w:type="dxa"/>
            <w:vMerge/>
            <w:tcBorders>
              <w:bottom w:val="single" w:sz="8" w:space="0" w:color="auto"/>
            </w:tcBorders>
            <w:vAlign w:val="bottom"/>
          </w:tcPr>
          <w:p w:rsidR="005A54F9" w:rsidRDefault="005A54F9">
            <w:pPr>
              <w:rPr>
                <w:sz w:val="23"/>
                <w:szCs w:val="23"/>
              </w:rPr>
            </w:pPr>
          </w:p>
        </w:tc>
        <w:tc>
          <w:tcPr>
            <w:tcW w:w="1940" w:type="dxa"/>
            <w:tcBorders>
              <w:bottom w:val="single" w:sz="8" w:space="0" w:color="auto"/>
            </w:tcBorders>
            <w:vAlign w:val="bottom"/>
          </w:tcPr>
          <w:p w:rsidR="005A54F9" w:rsidRDefault="005442FA">
            <w:pPr>
              <w:spacing w:line="265" w:lineRule="exact"/>
              <w:jc w:val="center"/>
              <w:rPr>
                <w:sz w:val="20"/>
                <w:szCs w:val="20"/>
              </w:rPr>
            </w:pPr>
            <w:r>
              <w:rPr>
                <w:rFonts w:eastAsia="Times New Roman"/>
                <w:i/>
                <w:iCs/>
                <w:w w:val="98"/>
                <w:sz w:val="24"/>
                <w:szCs w:val="24"/>
              </w:rPr>
              <w:t xml:space="preserve">M </w:t>
            </w:r>
            <w:r>
              <w:rPr>
                <w:rFonts w:eastAsia="Times New Roman"/>
                <w:w w:val="98"/>
                <w:sz w:val="24"/>
                <w:szCs w:val="24"/>
              </w:rPr>
              <w:t>(</w:t>
            </w:r>
            <w:r>
              <w:rPr>
                <w:rFonts w:eastAsia="Times New Roman"/>
                <w:i/>
                <w:iCs/>
                <w:w w:val="98"/>
                <w:sz w:val="24"/>
                <w:szCs w:val="24"/>
              </w:rPr>
              <w:t>SD</w:t>
            </w:r>
            <w:r>
              <w:rPr>
                <w:rFonts w:eastAsia="Times New Roman"/>
                <w:w w:val="98"/>
                <w:sz w:val="24"/>
                <w:szCs w:val="24"/>
              </w:rPr>
              <w:t>)</w:t>
            </w:r>
          </w:p>
        </w:tc>
        <w:tc>
          <w:tcPr>
            <w:tcW w:w="1800" w:type="dxa"/>
            <w:tcBorders>
              <w:bottom w:val="single" w:sz="8" w:space="0" w:color="auto"/>
            </w:tcBorders>
            <w:vAlign w:val="bottom"/>
          </w:tcPr>
          <w:p w:rsidR="005A54F9" w:rsidRDefault="005442FA">
            <w:pPr>
              <w:spacing w:line="265" w:lineRule="exact"/>
              <w:jc w:val="center"/>
              <w:rPr>
                <w:sz w:val="20"/>
                <w:szCs w:val="20"/>
              </w:rPr>
            </w:pPr>
            <w:r>
              <w:rPr>
                <w:rFonts w:eastAsia="Times New Roman"/>
                <w:i/>
                <w:iCs/>
                <w:w w:val="98"/>
                <w:sz w:val="24"/>
                <w:szCs w:val="24"/>
              </w:rPr>
              <w:t xml:space="preserve">M </w:t>
            </w:r>
            <w:r>
              <w:rPr>
                <w:rFonts w:eastAsia="Times New Roman"/>
                <w:w w:val="98"/>
                <w:sz w:val="24"/>
                <w:szCs w:val="24"/>
              </w:rPr>
              <w:t>(</w:t>
            </w:r>
            <w:r>
              <w:rPr>
                <w:rFonts w:eastAsia="Times New Roman"/>
                <w:i/>
                <w:iCs/>
                <w:w w:val="98"/>
                <w:sz w:val="24"/>
                <w:szCs w:val="24"/>
              </w:rPr>
              <w:t>SD</w:t>
            </w:r>
            <w:r>
              <w:rPr>
                <w:rFonts w:eastAsia="Times New Roman"/>
                <w:w w:val="98"/>
                <w:sz w:val="24"/>
                <w:szCs w:val="24"/>
              </w:rPr>
              <w:t>)</w:t>
            </w:r>
          </w:p>
        </w:tc>
        <w:tc>
          <w:tcPr>
            <w:tcW w:w="1660" w:type="dxa"/>
            <w:gridSpan w:val="2"/>
            <w:vMerge/>
            <w:tcBorders>
              <w:bottom w:val="single" w:sz="8" w:space="0" w:color="auto"/>
            </w:tcBorders>
            <w:vAlign w:val="bottom"/>
          </w:tcPr>
          <w:p w:rsidR="005A54F9" w:rsidRDefault="005A54F9">
            <w:pPr>
              <w:rPr>
                <w:sz w:val="23"/>
                <w:szCs w:val="23"/>
              </w:rPr>
            </w:pPr>
          </w:p>
        </w:tc>
        <w:tc>
          <w:tcPr>
            <w:tcW w:w="1080" w:type="dxa"/>
            <w:vMerge/>
            <w:tcBorders>
              <w:bottom w:val="single" w:sz="8" w:space="0" w:color="auto"/>
            </w:tcBorders>
            <w:vAlign w:val="bottom"/>
          </w:tcPr>
          <w:p w:rsidR="005A54F9" w:rsidRDefault="005A54F9">
            <w:pPr>
              <w:rPr>
                <w:sz w:val="23"/>
                <w:szCs w:val="23"/>
              </w:rPr>
            </w:pPr>
          </w:p>
        </w:tc>
        <w:tc>
          <w:tcPr>
            <w:tcW w:w="0" w:type="dxa"/>
            <w:vAlign w:val="bottom"/>
          </w:tcPr>
          <w:p w:rsidR="005A54F9" w:rsidRDefault="005A54F9">
            <w:pPr>
              <w:rPr>
                <w:sz w:val="1"/>
                <w:szCs w:val="1"/>
              </w:rPr>
            </w:pPr>
          </w:p>
        </w:tc>
      </w:tr>
      <w:tr w:rsidR="005A54F9">
        <w:trPr>
          <w:trHeight w:val="335"/>
        </w:trPr>
        <w:tc>
          <w:tcPr>
            <w:tcW w:w="20" w:type="dxa"/>
            <w:vAlign w:val="bottom"/>
          </w:tcPr>
          <w:p w:rsidR="005A54F9" w:rsidRDefault="005A54F9">
            <w:pPr>
              <w:rPr>
                <w:sz w:val="24"/>
                <w:szCs w:val="24"/>
              </w:rPr>
            </w:pPr>
          </w:p>
        </w:tc>
        <w:tc>
          <w:tcPr>
            <w:tcW w:w="2580" w:type="dxa"/>
            <w:tcBorders>
              <w:bottom w:val="single" w:sz="8" w:space="0" w:color="auto"/>
            </w:tcBorders>
            <w:vAlign w:val="bottom"/>
          </w:tcPr>
          <w:p w:rsidR="005A54F9" w:rsidRDefault="005442FA">
            <w:pPr>
              <w:ind w:left="100"/>
              <w:rPr>
                <w:sz w:val="20"/>
                <w:szCs w:val="20"/>
              </w:rPr>
            </w:pPr>
            <w:r>
              <w:rPr>
                <w:rFonts w:eastAsia="Times New Roman"/>
                <w:sz w:val="24"/>
                <w:szCs w:val="24"/>
              </w:rPr>
              <w:t>Multivariate test</w:t>
            </w:r>
          </w:p>
        </w:tc>
        <w:tc>
          <w:tcPr>
            <w:tcW w:w="1940" w:type="dxa"/>
            <w:tcBorders>
              <w:bottom w:val="single" w:sz="8" w:space="0" w:color="auto"/>
            </w:tcBorders>
            <w:vAlign w:val="bottom"/>
          </w:tcPr>
          <w:p w:rsidR="005A54F9" w:rsidRDefault="005A54F9">
            <w:pPr>
              <w:rPr>
                <w:sz w:val="24"/>
                <w:szCs w:val="24"/>
              </w:rPr>
            </w:pPr>
          </w:p>
        </w:tc>
        <w:tc>
          <w:tcPr>
            <w:tcW w:w="1800" w:type="dxa"/>
            <w:tcBorders>
              <w:bottom w:val="single" w:sz="8" w:space="0" w:color="auto"/>
            </w:tcBorders>
            <w:vAlign w:val="bottom"/>
          </w:tcPr>
          <w:p w:rsidR="005A54F9" w:rsidRDefault="005A54F9">
            <w:pPr>
              <w:rPr>
                <w:sz w:val="24"/>
                <w:szCs w:val="24"/>
              </w:rPr>
            </w:pPr>
          </w:p>
        </w:tc>
        <w:tc>
          <w:tcPr>
            <w:tcW w:w="740" w:type="dxa"/>
            <w:tcBorders>
              <w:bottom w:val="single" w:sz="8" w:space="0" w:color="auto"/>
            </w:tcBorders>
            <w:vAlign w:val="bottom"/>
          </w:tcPr>
          <w:p w:rsidR="005A54F9" w:rsidRDefault="005442FA">
            <w:pPr>
              <w:jc w:val="right"/>
              <w:rPr>
                <w:sz w:val="20"/>
                <w:szCs w:val="20"/>
              </w:rPr>
            </w:pPr>
            <w:r>
              <w:rPr>
                <w:rFonts w:eastAsia="Times New Roman"/>
                <w:sz w:val="24"/>
                <w:szCs w:val="24"/>
              </w:rPr>
              <w:t>27.16</w:t>
            </w:r>
          </w:p>
        </w:tc>
        <w:tc>
          <w:tcPr>
            <w:tcW w:w="920" w:type="dxa"/>
            <w:tcBorders>
              <w:bottom w:val="single" w:sz="8" w:space="0" w:color="auto"/>
            </w:tcBorders>
            <w:vAlign w:val="bottom"/>
          </w:tcPr>
          <w:p w:rsidR="005A54F9" w:rsidRDefault="005442FA">
            <w:pPr>
              <w:ind w:right="60"/>
              <w:jc w:val="right"/>
              <w:rPr>
                <w:sz w:val="20"/>
                <w:szCs w:val="20"/>
              </w:rPr>
            </w:pPr>
            <w:r>
              <w:rPr>
                <w:rFonts w:eastAsia="Times New Roman"/>
                <w:sz w:val="24"/>
                <w:szCs w:val="24"/>
              </w:rPr>
              <w:t>(3,178)</w:t>
            </w:r>
          </w:p>
        </w:tc>
        <w:tc>
          <w:tcPr>
            <w:tcW w:w="1080" w:type="dxa"/>
            <w:tcBorders>
              <w:bottom w:val="single" w:sz="8" w:space="0" w:color="auto"/>
            </w:tcBorders>
            <w:vAlign w:val="bottom"/>
          </w:tcPr>
          <w:p w:rsidR="005A54F9" w:rsidRDefault="005442FA">
            <w:pPr>
              <w:jc w:val="center"/>
              <w:rPr>
                <w:sz w:val="20"/>
                <w:szCs w:val="20"/>
              </w:rPr>
            </w:pPr>
            <w:r>
              <w:rPr>
                <w:rFonts w:eastAsia="Times New Roman"/>
                <w:w w:val="97"/>
                <w:sz w:val="24"/>
                <w:szCs w:val="24"/>
              </w:rPr>
              <w:t>&lt; 0.001</w:t>
            </w:r>
          </w:p>
        </w:tc>
        <w:tc>
          <w:tcPr>
            <w:tcW w:w="0" w:type="dxa"/>
            <w:vAlign w:val="bottom"/>
          </w:tcPr>
          <w:p w:rsidR="005A54F9" w:rsidRDefault="005A54F9">
            <w:pPr>
              <w:rPr>
                <w:sz w:val="1"/>
                <w:szCs w:val="1"/>
              </w:rPr>
            </w:pPr>
          </w:p>
        </w:tc>
      </w:tr>
      <w:tr w:rsidR="005A54F9">
        <w:trPr>
          <w:trHeight w:val="347"/>
        </w:trPr>
        <w:tc>
          <w:tcPr>
            <w:tcW w:w="20" w:type="dxa"/>
            <w:vAlign w:val="bottom"/>
          </w:tcPr>
          <w:p w:rsidR="005A54F9" w:rsidRDefault="005A54F9">
            <w:pPr>
              <w:rPr>
                <w:sz w:val="24"/>
                <w:szCs w:val="24"/>
              </w:rPr>
            </w:pPr>
          </w:p>
        </w:tc>
        <w:tc>
          <w:tcPr>
            <w:tcW w:w="2580" w:type="dxa"/>
            <w:vAlign w:val="bottom"/>
          </w:tcPr>
          <w:p w:rsidR="005A54F9" w:rsidRDefault="005442FA">
            <w:pPr>
              <w:ind w:left="100"/>
              <w:rPr>
                <w:sz w:val="20"/>
                <w:szCs w:val="20"/>
              </w:rPr>
            </w:pPr>
            <w:r>
              <w:rPr>
                <w:rFonts w:eastAsia="Times New Roman"/>
                <w:sz w:val="24"/>
                <w:szCs w:val="24"/>
              </w:rPr>
              <w:t>Univariate tests</w:t>
            </w:r>
          </w:p>
        </w:tc>
        <w:tc>
          <w:tcPr>
            <w:tcW w:w="1940" w:type="dxa"/>
            <w:vAlign w:val="bottom"/>
          </w:tcPr>
          <w:p w:rsidR="005A54F9" w:rsidRDefault="005A54F9">
            <w:pPr>
              <w:rPr>
                <w:sz w:val="24"/>
                <w:szCs w:val="24"/>
              </w:rPr>
            </w:pPr>
          </w:p>
        </w:tc>
        <w:tc>
          <w:tcPr>
            <w:tcW w:w="1800" w:type="dxa"/>
            <w:vAlign w:val="bottom"/>
          </w:tcPr>
          <w:p w:rsidR="005A54F9" w:rsidRDefault="005A54F9">
            <w:pPr>
              <w:rPr>
                <w:sz w:val="24"/>
                <w:szCs w:val="24"/>
              </w:rPr>
            </w:pPr>
          </w:p>
        </w:tc>
        <w:tc>
          <w:tcPr>
            <w:tcW w:w="740" w:type="dxa"/>
            <w:vAlign w:val="bottom"/>
          </w:tcPr>
          <w:p w:rsidR="005A54F9" w:rsidRDefault="005A54F9">
            <w:pPr>
              <w:rPr>
                <w:sz w:val="24"/>
                <w:szCs w:val="24"/>
              </w:rPr>
            </w:pPr>
          </w:p>
        </w:tc>
        <w:tc>
          <w:tcPr>
            <w:tcW w:w="920" w:type="dxa"/>
            <w:vAlign w:val="bottom"/>
          </w:tcPr>
          <w:p w:rsidR="005A54F9" w:rsidRDefault="005A54F9">
            <w:pPr>
              <w:rPr>
                <w:sz w:val="24"/>
                <w:szCs w:val="24"/>
              </w:rPr>
            </w:pPr>
          </w:p>
        </w:tc>
        <w:tc>
          <w:tcPr>
            <w:tcW w:w="1080" w:type="dxa"/>
            <w:vAlign w:val="bottom"/>
          </w:tcPr>
          <w:p w:rsidR="005A54F9" w:rsidRDefault="005A54F9">
            <w:pPr>
              <w:rPr>
                <w:sz w:val="24"/>
                <w:szCs w:val="24"/>
              </w:rPr>
            </w:pPr>
          </w:p>
        </w:tc>
        <w:tc>
          <w:tcPr>
            <w:tcW w:w="0" w:type="dxa"/>
            <w:vAlign w:val="bottom"/>
          </w:tcPr>
          <w:p w:rsidR="005A54F9" w:rsidRDefault="005A54F9">
            <w:pPr>
              <w:rPr>
                <w:sz w:val="1"/>
                <w:szCs w:val="1"/>
              </w:rPr>
            </w:pPr>
          </w:p>
        </w:tc>
      </w:tr>
      <w:tr w:rsidR="005A54F9">
        <w:trPr>
          <w:trHeight w:val="310"/>
        </w:trPr>
        <w:tc>
          <w:tcPr>
            <w:tcW w:w="20" w:type="dxa"/>
            <w:vAlign w:val="bottom"/>
          </w:tcPr>
          <w:p w:rsidR="005A54F9" w:rsidRDefault="005A54F9">
            <w:pPr>
              <w:rPr>
                <w:sz w:val="24"/>
                <w:szCs w:val="24"/>
              </w:rPr>
            </w:pPr>
          </w:p>
        </w:tc>
        <w:tc>
          <w:tcPr>
            <w:tcW w:w="2580" w:type="dxa"/>
            <w:vAlign w:val="bottom"/>
          </w:tcPr>
          <w:p w:rsidR="005A54F9" w:rsidRDefault="005442FA">
            <w:pPr>
              <w:ind w:left="380"/>
              <w:rPr>
                <w:sz w:val="20"/>
                <w:szCs w:val="20"/>
              </w:rPr>
            </w:pPr>
            <w:r>
              <w:rPr>
                <w:rFonts w:eastAsia="Times New Roman"/>
                <w:sz w:val="24"/>
                <w:szCs w:val="24"/>
              </w:rPr>
              <w:t>Patient cohesion</w:t>
            </w:r>
          </w:p>
        </w:tc>
        <w:tc>
          <w:tcPr>
            <w:tcW w:w="1940" w:type="dxa"/>
            <w:vAlign w:val="bottom"/>
          </w:tcPr>
          <w:p w:rsidR="005A54F9" w:rsidRDefault="005442FA">
            <w:pPr>
              <w:jc w:val="center"/>
              <w:rPr>
                <w:sz w:val="20"/>
                <w:szCs w:val="20"/>
              </w:rPr>
            </w:pPr>
            <w:r>
              <w:rPr>
                <w:rFonts w:eastAsia="Times New Roman"/>
                <w:w w:val="99"/>
                <w:sz w:val="24"/>
                <w:szCs w:val="24"/>
              </w:rPr>
              <w:t>250.19 (111.98)</w:t>
            </w:r>
          </w:p>
        </w:tc>
        <w:tc>
          <w:tcPr>
            <w:tcW w:w="1800" w:type="dxa"/>
            <w:vAlign w:val="bottom"/>
          </w:tcPr>
          <w:p w:rsidR="005A54F9" w:rsidRDefault="005442FA">
            <w:pPr>
              <w:jc w:val="center"/>
              <w:rPr>
                <w:sz w:val="20"/>
                <w:szCs w:val="20"/>
              </w:rPr>
            </w:pPr>
            <w:r>
              <w:rPr>
                <w:rFonts w:eastAsia="Times New Roman"/>
                <w:w w:val="99"/>
                <w:sz w:val="24"/>
                <w:szCs w:val="24"/>
              </w:rPr>
              <w:t xml:space="preserve">209.69 </w:t>
            </w:r>
            <w:r>
              <w:rPr>
                <w:rFonts w:eastAsia="Times New Roman"/>
                <w:w w:val="99"/>
                <w:sz w:val="24"/>
                <w:szCs w:val="24"/>
              </w:rPr>
              <w:t>(80.24)</w:t>
            </w:r>
          </w:p>
        </w:tc>
        <w:tc>
          <w:tcPr>
            <w:tcW w:w="740" w:type="dxa"/>
            <w:vAlign w:val="bottom"/>
          </w:tcPr>
          <w:p w:rsidR="005A54F9" w:rsidRDefault="005442FA">
            <w:pPr>
              <w:jc w:val="right"/>
              <w:rPr>
                <w:sz w:val="20"/>
                <w:szCs w:val="20"/>
              </w:rPr>
            </w:pPr>
            <w:r>
              <w:rPr>
                <w:rFonts w:eastAsia="Times New Roman"/>
                <w:sz w:val="24"/>
                <w:szCs w:val="24"/>
              </w:rPr>
              <w:t>8.07</w:t>
            </w:r>
          </w:p>
        </w:tc>
        <w:tc>
          <w:tcPr>
            <w:tcW w:w="920" w:type="dxa"/>
            <w:vAlign w:val="bottom"/>
          </w:tcPr>
          <w:p w:rsidR="005A54F9" w:rsidRDefault="005442FA">
            <w:pPr>
              <w:ind w:right="60"/>
              <w:jc w:val="right"/>
              <w:rPr>
                <w:sz w:val="20"/>
                <w:szCs w:val="20"/>
              </w:rPr>
            </w:pPr>
            <w:r>
              <w:rPr>
                <w:rFonts w:eastAsia="Times New Roman"/>
                <w:sz w:val="24"/>
                <w:szCs w:val="24"/>
              </w:rPr>
              <w:t>(1,180)</w:t>
            </w:r>
          </w:p>
        </w:tc>
        <w:tc>
          <w:tcPr>
            <w:tcW w:w="1080" w:type="dxa"/>
            <w:vAlign w:val="bottom"/>
          </w:tcPr>
          <w:p w:rsidR="005A54F9" w:rsidRDefault="005442FA">
            <w:pPr>
              <w:jc w:val="center"/>
              <w:rPr>
                <w:sz w:val="20"/>
                <w:szCs w:val="20"/>
              </w:rPr>
            </w:pPr>
            <w:r>
              <w:rPr>
                <w:rFonts w:eastAsia="Times New Roman"/>
                <w:w w:val="99"/>
                <w:sz w:val="24"/>
                <w:szCs w:val="24"/>
              </w:rPr>
              <w:t>.005</w:t>
            </w:r>
          </w:p>
        </w:tc>
        <w:tc>
          <w:tcPr>
            <w:tcW w:w="0" w:type="dxa"/>
            <w:vAlign w:val="bottom"/>
          </w:tcPr>
          <w:p w:rsidR="005A54F9" w:rsidRDefault="005A54F9">
            <w:pPr>
              <w:rPr>
                <w:sz w:val="1"/>
                <w:szCs w:val="1"/>
              </w:rPr>
            </w:pPr>
          </w:p>
        </w:tc>
      </w:tr>
      <w:tr w:rsidR="005A54F9">
        <w:trPr>
          <w:trHeight w:val="276"/>
        </w:trPr>
        <w:tc>
          <w:tcPr>
            <w:tcW w:w="20" w:type="dxa"/>
            <w:vAlign w:val="bottom"/>
          </w:tcPr>
          <w:p w:rsidR="005A54F9" w:rsidRDefault="005A54F9">
            <w:pPr>
              <w:rPr>
                <w:sz w:val="24"/>
                <w:szCs w:val="24"/>
              </w:rPr>
            </w:pPr>
          </w:p>
        </w:tc>
        <w:tc>
          <w:tcPr>
            <w:tcW w:w="2580" w:type="dxa"/>
            <w:vAlign w:val="bottom"/>
          </w:tcPr>
          <w:p w:rsidR="005A54F9" w:rsidRDefault="005442FA">
            <w:pPr>
              <w:ind w:left="400"/>
              <w:rPr>
                <w:sz w:val="20"/>
                <w:szCs w:val="20"/>
              </w:rPr>
            </w:pPr>
            <w:r>
              <w:rPr>
                <w:rFonts w:eastAsia="Times New Roman"/>
                <w:sz w:val="24"/>
                <w:szCs w:val="24"/>
              </w:rPr>
              <w:t>Experienced safety</w:t>
            </w:r>
          </w:p>
        </w:tc>
        <w:tc>
          <w:tcPr>
            <w:tcW w:w="1940" w:type="dxa"/>
            <w:vAlign w:val="bottom"/>
          </w:tcPr>
          <w:p w:rsidR="005A54F9" w:rsidRDefault="005442FA">
            <w:pPr>
              <w:jc w:val="center"/>
              <w:rPr>
                <w:sz w:val="20"/>
                <w:szCs w:val="20"/>
              </w:rPr>
            </w:pPr>
            <w:r>
              <w:rPr>
                <w:rFonts w:eastAsia="Times New Roman"/>
                <w:w w:val="99"/>
                <w:sz w:val="24"/>
                <w:szCs w:val="24"/>
              </w:rPr>
              <w:t>268.15 (101.11)</w:t>
            </w:r>
          </w:p>
        </w:tc>
        <w:tc>
          <w:tcPr>
            <w:tcW w:w="1800" w:type="dxa"/>
            <w:vAlign w:val="bottom"/>
          </w:tcPr>
          <w:p w:rsidR="005A54F9" w:rsidRDefault="005442FA">
            <w:pPr>
              <w:jc w:val="center"/>
              <w:rPr>
                <w:sz w:val="20"/>
                <w:szCs w:val="20"/>
              </w:rPr>
            </w:pPr>
            <w:r>
              <w:rPr>
                <w:rFonts w:eastAsia="Times New Roman"/>
                <w:w w:val="99"/>
                <w:sz w:val="24"/>
                <w:szCs w:val="24"/>
              </w:rPr>
              <w:t>208.72 (72.81)</w:t>
            </w:r>
          </w:p>
        </w:tc>
        <w:tc>
          <w:tcPr>
            <w:tcW w:w="740" w:type="dxa"/>
            <w:vAlign w:val="bottom"/>
          </w:tcPr>
          <w:p w:rsidR="005A54F9" w:rsidRDefault="005442FA">
            <w:pPr>
              <w:jc w:val="right"/>
              <w:rPr>
                <w:sz w:val="20"/>
                <w:szCs w:val="20"/>
              </w:rPr>
            </w:pPr>
            <w:r>
              <w:rPr>
                <w:rFonts w:eastAsia="Times New Roman"/>
                <w:sz w:val="24"/>
                <w:szCs w:val="24"/>
              </w:rPr>
              <w:t>21.23</w:t>
            </w:r>
          </w:p>
        </w:tc>
        <w:tc>
          <w:tcPr>
            <w:tcW w:w="920" w:type="dxa"/>
            <w:vAlign w:val="bottom"/>
          </w:tcPr>
          <w:p w:rsidR="005A54F9" w:rsidRDefault="005442FA">
            <w:pPr>
              <w:ind w:right="60"/>
              <w:jc w:val="right"/>
              <w:rPr>
                <w:sz w:val="20"/>
                <w:szCs w:val="20"/>
              </w:rPr>
            </w:pPr>
            <w:r>
              <w:rPr>
                <w:rFonts w:eastAsia="Times New Roman"/>
                <w:sz w:val="24"/>
                <w:szCs w:val="24"/>
              </w:rPr>
              <w:t>(1,180)</w:t>
            </w:r>
          </w:p>
        </w:tc>
        <w:tc>
          <w:tcPr>
            <w:tcW w:w="1080" w:type="dxa"/>
            <w:vAlign w:val="bottom"/>
          </w:tcPr>
          <w:p w:rsidR="005A54F9" w:rsidRDefault="005442FA">
            <w:pPr>
              <w:jc w:val="center"/>
              <w:rPr>
                <w:sz w:val="20"/>
                <w:szCs w:val="20"/>
              </w:rPr>
            </w:pPr>
            <w:r>
              <w:rPr>
                <w:rFonts w:eastAsia="Times New Roman"/>
                <w:w w:val="97"/>
                <w:sz w:val="24"/>
                <w:szCs w:val="24"/>
              </w:rPr>
              <w:t>&lt; 0.001</w:t>
            </w:r>
          </w:p>
        </w:tc>
        <w:tc>
          <w:tcPr>
            <w:tcW w:w="0" w:type="dxa"/>
            <w:vAlign w:val="bottom"/>
          </w:tcPr>
          <w:p w:rsidR="005A54F9" w:rsidRDefault="005A54F9">
            <w:pPr>
              <w:rPr>
                <w:sz w:val="1"/>
                <w:szCs w:val="1"/>
              </w:rPr>
            </w:pPr>
          </w:p>
        </w:tc>
      </w:tr>
      <w:tr w:rsidR="005A54F9">
        <w:trPr>
          <w:trHeight w:val="300"/>
        </w:trPr>
        <w:tc>
          <w:tcPr>
            <w:tcW w:w="20" w:type="dxa"/>
            <w:tcBorders>
              <w:bottom w:val="single" w:sz="8" w:space="0" w:color="auto"/>
            </w:tcBorders>
            <w:vAlign w:val="bottom"/>
          </w:tcPr>
          <w:p w:rsidR="005A54F9" w:rsidRDefault="005A54F9">
            <w:pPr>
              <w:rPr>
                <w:sz w:val="24"/>
                <w:szCs w:val="24"/>
              </w:rPr>
            </w:pPr>
          </w:p>
        </w:tc>
        <w:tc>
          <w:tcPr>
            <w:tcW w:w="2580" w:type="dxa"/>
            <w:tcBorders>
              <w:bottom w:val="single" w:sz="8" w:space="0" w:color="auto"/>
            </w:tcBorders>
            <w:vAlign w:val="bottom"/>
          </w:tcPr>
          <w:p w:rsidR="005A54F9" w:rsidRDefault="005442FA">
            <w:pPr>
              <w:ind w:left="380"/>
              <w:rPr>
                <w:sz w:val="20"/>
                <w:szCs w:val="20"/>
              </w:rPr>
            </w:pPr>
            <w:r>
              <w:rPr>
                <w:rFonts w:eastAsia="Times New Roman"/>
                <w:sz w:val="24"/>
                <w:szCs w:val="24"/>
              </w:rPr>
              <w:t>Therapeutic hold</w:t>
            </w:r>
          </w:p>
        </w:tc>
        <w:tc>
          <w:tcPr>
            <w:tcW w:w="1940" w:type="dxa"/>
            <w:tcBorders>
              <w:bottom w:val="single" w:sz="8" w:space="0" w:color="auto"/>
            </w:tcBorders>
            <w:vAlign w:val="bottom"/>
          </w:tcPr>
          <w:p w:rsidR="005A54F9" w:rsidRDefault="005442FA">
            <w:pPr>
              <w:jc w:val="center"/>
              <w:rPr>
                <w:sz w:val="20"/>
                <w:szCs w:val="20"/>
              </w:rPr>
            </w:pPr>
            <w:r>
              <w:rPr>
                <w:rFonts w:eastAsia="Times New Roman"/>
                <w:w w:val="99"/>
                <w:sz w:val="24"/>
                <w:szCs w:val="24"/>
              </w:rPr>
              <w:t>241.51 (127.18)</w:t>
            </w:r>
          </w:p>
        </w:tc>
        <w:tc>
          <w:tcPr>
            <w:tcW w:w="1800" w:type="dxa"/>
            <w:tcBorders>
              <w:bottom w:val="single" w:sz="8" w:space="0" w:color="auto"/>
            </w:tcBorders>
            <w:vAlign w:val="bottom"/>
          </w:tcPr>
          <w:p w:rsidR="005A54F9" w:rsidRDefault="005442FA">
            <w:pPr>
              <w:jc w:val="center"/>
              <w:rPr>
                <w:sz w:val="20"/>
                <w:szCs w:val="20"/>
              </w:rPr>
            </w:pPr>
            <w:r>
              <w:rPr>
                <w:rFonts w:eastAsia="Times New Roman"/>
                <w:w w:val="99"/>
                <w:sz w:val="24"/>
                <w:szCs w:val="24"/>
              </w:rPr>
              <w:t>327.23 (60.34)</w:t>
            </w:r>
          </w:p>
        </w:tc>
        <w:tc>
          <w:tcPr>
            <w:tcW w:w="740" w:type="dxa"/>
            <w:tcBorders>
              <w:bottom w:val="single" w:sz="8" w:space="0" w:color="auto"/>
            </w:tcBorders>
            <w:vAlign w:val="bottom"/>
          </w:tcPr>
          <w:p w:rsidR="005A54F9" w:rsidRDefault="005442FA">
            <w:pPr>
              <w:jc w:val="right"/>
              <w:rPr>
                <w:sz w:val="20"/>
                <w:szCs w:val="20"/>
              </w:rPr>
            </w:pPr>
            <w:r>
              <w:rPr>
                <w:rFonts w:eastAsia="Times New Roman"/>
                <w:sz w:val="24"/>
                <w:szCs w:val="24"/>
              </w:rPr>
              <w:t>37.24</w:t>
            </w:r>
          </w:p>
        </w:tc>
        <w:tc>
          <w:tcPr>
            <w:tcW w:w="920" w:type="dxa"/>
            <w:tcBorders>
              <w:bottom w:val="single" w:sz="8" w:space="0" w:color="auto"/>
            </w:tcBorders>
            <w:vAlign w:val="bottom"/>
          </w:tcPr>
          <w:p w:rsidR="005A54F9" w:rsidRDefault="005442FA">
            <w:pPr>
              <w:ind w:right="60"/>
              <w:jc w:val="right"/>
              <w:rPr>
                <w:sz w:val="20"/>
                <w:szCs w:val="20"/>
              </w:rPr>
            </w:pPr>
            <w:r>
              <w:rPr>
                <w:rFonts w:eastAsia="Times New Roman"/>
                <w:sz w:val="24"/>
                <w:szCs w:val="24"/>
              </w:rPr>
              <w:t>(1,180)</w:t>
            </w:r>
          </w:p>
        </w:tc>
        <w:tc>
          <w:tcPr>
            <w:tcW w:w="1080" w:type="dxa"/>
            <w:tcBorders>
              <w:bottom w:val="single" w:sz="8" w:space="0" w:color="auto"/>
            </w:tcBorders>
            <w:vAlign w:val="bottom"/>
          </w:tcPr>
          <w:p w:rsidR="005A54F9" w:rsidRDefault="005442FA">
            <w:pPr>
              <w:jc w:val="center"/>
              <w:rPr>
                <w:sz w:val="20"/>
                <w:szCs w:val="20"/>
              </w:rPr>
            </w:pPr>
            <w:r>
              <w:rPr>
                <w:rFonts w:eastAsia="Times New Roman"/>
                <w:w w:val="97"/>
                <w:sz w:val="24"/>
                <w:szCs w:val="24"/>
              </w:rPr>
              <w:t>&lt; 0.001</w:t>
            </w:r>
          </w:p>
        </w:tc>
        <w:tc>
          <w:tcPr>
            <w:tcW w:w="0" w:type="dxa"/>
            <w:vAlign w:val="bottom"/>
          </w:tcPr>
          <w:p w:rsidR="005A54F9" w:rsidRDefault="005A54F9">
            <w:pPr>
              <w:rPr>
                <w:sz w:val="1"/>
                <w:szCs w:val="1"/>
              </w:rPr>
            </w:pPr>
          </w:p>
        </w:tc>
      </w:tr>
    </w:tbl>
    <w:p w:rsidR="005A54F9" w:rsidRDefault="005A54F9">
      <w:pPr>
        <w:spacing w:line="200" w:lineRule="exact"/>
        <w:rPr>
          <w:sz w:val="20"/>
          <w:szCs w:val="20"/>
        </w:rPr>
      </w:pPr>
    </w:p>
    <w:p w:rsidR="005A54F9" w:rsidRDefault="005A54F9">
      <w:pPr>
        <w:spacing w:line="326" w:lineRule="exact"/>
        <w:rPr>
          <w:sz w:val="20"/>
          <w:szCs w:val="20"/>
        </w:rPr>
      </w:pPr>
    </w:p>
    <w:p w:rsidR="005A54F9" w:rsidRDefault="005442FA">
      <w:pPr>
        <w:ind w:left="20"/>
        <w:rPr>
          <w:sz w:val="20"/>
          <w:szCs w:val="20"/>
        </w:rPr>
      </w:pPr>
      <w:r>
        <w:rPr>
          <w:rFonts w:eastAsia="Times New Roman"/>
          <w:sz w:val="24"/>
          <w:szCs w:val="24"/>
        </w:rPr>
        <w:t>3.3 Patient characteristics predicting perceived ward climate</w:t>
      </w:r>
    </w:p>
    <w:p w:rsidR="005A54F9" w:rsidRDefault="005A54F9">
      <w:pPr>
        <w:spacing w:line="276" w:lineRule="exact"/>
        <w:rPr>
          <w:sz w:val="20"/>
          <w:szCs w:val="20"/>
        </w:rPr>
      </w:pPr>
    </w:p>
    <w:p w:rsidR="005A54F9" w:rsidRDefault="005442FA">
      <w:pPr>
        <w:spacing w:line="480" w:lineRule="auto"/>
        <w:ind w:left="20" w:right="160"/>
        <w:rPr>
          <w:sz w:val="20"/>
          <w:szCs w:val="20"/>
        </w:rPr>
      </w:pPr>
      <w:r>
        <w:rPr>
          <w:rFonts w:eastAsia="Times New Roman"/>
          <w:sz w:val="24"/>
          <w:szCs w:val="24"/>
        </w:rPr>
        <w:t xml:space="preserve">The model as a </w:t>
      </w:r>
      <w:r>
        <w:rPr>
          <w:rFonts w:eastAsia="Times New Roman"/>
          <w:sz w:val="24"/>
          <w:szCs w:val="24"/>
        </w:rPr>
        <w:t>result of the Bayesian path analysis is displayed in figure 1. Age, length of stay, the 4 facet scores of the PCL-R and the scores for the 3 scales of the HCR-20 were entered as predictors, while the scores on the 3 scales of the EssenCES served as mutuall</w:t>
      </w:r>
      <w:r>
        <w:rPr>
          <w:rFonts w:eastAsia="Times New Roman"/>
          <w:sz w:val="24"/>
          <w:szCs w:val="24"/>
        </w:rPr>
        <w:t>y related dependent variables. The item of the HCR-20 measuring psychopathy was left out when computing the historical scale since psychopathy was assessed in this study with a fine grained psychopathy measure, the PCL-R.</w:t>
      </w:r>
    </w:p>
    <w:p w:rsidR="005A54F9" w:rsidRDefault="005442FA">
      <w:pPr>
        <w:spacing w:line="487" w:lineRule="auto"/>
        <w:ind w:left="20" w:right="80" w:firstLine="708"/>
        <w:rPr>
          <w:sz w:val="20"/>
          <w:szCs w:val="20"/>
        </w:rPr>
      </w:pPr>
      <w:r>
        <w:rPr>
          <w:rFonts w:eastAsia="Times New Roman"/>
          <w:sz w:val="24"/>
          <w:szCs w:val="24"/>
        </w:rPr>
        <w:t>Regarding model fit, the 95% CI of</w:t>
      </w:r>
      <w:r>
        <w:rPr>
          <w:rFonts w:eastAsia="Times New Roman"/>
          <w:sz w:val="24"/>
          <w:szCs w:val="24"/>
        </w:rPr>
        <w:t xml:space="preserve"> the Chi-square check of the posterior predictive ranged from - 24.01 to 29.38, PPP-value was 0.43 and the PSR was below 1.05. Thus, all model fit indexes indicated good model fit. Results showed (see table 4) that patient cohesion was negatively predicted</w:t>
      </w:r>
      <w:r>
        <w:rPr>
          <w:rFonts w:eastAsia="Times New Roman"/>
          <w:sz w:val="24"/>
          <w:szCs w:val="24"/>
        </w:rPr>
        <w:t xml:space="preserve"> by the antisocial facet of the PCL-R (β=-.32) and positively by the historical factor of the HCR-20 (β=.30). Experienced safety was positively predicted by the</w:t>
      </w:r>
    </w:p>
    <w:p w:rsidR="005A54F9" w:rsidRDefault="005A54F9">
      <w:pPr>
        <w:spacing w:line="195" w:lineRule="exact"/>
        <w:rPr>
          <w:sz w:val="20"/>
          <w:szCs w:val="20"/>
        </w:rPr>
      </w:pPr>
    </w:p>
    <w:p w:rsidR="005A54F9" w:rsidRDefault="005442FA">
      <w:pPr>
        <w:jc w:val="right"/>
        <w:rPr>
          <w:sz w:val="20"/>
          <w:szCs w:val="20"/>
        </w:rPr>
      </w:pPr>
      <w:r>
        <w:rPr>
          <w:rFonts w:ascii="Verdana" w:eastAsia="Verdana" w:hAnsi="Verdana" w:cs="Verdana"/>
          <w:sz w:val="18"/>
          <w:szCs w:val="18"/>
        </w:rPr>
        <w:t>13</w:t>
      </w:r>
    </w:p>
    <w:p w:rsidR="005A54F9" w:rsidRDefault="005A54F9">
      <w:pPr>
        <w:sectPr w:rsidR="005A54F9">
          <w:pgSz w:w="11900" w:h="16838"/>
          <w:pgMar w:top="1392" w:right="1426" w:bottom="371" w:left="1400" w:header="0" w:footer="0" w:gutter="0"/>
          <w:cols w:space="720" w:equalWidth="0">
            <w:col w:w="9080"/>
          </w:cols>
        </w:sectPr>
      </w:pPr>
    </w:p>
    <w:p w:rsidR="005A54F9" w:rsidRDefault="005442FA">
      <w:pPr>
        <w:rPr>
          <w:sz w:val="20"/>
          <w:szCs w:val="20"/>
        </w:rPr>
      </w:pPr>
      <w:bookmarkStart w:id="14" w:name="page14"/>
      <w:bookmarkEnd w:id="14"/>
      <w:r>
        <w:rPr>
          <w:rFonts w:eastAsia="Times New Roman"/>
          <w:sz w:val="24"/>
          <w:szCs w:val="24"/>
        </w:rPr>
        <w:lastRenderedPageBreak/>
        <w:t>historical factor of the HCR-20 (β=.33). Therapeutic hold was positiv</w:t>
      </w:r>
      <w:r>
        <w:rPr>
          <w:rFonts w:eastAsia="Times New Roman"/>
          <w:sz w:val="24"/>
          <w:szCs w:val="24"/>
        </w:rPr>
        <w:t>ely predicted by age (β=</w:t>
      </w:r>
    </w:p>
    <w:p w:rsidR="005A54F9" w:rsidRDefault="005A54F9">
      <w:pPr>
        <w:spacing w:line="276" w:lineRule="exact"/>
        <w:rPr>
          <w:sz w:val="20"/>
          <w:szCs w:val="20"/>
        </w:rPr>
      </w:pPr>
    </w:p>
    <w:p w:rsidR="005A54F9" w:rsidRDefault="005442FA">
      <w:pPr>
        <w:rPr>
          <w:sz w:val="20"/>
          <w:szCs w:val="20"/>
        </w:rPr>
      </w:pPr>
      <w:r>
        <w:rPr>
          <w:rFonts w:eastAsia="Times New Roman"/>
          <w:sz w:val="24"/>
          <w:szCs w:val="24"/>
        </w:rPr>
        <w:t>.27), the interpersonal facet of the PCL-R (β=.23), and negatively by the clinical factor of the</w:t>
      </w:r>
    </w:p>
    <w:p w:rsidR="005A54F9" w:rsidRDefault="005A54F9">
      <w:pPr>
        <w:spacing w:line="276" w:lineRule="exact"/>
        <w:rPr>
          <w:sz w:val="20"/>
          <w:szCs w:val="20"/>
        </w:rPr>
      </w:pPr>
    </w:p>
    <w:p w:rsidR="005A54F9" w:rsidRDefault="005442FA">
      <w:pPr>
        <w:rPr>
          <w:sz w:val="20"/>
          <w:szCs w:val="20"/>
        </w:rPr>
      </w:pPr>
      <w:r>
        <w:rPr>
          <w:rFonts w:eastAsia="Times New Roman"/>
          <w:sz w:val="24"/>
          <w:szCs w:val="24"/>
        </w:rPr>
        <w:t>HCR-20 (β=.-.34). PC was related to TH r=.35, and ES r=.39.</w:t>
      </w: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28" w:lineRule="exact"/>
        <w:rPr>
          <w:sz w:val="20"/>
          <w:szCs w:val="20"/>
        </w:rPr>
      </w:pPr>
    </w:p>
    <w:p w:rsidR="005A54F9" w:rsidRDefault="005442FA">
      <w:pPr>
        <w:rPr>
          <w:sz w:val="20"/>
          <w:szCs w:val="20"/>
        </w:rPr>
      </w:pPr>
      <w:r>
        <w:rPr>
          <w:rFonts w:eastAsia="Times New Roman"/>
          <w:sz w:val="24"/>
          <w:szCs w:val="24"/>
        </w:rPr>
        <w:t>Table 4. Standardized results of the Bayesian path analysis.</w:t>
      </w:r>
    </w:p>
    <w:p w:rsidR="005A54F9" w:rsidRDefault="005A54F9">
      <w:pPr>
        <w:spacing w:line="28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180"/>
        <w:gridCol w:w="2220"/>
        <w:gridCol w:w="1400"/>
        <w:gridCol w:w="900"/>
        <w:gridCol w:w="1920"/>
      </w:tblGrid>
      <w:tr w:rsidR="005A54F9">
        <w:trPr>
          <w:trHeight w:val="286"/>
        </w:trPr>
        <w:tc>
          <w:tcPr>
            <w:tcW w:w="2180" w:type="dxa"/>
            <w:tcBorders>
              <w:top w:val="single" w:sz="8" w:space="0" w:color="auto"/>
              <w:bottom w:val="single" w:sz="8" w:space="0" w:color="auto"/>
            </w:tcBorders>
            <w:vAlign w:val="bottom"/>
          </w:tcPr>
          <w:p w:rsidR="005A54F9" w:rsidRDefault="005A54F9">
            <w:pPr>
              <w:rPr>
                <w:sz w:val="24"/>
                <w:szCs w:val="24"/>
              </w:rPr>
            </w:pPr>
          </w:p>
        </w:tc>
        <w:tc>
          <w:tcPr>
            <w:tcW w:w="2220" w:type="dxa"/>
            <w:tcBorders>
              <w:top w:val="single" w:sz="8" w:space="0" w:color="auto"/>
              <w:bottom w:val="single" w:sz="8" w:space="0" w:color="auto"/>
            </w:tcBorders>
            <w:vAlign w:val="bottom"/>
          </w:tcPr>
          <w:p w:rsidR="005A54F9" w:rsidRDefault="005A54F9">
            <w:pPr>
              <w:rPr>
                <w:sz w:val="24"/>
                <w:szCs w:val="24"/>
              </w:rPr>
            </w:pPr>
          </w:p>
        </w:tc>
        <w:tc>
          <w:tcPr>
            <w:tcW w:w="1400" w:type="dxa"/>
            <w:tcBorders>
              <w:top w:val="single" w:sz="8" w:space="0" w:color="auto"/>
              <w:bottom w:val="single" w:sz="8" w:space="0" w:color="auto"/>
            </w:tcBorders>
            <w:vAlign w:val="bottom"/>
          </w:tcPr>
          <w:p w:rsidR="005A54F9" w:rsidRDefault="005A54F9">
            <w:pPr>
              <w:rPr>
                <w:sz w:val="24"/>
                <w:szCs w:val="24"/>
              </w:rPr>
            </w:pPr>
          </w:p>
        </w:tc>
        <w:tc>
          <w:tcPr>
            <w:tcW w:w="2820" w:type="dxa"/>
            <w:gridSpan w:val="2"/>
            <w:tcBorders>
              <w:top w:val="single" w:sz="8" w:space="0" w:color="auto"/>
              <w:bottom w:val="single" w:sz="8" w:space="0" w:color="auto"/>
            </w:tcBorders>
            <w:vAlign w:val="bottom"/>
          </w:tcPr>
          <w:p w:rsidR="005A54F9" w:rsidRDefault="005442FA">
            <w:pPr>
              <w:ind w:left="700"/>
              <w:rPr>
                <w:sz w:val="20"/>
                <w:szCs w:val="20"/>
              </w:rPr>
            </w:pPr>
            <w:r>
              <w:rPr>
                <w:rFonts w:eastAsia="Times New Roman"/>
                <w:sz w:val="24"/>
                <w:szCs w:val="24"/>
              </w:rPr>
              <w:t>95%</w:t>
            </w:r>
            <w:r>
              <w:rPr>
                <w:rFonts w:eastAsia="Times New Roman"/>
                <w:sz w:val="24"/>
                <w:szCs w:val="24"/>
              </w:rPr>
              <w:t xml:space="preserve"> C.I.</w:t>
            </w:r>
          </w:p>
        </w:tc>
      </w:tr>
      <w:tr w:rsidR="005A54F9">
        <w:trPr>
          <w:trHeight w:val="266"/>
        </w:trPr>
        <w:tc>
          <w:tcPr>
            <w:tcW w:w="2180" w:type="dxa"/>
            <w:tcBorders>
              <w:bottom w:val="single" w:sz="8" w:space="0" w:color="auto"/>
            </w:tcBorders>
            <w:vAlign w:val="bottom"/>
          </w:tcPr>
          <w:p w:rsidR="005A54F9" w:rsidRDefault="005442FA">
            <w:pPr>
              <w:spacing w:line="265" w:lineRule="exact"/>
              <w:ind w:left="100"/>
              <w:rPr>
                <w:sz w:val="20"/>
                <w:szCs w:val="20"/>
              </w:rPr>
            </w:pPr>
            <w:r>
              <w:rPr>
                <w:rFonts w:eastAsia="Times New Roman"/>
                <w:sz w:val="24"/>
                <w:szCs w:val="24"/>
              </w:rPr>
              <w:t>Dependent variables</w:t>
            </w:r>
          </w:p>
        </w:tc>
        <w:tc>
          <w:tcPr>
            <w:tcW w:w="2220" w:type="dxa"/>
            <w:tcBorders>
              <w:bottom w:val="single" w:sz="8" w:space="0" w:color="auto"/>
            </w:tcBorders>
            <w:vAlign w:val="bottom"/>
          </w:tcPr>
          <w:p w:rsidR="005A54F9" w:rsidRDefault="005442FA">
            <w:pPr>
              <w:spacing w:line="265" w:lineRule="exact"/>
              <w:ind w:left="100"/>
              <w:rPr>
                <w:sz w:val="20"/>
                <w:szCs w:val="20"/>
              </w:rPr>
            </w:pPr>
            <w:r>
              <w:rPr>
                <w:rFonts w:eastAsia="Times New Roman"/>
                <w:sz w:val="24"/>
                <w:szCs w:val="24"/>
              </w:rPr>
              <w:t>Predictor</w:t>
            </w:r>
          </w:p>
        </w:tc>
        <w:tc>
          <w:tcPr>
            <w:tcW w:w="1400" w:type="dxa"/>
            <w:tcBorders>
              <w:bottom w:val="single" w:sz="8" w:space="0" w:color="auto"/>
            </w:tcBorders>
            <w:vAlign w:val="bottom"/>
          </w:tcPr>
          <w:p w:rsidR="005A54F9" w:rsidRDefault="005442FA">
            <w:pPr>
              <w:spacing w:line="265" w:lineRule="exact"/>
              <w:jc w:val="right"/>
              <w:rPr>
                <w:sz w:val="20"/>
                <w:szCs w:val="20"/>
              </w:rPr>
            </w:pPr>
            <w:r>
              <w:rPr>
                <w:rFonts w:eastAsia="Times New Roman"/>
                <w:sz w:val="24"/>
                <w:szCs w:val="24"/>
              </w:rPr>
              <w:t>Estimate (β)</w:t>
            </w:r>
          </w:p>
        </w:tc>
        <w:tc>
          <w:tcPr>
            <w:tcW w:w="2820" w:type="dxa"/>
            <w:gridSpan w:val="2"/>
            <w:tcBorders>
              <w:bottom w:val="single" w:sz="8" w:space="0" w:color="auto"/>
            </w:tcBorders>
            <w:vAlign w:val="bottom"/>
          </w:tcPr>
          <w:p w:rsidR="005A54F9" w:rsidRDefault="005442FA">
            <w:pPr>
              <w:spacing w:line="265" w:lineRule="exact"/>
              <w:jc w:val="center"/>
              <w:rPr>
                <w:sz w:val="20"/>
                <w:szCs w:val="20"/>
              </w:rPr>
            </w:pPr>
            <w:r>
              <w:rPr>
                <w:rFonts w:eastAsia="Times New Roman"/>
                <w:sz w:val="24"/>
                <w:szCs w:val="24"/>
              </w:rPr>
              <w:t>Lower 2.5% - Upper 2.5 %</w:t>
            </w:r>
          </w:p>
        </w:tc>
      </w:tr>
      <w:tr w:rsidR="005A54F9">
        <w:trPr>
          <w:trHeight w:val="242"/>
        </w:trPr>
        <w:tc>
          <w:tcPr>
            <w:tcW w:w="2180" w:type="dxa"/>
            <w:vAlign w:val="bottom"/>
          </w:tcPr>
          <w:p w:rsidR="005A54F9" w:rsidRDefault="005442FA">
            <w:pPr>
              <w:spacing w:line="242" w:lineRule="exact"/>
              <w:ind w:left="100"/>
              <w:rPr>
                <w:sz w:val="20"/>
                <w:szCs w:val="20"/>
              </w:rPr>
            </w:pPr>
            <w:r>
              <w:rPr>
                <w:rFonts w:eastAsia="Times New Roman"/>
                <w:sz w:val="24"/>
                <w:szCs w:val="24"/>
              </w:rPr>
              <w:t>Patient Cohesion</w:t>
            </w:r>
          </w:p>
        </w:tc>
        <w:tc>
          <w:tcPr>
            <w:tcW w:w="2220" w:type="dxa"/>
            <w:vAlign w:val="bottom"/>
          </w:tcPr>
          <w:p w:rsidR="005A54F9" w:rsidRDefault="005442FA">
            <w:pPr>
              <w:spacing w:line="242" w:lineRule="exact"/>
              <w:ind w:left="100"/>
              <w:rPr>
                <w:sz w:val="20"/>
                <w:szCs w:val="20"/>
              </w:rPr>
            </w:pPr>
            <w:r>
              <w:rPr>
                <w:rFonts w:eastAsia="Times New Roman"/>
                <w:sz w:val="24"/>
                <w:szCs w:val="24"/>
              </w:rPr>
              <w:t>Age</w:t>
            </w:r>
          </w:p>
        </w:tc>
        <w:tc>
          <w:tcPr>
            <w:tcW w:w="1400" w:type="dxa"/>
            <w:vAlign w:val="bottom"/>
          </w:tcPr>
          <w:p w:rsidR="005A54F9" w:rsidRDefault="005442FA">
            <w:pPr>
              <w:spacing w:line="242" w:lineRule="exact"/>
              <w:ind w:right="560"/>
              <w:jc w:val="right"/>
              <w:rPr>
                <w:sz w:val="20"/>
                <w:szCs w:val="20"/>
              </w:rPr>
            </w:pPr>
            <w:r>
              <w:rPr>
                <w:rFonts w:eastAsia="Times New Roman"/>
                <w:sz w:val="24"/>
                <w:szCs w:val="24"/>
              </w:rPr>
              <w:t>-0.005</w:t>
            </w:r>
          </w:p>
        </w:tc>
        <w:tc>
          <w:tcPr>
            <w:tcW w:w="900" w:type="dxa"/>
            <w:vAlign w:val="bottom"/>
          </w:tcPr>
          <w:p w:rsidR="005A54F9" w:rsidRDefault="005442FA">
            <w:pPr>
              <w:spacing w:line="242" w:lineRule="exact"/>
              <w:ind w:right="60"/>
              <w:jc w:val="right"/>
              <w:rPr>
                <w:sz w:val="20"/>
                <w:szCs w:val="20"/>
              </w:rPr>
            </w:pPr>
            <w:r>
              <w:rPr>
                <w:rFonts w:eastAsia="Times New Roman"/>
                <w:sz w:val="24"/>
                <w:szCs w:val="24"/>
              </w:rPr>
              <w:t>-0.209</w:t>
            </w:r>
          </w:p>
        </w:tc>
        <w:tc>
          <w:tcPr>
            <w:tcW w:w="1920" w:type="dxa"/>
            <w:vAlign w:val="bottom"/>
          </w:tcPr>
          <w:p w:rsidR="005A54F9" w:rsidRDefault="005442FA">
            <w:pPr>
              <w:spacing w:line="242" w:lineRule="exact"/>
              <w:ind w:right="780"/>
              <w:jc w:val="center"/>
              <w:rPr>
                <w:sz w:val="20"/>
                <w:szCs w:val="20"/>
              </w:rPr>
            </w:pPr>
            <w:r>
              <w:rPr>
                <w:rFonts w:eastAsia="Times New Roman"/>
                <w:w w:val="99"/>
                <w:sz w:val="24"/>
                <w:szCs w:val="24"/>
              </w:rPr>
              <w:t>0.203</w:t>
            </w:r>
          </w:p>
        </w:tc>
      </w:tr>
      <w:tr w:rsidR="005A54F9">
        <w:trPr>
          <w:trHeight w:val="276"/>
        </w:trPr>
        <w:tc>
          <w:tcPr>
            <w:tcW w:w="2180" w:type="dxa"/>
            <w:vAlign w:val="bottom"/>
          </w:tcPr>
          <w:p w:rsidR="005A54F9" w:rsidRDefault="005A54F9">
            <w:pPr>
              <w:rPr>
                <w:sz w:val="24"/>
                <w:szCs w:val="24"/>
              </w:rPr>
            </w:pPr>
          </w:p>
        </w:tc>
        <w:tc>
          <w:tcPr>
            <w:tcW w:w="2220" w:type="dxa"/>
            <w:vAlign w:val="bottom"/>
          </w:tcPr>
          <w:p w:rsidR="005A54F9" w:rsidRDefault="005442FA">
            <w:pPr>
              <w:ind w:left="100"/>
              <w:rPr>
                <w:sz w:val="20"/>
                <w:szCs w:val="20"/>
              </w:rPr>
            </w:pPr>
            <w:r>
              <w:rPr>
                <w:rFonts w:eastAsia="Times New Roman"/>
                <w:sz w:val="24"/>
                <w:szCs w:val="24"/>
              </w:rPr>
              <w:t>Length of stay</w:t>
            </w:r>
          </w:p>
        </w:tc>
        <w:tc>
          <w:tcPr>
            <w:tcW w:w="1400" w:type="dxa"/>
            <w:vAlign w:val="bottom"/>
          </w:tcPr>
          <w:p w:rsidR="005A54F9" w:rsidRDefault="005442FA">
            <w:pPr>
              <w:ind w:right="560"/>
              <w:jc w:val="right"/>
              <w:rPr>
                <w:sz w:val="20"/>
                <w:szCs w:val="20"/>
              </w:rPr>
            </w:pPr>
            <w:r>
              <w:rPr>
                <w:rFonts w:eastAsia="Times New Roman"/>
                <w:sz w:val="24"/>
                <w:szCs w:val="24"/>
              </w:rPr>
              <w:t>-0.035</w:t>
            </w:r>
          </w:p>
        </w:tc>
        <w:tc>
          <w:tcPr>
            <w:tcW w:w="900" w:type="dxa"/>
            <w:vAlign w:val="bottom"/>
          </w:tcPr>
          <w:p w:rsidR="005A54F9" w:rsidRDefault="005442FA">
            <w:pPr>
              <w:ind w:right="60"/>
              <w:jc w:val="right"/>
              <w:rPr>
                <w:sz w:val="20"/>
                <w:szCs w:val="20"/>
              </w:rPr>
            </w:pPr>
            <w:r>
              <w:rPr>
                <w:rFonts w:eastAsia="Times New Roman"/>
                <w:sz w:val="24"/>
                <w:szCs w:val="24"/>
              </w:rPr>
              <w:t>-0.234</w:t>
            </w:r>
          </w:p>
        </w:tc>
        <w:tc>
          <w:tcPr>
            <w:tcW w:w="1920" w:type="dxa"/>
            <w:vAlign w:val="bottom"/>
          </w:tcPr>
          <w:p w:rsidR="005A54F9" w:rsidRDefault="005442FA">
            <w:pPr>
              <w:ind w:right="780"/>
              <w:jc w:val="center"/>
              <w:rPr>
                <w:sz w:val="20"/>
                <w:szCs w:val="20"/>
              </w:rPr>
            </w:pPr>
            <w:r>
              <w:rPr>
                <w:rFonts w:eastAsia="Times New Roman"/>
                <w:w w:val="99"/>
                <w:sz w:val="24"/>
                <w:szCs w:val="24"/>
              </w:rPr>
              <w:t>0.166</w:t>
            </w:r>
          </w:p>
        </w:tc>
      </w:tr>
      <w:tr w:rsidR="005A54F9">
        <w:trPr>
          <w:trHeight w:val="276"/>
        </w:trPr>
        <w:tc>
          <w:tcPr>
            <w:tcW w:w="2180" w:type="dxa"/>
            <w:vAlign w:val="bottom"/>
          </w:tcPr>
          <w:p w:rsidR="005A54F9" w:rsidRDefault="005A54F9">
            <w:pPr>
              <w:rPr>
                <w:sz w:val="24"/>
                <w:szCs w:val="24"/>
              </w:rPr>
            </w:pPr>
          </w:p>
        </w:tc>
        <w:tc>
          <w:tcPr>
            <w:tcW w:w="2220" w:type="dxa"/>
            <w:vAlign w:val="bottom"/>
          </w:tcPr>
          <w:p w:rsidR="005A54F9" w:rsidRDefault="005442FA">
            <w:pPr>
              <w:ind w:left="100"/>
              <w:rPr>
                <w:sz w:val="20"/>
                <w:szCs w:val="20"/>
              </w:rPr>
            </w:pPr>
            <w:r>
              <w:rPr>
                <w:rFonts w:eastAsia="Times New Roman"/>
                <w:sz w:val="24"/>
                <w:szCs w:val="24"/>
              </w:rPr>
              <w:t>PCL-R Interpersonal</w:t>
            </w:r>
          </w:p>
        </w:tc>
        <w:tc>
          <w:tcPr>
            <w:tcW w:w="1400" w:type="dxa"/>
            <w:vAlign w:val="bottom"/>
          </w:tcPr>
          <w:p w:rsidR="005A54F9" w:rsidRDefault="005442FA">
            <w:pPr>
              <w:ind w:right="560"/>
              <w:jc w:val="right"/>
              <w:rPr>
                <w:sz w:val="20"/>
                <w:szCs w:val="20"/>
              </w:rPr>
            </w:pPr>
            <w:r>
              <w:rPr>
                <w:rFonts w:eastAsia="Times New Roman"/>
                <w:sz w:val="24"/>
                <w:szCs w:val="24"/>
              </w:rPr>
              <w:t>-0.039</w:t>
            </w:r>
          </w:p>
        </w:tc>
        <w:tc>
          <w:tcPr>
            <w:tcW w:w="900" w:type="dxa"/>
            <w:vAlign w:val="bottom"/>
          </w:tcPr>
          <w:p w:rsidR="005A54F9" w:rsidRDefault="005442FA">
            <w:pPr>
              <w:ind w:right="60"/>
              <w:jc w:val="right"/>
              <w:rPr>
                <w:sz w:val="20"/>
                <w:szCs w:val="20"/>
              </w:rPr>
            </w:pPr>
            <w:r>
              <w:rPr>
                <w:rFonts w:eastAsia="Times New Roman"/>
                <w:sz w:val="24"/>
                <w:szCs w:val="24"/>
              </w:rPr>
              <w:t>-0.274</w:t>
            </w:r>
          </w:p>
        </w:tc>
        <w:tc>
          <w:tcPr>
            <w:tcW w:w="1920" w:type="dxa"/>
            <w:vAlign w:val="bottom"/>
          </w:tcPr>
          <w:p w:rsidR="005A54F9" w:rsidRDefault="005442FA">
            <w:pPr>
              <w:ind w:right="780"/>
              <w:jc w:val="center"/>
              <w:rPr>
                <w:sz w:val="20"/>
                <w:szCs w:val="20"/>
              </w:rPr>
            </w:pPr>
            <w:r>
              <w:rPr>
                <w:rFonts w:eastAsia="Times New Roman"/>
                <w:w w:val="99"/>
                <w:sz w:val="24"/>
                <w:szCs w:val="24"/>
              </w:rPr>
              <w:t>0.199</w:t>
            </w:r>
          </w:p>
        </w:tc>
      </w:tr>
      <w:tr w:rsidR="005A54F9">
        <w:trPr>
          <w:trHeight w:val="276"/>
        </w:trPr>
        <w:tc>
          <w:tcPr>
            <w:tcW w:w="2180" w:type="dxa"/>
            <w:vAlign w:val="bottom"/>
          </w:tcPr>
          <w:p w:rsidR="005A54F9" w:rsidRDefault="005A54F9">
            <w:pPr>
              <w:rPr>
                <w:sz w:val="24"/>
                <w:szCs w:val="24"/>
              </w:rPr>
            </w:pPr>
          </w:p>
        </w:tc>
        <w:tc>
          <w:tcPr>
            <w:tcW w:w="2220" w:type="dxa"/>
            <w:vAlign w:val="bottom"/>
          </w:tcPr>
          <w:p w:rsidR="005A54F9" w:rsidRDefault="005442FA">
            <w:pPr>
              <w:ind w:left="100"/>
              <w:rPr>
                <w:sz w:val="20"/>
                <w:szCs w:val="20"/>
              </w:rPr>
            </w:pPr>
            <w:r>
              <w:rPr>
                <w:rFonts w:eastAsia="Times New Roman"/>
                <w:sz w:val="24"/>
                <w:szCs w:val="24"/>
              </w:rPr>
              <w:t>PCL-R Affective</w:t>
            </w:r>
          </w:p>
        </w:tc>
        <w:tc>
          <w:tcPr>
            <w:tcW w:w="1400" w:type="dxa"/>
            <w:vAlign w:val="bottom"/>
          </w:tcPr>
          <w:p w:rsidR="005A54F9" w:rsidRDefault="005442FA">
            <w:pPr>
              <w:ind w:right="560"/>
              <w:jc w:val="right"/>
              <w:rPr>
                <w:sz w:val="20"/>
                <w:szCs w:val="20"/>
              </w:rPr>
            </w:pPr>
            <w:r>
              <w:rPr>
                <w:rFonts w:eastAsia="Times New Roman"/>
                <w:sz w:val="24"/>
                <w:szCs w:val="24"/>
              </w:rPr>
              <w:t>0.165</w:t>
            </w:r>
          </w:p>
        </w:tc>
        <w:tc>
          <w:tcPr>
            <w:tcW w:w="900" w:type="dxa"/>
            <w:vAlign w:val="bottom"/>
          </w:tcPr>
          <w:p w:rsidR="005A54F9" w:rsidRDefault="005442FA">
            <w:pPr>
              <w:ind w:right="60"/>
              <w:jc w:val="right"/>
              <w:rPr>
                <w:sz w:val="20"/>
                <w:szCs w:val="20"/>
              </w:rPr>
            </w:pPr>
            <w:r>
              <w:rPr>
                <w:rFonts w:eastAsia="Times New Roman"/>
                <w:sz w:val="24"/>
                <w:szCs w:val="24"/>
              </w:rPr>
              <w:t>-0.086</w:t>
            </w:r>
          </w:p>
        </w:tc>
        <w:tc>
          <w:tcPr>
            <w:tcW w:w="1920" w:type="dxa"/>
            <w:vAlign w:val="bottom"/>
          </w:tcPr>
          <w:p w:rsidR="005A54F9" w:rsidRDefault="005442FA">
            <w:pPr>
              <w:ind w:right="780"/>
              <w:jc w:val="center"/>
              <w:rPr>
                <w:sz w:val="20"/>
                <w:szCs w:val="20"/>
              </w:rPr>
            </w:pPr>
            <w:r>
              <w:rPr>
                <w:rFonts w:eastAsia="Times New Roman"/>
                <w:w w:val="99"/>
                <w:sz w:val="24"/>
                <w:szCs w:val="24"/>
              </w:rPr>
              <w:t>0.396</w:t>
            </w:r>
          </w:p>
        </w:tc>
      </w:tr>
      <w:tr w:rsidR="005A54F9">
        <w:trPr>
          <w:trHeight w:val="276"/>
        </w:trPr>
        <w:tc>
          <w:tcPr>
            <w:tcW w:w="2180" w:type="dxa"/>
            <w:vAlign w:val="bottom"/>
          </w:tcPr>
          <w:p w:rsidR="005A54F9" w:rsidRDefault="005A54F9">
            <w:pPr>
              <w:rPr>
                <w:sz w:val="24"/>
                <w:szCs w:val="24"/>
              </w:rPr>
            </w:pPr>
          </w:p>
        </w:tc>
        <w:tc>
          <w:tcPr>
            <w:tcW w:w="2220" w:type="dxa"/>
            <w:vAlign w:val="bottom"/>
          </w:tcPr>
          <w:p w:rsidR="005A54F9" w:rsidRDefault="005442FA">
            <w:pPr>
              <w:ind w:left="100"/>
              <w:rPr>
                <w:sz w:val="20"/>
                <w:szCs w:val="20"/>
              </w:rPr>
            </w:pPr>
            <w:r>
              <w:rPr>
                <w:rFonts w:eastAsia="Times New Roman"/>
                <w:sz w:val="24"/>
                <w:szCs w:val="24"/>
              </w:rPr>
              <w:t>PCL-R Lifestyle</w:t>
            </w:r>
          </w:p>
        </w:tc>
        <w:tc>
          <w:tcPr>
            <w:tcW w:w="1400" w:type="dxa"/>
            <w:vAlign w:val="bottom"/>
          </w:tcPr>
          <w:p w:rsidR="005A54F9" w:rsidRDefault="005442FA">
            <w:pPr>
              <w:ind w:right="560"/>
              <w:jc w:val="right"/>
              <w:rPr>
                <w:sz w:val="20"/>
                <w:szCs w:val="20"/>
              </w:rPr>
            </w:pPr>
            <w:r>
              <w:rPr>
                <w:rFonts w:eastAsia="Times New Roman"/>
                <w:sz w:val="24"/>
                <w:szCs w:val="24"/>
              </w:rPr>
              <w:t>0.051</w:t>
            </w:r>
          </w:p>
        </w:tc>
        <w:tc>
          <w:tcPr>
            <w:tcW w:w="900" w:type="dxa"/>
            <w:vAlign w:val="bottom"/>
          </w:tcPr>
          <w:p w:rsidR="005A54F9" w:rsidRDefault="005442FA">
            <w:pPr>
              <w:ind w:right="60"/>
              <w:jc w:val="right"/>
              <w:rPr>
                <w:sz w:val="20"/>
                <w:szCs w:val="20"/>
              </w:rPr>
            </w:pPr>
            <w:r>
              <w:rPr>
                <w:rFonts w:eastAsia="Times New Roman"/>
                <w:sz w:val="24"/>
                <w:szCs w:val="24"/>
              </w:rPr>
              <w:t>-0.206</w:t>
            </w:r>
          </w:p>
        </w:tc>
        <w:tc>
          <w:tcPr>
            <w:tcW w:w="1920" w:type="dxa"/>
            <w:vAlign w:val="bottom"/>
          </w:tcPr>
          <w:p w:rsidR="005A54F9" w:rsidRDefault="005442FA">
            <w:pPr>
              <w:ind w:right="780"/>
              <w:jc w:val="center"/>
              <w:rPr>
                <w:sz w:val="20"/>
                <w:szCs w:val="20"/>
              </w:rPr>
            </w:pPr>
            <w:r>
              <w:rPr>
                <w:rFonts w:eastAsia="Times New Roman"/>
                <w:w w:val="99"/>
                <w:sz w:val="24"/>
                <w:szCs w:val="24"/>
              </w:rPr>
              <w:t>0.308</w:t>
            </w:r>
          </w:p>
        </w:tc>
      </w:tr>
      <w:tr w:rsidR="005A54F9">
        <w:trPr>
          <w:trHeight w:val="276"/>
        </w:trPr>
        <w:tc>
          <w:tcPr>
            <w:tcW w:w="2180" w:type="dxa"/>
            <w:vAlign w:val="bottom"/>
          </w:tcPr>
          <w:p w:rsidR="005A54F9" w:rsidRDefault="005A54F9">
            <w:pPr>
              <w:rPr>
                <w:sz w:val="24"/>
                <w:szCs w:val="24"/>
              </w:rPr>
            </w:pPr>
          </w:p>
        </w:tc>
        <w:tc>
          <w:tcPr>
            <w:tcW w:w="2220" w:type="dxa"/>
            <w:vAlign w:val="bottom"/>
          </w:tcPr>
          <w:p w:rsidR="005A54F9" w:rsidRDefault="005442FA">
            <w:pPr>
              <w:ind w:left="100"/>
              <w:rPr>
                <w:sz w:val="20"/>
                <w:szCs w:val="20"/>
              </w:rPr>
            </w:pPr>
            <w:r>
              <w:rPr>
                <w:rFonts w:eastAsia="Times New Roman"/>
                <w:sz w:val="24"/>
                <w:szCs w:val="24"/>
              </w:rPr>
              <w:t>PCL-R Antisocial</w:t>
            </w:r>
          </w:p>
        </w:tc>
        <w:tc>
          <w:tcPr>
            <w:tcW w:w="1400" w:type="dxa"/>
            <w:vAlign w:val="bottom"/>
          </w:tcPr>
          <w:p w:rsidR="005A54F9" w:rsidRDefault="005442FA">
            <w:pPr>
              <w:ind w:right="560"/>
              <w:jc w:val="right"/>
              <w:rPr>
                <w:sz w:val="20"/>
                <w:szCs w:val="20"/>
              </w:rPr>
            </w:pPr>
            <w:r>
              <w:rPr>
                <w:rFonts w:eastAsia="Times New Roman"/>
                <w:sz w:val="24"/>
                <w:szCs w:val="24"/>
              </w:rPr>
              <w:t>-0.324</w:t>
            </w:r>
          </w:p>
        </w:tc>
        <w:tc>
          <w:tcPr>
            <w:tcW w:w="900" w:type="dxa"/>
            <w:vAlign w:val="bottom"/>
          </w:tcPr>
          <w:p w:rsidR="005A54F9" w:rsidRDefault="005442FA">
            <w:pPr>
              <w:ind w:right="60"/>
              <w:jc w:val="right"/>
              <w:rPr>
                <w:sz w:val="20"/>
                <w:szCs w:val="20"/>
              </w:rPr>
            </w:pPr>
            <w:r>
              <w:rPr>
                <w:rFonts w:eastAsia="Times New Roman"/>
                <w:sz w:val="24"/>
                <w:szCs w:val="24"/>
              </w:rPr>
              <w:t>-0.611</w:t>
            </w:r>
          </w:p>
        </w:tc>
        <w:tc>
          <w:tcPr>
            <w:tcW w:w="1920" w:type="dxa"/>
            <w:vAlign w:val="bottom"/>
          </w:tcPr>
          <w:p w:rsidR="005A54F9" w:rsidRDefault="005442FA">
            <w:pPr>
              <w:ind w:right="640"/>
              <w:jc w:val="center"/>
              <w:rPr>
                <w:sz w:val="20"/>
                <w:szCs w:val="20"/>
              </w:rPr>
            </w:pPr>
            <w:r>
              <w:rPr>
                <w:rFonts w:eastAsia="Times New Roman"/>
                <w:w w:val="99"/>
                <w:sz w:val="24"/>
                <w:szCs w:val="24"/>
              </w:rPr>
              <w:t>-0.003 *</w:t>
            </w:r>
          </w:p>
        </w:tc>
      </w:tr>
      <w:tr w:rsidR="005A54F9">
        <w:trPr>
          <w:trHeight w:val="276"/>
        </w:trPr>
        <w:tc>
          <w:tcPr>
            <w:tcW w:w="2180" w:type="dxa"/>
            <w:vAlign w:val="bottom"/>
          </w:tcPr>
          <w:p w:rsidR="005A54F9" w:rsidRDefault="005A54F9">
            <w:pPr>
              <w:rPr>
                <w:sz w:val="24"/>
                <w:szCs w:val="24"/>
              </w:rPr>
            </w:pPr>
          </w:p>
        </w:tc>
        <w:tc>
          <w:tcPr>
            <w:tcW w:w="2220" w:type="dxa"/>
            <w:vAlign w:val="bottom"/>
          </w:tcPr>
          <w:p w:rsidR="005A54F9" w:rsidRDefault="005442FA">
            <w:pPr>
              <w:ind w:left="100"/>
              <w:rPr>
                <w:sz w:val="20"/>
                <w:szCs w:val="20"/>
              </w:rPr>
            </w:pPr>
            <w:r>
              <w:rPr>
                <w:rFonts w:eastAsia="Times New Roman"/>
                <w:sz w:val="24"/>
                <w:szCs w:val="24"/>
              </w:rPr>
              <w:t>HCR-20 Clinical</w:t>
            </w:r>
          </w:p>
        </w:tc>
        <w:tc>
          <w:tcPr>
            <w:tcW w:w="1400" w:type="dxa"/>
            <w:vAlign w:val="bottom"/>
          </w:tcPr>
          <w:p w:rsidR="005A54F9" w:rsidRDefault="005442FA">
            <w:pPr>
              <w:ind w:right="560"/>
              <w:jc w:val="right"/>
              <w:rPr>
                <w:sz w:val="20"/>
                <w:szCs w:val="20"/>
              </w:rPr>
            </w:pPr>
            <w:r>
              <w:rPr>
                <w:rFonts w:eastAsia="Times New Roman"/>
                <w:sz w:val="24"/>
                <w:szCs w:val="24"/>
              </w:rPr>
              <w:t>0.027</w:t>
            </w:r>
          </w:p>
        </w:tc>
        <w:tc>
          <w:tcPr>
            <w:tcW w:w="900" w:type="dxa"/>
            <w:vAlign w:val="bottom"/>
          </w:tcPr>
          <w:p w:rsidR="005A54F9" w:rsidRDefault="005442FA">
            <w:pPr>
              <w:ind w:right="80"/>
              <w:jc w:val="right"/>
              <w:rPr>
                <w:sz w:val="20"/>
                <w:szCs w:val="20"/>
              </w:rPr>
            </w:pPr>
            <w:r>
              <w:rPr>
                <w:rFonts w:eastAsia="Times New Roman"/>
                <w:sz w:val="24"/>
                <w:szCs w:val="24"/>
              </w:rPr>
              <w:t>0.251</w:t>
            </w:r>
          </w:p>
        </w:tc>
        <w:tc>
          <w:tcPr>
            <w:tcW w:w="1920" w:type="dxa"/>
            <w:vAlign w:val="bottom"/>
          </w:tcPr>
          <w:p w:rsidR="005A54F9" w:rsidRDefault="005442FA">
            <w:pPr>
              <w:ind w:right="820"/>
              <w:jc w:val="center"/>
              <w:rPr>
                <w:sz w:val="20"/>
                <w:szCs w:val="20"/>
              </w:rPr>
            </w:pPr>
            <w:r>
              <w:rPr>
                <w:rFonts w:eastAsia="Times New Roman"/>
                <w:w w:val="99"/>
                <w:sz w:val="24"/>
                <w:szCs w:val="24"/>
              </w:rPr>
              <w:t>0.302</w:t>
            </w:r>
          </w:p>
        </w:tc>
      </w:tr>
      <w:tr w:rsidR="005A54F9">
        <w:trPr>
          <w:trHeight w:val="276"/>
        </w:trPr>
        <w:tc>
          <w:tcPr>
            <w:tcW w:w="2180" w:type="dxa"/>
            <w:vAlign w:val="bottom"/>
          </w:tcPr>
          <w:p w:rsidR="005A54F9" w:rsidRDefault="005A54F9">
            <w:pPr>
              <w:rPr>
                <w:sz w:val="24"/>
                <w:szCs w:val="24"/>
              </w:rPr>
            </w:pPr>
          </w:p>
        </w:tc>
        <w:tc>
          <w:tcPr>
            <w:tcW w:w="2220" w:type="dxa"/>
            <w:vAlign w:val="bottom"/>
          </w:tcPr>
          <w:p w:rsidR="005A54F9" w:rsidRDefault="005442FA">
            <w:pPr>
              <w:ind w:left="100"/>
              <w:rPr>
                <w:sz w:val="20"/>
                <w:szCs w:val="20"/>
              </w:rPr>
            </w:pPr>
            <w:r>
              <w:rPr>
                <w:rFonts w:eastAsia="Times New Roman"/>
                <w:sz w:val="24"/>
                <w:szCs w:val="24"/>
              </w:rPr>
              <w:t>HCR-20 Historical</w:t>
            </w:r>
          </w:p>
        </w:tc>
        <w:tc>
          <w:tcPr>
            <w:tcW w:w="1400" w:type="dxa"/>
            <w:vAlign w:val="bottom"/>
          </w:tcPr>
          <w:p w:rsidR="005A54F9" w:rsidRDefault="005442FA">
            <w:pPr>
              <w:ind w:right="560"/>
              <w:jc w:val="right"/>
              <w:rPr>
                <w:sz w:val="20"/>
                <w:szCs w:val="20"/>
              </w:rPr>
            </w:pPr>
            <w:r>
              <w:rPr>
                <w:rFonts w:eastAsia="Times New Roman"/>
                <w:sz w:val="24"/>
                <w:szCs w:val="24"/>
              </w:rPr>
              <w:t>0.301</w:t>
            </w:r>
          </w:p>
        </w:tc>
        <w:tc>
          <w:tcPr>
            <w:tcW w:w="900" w:type="dxa"/>
            <w:vAlign w:val="bottom"/>
          </w:tcPr>
          <w:p w:rsidR="005A54F9" w:rsidRDefault="005442FA">
            <w:pPr>
              <w:ind w:right="80"/>
              <w:jc w:val="right"/>
              <w:rPr>
                <w:sz w:val="20"/>
                <w:szCs w:val="20"/>
              </w:rPr>
            </w:pPr>
            <w:r>
              <w:rPr>
                <w:rFonts w:eastAsia="Times New Roman"/>
                <w:sz w:val="24"/>
                <w:szCs w:val="24"/>
              </w:rPr>
              <w:t>0.001</w:t>
            </w:r>
          </w:p>
        </w:tc>
        <w:tc>
          <w:tcPr>
            <w:tcW w:w="1920" w:type="dxa"/>
            <w:vAlign w:val="bottom"/>
          </w:tcPr>
          <w:p w:rsidR="005A54F9" w:rsidRDefault="005442FA">
            <w:pPr>
              <w:ind w:right="640"/>
              <w:jc w:val="center"/>
              <w:rPr>
                <w:sz w:val="20"/>
                <w:szCs w:val="20"/>
              </w:rPr>
            </w:pPr>
            <w:r>
              <w:rPr>
                <w:rFonts w:eastAsia="Times New Roman"/>
                <w:w w:val="99"/>
                <w:sz w:val="24"/>
                <w:szCs w:val="24"/>
              </w:rPr>
              <w:t>0.575 *</w:t>
            </w:r>
          </w:p>
        </w:tc>
      </w:tr>
      <w:tr w:rsidR="005A54F9">
        <w:trPr>
          <w:trHeight w:val="300"/>
        </w:trPr>
        <w:tc>
          <w:tcPr>
            <w:tcW w:w="2180" w:type="dxa"/>
            <w:tcBorders>
              <w:bottom w:val="single" w:sz="8" w:space="0" w:color="auto"/>
            </w:tcBorders>
            <w:vAlign w:val="bottom"/>
          </w:tcPr>
          <w:p w:rsidR="005A54F9" w:rsidRDefault="005A54F9">
            <w:pPr>
              <w:rPr>
                <w:sz w:val="24"/>
                <w:szCs w:val="24"/>
              </w:rPr>
            </w:pPr>
          </w:p>
        </w:tc>
        <w:tc>
          <w:tcPr>
            <w:tcW w:w="2220" w:type="dxa"/>
            <w:tcBorders>
              <w:bottom w:val="single" w:sz="8" w:space="0" w:color="auto"/>
            </w:tcBorders>
            <w:vAlign w:val="bottom"/>
          </w:tcPr>
          <w:p w:rsidR="005A54F9" w:rsidRDefault="005442FA">
            <w:pPr>
              <w:ind w:left="100"/>
              <w:rPr>
                <w:sz w:val="20"/>
                <w:szCs w:val="20"/>
              </w:rPr>
            </w:pPr>
            <w:r>
              <w:rPr>
                <w:rFonts w:eastAsia="Times New Roman"/>
                <w:sz w:val="24"/>
                <w:szCs w:val="24"/>
              </w:rPr>
              <w:t>HCR-20 Risk</w:t>
            </w:r>
          </w:p>
        </w:tc>
        <w:tc>
          <w:tcPr>
            <w:tcW w:w="1400" w:type="dxa"/>
            <w:tcBorders>
              <w:bottom w:val="single" w:sz="8" w:space="0" w:color="auto"/>
            </w:tcBorders>
            <w:vAlign w:val="bottom"/>
          </w:tcPr>
          <w:p w:rsidR="005A54F9" w:rsidRDefault="005442FA">
            <w:pPr>
              <w:ind w:right="560"/>
              <w:jc w:val="right"/>
              <w:rPr>
                <w:sz w:val="20"/>
                <w:szCs w:val="20"/>
              </w:rPr>
            </w:pPr>
            <w:r>
              <w:rPr>
                <w:rFonts w:eastAsia="Times New Roman"/>
                <w:sz w:val="24"/>
                <w:szCs w:val="24"/>
              </w:rPr>
              <w:t>0.090</w:t>
            </w:r>
          </w:p>
        </w:tc>
        <w:tc>
          <w:tcPr>
            <w:tcW w:w="900" w:type="dxa"/>
            <w:tcBorders>
              <w:bottom w:val="single" w:sz="8" w:space="0" w:color="auto"/>
            </w:tcBorders>
            <w:vAlign w:val="bottom"/>
          </w:tcPr>
          <w:p w:rsidR="005A54F9" w:rsidRDefault="005442FA">
            <w:pPr>
              <w:ind w:right="60"/>
              <w:jc w:val="right"/>
              <w:rPr>
                <w:sz w:val="20"/>
                <w:szCs w:val="20"/>
              </w:rPr>
            </w:pPr>
            <w:r>
              <w:rPr>
                <w:rFonts w:eastAsia="Times New Roman"/>
                <w:sz w:val="24"/>
                <w:szCs w:val="24"/>
              </w:rPr>
              <w:t>-0.180</w:t>
            </w:r>
          </w:p>
        </w:tc>
        <w:tc>
          <w:tcPr>
            <w:tcW w:w="1920" w:type="dxa"/>
            <w:tcBorders>
              <w:bottom w:val="single" w:sz="8" w:space="0" w:color="auto"/>
            </w:tcBorders>
            <w:vAlign w:val="bottom"/>
          </w:tcPr>
          <w:p w:rsidR="005A54F9" w:rsidRDefault="005442FA">
            <w:pPr>
              <w:ind w:right="780"/>
              <w:jc w:val="center"/>
              <w:rPr>
                <w:sz w:val="20"/>
                <w:szCs w:val="20"/>
              </w:rPr>
            </w:pPr>
            <w:r>
              <w:rPr>
                <w:rFonts w:eastAsia="Times New Roman"/>
                <w:w w:val="99"/>
                <w:sz w:val="24"/>
                <w:szCs w:val="24"/>
              </w:rPr>
              <w:t>0.348</w:t>
            </w:r>
          </w:p>
        </w:tc>
      </w:tr>
      <w:tr w:rsidR="005A54F9">
        <w:trPr>
          <w:trHeight w:val="242"/>
        </w:trPr>
        <w:tc>
          <w:tcPr>
            <w:tcW w:w="2180" w:type="dxa"/>
            <w:vAlign w:val="bottom"/>
          </w:tcPr>
          <w:p w:rsidR="005A54F9" w:rsidRDefault="005442FA">
            <w:pPr>
              <w:spacing w:line="242" w:lineRule="exact"/>
              <w:ind w:left="100"/>
              <w:rPr>
                <w:sz w:val="20"/>
                <w:szCs w:val="20"/>
              </w:rPr>
            </w:pPr>
            <w:r>
              <w:rPr>
                <w:rFonts w:eastAsia="Times New Roman"/>
                <w:sz w:val="24"/>
                <w:szCs w:val="24"/>
              </w:rPr>
              <w:t>Experienced Safety</w:t>
            </w:r>
          </w:p>
        </w:tc>
        <w:tc>
          <w:tcPr>
            <w:tcW w:w="2220" w:type="dxa"/>
            <w:vAlign w:val="bottom"/>
          </w:tcPr>
          <w:p w:rsidR="005A54F9" w:rsidRDefault="005442FA">
            <w:pPr>
              <w:spacing w:line="242" w:lineRule="exact"/>
              <w:ind w:left="100"/>
              <w:rPr>
                <w:sz w:val="20"/>
                <w:szCs w:val="20"/>
              </w:rPr>
            </w:pPr>
            <w:r>
              <w:rPr>
                <w:rFonts w:eastAsia="Times New Roman"/>
                <w:sz w:val="24"/>
                <w:szCs w:val="24"/>
              </w:rPr>
              <w:t>Age</w:t>
            </w:r>
          </w:p>
        </w:tc>
        <w:tc>
          <w:tcPr>
            <w:tcW w:w="1400" w:type="dxa"/>
            <w:vAlign w:val="bottom"/>
          </w:tcPr>
          <w:p w:rsidR="005A54F9" w:rsidRDefault="005442FA">
            <w:pPr>
              <w:spacing w:line="242" w:lineRule="exact"/>
              <w:ind w:right="560"/>
              <w:jc w:val="right"/>
              <w:rPr>
                <w:sz w:val="20"/>
                <w:szCs w:val="20"/>
              </w:rPr>
            </w:pPr>
            <w:r>
              <w:rPr>
                <w:rFonts w:eastAsia="Times New Roman"/>
                <w:sz w:val="24"/>
                <w:szCs w:val="24"/>
              </w:rPr>
              <w:t>0.153</w:t>
            </w:r>
          </w:p>
        </w:tc>
        <w:tc>
          <w:tcPr>
            <w:tcW w:w="900" w:type="dxa"/>
            <w:vAlign w:val="bottom"/>
          </w:tcPr>
          <w:p w:rsidR="005A54F9" w:rsidRDefault="005442FA">
            <w:pPr>
              <w:spacing w:line="242" w:lineRule="exact"/>
              <w:ind w:right="60"/>
              <w:jc w:val="right"/>
              <w:rPr>
                <w:sz w:val="20"/>
                <w:szCs w:val="20"/>
              </w:rPr>
            </w:pPr>
            <w:r>
              <w:rPr>
                <w:rFonts w:eastAsia="Times New Roman"/>
                <w:sz w:val="24"/>
                <w:szCs w:val="24"/>
              </w:rPr>
              <w:t>-0.053</w:t>
            </w:r>
          </w:p>
        </w:tc>
        <w:tc>
          <w:tcPr>
            <w:tcW w:w="1920" w:type="dxa"/>
            <w:vAlign w:val="bottom"/>
          </w:tcPr>
          <w:p w:rsidR="005A54F9" w:rsidRDefault="005442FA">
            <w:pPr>
              <w:spacing w:line="242" w:lineRule="exact"/>
              <w:ind w:right="780"/>
              <w:jc w:val="center"/>
              <w:rPr>
                <w:sz w:val="20"/>
                <w:szCs w:val="20"/>
              </w:rPr>
            </w:pPr>
            <w:r>
              <w:rPr>
                <w:rFonts w:eastAsia="Times New Roman"/>
                <w:w w:val="99"/>
                <w:sz w:val="24"/>
                <w:szCs w:val="24"/>
              </w:rPr>
              <w:t>0.342</w:t>
            </w:r>
          </w:p>
        </w:tc>
      </w:tr>
      <w:tr w:rsidR="005A54F9">
        <w:trPr>
          <w:trHeight w:val="276"/>
        </w:trPr>
        <w:tc>
          <w:tcPr>
            <w:tcW w:w="2180" w:type="dxa"/>
            <w:vAlign w:val="bottom"/>
          </w:tcPr>
          <w:p w:rsidR="005A54F9" w:rsidRDefault="005A54F9">
            <w:pPr>
              <w:rPr>
                <w:sz w:val="24"/>
                <w:szCs w:val="24"/>
              </w:rPr>
            </w:pPr>
          </w:p>
        </w:tc>
        <w:tc>
          <w:tcPr>
            <w:tcW w:w="2220" w:type="dxa"/>
            <w:vAlign w:val="bottom"/>
          </w:tcPr>
          <w:p w:rsidR="005A54F9" w:rsidRDefault="005442FA">
            <w:pPr>
              <w:ind w:left="100"/>
              <w:rPr>
                <w:sz w:val="20"/>
                <w:szCs w:val="20"/>
              </w:rPr>
            </w:pPr>
            <w:r>
              <w:rPr>
                <w:rFonts w:eastAsia="Times New Roman"/>
                <w:sz w:val="24"/>
                <w:szCs w:val="24"/>
              </w:rPr>
              <w:t>Length of stay</w:t>
            </w:r>
          </w:p>
        </w:tc>
        <w:tc>
          <w:tcPr>
            <w:tcW w:w="1400" w:type="dxa"/>
            <w:vAlign w:val="bottom"/>
          </w:tcPr>
          <w:p w:rsidR="005A54F9" w:rsidRDefault="005442FA">
            <w:pPr>
              <w:ind w:right="560"/>
              <w:jc w:val="right"/>
              <w:rPr>
                <w:sz w:val="20"/>
                <w:szCs w:val="20"/>
              </w:rPr>
            </w:pPr>
            <w:r>
              <w:rPr>
                <w:rFonts w:eastAsia="Times New Roman"/>
                <w:sz w:val="24"/>
                <w:szCs w:val="24"/>
              </w:rPr>
              <w:t>0.099</w:t>
            </w:r>
          </w:p>
        </w:tc>
        <w:tc>
          <w:tcPr>
            <w:tcW w:w="900" w:type="dxa"/>
            <w:vAlign w:val="bottom"/>
          </w:tcPr>
          <w:p w:rsidR="005A54F9" w:rsidRDefault="005442FA">
            <w:pPr>
              <w:ind w:right="60"/>
              <w:jc w:val="right"/>
              <w:rPr>
                <w:sz w:val="20"/>
                <w:szCs w:val="20"/>
              </w:rPr>
            </w:pPr>
            <w:r>
              <w:rPr>
                <w:rFonts w:eastAsia="Times New Roman"/>
                <w:sz w:val="24"/>
                <w:szCs w:val="24"/>
              </w:rPr>
              <w:t>-0.100</w:t>
            </w:r>
          </w:p>
        </w:tc>
        <w:tc>
          <w:tcPr>
            <w:tcW w:w="1920" w:type="dxa"/>
            <w:vAlign w:val="bottom"/>
          </w:tcPr>
          <w:p w:rsidR="005A54F9" w:rsidRDefault="005442FA">
            <w:pPr>
              <w:ind w:right="780"/>
              <w:jc w:val="center"/>
              <w:rPr>
                <w:sz w:val="20"/>
                <w:szCs w:val="20"/>
              </w:rPr>
            </w:pPr>
            <w:r>
              <w:rPr>
                <w:rFonts w:eastAsia="Times New Roman"/>
                <w:w w:val="99"/>
                <w:sz w:val="24"/>
                <w:szCs w:val="24"/>
              </w:rPr>
              <w:t>0.288</w:t>
            </w:r>
          </w:p>
        </w:tc>
      </w:tr>
      <w:tr w:rsidR="005A54F9">
        <w:trPr>
          <w:trHeight w:val="276"/>
        </w:trPr>
        <w:tc>
          <w:tcPr>
            <w:tcW w:w="2180" w:type="dxa"/>
            <w:vAlign w:val="bottom"/>
          </w:tcPr>
          <w:p w:rsidR="005A54F9" w:rsidRDefault="005A54F9">
            <w:pPr>
              <w:rPr>
                <w:sz w:val="24"/>
                <w:szCs w:val="24"/>
              </w:rPr>
            </w:pPr>
          </w:p>
        </w:tc>
        <w:tc>
          <w:tcPr>
            <w:tcW w:w="2220" w:type="dxa"/>
            <w:vAlign w:val="bottom"/>
          </w:tcPr>
          <w:p w:rsidR="005A54F9" w:rsidRDefault="005442FA">
            <w:pPr>
              <w:ind w:left="100"/>
              <w:rPr>
                <w:sz w:val="20"/>
                <w:szCs w:val="20"/>
              </w:rPr>
            </w:pPr>
            <w:r>
              <w:rPr>
                <w:rFonts w:eastAsia="Times New Roman"/>
                <w:sz w:val="24"/>
                <w:szCs w:val="24"/>
              </w:rPr>
              <w:t xml:space="preserve">PCL-R </w:t>
            </w:r>
            <w:r>
              <w:rPr>
                <w:rFonts w:eastAsia="Times New Roman"/>
                <w:sz w:val="24"/>
                <w:szCs w:val="24"/>
              </w:rPr>
              <w:t>Interpersonal</w:t>
            </w:r>
          </w:p>
        </w:tc>
        <w:tc>
          <w:tcPr>
            <w:tcW w:w="1400" w:type="dxa"/>
            <w:vAlign w:val="bottom"/>
          </w:tcPr>
          <w:p w:rsidR="005A54F9" w:rsidRDefault="005442FA">
            <w:pPr>
              <w:ind w:right="560"/>
              <w:jc w:val="right"/>
              <w:rPr>
                <w:sz w:val="20"/>
                <w:szCs w:val="20"/>
              </w:rPr>
            </w:pPr>
            <w:r>
              <w:rPr>
                <w:rFonts w:eastAsia="Times New Roman"/>
                <w:sz w:val="24"/>
                <w:szCs w:val="24"/>
              </w:rPr>
              <w:t>-0.016</w:t>
            </w:r>
          </w:p>
        </w:tc>
        <w:tc>
          <w:tcPr>
            <w:tcW w:w="900" w:type="dxa"/>
            <w:vAlign w:val="bottom"/>
          </w:tcPr>
          <w:p w:rsidR="005A54F9" w:rsidRDefault="005442FA">
            <w:pPr>
              <w:ind w:right="60"/>
              <w:jc w:val="right"/>
              <w:rPr>
                <w:sz w:val="20"/>
                <w:szCs w:val="20"/>
              </w:rPr>
            </w:pPr>
            <w:r>
              <w:rPr>
                <w:rFonts w:eastAsia="Times New Roman"/>
                <w:sz w:val="24"/>
                <w:szCs w:val="24"/>
              </w:rPr>
              <w:t>-0.245</w:t>
            </w:r>
          </w:p>
        </w:tc>
        <w:tc>
          <w:tcPr>
            <w:tcW w:w="1920" w:type="dxa"/>
            <w:vAlign w:val="bottom"/>
          </w:tcPr>
          <w:p w:rsidR="005A54F9" w:rsidRDefault="005442FA">
            <w:pPr>
              <w:ind w:right="780"/>
              <w:jc w:val="center"/>
              <w:rPr>
                <w:sz w:val="20"/>
                <w:szCs w:val="20"/>
              </w:rPr>
            </w:pPr>
            <w:r>
              <w:rPr>
                <w:rFonts w:eastAsia="Times New Roman"/>
                <w:w w:val="99"/>
                <w:sz w:val="24"/>
                <w:szCs w:val="24"/>
              </w:rPr>
              <w:t>0.217</w:t>
            </w:r>
          </w:p>
        </w:tc>
      </w:tr>
      <w:tr w:rsidR="005A54F9">
        <w:trPr>
          <w:trHeight w:val="276"/>
        </w:trPr>
        <w:tc>
          <w:tcPr>
            <w:tcW w:w="2180" w:type="dxa"/>
            <w:vAlign w:val="bottom"/>
          </w:tcPr>
          <w:p w:rsidR="005A54F9" w:rsidRDefault="005A54F9">
            <w:pPr>
              <w:rPr>
                <w:sz w:val="24"/>
                <w:szCs w:val="24"/>
              </w:rPr>
            </w:pPr>
          </w:p>
        </w:tc>
        <w:tc>
          <w:tcPr>
            <w:tcW w:w="2220" w:type="dxa"/>
            <w:vAlign w:val="bottom"/>
          </w:tcPr>
          <w:p w:rsidR="005A54F9" w:rsidRDefault="005442FA">
            <w:pPr>
              <w:ind w:left="100"/>
              <w:rPr>
                <w:sz w:val="20"/>
                <w:szCs w:val="20"/>
              </w:rPr>
            </w:pPr>
            <w:r>
              <w:rPr>
                <w:rFonts w:eastAsia="Times New Roman"/>
                <w:sz w:val="24"/>
                <w:szCs w:val="24"/>
              </w:rPr>
              <w:t>PCL-R Affective</w:t>
            </w:r>
          </w:p>
        </w:tc>
        <w:tc>
          <w:tcPr>
            <w:tcW w:w="1400" w:type="dxa"/>
            <w:vAlign w:val="bottom"/>
          </w:tcPr>
          <w:p w:rsidR="005A54F9" w:rsidRDefault="005442FA">
            <w:pPr>
              <w:ind w:right="560"/>
              <w:jc w:val="right"/>
              <w:rPr>
                <w:sz w:val="20"/>
                <w:szCs w:val="20"/>
              </w:rPr>
            </w:pPr>
            <w:r>
              <w:rPr>
                <w:rFonts w:eastAsia="Times New Roman"/>
                <w:sz w:val="24"/>
                <w:szCs w:val="24"/>
              </w:rPr>
              <w:t>0.137</w:t>
            </w:r>
          </w:p>
        </w:tc>
        <w:tc>
          <w:tcPr>
            <w:tcW w:w="900" w:type="dxa"/>
            <w:vAlign w:val="bottom"/>
          </w:tcPr>
          <w:p w:rsidR="005A54F9" w:rsidRDefault="005442FA">
            <w:pPr>
              <w:ind w:right="60"/>
              <w:jc w:val="right"/>
              <w:rPr>
                <w:sz w:val="20"/>
                <w:szCs w:val="20"/>
              </w:rPr>
            </w:pPr>
            <w:r>
              <w:rPr>
                <w:rFonts w:eastAsia="Times New Roman"/>
                <w:sz w:val="24"/>
                <w:szCs w:val="24"/>
              </w:rPr>
              <w:t>-0.106</w:t>
            </w:r>
          </w:p>
        </w:tc>
        <w:tc>
          <w:tcPr>
            <w:tcW w:w="1920" w:type="dxa"/>
            <w:vAlign w:val="bottom"/>
          </w:tcPr>
          <w:p w:rsidR="005A54F9" w:rsidRDefault="005442FA">
            <w:pPr>
              <w:ind w:right="780"/>
              <w:jc w:val="center"/>
              <w:rPr>
                <w:sz w:val="20"/>
                <w:szCs w:val="20"/>
              </w:rPr>
            </w:pPr>
            <w:r>
              <w:rPr>
                <w:rFonts w:eastAsia="Times New Roman"/>
                <w:w w:val="99"/>
                <w:sz w:val="24"/>
                <w:szCs w:val="24"/>
              </w:rPr>
              <w:t>0.368</w:t>
            </w:r>
          </w:p>
        </w:tc>
      </w:tr>
      <w:tr w:rsidR="005A54F9">
        <w:trPr>
          <w:trHeight w:val="276"/>
        </w:trPr>
        <w:tc>
          <w:tcPr>
            <w:tcW w:w="2180" w:type="dxa"/>
            <w:vAlign w:val="bottom"/>
          </w:tcPr>
          <w:p w:rsidR="005A54F9" w:rsidRDefault="005A54F9">
            <w:pPr>
              <w:rPr>
                <w:sz w:val="24"/>
                <w:szCs w:val="24"/>
              </w:rPr>
            </w:pPr>
          </w:p>
        </w:tc>
        <w:tc>
          <w:tcPr>
            <w:tcW w:w="2220" w:type="dxa"/>
            <w:vAlign w:val="bottom"/>
          </w:tcPr>
          <w:p w:rsidR="005A54F9" w:rsidRDefault="005442FA">
            <w:pPr>
              <w:ind w:left="100"/>
              <w:rPr>
                <w:sz w:val="20"/>
                <w:szCs w:val="20"/>
              </w:rPr>
            </w:pPr>
            <w:r>
              <w:rPr>
                <w:rFonts w:eastAsia="Times New Roman"/>
                <w:sz w:val="24"/>
                <w:szCs w:val="24"/>
              </w:rPr>
              <w:t>PCL-R Lifestyle</w:t>
            </w:r>
          </w:p>
        </w:tc>
        <w:tc>
          <w:tcPr>
            <w:tcW w:w="1400" w:type="dxa"/>
            <w:vAlign w:val="bottom"/>
          </w:tcPr>
          <w:p w:rsidR="005A54F9" w:rsidRDefault="005442FA">
            <w:pPr>
              <w:ind w:right="560"/>
              <w:jc w:val="right"/>
              <w:rPr>
                <w:sz w:val="20"/>
                <w:szCs w:val="20"/>
              </w:rPr>
            </w:pPr>
            <w:r>
              <w:rPr>
                <w:rFonts w:eastAsia="Times New Roman"/>
                <w:sz w:val="24"/>
                <w:szCs w:val="24"/>
              </w:rPr>
              <w:t>0.183</w:t>
            </w:r>
          </w:p>
        </w:tc>
        <w:tc>
          <w:tcPr>
            <w:tcW w:w="900" w:type="dxa"/>
            <w:vAlign w:val="bottom"/>
          </w:tcPr>
          <w:p w:rsidR="005A54F9" w:rsidRDefault="005442FA">
            <w:pPr>
              <w:ind w:right="60"/>
              <w:jc w:val="right"/>
              <w:rPr>
                <w:sz w:val="20"/>
                <w:szCs w:val="20"/>
              </w:rPr>
            </w:pPr>
            <w:r>
              <w:rPr>
                <w:rFonts w:eastAsia="Times New Roman"/>
                <w:sz w:val="24"/>
                <w:szCs w:val="24"/>
              </w:rPr>
              <w:t>-0.074</w:t>
            </w:r>
          </w:p>
        </w:tc>
        <w:tc>
          <w:tcPr>
            <w:tcW w:w="1920" w:type="dxa"/>
            <w:vAlign w:val="bottom"/>
          </w:tcPr>
          <w:p w:rsidR="005A54F9" w:rsidRDefault="005442FA">
            <w:pPr>
              <w:ind w:right="780"/>
              <w:jc w:val="center"/>
              <w:rPr>
                <w:sz w:val="20"/>
                <w:szCs w:val="20"/>
              </w:rPr>
            </w:pPr>
            <w:r>
              <w:rPr>
                <w:rFonts w:eastAsia="Times New Roman"/>
                <w:w w:val="99"/>
                <w:sz w:val="24"/>
                <w:szCs w:val="24"/>
              </w:rPr>
              <w:t>0.425</w:t>
            </w:r>
          </w:p>
        </w:tc>
      </w:tr>
      <w:tr w:rsidR="005A54F9">
        <w:trPr>
          <w:trHeight w:val="278"/>
        </w:trPr>
        <w:tc>
          <w:tcPr>
            <w:tcW w:w="2180" w:type="dxa"/>
            <w:vAlign w:val="bottom"/>
          </w:tcPr>
          <w:p w:rsidR="005A54F9" w:rsidRDefault="005A54F9">
            <w:pPr>
              <w:rPr>
                <w:sz w:val="24"/>
                <w:szCs w:val="24"/>
              </w:rPr>
            </w:pPr>
          </w:p>
        </w:tc>
        <w:tc>
          <w:tcPr>
            <w:tcW w:w="2220" w:type="dxa"/>
            <w:vAlign w:val="bottom"/>
          </w:tcPr>
          <w:p w:rsidR="005A54F9" w:rsidRDefault="005442FA">
            <w:pPr>
              <w:ind w:left="100"/>
              <w:rPr>
                <w:sz w:val="20"/>
                <w:szCs w:val="20"/>
              </w:rPr>
            </w:pPr>
            <w:r>
              <w:rPr>
                <w:rFonts w:eastAsia="Times New Roman"/>
                <w:sz w:val="24"/>
                <w:szCs w:val="24"/>
              </w:rPr>
              <w:t>PCL-R Antisocial</w:t>
            </w:r>
          </w:p>
        </w:tc>
        <w:tc>
          <w:tcPr>
            <w:tcW w:w="1400" w:type="dxa"/>
            <w:vAlign w:val="bottom"/>
          </w:tcPr>
          <w:p w:rsidR="005A54F9" w:rsidRDefault="005442FA">
            <w:pPr>
              <w:ind w:right="560"/>
              <w:jc w:val="right"/>
              <w:rPr>
                <w:sz w:val="20"/>
                <w:szCs w:val="20"/>
              </w:rPr>
            </w:pPr>
            <w:r>
              <w:rPr>
                <w:rFonts w:eastAsia="Times New Roman"/>
                <w:sz w:val="24"/>
                <w:szCs w:val="24"/>
              </w:rPr>
              <w:t>-0.194</w:t>
            </w:r>
          </w:p>
        </w:tc>
        <w:tc>
          <w:tcPr>
            <w:tcW w:w="900" w:type="dxa"/>
            <w:vAlign w:val="bottom"/>
          </w:tcPr>
          <w:p w:rsidR="005A54F9" w:rsidRDefault="005442FA">
            <w:pPr>
              <w:ind w:right="60"/>
              <w:jc w:val="right"/>
              <w:rPr>
                <w:sz w:val="20"/>
                <w:szCs w:val="20"/>
              </w:rPr>
            </w:pPr>
            <w:r>
              <w:rPr>
                <w:rFonts w:eastAsia="Times New Roman"/>
                <w:sz w:val="24"/>
                <w:szCs w:val="24"/>
              </w:rPr>
              <w:t>-0.485</w:t>
            </w:r>
          </w:p>
        </w:tc>
        <w:tc>
          <w:tcPr>
            <w:tcW w:w="1920" w:type="dxa"/>
            <w:vAlign w:val="bottom"/>
          </w:tcPr>
          <w:p w:rsidR="005A54F9" w:rsidRDefault="005442FA">
            <w:pPr>
              <w:ind w:right="780"/>
              <w:jc w:val="center"/>
              <w:rPr>
                <w:sz w:val="20"/>
                <w:szCs w:val="20"/>
              </w:rPr>
            </w:pPr>
            <w:r>
              <w:rPr>
                <w:rFonts w:eastAsia="Times New Roman"/>
                <w:w w:val="99"/>
                <w:sz w:val="24"/>
                <w:szCs w:val="24"/>
              </w:rPr>
              <w:t>0.118</w:t>
            </w:r>
          </w:p>
        </w:tc>
      </w:tr>
      <w:tr w:rsidR="005A54F9">
        <w:trPr>
          <w:trHeight w:val="276"/>
        </w:trPr>
        <w:tc>
          <w:tcPr>
            <w:tcW w:w="2180" w:type="dxa"/>
            <w:vAlign w:val="bottom"/>
          </w:tcPr>
          <w:p w:rsidR="005A54F9" w:rsidRDefault="005A54F9">
            <w:pPr>
              <w:rPr>
                <w:sz w:val="24"/>
                <w:szCs w:val="24"/>
              </w:rPr>
            </w:pPr>
          </w:p>
        </w:tc>
        <w:tc>
          <w:tcPr>
            <w:tcW w:w="2220" w:type="dxa"/>
            <w:vAlign w:val="bottom"/>
          </w:tcPr>
          <w:p w:rsidR="005A54F9" w:rsidRDefault="005442FA">
            <w:pPr>
              <w:ind w:left="100"/>
              <w:rPr>
                <w:sz w:val="20"/>
                <w:szCs w:val="20"/>
              </w:rPr>
            </w:pPr>
            <w:r>
              <w:rPr>
                <w:rFonts w:eastAsia="Times New Roman"/>
                <w:sz w:val="24"/>
                <w:szCs w:val="24"/>
              </w:rPr>
              <w:t>HCR-20 Clinical</w:t>
            </w:r>
          </w:p>
        </w:tc>
        <w:tc>
          <w:tcPr>
            <w:tcW w:w="1400" w:type="dxa"/>
            <w:vAlign w:val="bottom"/>
          </w:tcPr>
          <w:p w:rsidR="005A54F9" w:rsidRDefault="005442FA">
            <w:pPr>
              <w:ind w:right="560"/>
              <w:jc w:val="right"/>
              <w:rPr>
                <w:sz w:val="20"/>
                <w:szCs w:val="20"/>
              </w:rPr>
            </w:pPr>
            <w:r>
              <w:rPr>
                <w:rFonts w:eastAsia="Times New Roman"/>
                <w:sz w:val="24"/>
                <w:szCs w:val="24"/>
              </w:rPr>
              <w:t>-0.027</w:t>
            </w:r>
          </w:p>
        </w:tc>
        <w:tc>
          <w:tcPr>
            <w:tcW w:w="900" w:type="dxa"/>
            <w:vAlign w:val="bottom"/>
          </w:tcPr>
          <w:p w:rsidR="005A54F9" w:rsidRDefault="005442FA">
            <w:pPr>
              <w:ind w:right="60"/>
              <w:jc w:val="right"/>
              <w:rPr>
                <w:sz w:val="20"/>
                <w:szCs w:val="20"/>
              </w:rPr>
            </w:pPr>
            <w:r>
              <w:rPr>
                <w:rFonts w:eastAsia="Times New Roman"/>
                <w:sz w:val="24"/>
                <w:szCs w:val="24"/>
              </w:rPr>
              <w:t>-0.295</w:t>
            </w:r>
          </w:p>
        </w:tc>
        <w:tc>
          <w:tcPr>
            <w:tcW w:w="1920" w:type="dxa"/>
            <w:vAlign w:val="bottom"/>
          </w:tcPr>
          <w:p w:rsidR="005A54F9" w:rsidRDefault="005442FA">
            <w:pPr>
              <w:ind w:right="780"/>
              <w:jc w:val="center"/>
              <w:rPr>
                <w:sz w:val="20"/>
                <w:szCs w:val="20"/>
              </w:rPr>
            </w:pPr>
            <w:r>
              <w:rPr>
                <w:rFonts w:eastAsia="Times New Roman"/>
                <w:w w:val="99"/>
                <w:sz w:val="24"/>
                <w:szCs w:val="24"/>
              </w:rPr>
              <w:t>0.245</w:t>
            </w:r>
          </w:p>
        </w:tc>
      </w:tr>
      <w:tr w:rsidR="005A54F9">
        <w:trPr>
          <w:trHeight w:val="290"/>
        </w:trPr>
        <w:tc>
          <w:tcPr>
            <w:tcW w:w="2180" w:type="dxa"/>
            <w:vAlign w:val="bottom"/>
          </w:tcPr>
          <w:p w:rsidR="005A54F9" w:rsidRDefault="005A54F9">
            <w:pPr>
              <w:rPr>
                <w:sz w:val="24"/>
                <w:szCs w:val="24"/>
              </w:rPr>
            </w:pPr>
          </w:p>
        </w:tc>
        <w:tc>
          <w:tcPr>
            <w:tcW w:w="2220" w:type="dxa"/>
            <w:vAlign w:val="bottom"/>
          </w:tcPr>
          <w:p w:rsidR="005A54F9" w:rsidRDefault="005442FA">
            <w:pPr>
              <w:ind w:left="100"/>
              <w:rPr>
                <w:sz w:val="20"/>
                <w:szCs w:val="20"/>
              </w:rPr>
            </w:pPr>
            <w:r>
              <w:rPr>
                <w:rFonts w:eastAsia="Times New Roman"/>
                <w:sz w:val="24"/>
                <w:szCs w:val="24"/>
              </w:rPr>
              <w:t>HCR-20 Historical</w:t>
            </w:r>
          </w:p>
        </w:tc>
        <w:tc>
          <w:tcPr>
            <w:tcW w:w="1400" w:type="dxa"/>
            <w:vAlign w:val="bottom"/>
          </w:tcPr>
          <w:p w:rsidR="005A54F9" w:rsidRDefault="005442FA">
            <w:pPr>
              <w:ind w:right="560"/>
              <w:jc w:val="right"/>
              <w:rPr>
                <w:sz w:val="20"/>
                <w:szCs w:val="20"/>
              </w:rPr>
            </w:pPr>
            <w:r>
              <w:rPr>
                <w:rFonts w:eastAsia="Times New Roman"/>
                <w:sz w:val="24"/>
                <w:szCs w:val="24"/>
              </w:rPr>
              <w:t>0.333</w:t>
            </w:r>
          </w:p>
        </w:tc>
        <w:tc>
          <w:tcPr>
            <w:tcW w:w="900" w:type="dxa"/>
            <w:vAlign w:val="bottom"/>
          </w:tcPr>
          <w:p w:rsidR="005A54F9" w:rsidRDefault="005442FA">
            <w:pPr>
              <w:ind w:right="80"/>
              <w:jc w:val="right"/>
              <w:rPr>
                <w:sz w:val="20"/>
                <w:szCs w:val="20"/>
              </w:rPr>
            </w:pPr>
            <w:r>
              <w:rPr>
                <w:rFonts w:eastAsia="Times New Roman"/>
                <w:sz w:val="24"/>
                <w:szCs w:val="24"/>
              </w:rPr>
              <w:t>0.037</w:t>
            </w:r>
          </w:p>
        </w:tc>
        <w:tc>
          <w:tcPr>
            <w:tcW w:w="1920" w:type="dxa"/>
            <w:vAlign w:val="bottom"/>
          </w:tcPr>
          <w:p w:rsidR="005A54F9" w:rsidRDefault="005442FA">
            <w:pPr>
              <w:ind w:right="640"/>
              <w:jc w:val="center"/>
              <w:rPr>
                <w:sz w:val="20"/>
                <w:szCs w:val="20"/>
              </w:rPr>
            </w:pPr>
            <w:r>
              <w:rPr>
                <w:rFonts w:eastAsia="Times New Roman"/>
                <w:w w:val="99"/>
                <w:sz w:val="24"/>
                <w:szCs w:val="24"/>
              </w:rPr>
              <w:t>0.593 *</w:t>
            </w:r>
          </w:p>
        </w:tc>
      </w:tr>
      <w:tr w:rsidR="005A54F9">
        <w:trPr>
          <w:trHeight w:val="302"/>
        </w:trPr>
        <w:tc>
          <w:tcPr>
            <w:tcW w:w="2180" w:type="dxa"/>
            <w:tcBorders>
              <w:bottom w:val="single" w:sz="8" w:space="0" w:color="auto"/>
            </w:tcBorders>
            <w:vAlign w:val="bottom"/>
          </w:tcPr>
          <w:p w:rsidR="005A54F9" w:rsidRDefault="005A54F9">
            <w:pPr>
              <w:rPr>
                <w:sz w:val="24"/>
                <w:szCs w:val="24"/>
              </w:rPr>
            </w:pPr>
          </w:p>
        </w:tc>
        <w:tc>
          <w:tcPr>
            <w:tcW w:w="2220" w:type="dxa"/>
            <w:tcBorders>
              <w:bottom w:val="single" w:sz="8" w:space="0" w:color="auto"/>
            </w:tcBorders>
            <w:vAlign w:val="bottom"/>
          </w:tcPr>
          <w:p w:rsidR="005A54F9" w:rsidRDefault="005442FA">
            <w:pPr>
              <w:ind w:left="100"/>
              <w:rPr>
                <w:sz w:val="20"/>
                <w:szCs w:val="20"/>
              </w:rPr>
            </w:pPr>
            <w:r>
              <w:rPr>
                <w:rFonts w:eastAsia="Times New Roman"/>
                <w:sz w:val="24"/>
                <w:szCs w:val="24"/>
              </w:rPr>
              <w:t>HCR-20 Risk</w:t>
            </w:r>
          </w:p>
        </w:tc>
        <w:tc>
          <w:tcPr>
            <w:tcW w:w="1400" w:type="dxa"/>
            <w:tcBorders>
              <w:bottom w:val="single" w:sz="8" w:space="0" w:color="auto"/>
            </w:tcBorders>
            <w:vAlign w:val="bottom"/>
          </w:tcPr>
          <w:p w:rsidR="005A54F9" w:rsidRDefault="005442FA">
            <w:pPr>
              <w:ind w:right="560"/>
              <w:jc w:val="right"/>
              <w:rPr>
                <w:sz w:val="20"/>
                <w:szCs w:val="20"/>
              </w:rPr>
            </w:pPr>
            <w:r>
              <w:rPr>
                <w:rFonts w:eastAsia="Times New Roman"/>
                <w:sz w:val="24"/>
                <w:szCs w:val="24"/>
              </w:rPr>
              <w:t>-0.114</w:t>
            </w:r>
          </w:p>
        </w:tc>
        <w:tc>
          <w:tcPr>
            <w:tcW w:w="900" w:type="dxa"/>
            <w:tcBorders>
              <w:bottom w:val="single" w:sz="8" w:space="0" w:color="auto"/>
            </w:tcBorders>
            <w:vAlign w:val="bottom"/>
          </w:tcPr>
          <w:p w:rsidR="005A54F9" w:rsidRDefault="005442FA">
            <w:pPr>
              <w:ind w:right="60"/>
              <w:jc w:val="right"/>
              <w:rPr>
                <w:sz w:val="20"/>
                <w:szCs w:val="20"/>
              </w:rPr>
            </w:pPr>
            <w:r>
              <w:rPr>
                <w:rFonts w:eastAsia="Times New Roman"/>
                <w:sz w:val="24"/>
                <w:szCs w:val="24"/>
              </w:rPr>
              <w:t>-0.363</w:t>
            </w:r>
          </w:p>
        </w:tc>
        <w:tc>
          <w:tcPr>
            <w:tcW w:w="1920" w:type="dxa"/>
            <w:tcBorders>
              <w:bottom w:val="single" w:sz="8" w:space="0" w:color="auto"/>
            </w:tcBorders>
            <w:vAlign w:val="bottom"/>
          </w:tcPr>
          <w:p w:rsidR="005A54F9" w:rsidRDefault="005442FA">
            <w:pPr>
              <w:ind w:right="780"/>
              <w:jc w:val="center"/>
              <w:rPr>
                <w:sz w:val="20"/>
                <w:szCs w:val="20"/>
              </w:rPr>
            </w:pPr>
            <w:r>
              <w:rPr>
                <w:rFonts w:eastAsia="Times New Roman"/>
                <w:w w:val="99"/>
                <w:sz w:val="24"/>
                <w:szCs w:val="24"/>
              </w:rPr>
              <w:t>0.151</w:t>
            </w:r>
          </w:p>
        </w:tc>
      </w:tr>
      <w:tr w:rsidR="005A54F9">
        <w:trPr>
          <w:trHeight w:val="242"/>
        </w:trPr>
        <w:tc>
          <w:tcPr>
            <w:tcW w:w="2180" w:type="dxa"/>
            <w:vAlign w:val="bottom"/>
          </w:tcPr>
          <w:p w:rsidR="005A54F9" w:rsidRDefault="005442FA">
            <w:pPr>
              <w:spacing w:line="242" w:lineRule="exact"/>
              <w:ind w:left="100"/>
              <w:rPr>
                <w:sz w:val="20"/>
                <w:szCs w:val="20"/>
              </w:rPr>
            </w:pPr>
            <w:r>
              <w:rPr>
                <w:rFonts w:eastAsia="Times New Roman"/>
                <w:sz w:val="24"/>
                <w:szCs w:val="24"/>
              </w:rPr>
              <w:t>Therapeutic Hold</w:t>
            </w:r>
          </w:p>
        </w:tc>
        <w:tc>
          <w:tcPr>
            <w:tcW w:w="2220" w:type="dxa"/>
            <w:vAlign w:val="bottom"/>
          </w:tcPr>
          <w:p w:rsidR="005A54F9" w:rsidRDefault="005442FA">
            <w:pPr>
              <w:spacing w:line="242" w:lineRule="exact"/>
              <w:ind w:left="100"/>
              <w:rPr>
                <w:sz w:val="20"/>
                <w:szCs w:val="20"/>
              </w:rPr>
            </w:pPr>
            <w:r>
              <w:rPr>
                <w:rFonts w:eastAsia="Times New Roman"/>
                <w:sz w:val="24"/>
                <w:szCs w:val="24"/>
              </w:rPr>
              <w:t>Age</w:t>
            </w:r>
          </w:p>
        </w:tc>
        <w:tc>
          <w:tcPr>
            <w:tcW w:w="1400" w:type="dxa"/>
            <w:vAlign w:val="bottom"/>
          </w:tcPr>
          <w:p w:rsidR="005A54F9" w:rsidRDefault="005442FA">
            <w:pPr>
              <w:spacing w:line="242" w:lineRule="exact"/>
              <w:ind w:right="560"/>
              <w:jc w:val="right"/>
              <w:rPr>
                <w:sz w:val="20"/>
                <w:szCs w:val="20"/>
              </w:rPr>
            </w:pPr>
            <w:r>
              <w:rPr>
                <w:rFonts w:eastAsia="Times New Roman"/>
                <w:sz w:val="24"/>
                <w:szCs w:val="24"/>
              </w:rPr>
              <w:t>0.265</w:t>
            </w:r>
          </w:p>
        </w:tc>
        <w:tc>
          <w:tcPr>
            <w:tcW w:w="900" w:type="dxa"/>
            <w:vAlign w:val="bottom"/>
          </w:tcPr>
          <w:p w:rsidR="005A54F9" w:rsidRDefault="005442FA">
            <w:pPr>
              <w:spacing w:line="242" w:lineRule="exact"/>
              <w:ind w:right="80"/>
              <w:jc w:val="right"/>
              <w:rPr>
                <w:sz w:val="20"/>
                <w:szCs w:val="20"/>
              </w:rPr>
            </w:pPr>
            <w:r>
              <w:rPr>
                <w:rFonts w:eastAsia="Times New Roman"/>
                <w:sz w:val="24"/>
                <w:szCs w:val="24"/>
              </w:rPr>
              <w:t>0.070</w:t>
            </w:r>
          </w:p>
        </w:tc>
        <w:tc>
          <w:tcPr>
            <w:tcW w:w="1920" w:type="dxa"/>
            <w:vAlign w:val="bottom"/>
          </w:tcPr>
          <w:p w:rsidR="005A54F9" w:rsidRDefault="005442FA">
            <w:pPr>
              <w:spacing w:line="242" w:lineRule="exact"/>
              <w:ind w:right="640"/>
              <w:jc w:val="center"/>
              <w:rPr>
                <w:sz w:val="20"/>
                <w:szCs w:val="20"/>
              </w:rPr>
            </w:pPr>
            <w:r>
              <w:rPr>
                <w:rFonts w:eastAsia="Times New Roman"/>
                <w:w w:val="99"/>
                <w:sz w:val="24"/>
                <w:szCs w:val="24"/>
              </w:rPr>
              <w:t>0.440 *</w:t>
            </w:r>
          </w:p>
        </w:tc>
      </w:tr>
      <w:tr w:rsidR="005A54F9">
        <w:trPr>
          <w:trHeight w:val="276"/>
        </w:trPr>
        <w:tc>
          <w:tcPr>
            <w:tcW w:w="2180" w:type="dxa"/>
            <w:vAlign w:val="bottom"/>
          </w:tcPr>
          <w:p w:rsidR="005A54F9" w:rsidRDefault="005A54F9">
            <w:pPr>
              <w:rPr>
                <w:sz w:val="24"/>
                <w:szCs w:val="24"/>
              </w:rPr>
            </w:pPr>
          </w:p>
        </w:tc>
        <w:tc>
          <w:tcPr>
            <w:tcW w:w="2220" w:type="dxa"/>
            <w:vAlign w:val="bottom"/>
          </w:tcPr>
          <w:p w:rsidR="005A54F9" w:rsidRDefault="005442FA">
            <w:pPr>
              <w:ind w:left="100"/>
              <w:rPr>
                <w:sz w:val="20"/>
                <w:szCs w:val="20"/>
              </w:rPr>
            </w:pPr>
            <w:r>
              <w:rPr>
                <w:rFonts w:eastAsia="Times New Roman"/>
                <w:sz w:val="24"/>
                <w:szCs w:val="24"/>
              </w:rPr>
              <w:t>Length of stay</w:t>
            </w:r>
          </w:p>
        </w:tc>
        <w:tc>
          <w:tcPr>
            <w:tcW w:w="1400" w:type="dxa"/>
            <w:vAlign w:val="bottom"/>
          </w:tcPr>
          <w:p w:rsidR="005A54F9" w:rsidRDefault="005442FA">
            <w:pPr>
              <w:ind w:right="560"/>
              <w:jc w:val="right"/>
              <w:rPr>
                <w:sz w:val="20"/>
                <w:szCs w:val="20"/>
              </w:rPr>
            </w:pPr>
            <w:r>
              <w:rPr>
                <w:rFonts w:eastAsia="Times New Roman"/>
                <w:sz w:val="24"/>
                <w:szCs w:val="24"/>
              </w:rPr>
              <w:t>0.027</w:t>
            </w:r>
          </w:p>
        </w:tc>
        <w:tc>
          <w:tcPr>
            <w:tcW w:w="900" w:type="dxa"/>
            <w:vAlign w:val="bottom"/>
          </w:tcPr>
          <w:p w:rsidR="005A54F9" w:rsidRDefault="005442FA">
            <w:pPr>
              <w:ind w:right="60"/>
              <w:jc w:val="right"/>
              <w:rPr>
                <w:sz w:val="20"/>
                <w:szCs w:val="20"/>
              </w:rPr>
            </w:pPr>
            <w:r>
              <w:rPr>
                <w:rFonts w:eastAsia="Times New Roman"/>
                <w:sz w:val="24"/>
                <w:szCs w:val="24"/>
              </w:rPr>
              <w:t>-0.163</w:t>
            </w:r>
          </w:p>
        </w:tc>
        <w:tc>
          <w:tcPr>
            <w:tcW w:w="1920" w:type="dxa"/>
            <w:vAlign w:val="bottom"/>
          </w:tcPr>
          <w:p w:rsidR="005A54F9" w:rsidRDefault="005442FA">
            <w:pPr>
              <w:ind w:right="780"/>
              <w:jc w:val="center"/>
              <w:rPr>
                <w:sz w:val="20"/>
                <w:szCs w:val="20"/>
              </w:rPr>
            </w:pPr>
            <w:r>
              <w:rPr>
                <w:rFonts w:eastAsia="Times New Roman"/>
                <w:w w:val="99"/>
                <w:sz w:val="24"/>
                <w:szCs w:val="24"/>
              </w:rPr>
              <w:t>0.214</w:t>
            </w:r>
          </w:p>
        </w:tc>
      </w:tr>
      <w:tr w:rsidR="005A54F9">
        <w:trPr>
          <w:trHeight w:val="310"/>
        </w:trPr>
        <w:tc>
          <w:tcPr>
            <w:tcW w:w="2180" w:type="dxa"/>
            <w:vAlign w:val="bottom"/>
          </w:tcPr>
          <w:p w:rsidR="005A54F9" w:rsidRDefault="005A54F9">
            <w:pPr>
              <w:rPr>
                <w:sz w:val="24"/>
                <w:szCs w:val="24"/>
              </w:rPr>
            </w:pPr>
          </w:p>
        </w:tc>
        <w:tc>
          <w:tcPr>
            <w:tcW w:w="2220" w:type="dxa"/>
            <w:vAlign w:val="bottom"/>
          </w:tcPr>
          <w:p w:rsidR="005A54F9" w:rsidRDefault="005442FA">
            <w:pPr>
              <w:ind w:left="100"/>
              <w:rPr>
                <w:sz w:val="20"/>
                <w:szCs w:val="20"/>
              </w:rPr>
            </w:pPr>
            <w:r>
              <w:rPr>
                <w:rFonts w:eastAsia="Times New Roman"/>
                <w:sz w:val="24"/>
                <w:szCs w:val="24"/>
              </w:rPr>
              <w:t>PCL-R Interpersonal</w:t>
            </w:r>
          </w:p>
        </w:tc>
        <w:tc>
          <w:tcPr>
            <w:tcW w:w="1400" w:type="dxa"/>
            <w:vAlign w:val="bottom"/>
          </w:tcPr>
          <w:p w:rsidR="005A54F9" w:rsidRDefault="005442FA">
            <w:pPr>
              <w:ind w:right="560"/>
              <w:jc w:val="right"/>
              <w:rPr>
                <w:sz w:val="20"/>
                <w:szCs w:val="20"/>
              </w:rPr>
            </w:pPr>
            <w:r>
              <w:rPr>
                <w:rFonts w:eastAsia="Times New Roman"/>
                <w:sz w:val="24"/>
                <w:szCs w:val="24"/>
              </w:rPr>
              <w:t>0.229</w:t>
            </w:r>
          </w:p>
        </w:tc>
        <w:tc>
          <w:tcPr>
            <w:tcW w:w="900" w:type="dxa"/>
            <w:vAlign w:val="bottom"/>
          </w:tcPr>
          <w:p w:rsidR="005A54F9" w:rsidRDefault="005442FA">
            <w:pPr>
              <w:ind w:right="80"/>
              <w:jc w:val="right"/>
              <w:rPr>
                <w:sz w:val="20"/>
                <w:szCs w:val="20"/>
              </w:rPr>
            </w:pPr>
            <w:r>
              <w:rPr>
                <w:rFonts w:eastAsia="Times New Roman"/>
                <w:sz w:val="24"/>
                <w:szCs w:val="24"/>
              </w:rPr>
              <w:t>0.001</w:t>
            </w:r>
          </w:p>
        </w:tc>
        <w:tc>
          <w:tcPr>
            <w:tcW w:w="1920" w:type="dxa"/>
            <w:vAlign w:val="bottom"/>
          </w:tcPr>
          <w:p w:rsidR="005A54F9" w:rsidRDefault="005442FA">
            <w:pPr>
              <w:ind w:right="640"/>
              <w:jc w:val="center"/>
              <w:rPr>
                <w:sz w:val="20"/>
                <w:szCs w:val="20"/>
              </w:rPr>
            </w:pPr>
            <w:r>
              <w:rPr>
                <w:rFonts w:eastAsia="Times New Roman"/>
                <w:w w:val="99"/>
                <w:sz w:val="24"/>
                <w:szCs w:val="24"/>
              </w:rPr>
              <w:t>0.438 *</w:t>
            </w:r>
          </w:p>
        </w:tc>
      </w:tr>
      <w:tr w:rsidR="005A54F9">
        <w:trPr>
          <w:trHeight w:val="283"/>
        </w:trPr>
        <w:tc>
          <w:tcPr>
            <w:tcW w:w="2180" w:type="dxa"/>
            <w:vAlign w:val="bottom"/>
          </w:tcPr>
          <w:p w:rsidR="005A54F9" w:rsidRDefault="005A54F9">
            <w:pPr>
              <w:rPr>
                <w:sz w:val="24"/>
                <w:szCs w:val="24"/>
              </w:rPr>
            </w:pPr>
          </w:p>
        </w:tc>
        <w:tc>
          <w:tcPr>
            <w:tcW w:w="2220" w:type="dxa"/>
            <w:vAlign w:val="bottom"/>
          </w:tcPr>
          <w:p w:rsidR="005A54F9" w:rsidRDefault="005442FA">
            <w:pPr>
              <w:ind w:left="100"/>
              <w:rPr>
                <w:sz w:val="20"/>
                <w:szCs w:val="20"/>
              </w:rPr>
            </w:pPr>
            <w:r>
              <w:rPr>
                <w:rFonts w:eastAsia="Times New Roman"/>
                <w:sz w:val="24"/>
                <w:szCs w:val="24"/>
              </w:rPr>
              <w:t>PCL-R Affective</w:t>
            </w:r>
          </w:p>
        </w:tc>
        <w:tc>
          <w:tcPr>
            <w:tcW w:w="1400" w:type="dxa"/>
            <w:vAlign w:val="bottom"/>
          </w:tcPr>
          <w:p w:rsidR="005A54F9" w:rsidRDefault="005442FA">
            <w:pPr>
              <w:ind w:right="560"/>
              <w:jc w:val="right"/>
              <w:rPr>
                <w:sz w:val="20"/>
                <w:szCs w:val="20"/>
              </w:rPr>
            </w:pPr>
            <w:r>
              <w:rPr>
                <w:rFonts w:eastAsia="Times New Roman"/>
                <w:sz w:val="24"/>
                <w:szCs w:val="24"/>
              </w:rPr>
              <w:t>-0.047</w:t>
            </w:r>
          </w:p>
        </w:tc>
        <w:tc>
          <w:tcPr>
            <w:tcW w:w="900" w:type="dxa"/>
            <w:vAlign w:val="bottom"/>
          </w:tcPr>
          <w:p w:rsidR="005A54F9" w:rsidRDefault="005442FA">
            <w:pPr>
              <w:ind w:right="60"/>
              <w:jc w:val="right"/>
              <w:rPr>
                <w:sz w:val="20"/>
                <w:szCs w:val="20"/>
              </w:rPr>
            </w:pPr>
            <w:r>
              <w:rPr>
                <w:rFonts w:eastAsia="Times New Roman"/>
                <w:sz w:val="24"/>
                <w:szCs w:val="24"/>
              </w:rPr>
              <w:t>-0.276</w:t>
            </w:r>
          </w:p>
        </w:tc>
        <w:tc>
          <w:tcPr>
            <w:tcW w:w="1920" w:type="dxa"/>
            <w:vAlign w:val="bottom"/>
          </w:tcPr>
          <w:p w:rsidR="005A54F9" w:rsidRDefault="005442FA">
            <w:pPr>
              <w:ind w:right="780"/>
              <w:jc w:val="center"/>
              <w:rPr>
                <w:sz w:val="20"/>
                <w:szCs w:val="20"/>
              </w:rPr>
            </w:pPr>
            <w:r>
              <w:rPr>
                <w:rFonts w:eastAsia="Times New Roman"/>
                <w:w w:val="99"/>
                <w:sz w:val="24"/>
                <w:szCs w:val="24"/>
              </w:rPr>
              <w:t>0.183</w:t>
            </w:r>
          </w:p>
        </w:tc>
      </w:tr>
      <w:tr w:rsidR="005A54F9">
        <w:trPr>
          <w:trHeight w:val="276"/>
        </w:trPr>
        <w:tc>
          <w:tcPr>
            <w:tcW w:w="2180" w:type="dxa"/>
            <w:vAlign w:val="bottom"/>
          </w:tcPr>
          <w:p w:rsidR="005A54F9" w:rsidRDefault="005A54F9">
            <w:pPr>
              <w:rPr>
                <w:sz w:val="24"/>
                <w:szCs w:val="24"/>
              </w:rPr>
            </w:pPr>
          </w:p>
        </w:tc>
        <w:tc>
          <w:tcPr>
            <w:tcW w:w="2220" w:type="dxa"/>
            <w:vAlign w:val="bottom"/>
          </w:tcPr>
          <w:p w:rsidR="005A54F9" w:rsidRDefault="005442FA">
            <w:pPr>
              <w:ind w:left="100"/>
              <w:rPr>
                <w:sz w:val="20"/>
                <w:szCs w:val="20"/>
              </w:rPr>
            </w:pPr>
            <w:r>
              <w:rPr>
                <w:rFonts w:eastAsia="Times New Roman"/>
                <w:sz w:val="24"/>
                <w:szCs w:val="24"/>
              </w:rPr>
              <w:t>PCL-R Lifestyle</w:t>
            </w:r>
          </w:p>
        </w:tc>
        <w:tc>
          <w:tcPr>
            <w:tcW w:w="1400" w:type="dxa"/>
            <w:vAlign w:val="bottom"/>
          </w:tcPr>
          <w:p w:rsidR="005A54F9" w:rsidRDefault="005442FA">
            <w:pPr>
              <w:ind w:right="560"/>
              <w:jc w:val="right"/>
              <w:rPr>
                <w:sz w:val="20"/>
                <w:szCs w:val="20"/>
              </w:rPr>
            </w:pPr>
            <w:r>
              <w:rPr>
                <w:rFonts w:eastAsia="Times New Roman"/>
                <w:sz w:val="24"/>
                <w:szCs w:val="24"/>
              </w:rPr>
              <w:t>0.155</w:t>
            </w:r>
          </w:p>
        </w:tc>
        <w:tc>
          <w:tcPr>
            <w:tcW w:w="900" w:type="dxa"/>
            <w:vAlign w:val="bottom"/>
          </w:tcPr>
          <w:p w:rsidR="005A54F9" w:rsidRDefault="005442FA">
            <w:pPr>
              <w:ind w:right="60"/>
              <w:jc w:val="right"/>
              <w:rPr>
                <w:sz w:val="20"/>
                <w:szCs w:val="20"/>
              </w:rPr>
            </w:pPr>
            <w:r>
              <w:rPr>
                <w:rFonts w:eastAsia="Times New Roman"/>
                <w:sz w:val="24"/>
                <w:szCs w:val="24"/>
              </w:rPr>
              <w:t>-0.094</w:t>
            </w:r>
          </w:p>
        </w:tc>
        <w:tc>
          <w:tcPr>
            <w:tcW w:w="1920" w:type="dxa"/>
            <w:vAlign w:val="bottom"/>
          </w:tcPr>
          <w:p w:rsidR="005A54F9" w:rsidRDefault="005442FA">
            <w:pPr>
              <w:ind w:right="780"/>
              <w:jc w:val="center"/>
              <w:rPr>
                <w:sz w:val="20"/>
                <w:szCs w:val="20"/>
              </w:rPr>
            </w:pPr>
            <w:r>
              <w:rPr>
                <w:rFonts w:eastAsia="Times New Roman"/>
                <w:w w:val="99"/>
                <w:sz w:val="24"/>
                <w:szCs w:val="24"/>
              </w:rPr>
              <w:t>0.389</w:t>
            </w:r>
          </w:p>
        </w:tc>
      </w:tr>
      <w:tr w:rsidR="005A54F9">
        <w:trPr>
          <w:trHeight w:val="310"/>
        </w:trPr>
        <w:tc>
          <w:tcPr>
            <w:tcW w:w="2180" w:type="dxa"/>
            <w:vAlign w:val="bottom"/>
          </w:tcPr>
          <w:p w:rsidR="005A54F9" w:rsidRDefault="005A54F9">
            <w:pPr>
              <w:rPr>
                <w:sz w:val="24"/>
                <w:szCs w:val="24"/>
              </w:rPr>
            </w:pPr>
          </w:p>
        </w:tc>
        <w:tc>
          <w:tcPr>
            <w:tcW w:w="2220" w:type="dxa"/>
            <w:vAlign w:val="bottom"/>
          </w:tcPr>
          <w:p w:rsidR="005A54F9" w:rsidRDefault="005442FA">
            <w:pPr>
              <w:ind w:left="100"/>
              <w:rPr>
                <w:sz w:val="20"/>
                <w:szCs w:val="20"/>
              </w:rPr>
            </w:pPr>
            <w:r>
              <w:rPr>
                <w:rFonts w:eastAsia="Times New Roman"/>
                <w:sz w:val="24"/>
                <w:szCs w:val="24"/>
              </w:rPr>
              <w:t>PCL-R Antisocial</w:t>
            </w:r>
          </w:p>
        </w:tc>
        <w:tc>
          <w:tcPr>
            <w:tcW w:w="1400" w:type="dxa"/>
            <w:vAlign w:val="bottom"/>
          </w:tcPr>
          <w:p w:rsidR="005A54F9" w:rsidRDefault="005442FA">
            <w:pPr>
              <w:ind w:right="560"/>
              <w:jc w:val="right"/>
              <w:rPr>
                <w:sz w:val="20"/>
                <w:szCs w:val="20"/>
              </w:rPr>
            </w:pPr>
            <w:r>
              <w:rPr>
                <w:rFonts w:eastAsia="Times New Roman"/>
                <w:sz w:val="24"/>
                <w:szCs w:val="24"/>
              </w:rPr>
              <w:t>-0.109</w:t>
            </w:r>
          </w:p>
        </w:tc>
        <w:tc>
          <w:tcPr>
            <w:tcW w:w="900" w:type="dxa"/>
            <w:vAlign w:val="bottom"/>
          </w:tcPr>
          <w:p w:rsidR="005A54F9" w:rsidRDefault="005442FA">
            <w:pPr>
              <w:ind w:right="60"/>
              <w:jc w:val="right"/>
              <w:rPr>
                <w:sz w:val="20"/>
                <w:szCs w:val="20"/>
              </w:rPr>
            </w:pPr>
            <w:r>
              <w:rPr>
                <w:rFonts w:eastAsia="Times New Roman"/>
                <w:sz w:val="24"/>
                <w:szCs w:val="24"/>
              </w:rPr>
              <w:t>-0.396</w:t>
            </w:r>
          </w:p>
        </w:tc>
        <w:tc>
          <w:tcPr>
            <w:tcW w:w="1920" w:type="dxa"/>
            <w:vAlign w:val="bottom"/>
          </w:tcPr>
          <w:p w:rsidR="005A54F9" w:rsidRDefault="005442FA">
            <w:pPr>
              <w:ind w:right="780"/>
              <w:jc w:val="center"/>
              <w:rPr>
                <w:sz w:val="20"/>
                <w:szCs w:val="20"/>
              </w:rPr>
            </w:pPr>
            <w:r>
              <w:rPr>
                <w:rFonts w:eastAsia="Times New Roman"/>
                <w:w w:val="99"/>
                <w:sz w:val="24"/>
                <w:szCs w:val="24"/>
              </w:rPr>
              <w:t>0.193</w:t>
            </w:r>
          </w:p>
        </w:tc>
      </w:tr>
      <w:tr w:rsidR="005A54F9">
        <w:trPr>
          <w:trHeight w:val="310"/>
        </w:trPr>
        <w:tc>
          <w:tcPr>
            <w:tcW w:w="2180" w:type="dxa"/>
            <w:vAlign w:val="bottom"/>
          </w:tcPr>
          <w:p w:rsidR="005A54F9" w:rsidRDefault="005A54F9">
            <w:pPr>
              <w:rPr>
                <w:sz w:val="24"/>
                <w:szCs w:val="24"/>
              </w:rPr>
            </w:pPr>
          </w:p>
        </w:tc>
        <w:tc>
          <w:tcPr>
            <w:tcW w:w="2220" w:type="dxa"/>
            <w:vAlign w:val="bottom"/>
          </w:tcPr>
          <w:p w:rsidR="005A54F9" w:rsidRDefault="005442FA">
            <w:pPr>
              <w:ind w:left="100"/>
              <w:rPr>
                <w:sz w:val="20"/>
                <w:szCs w:val="20"/>
              </w:rPr>
            </w:pPr>
            <w:r>
              <w:rPr>
                <w:rFonts w:eastAsia="Times New Roman"/>
                <w:sz w:val="24"/>
                <w:szCs w:val="24"/>
              </w:rPr>
              <w:t xml:space="preserve">HCR-20 </w:t>
            </w:r>
            <w:r>
              <w:rPr>
                <w:rFonts w:eastAsia="Times New Roman"/>
                <w:sz w:val="24"/>
                <w:szCs w:val="24"/>
              </w:rPr>
              <w:t>Clinical</w:t>
            </w:r>
          </w:p>
        </w:tc>
        <w:tc>
          <w:tcPr>
            <w:tcW w:w="1400" w:type="dxa"/>
            <w:vAlign w:val="bottom"/>
          </w:tcPr>
          <w:p w:rsidR="005A54F9" w:rsidRDefault="005442FA">
            <w:pPr>
              <w:ind w:right="560"/>
              <w:jc w:val="right"/>
              <w:rPr>
                <w:sz w:val="20"/>
                <w:szCs w:val="20"/>
              </w:rPr>
            </w:pPr>
            <w:r>
              <w:rPr>
                <w:rFonts w:eastAsia="Times New Roman"/>
                <w:sz w:val="24"/>
                <w:szCs w:val="24"/>
              </w:rPr>
              <w:t>-0.344</w:t>
            </w:r>
          </w:p>
        </w:tc>
        <w:tc>
          <w:tcPr>
            <w:tcW w:w="900" w:type="dxa"/>
            <w:vAlign w:val="bottom"/>
          </w:tcPr>
          <w:p w:rsidR="005A54F9" w:rsidRDefault="005442FA">
            <w:pPr>
              <w:ind w:right="60"/>
              <w:jc w:val="right"/>
              <w:rPr>
                <w:sz w:val="20"/>
                <w:szCs w:val="20"/>
              </w:rPr>
            </w:pPr>
            <w:r>
              <w:rPr>
                <w:rFonts w:eastAsia="Times New Roman"/>
                <w:sz w:val="24"/>
                <w:szCs w:val="24"/>
              </w:rPr>
              <w:t>-0.581</w:t>
            </w:r>
          </w:p>
        </w:tc>
        <w:tc>
          <w:tcPr>
            <w:tcW w:w="1920" w:type="dxa"/>
            <w:vAlign w:val="bottom"/>
          </w:tcPr>
          <w:p w:rsidR="005A54F9" w:rsidRDefault="005442FA">
            <w:pPr>
              <w:ind w:right="640"/>
              <w:jc w:val="center"/>
              <w:rPr>
                <w:sz w:val="20"/>
                <w:szCs w:val="20"/>
              </w:rPr>
            </w:pPr>
            <w:r>
              <w:rPr>
                <w:rFonts w:eastAsia="Times New Roman"/>
                <w:w w:val="99"/>
                <w:sz w:val="24"/>
                <w:szCs w:val="24"/>
              </w:rPr>
              <w:t>-0.076 *</w:t>
            </w:r>
          </w:p>
        </w:tc>
      </w:tr>
      <w:tr w:rsidR="005A54F9">
        <w:trPr>
          <w:trHeight w:val="310"/>
        </w:trPr>
        <w:tc>
          <w:tcPr>
            <w:tcW w:w="2180" w:type="dxa"/>
            <w:vAlign w:val="bottom"/>
          </w:tcPr>
          <w:p w:rsidR="005A54F9" w:rsidRDefault="005A54F9">
            <w:pPr>
              <w:rPr>
                <w:sz w:val="24"/>
                <w:szCs w:val="24"/>
              </w:rPr>
            </w:pPr>
          </w:p>
        </w:tc>
        <w:tc>
          <w:tcPr>
            <w:tcW w:w="2220" w:type="dxa"/>
            <w:vAlign w:val="bottom"/>
          </w:tcPr>
          <w:p w:rsidR="005A54F9" w:rsidRDefault="005442FA">
            <w:pPr>
              <w:ind w:left="100"/>
              <w:rPr>
                <w:sz w:val="20"/>
                <w:szCs w:val="20"/>
              </w:rPr>
            </w:pPr>
            <w:r>
              <w:rPr>
                <w:rFonts w:eastAsia="Times New Roman"/>
                <w:sz w:val="24"/>
                <w:szCs w:val="24"/>
              </w:rPr>
              <w:t>HCR-20 Historical</w:t>
            </w:r>
          </w:p>
        </w:tc>
        <w:tc>
          <w:tcPr>
            <w:tcW w:w="1400" w:type="dxa"/>
            <w:vAlign w:val="bottom"/>
          </w:tcPr>
          <w:p w:rsidR="005A54F9" w:rsidRDefault="005442FA">
            <w:pPr>
              <w:ind w:right="560"/>
              <w:jc w:val="right"/>
              <w:rPr>
                <w:sz w:val="20"/>
                <w:szCs w:val="20"/>
              </w:rPr>
            </w:pPr>
            <w:r>
              <w:rPr>
                <w:rFonts w:eastAsia="Times New Roman"/>
                <w:sz w:val="24"/>
                <w:szCs w:val="24"/>
              </w:rPr>
              <w:t>0.131</w:t>
            </w:r>
          </w:p>
        </w:tc>
        <w:tc>
          <w:tcPr>
            <w:tcW w:w="900" w:type="dxa"/>
            <w:vAlign w:val="bottom"/>
          </w:tcPr>
          <w:p w:rsidR="005A54F9" w:rsidRDefault="005442FA">
            <w:pPr>
              <w:ind w:right="60"/>
              <w:jc w:val="right"/>
              <w:rPr>
                <w:sz w:val="20"/>
                <w:szCs w:val="20"/>
              </w:rPr>
            </w:pPr>
            <w:r>
              <w:rPr>
                <w:rFonts w:eastAsia="Times New Roman"/>
                <w:sz w:val="24"/>
                <w:szCs w:val="24"/>
              </w:rPr>
              <w:t>-0.151</w:t>
            </w:r>
          </w:p>
        </w:tc>
        <w:tc>
          <w:tcPr>
            <w:tcW w:w="1920" w:type="dxa"/>
            <w:vAlign w:val="bottom"/>
          </w:tcPr>
          <w:p w:rsidR="005A54F9" w:rsidRDefault="005442FA">
            <w:pPr>
              <w:ind w:right="780"/>
              <w:jc w:val="center"/>
              <w:rPr>
                <w:sz w:val="20"/>
                <w:szCs w:val="20"/>
              </w:rPr>
            </w:pPr>
            <w:r>
              <w:rPr>
                <w:rFonts w:eastAsia="Times New Roman"/>
                <w:w w:val="99"/>
                <w:sz w:val="24"/>
                <w:szCs w:val="24"/>
              </w:rPr>
              <w:t>0.399</w:t>
            </w:r>
          </w:p>
        </w:tc>
      </w:tr>
      <w:tr w:rsidR="005A54F9">
        <w:trPr>
          <w:trHeight w:val="312"/>
        </w:trPr>
        <w:tc>
          <w:tcPr>
            <w:tcW w:w="2180" w:type="dxa"/>
            <w:vAlign w:val="bottom"/>
          </w:tcPr>
          <w:p w:rsidR="005A54F9" w:rsidRDefault="005A54F9">
            <w:pPr>
              <w:rPr>
                <w:sz w:val="24"/>
                <w:szCs w:val="24"/>
              </w:rPr>
            </w:pPr>
          </w:p>
        </w:tc>
        <w:tc>
          <w:tcPr>
            <w:tcW w:w="2220" w:type="dxa"/>
            <w:vAlign w:val="bottom"/>
          </w:tcPr>
          <w:p w:rsidR="005A54F9" w:rsidRDefault="005442FA">
            <w:pPr>
              <w:ind w:left="100"/>
              <w:rPr>
                <w:sz w:val="20"/>
                <w:szCs w:val="20"/>
              </w:rPr>
            </w:pPr>
            <w:r>
              <w:rPr>
                <w:rFonts w:eastAsia="Times New Roman"/>
                <w:sz w:val="24"/>
                <w:szCs w:val="24"/>
              </w:rPr>
              <w:t>HCR-20 Risk</w:t>
            </w:r>
          </w:p>
        </w:tc>
        <w:tc>
          <w:tcPr>
            <w:tcW w:w="1400" w:type="dxa"/>
            <w:vAlign w:val="bottom"/>
          </w:tcPr>
          <w:p w:rsidR="005A54F9" w:rsidRDefault="005442FA">
            <w:pPr>
              <w:ind w:right="560"/>
              <w:jc w:val="right"/>
              <w:rPr>
                <w:sz w:val="20"/>
                <w:szCs w:val="20"/>
              </w:rPr>
            </w:pPr>
            <w:r>
              <w:rPr>
                <w:rFonts w:eastAsia="Times New Roman"/>
                <w:sz w:val="24"/>
                <w:szCs w:val="24"/>
              </w:rPr>
              <w:t>0.037</w:t>
            </w:r>
          </w:p>
        </w:tc>
        <w:tc>
          <w:tcPr>
            <w:tcW w:w="900" w:type="dxa"/>
            <w:vAlign w:val="bottom"/>
          </w:tcPr>
          <w:p w:rsidR="005A54F9" w:rsidRDefault="005442FA">
            <w:pPr>
              <w:ind w:right="60"/>
              <w:jc w:val="right"/>
              <w:rPr>
                <w:sz w:val="20"/>
                <w:szCs w:val="20"/>
              </w:rPr>
            </w:pPr>
            <w:r>
              <w:rPr>
                <w:rFonts w:eastAsia="Times New Roman"/>
                <w:sz w:val="24"/>
                <w:szCs w:val="24"/>
              </w:rPr>
              <w:t>-0.214</w:t>
            </w:r>
          </w:p>
        </w:tc>
        <w:tc>
          <w:tcPr>
            <w:tcW w:w="1920" w:type="dxa"/>
            <w:vAlign w:val="bottom"/>
          </w:tcPr>
          <w:p w:rsidR="005A54F9" w:rsidRDefault="005442FA">
            <w:pPr>
              <w:ind w:right="780"/>
              <w:jc w:val="center"/>
              <w:rPr>
                <w:sz w:val="20"/>
                <w:szCs w:val="20"/>
              </w:rPr>
            </w:pPr>
            <w:r>
              <w:rPr>
                <w:rFonts w:eastAsia="Times New Roman"/>
                <w:w w:val="99"/>
                <w:sz w:val="24"/>
                <w:szCs w:val="24"/>
              </w:rPr>
              <w:t>0.285</w:t>
            </w:r>
          </w:p>
        </w:tc>
      </w:tr>
      <w:tr w:rsidR="005A54F9">
        <w:trPr>
          <w:trHeight w:val="614"/>
        </w:trPr>
        <w:tc>
          <w:tcPr>
            <w:tcW w:w="2180" w:type="dxa"/>
            <w:vAlign w:val="bottom"/>
          </w:tcPr>
          <w:p w:rsidR="005A54F9" w:rsidRDefault="005442FA">
            <w:pPr>
              <w:ind w:left="100"/>
              <w:rPr>
                <w:sz w:val="20"/>
                <w:szCs w:val="20"/>
              </w:rPr>
            </w:pPr>
            <w:r>
              <w:rPr>
                <w:rFonts w:eastAsia="Times New Roman"/>
                <w:sz w:val="24"/>
                <w:szCs w:val="24"/>
              </w:rPr>
              <w:t>Patient cohesion</w:t>
            </w:r>
          </w:p>
        </w:tc>
        <w:tc>
          <w:tcPr>
            <w:tcW w:w="2220" w:type="dxa"/>
            <w:vAlign w:val="bottom"/>
          </w:tcPr>
          <w:p w:rsidR="005A54F9" w:rsidRDefault="005442FA">
            <w:pPr>
              <w:ind w:left="100"/>
              <w:rPr>
                <w:sz w:val="20"/>
                <w:szCs w:val="20"/>
              </w:rPr>
            </w:pPr>
            <w:r>
              <w:rPr>
                <w:rFonts w:eastAsia="Times New Roman"/>
                <w:sz w:val="24"/>
                <w:szCs w:val="24"/>
              </w:rPr>
              <w:t>Experienced safety</w:t>
            </w:r>
          </w:p>
        </w:tc>
        <w:tc>
          <w:tcPr>
            <w:tcW w:w="1400" w:type="dxa"/>
            <w:vAlign w:val="bottom"/>
          </w:tcPr>
          <w:p w:rsidR="005A54F9" w:rsidRDefault="005442FA">
            <w:pPr>
              <w:ind w:right="560"/>
              <w:jc w:val="right"/>
              <w:rPr>
                <w:sz w:val="20"/>
                <w:szCs w:val="20"/>
              </w:rPr>
            </w:pPr>
            <w:r>
              <w:rPr>
                <w:rFonts w:eastAsia="Times New Roman"/>
                <w:sz w:val="24"/>
                <w:szCs w:val="24"/>
              </w:rPr>
              <w:t>0.393</w:t>
            </w:r>
          </w:p>
        </w:tc>
        <w:tc>
          <w:tcPr>
            <w:tcW w:w="900" w:type="dxa"/>
            <w:vAlign w:val="bottom"/>
          </w:tcPr>
          <w:p w:rsidR="005A54F9" w:rsidRDefault="005442FA">
            <w:pPr>
              <w:ind w:right="80"/>
              <w:jc w:val="right"/>
              <w:rPr>
                <w:sz w:val="20"/>
                <w:szCs w:val="20"/>
              </w:rPr>
            </w:pPr>
            <w:r>
              <w:rPr>
                <w:rFonts w:eastAsia="Times New Roman"/>
                <w:sz w:val="24"/>
                <w:szCs w:val="24"/>
              </w:rPr>
              <w:t>0.172</w:t>
            </w:r>
          </w:p>
        </w:tc>
        <w:tc>
          <w:tcPr>
            <w:tcW w:w="1920" w:type="dxa"/>
            <w:vAlign w:val="bottom"/>
          </w:tcPr>
          <w:p w:rsidR="005A54F9" w:rsidRDefault="005442FA">
            <w:pPr>
              <w:ind w:right="640"/>
              <w:jc w:val="center"/>
              <w:rPr>
                <w:sz w:val="20"/>
                <w:szCs w:val="20"/>
              </w:rPr>
            </w:pPr>
            <w:r>
              <w:rPr>
                <w:rFonts w:eastAsia="Times New Roman"/>
                <w:w w:val="99"/>
                <w:sz w:val="24"/>
                <w:szCs w:val="24"/>
              </w:rPr>
              <w:t>0.577 *</w:t>
            </w:r>
          </w:p>
        </w:tc>
      </w:tr>
      <w:tr w:rsidR="005A54F9">
        <w:trPr>
          <w:trHeight w:val="310"/>
        </w:trPr>
        <w:tc>
          <w:tcPr>
            <w:tcW w:w="2180" w:type="dxa"/>
            <w:vAlign w:val="bottom"/>
          </w:tcPr>
          <w:p w:rsidR="005A54F9" w:rsidRDefault="005442FA">
            <w:pPr>
              <w:ind w:left="100"/>
              <w:rPr>
                <w:sz w:val="20"/>
                <w:szCs w:val="20"/>
              </w:rPr>
            </w:pPr>
            <w:r>
              <w:rPr>
                <w:rFonts w:eastAsia="Times New Roman"/>
                <w:sz w:val="24"/>
                <w:szCs w:val="24"/>
              </w:rPr>
              <w:t>Patient cohesion</w:t>
            </w:r>
          </w:p>
        </w:tc>
        <w:tc>
          <w:tcPr>
            <w:tcW w:w="2220" w:type="dxa"/>
            <w:vAlign w:val="bottom"/>
          </w:tcPr>
          <w:p w:rsidR="005A54F9" w:rsidRDefault="005442FA">
            <w:pPr>
              <w:ind w:left="100"/>
              <w:rPr>
                <w:sz w:val="20"/>
                <w:szCs w:val="20"/>
              </w:rPr>
            </w:pPr>
            <w:r>
              <w:rPr>
                <w:rFonts w:eastAsia="Times New Roman"/>
                <w:sz w:val="24"/>
                <w:szCs w:val="24"/>
              </w:rPr>
              <w:t>Therapeutic hold</w:t>
            </w:r>
          </w:p>
        </w:tc>
        <w:tc>
          <w:tcPr>
            <w:tcW w:w="1400" w:type="dxa"/>
            <w:vAlign w:val="bottom"/>
          </w:tcPr>
          <w:p w:rsidR="005A54F9" w:rsidRDefault="005442FA">
            <w:pPr>
              <w:ind w:right="560"/>
              <w:jc w:val="right"/>
              <w:rPr>
                <w:sz w:val="20"/>
                <w:szCs w:val="20"/>
              </w:rPr>
            </w:pPr>
            <w:r>
              <w:rPr>
                <w:rFonts w:eastAsia="Times New Roman"/>
                <w:sz w:val="24"/>
                <w:szCs w:val="24"/>
              </w:rPr>
              <w:t>0.353</w:t>
            </w:r>
          </w:p>
        </w:tc>
        <w:tc>
          <w:tcPr>
            <w:tcW w:w="900" w:type="dxa"/>
            <w:vAlign w:val="bottom"/>
          </w:tcPr>
          <w:p w:rsidR="005A54F9" w:rsidRDefault="005442FA">
            <w:pPr>
              <w:ind w:right="80"/>
              <w:jc w:val="right"/>
              <w:rPr>
                <w:sz w:val="20"/>
                <w:szCs w:val="20"/>
              </w:rPr>
            </w:pPr>
            <w:r>
              <w:rPr>
                <w:rFonts w:eastAsia="Times New Roman"/>
                <w:sz w:val="24"/>
                <w:szCs w:val="24"/>
              </w:rPr>
              <w:t>0.126</w:t>
            </w:r>
          </w:p>
        </w:tc>
        <w:tc>
          <w:tcPr>
            <w:tcW w:w="1920" w:type="dxa"/>
            <w:vAlign w:val="bottom"/>
          </w:tcPr>
          <w:p w:rsidR="005A54F9" w:rsidRDefault="005442FA">
            <w:pPr>
              <w:ind w:right="640"/>
              <w:jc w:val="center"/>
              <w:rPr>
                <w:sz w:val="20"/>
                <w:szCs w:val="20"/>
              </w:rPr>
            </w:pPr>
            <w:r>
              <w:rPr>
                <w:rFonts w:eastAsia="Times New Roman"/>
                <w:w w:val="99"/>
                <w:sz w:val="24"/>
                <w:szCs w:val="24"/>
              </w:rPr>
              <w:t>0.545 *</w:t>
            </w:r>
          </w:p>
        </w:tc>
      </w:tr>
      <w:tr w:rsidR="005A54F9">
        <w:trPr>
          <w:trHeight w:val="312"/>
        </w:trPr>
        <w:tc>
          <w:tcPr>
            <w:tcW w:w="2180" w:type="dxa"/>
            <w:vAlign w:val="bottom"/>
          </w:tcPr>
          <w:p w:rsidR="005A54F9" w:rsidRDefault="005442FA">
            <w:pPr>
              <w:ind w:left="100"/>
              <w:rPr>
                <w:sz w:val="20"/>
                <w:szCs w:val="20"/>
              </w:rPr>
            </w:pPr>
            <w:r>
              <w:rPr>
                <w:rFonts w:eastAsia="Times New Roman"/>
                <w:sz w:val="24"/>
                <w:szCs w:val="24"/>
              </w:rPr>
              <w:t>Experienced safety</w:t>
            </w:r>
          </w:p>
        </w:tc>
        <w:tc>
          <w:tcPr>
            <w:tcW w:w="2220" w:type="dxa"/>
            <w:vAlign w:val="bottom"/>
          </w:tcPr>
          <w:p w:rsidR="005A54F9" w:rsidRDefault="005442FA">
            <w:pPr>
              <w:ind w:left="100"/>
              <w:rPr>
                <w:sz w:val="20"/>
                <w:szCs w:val="20"/>
              </w:rPr>
            </w:pPr>
            <w:r>
              <w:rPr>
                <w:rFonts w:eastAsia="Times New Roman"/>
                <w:sz w:val="24"/>
                <w:szCs w:val="24"/>
              </w:rPr>
              <w:t>Therapeutic hold</w:t>
            </w:r>
          </w:p>
        </w:tc>
        <w:tc>
          <w:tcPr>
            <w:tcW w:w="1400" w:type="dxa"/>
            <w:vAlign w:val="bottom"/>
          </w:tcPr>
          <w:p w:rsidR="005A54F9" w:rsidRDefault="005442FA">
            <w:pPr>
              <w:ind w:right="560"/>
              <w:jc w:val="right"/>
              <w:rPr>
                <w:sz w:val="20"/>
                <w:szCs w:val="20"/>
              </w:rPr>
            </w:pPr>
            <w:r>
              <w:rPr>
                <w:rFonts w:eastAsia="Times New Roman"/>
                <w:sz w:val="24"/>
                <w:szCs w:val="24"/>
              </w:rPr>
              <w:t>0.229</w:t>
            </w:r>
          </w:p>
        </w:tc>
        <w:tc>
          <w:tcPr>
            <w:tcW w:w="900" w:type="dxa"/>
            <w:vAlign w:val="bottom"/>
          </w:tcPr>
          <w:p w:rsidR="005A54F9" w:rsidRDefault="005442FA">
            <w:pPr>
              <w:ind w:right="60"/>
              <w:jc w:val="right"/>
              <w:rPr>
                <w:sz w:val="20"/>
                <w:szCs w:val="20"/>
              </w:rPr>
            </w:pPr>
            <w:r>
              <w:rPr>
                <w:rFonts w:eastAsia="Times New Roman"/>
                <w:sz w:val="24"/>
                <w:szCs w:val="24"/>
              </w:rPr>
              <w:t>-0.007</w:t>
            </w:r>
          </w:p>
        </w:tc>
        <w:tc>
          <w:tcPr>
            <w:tcW w:w="1920" w:type="dxa"/>
            <w:vAlign w:val="bottom"/>
          </w:tcPr>
          <w:p w:rsidR="005A54F9" w:rsidRDefault="005442FA">
            <w:pPr>
              <w:ind w:right="780"/>
              <w:jc w:val="center"/>
              <w:rPr>
                <w:sz w:val="20"/>
                <w:szCs w:val="20"/>
              </w:rPr>
            </w:pPr>
            <w:r>
              <w:rPr>
                <w:rFonts w:eastAsia="Times New Roman"/>
                <w:w w:val="99"/>
                <w:sz w:val="24"/>
                <w:szCs w:val="24"/>
              </w:rPr>
              <w:t>0.443</w:t>
            </w:r>
          </w:p>
        </w:tc>
      </w:tr>
    </w:tbl>
    <w:p w:rsidR="005A54F9" w:rsidRDefault="005A54F9">
      <w:pPr>
        <w:spacing w:line="200" w:lineRule="exact"/>
        <w:rPr>
          <w:sz w:val="20"/>
          <w:szCs w:val="20"/>
        </w:rPr>
      </w:pPr>
    </w:p>
    <w:p w:rsidR="005A54F9" w:rsidRDefault="005A54F9">
      <w:pPr>
        <w:spacing w:line="346" w:lineRule="exact"/>
        <w:rPr>
          <w:sz w:val="20"/>
          <w:szCs w:val="20"/>
        </w:rPr>
      </w:pPr>
    </w:p>
    <w:p w:rsidR="005A54F9" w:rsidRDefault="005442FA">
      <w:pPr>
        <w:rPr>
          <w:sz w:val="20"/>
          <w:szCs w:val="20"/>
        </w:rPr>
      </w:pPr>
      <w:r>
        <w:rPr>
          <w:rFonts w:eastAsia="Times New Roman"/>
          <w:sz w:val="24"/>
          <w:szCs w:val="24"/>
        </w:rPr>
        <w:t>Figure 1. Bayesian path analysis, only significant relationships are displayed, estimate (β).</w:t>
      </w: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24" w:lineRule="exact"/>
        <w:rPr>
          <w:sz w:val="20"/>
          <w:szCs w:val="20"/>
        </w:rPr>
      </w:pPr>
    </w:p>
    <w:p w:rsidR="005A54F9" w:rsidRDefault="005442FA">
      <w:pPr>
        <w:jc w:val="right"/>
        <w:rPr>
          <w:sz w:val="20"/>
          <w:szCs w:val="20"/>
        </w:rPr>
      </w:pPr>
      <w:r>
        <w:rPr>
          <w:rFonts w:ascii="Verdana" w:eastAsia="Verdana" w:hAnsi="Verdana" w:cs="Verdana"/>
          <w:sz w:val="18"/>
          <w:szCs w:val="18"/>
        </w:rPr>
        <w:t>14</w:t>
      </w:r>
    </w:p>
    <w:p w:rsidR="005A54F9" w:rsidRDefault="005A54F9">
      <w:pPr>
        <w:sectPr w:rsidR="005A54F9">
          <w:pgSz w:w="11900" w:h="16838"/>
          <w:pgMar w:top="1392" w:right="1426" w:bottom="371" w:left="1420" w:header="0" w:footer="0" w:gutter="0"/>
          <w:cols w:space="720" w:equalWidth="0">
            <w:col w:w="9060"/>
          </w:cols>
        </w:sectPr>
      </w:pPr>
    </w:p>
    <w:p w:rsidR="005A54F9" w:rsidRDefault="005442FA">
      <w:pPr>
        <w:spacing w:line="200" w:lineRule="exact"/>
        <w:rPr>
          <w:sz w:val="20"/>
          <w:szCs w:val="20"/>
        </w:rPr>
      </w:pPr>
      <w:bookmarkStart w:id="15" w:name="page15"/>
      <w:bookmarkEnd w:id="15"/>
      <w:r>
        <w:rPr>
          <w:noProof/>
          <w:sz w:val="20"/>
          <w:szCs w:val="20"/>
        </w:rPr>
        <w:lastRenderedPageBreak/>
        <w:drawing>
          <wp:anchor distT="0" distB="0" distL="114300" distR="114300" simplePos="0" relativeHeight="251658752" behindDoc="1" locked="0" layoutInCell="0" allowOverlap="1">
            <wp:simplePos x="0" y="0"/>
            <wp:positionH relativeFrom="page">
              <wp:posOffset>900430</wp:posOffset>
            </wp:positionH>
            <wp:positionV relativeFrom="page">
              <wp:posOffset>900430</wp:posOffset>
            </wp:positionV>
            <wp:extent cx="5759450" cy="43199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5759450" cy="4319905"/>
                    </a:xfrm>
                    <a:prstGeom prst="rect">
                      <a:avLst/>
                    </a:prstGeom>
                    <a:noFill/>
                  </pic:spPr>
                </pic:pic>
              </a:graphicData>
            </a:graphic>
          </wp:anchor>
        </w:drawing>
      </w: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40" w:lineRule="exact"/>
        <w:rPr>
          <w:sz w:val="20"/>
          <w:szCs w:val="20"/>
        </w:rPr>
      </w:pPr>
    </w:p>
    <w:p w:rsidR="005A54F9" w:rsidRDefault="005442FA">
      <w:pPr>
        <w:rPr>
          <w:sz w:val="20"/>
          <w:szCs w:val="20"/>
        </w:rPr>
      </w:pPr>
      <w:r>
        <w:rPr>
          <w:rFonts w:eastAsia="Times New Roman"/>
          <w:b/>
          <w:bCs/>
          <w:sz w:val="24"/>
          <w:szCs w:val="24"/>
        </w:rPr>
        <w:t>4. Discussion</w:t>
      </w:r>
    </w:p>
    <w:p w:rsidR="005A54F9" w:rsidRDefault="005A54F9">
      <w:pPr>
        <w:spacing w:line="200" w:lineRule="exact"/>
        <w:rPr>
          <w:sz w:val="20"/>
          <w:szCs w:val="20"/>
        </w:rPr>
      </w:pPr>
    </w:p>
    <w:p w:rsidR="005A54F9" w:rsidRDefault="005A54F9">
      <w:pPr>
        <w:spacing w:line="275" w:lineRule="exact"/>
        <w:rPr>
          <w:sz w:val="20"/>
          <w:szCs w:val="20"/>
        </w:rPr>
      </w:pPr>
    </w:p>
    <w:p w:rsidR="005A54F9" w:rsidRDefault="005442FA">
      <w:pPr>
        <w:spacing w:line="480" w:lineRule="auto"/>
        <w:ind w:right="220"/>
        <w:rPr>
          <w:sz w:val="20"/>
          <w:szCs w:val="20"/>
        </w:rPr>
      </w:pPr>
      <w:r>
        <w:rPr>
          <w:rFonts w:eastAsia="Times New Roman"/>
          <w:sz w:val="24"/>
          <w:szCs w:val="24"/>
        </w:rPr>
        <w:t>The aim of this present study was to provide insight into</w:t>
      </w:r>
      <w:r>
        <w:rPr>
          <w:rFonts w:eastAsia="Times New Roman"/>
          <w:sz w:val="24"/>
          <w:szCs w:val="24"/>
        </w:rPr>
        <w:t xml:space="preserve"> the relationship between patient characteristics and perceived ward climate, and to see whether the differences between patients’ and staff’s perceptions of ward climate previously found in the US and the UK can be found in a high secure forensic setting </w:t>
      </w:r>
      <w:r>
        <w:rPr>
          <w:rFonts w:eastAsia="Times New Roman"/>
          <w:sz w:val="24"/>
          <w:szCs w:val="24"/>
        </w:rPr>
        <w:t>in the Netherlands.</w:t>
      </w:r>
    </w:p>
    <w:p w:rsidR="005A54F9" w:rsidRDefault="005442FA">
      <w:pPr>
        <w:spacing w:line="507" w:lineRule="auto"/>
        <w:ind w:right="20" w:firstLine="708"/>
        <w:rPr>
          <w:sz w:val="20"/>
          <w:szCs w:val="20"/>
        </w:rPr>
      </w:pPr>
      <w:r>
        <w:rPr>
          <w:rFonts w:eastAsia="Times New Roman"/>
          <w:sz w:val="23"/>
          <w:szCs w:val="23"/>
        </w:rPr>
        <w:t>The results show that staff and patients from high secure forensic wards differ in the way they evaluate climate. Therapeutic hold was rated higher among staff members compared to patients, which is consistent with previous research (Di</w:t>
      </w:r>
      <w:r>
        <w:rPr>
          <w:rFonts w:eastAsia="Times New Roman"/>
          <w:sz w:val="23"/>
          <w:szCs w:val="23"/>
        </w:rPr>
        <w:t>ckens et al., 2014; Howells et al., 2009; Long et al., 2011; Schalast et al., 2008). The consistency of this finding across different facilities, ranging from open to high security, indicates that this is quite a stable difference in perception between the</w:t>
      </w:r>
      <w:r>
        <w:rPr>
          <w:rFonts w:eastAsia="Times New Roman"/>
          <w:sz w:val="23"/>
          <w:szCs w:val="23"/>
        </w:rPr>
        <w:t>se two groups. With regard to the other two subscales of the EssenCES (PC and ES), patients held a more favorable view compared to nursing staff. These results are</w:t>
      </w:r>
    </w:p>
    <w:p w:rsidR="005A54F9" w:rsidRDefault="005A54F9">
      <w:pPr>
        <w:spacing w:line="334" w:lineRule="exact"/>
        <w:rPr>
          <w:sz w:val="20"/>
          <w:szCs w:val="20"/>
        </w:rPr>
      </w:pPr>
    </w:p>
    <w:p w:rsidR="005A54F9" w:rsidRDefault="005442FA">
      <w:pPr>
        <w:jc w:val="right"/>
        <w:rPr>
          <w:sz w:val="20"/>
          <w:szCs w:val="20"/>
        </w:rPr>
      </w:pPr>
      <w:r>
        <w:rPr>
          <w:rFonts w:ascii="Verdana" w:eastAsia="Verdana" w:hAnsi="Verdana" w:cs="Verdana"/>
          <w:sz w:val="18"/>
          <w:szCs w:val="18"/>
        </w:rPr>
        <w:t>15</w:t>
      </w:r>
    </w:p>
    <w:p w:rsidR="005A54F9" w:rsidRDefault="005A54F9">
      <w:pPr>
        <w:sectPr w:rsidR="005A54F9">
          <w:pgSz w:w="11900" w:h="16838"/>
          <w:pgMar w:top="1440" w:right="1426" w:bottom="371" w:left="1420" w:header="0" w:footer="0" w:gutter="0"/>
          <w:cols w:space="720" w:equalWidth="0">
            <w:col w:w="9060"/>
          </w:cols>
        </w:sectPr>
      </w:pPr>
    </w:p>
    <w:p w:rsidR="005A54F9" w:rsidRDefault="005442FA">
      <w:pPr>
        <w:spacing w:line="480" w:lineRule="auto"/>
        <w:ind w:right="260"/>
        <w:rPr>
          <w:sz w:val="20"/>
          <w:szCs w:val="20"/>
        </w:rPr>
      </w:pPr>
      <w:bookmarkStart w:id="16" w:name="page16"/>
      <w:bookmarkEnd w:id="16"/>
      <w:r>
        <w:rPr>
          <w:rFonts w:eastAsia="Times New Roman"/>
          <w:sz w:val="24"/>
          <w:szCs w:val="24"/>
        </w:rPr>
        <w:lastRenderedPageBreak/>
        <w:t>in line with previous studies, reporting differences between staff’s</w:t>
      </w:r>
      <w:r>
        <w:rPr>
          <w:rFonts w:eastAsia="Times New Roman"/>
          <w:sz w:val="24"/>
          <w:szCs w:val="24"/>
        </w:rPr>
        <w:t xml:space="preserve"> and patients’ perceptions on ES (Dickens et al., 2014) and PC (Howells et al., 2009).</w:t>
      </w:r>
    </w:p>
    <w:p w:rsidR="005A54F9" w:rsidRDefault="005442FA">
      <w:pPr>
        <w:spacing w:line="481" w:lineRule="auto"/>
        <w:ind w:right="20" w:firstLine="708"/>
        <w:rPr>
          <w:sz w:val="20"/>
          <w:szCs w:val="20"/>
        </w:rPr>
      </w:pPr>
      <w:r>
        <w:rPr>
          <w:rFonts w:eastAsia="Times New Roman"/>
          <w:sz w:val="24"/>
          <w:szCs w:val="24"/>
        </w:rPr>
        <w:t>The finding that staff members and patients differ on all three subscales of the EssenCES supports the notion that the different roles and functions that staff and patie</w:t>
      </w:r>
      <w:r>
        <w:rPr>
          <w:rFonts w:eastAsia="Times New Roman"/>
          <w:sz w:val="24"/>
          <w:szCs w:val="24"/>
        </w:rPr>
        <w:t>nts have within a forensic institution influence their perception of the ward climate. In line with that argumentation, a potential explanation for the difference on therapeutic hold is perceived lack of control of patients on the therapeutic environment (</w:t>
      </w:r>
      <w:r>
        <w:rPr>
          <w:rFonts w:eastAsia="Times New Roman"/>
          <w:sz w:val="24"/>
          <w:szCs w:val="24"/>
        </w:rPr>
        <w:t xml:space="preserve">Brunt &amp; Rask, 2007; Dickens et al., 2014). In their study, Brunt and Rask (2007) interpreted patients’ negative statements about personal qualities of staff as an indication of experiences of repressiveness in a coercive system. Another possible mechanism </w:t>
      </w:r>
      <w:r>
        <w:rPr>
          <w:rFonts w:eastAsia="Times New Roman"/>
          <w:sz w:val="24"/>
          <w:szCs w:val="24"/>
        </w:rPr>
        <w:t xml:space="preserve">explaining the difference found between patients and staff on ward climate could be an interpretation bias. Research on self-serving bias indicates that being observer or actor of a task influences the attributions made (Campbell &amp; Sedikides, 1999). Since </w:t>
      </w:r>
      <w:r>
        <w:rPr>
          <w:rFonts w:eastAsia="Times New Roman"/>
          <w:sz w:val="24"/>
          <w:szCs w:val="24"/>
        </w:rPr>
        <w:t>therapeutic hold targets mostly staff’s work and patient cohesion and safety could be interpreted as more influenced by actions of the patient group, the differences are understandable. However, in order to disentangle the specific factors playing a role i</w:t>
      </w:r>
      <w:r>
        <w:rPr>
          <w:rFonts w:eastAsia="Times New Roman"/>
          <w:sz w:val="24"/>
          <w:szCs w:val="24"/>
        </w:rPr>
        <w:t>n the differences in perceptions between patient and staff further research is needed. In the future, it would be beneficial to administer a measure of socially desirable responding or a measure of attribution bias or locus of control alongside the EssenCE</w:t>
      </w:r>
      <w:r>
        <w:rPr>
          <w:rFonts w:eastAsia="Times New Roman"/>
          <w:sz w:val="24"/>
          <w:szCs w:val="24"/>
        </w:rPr>
        <w:t>S, which could then be controlled for in any subsequent analyses. Furthermore, qualitative research (in-depth interviews with patients and staff) might help to gain more insight into the underlying processes. However, these kinds of methods/measures assume</w:t>
      </w:r>
      <w:r>
        <w:rPr>
          <w:rFonts w:eastAsia="Times New Roman"/>
          <w:sz w:val="24"/>
          <w:szCs w:val="24"/>
        </w:rPr>
        <w:t xml:space="preserve"> that people are capable of introspection, and that they are motivated and willing to report their attitudes and beliefs accurately. Assuming that this is not always the case, another interesting direction might be found in more implicit measures. Future r</w:t>
      </w:r>
      <w:r>
        <w:rPr>
          <w:rFonts w:eastAsia="Times New Roman"/>
          <w:sz w:val="24"/>
          <w:szCs w:val="24"/>
        </w:rPr>
        <w:t>esearch could focus on implicit associations or automatic responses staff members might have towards specific patients or their attitude towards several treatment</w:t>
      </w:r>
    </w:p>
    <w:p w:rsidR="005A54F9" w:rsidRDefault="005A54F9">
      <w:pPr>
        <w:spacing w:line="200" w:lineRule="exact"/>
        <w:rPr>
          <w:sz w:val="20"/>
          <w:szCs w:val="20"/>
        </w:rPr>
      </w:pPr>
    </w:p>
    <w:p w:rsidR="005A54F9" w:rsidRDefault="005A54F9">
      <w:pPr>
        <w:spacing w:line="266" w:lineRule="exact"/>
        <w:rPr>
          <w:sz w:val="20"/>
          <w:szCs w:val="20"/>
        </w:rPr>
      </w:pPr>
    </w:p>
    <w:p w:rsidR="005A54F9" w:rsidRDefault="005442FA">
      <w:pPr>
        <w:jc w:val="right"/>
        <w:rPr>
          <w:sz w:val="20"/>
          <w:szCs w:val="20"/>
        </w:rPr>
      </w:pPr>
      <w:r>
        <w:rPr>
          <w:rFonts w:ascii="Verdana" w:eastAsia="Verdana" w:hAnsi="Verdana" w:cs="Verdana"/>
          <w:sz w:val="18"/>
          <w:szCs w:val="18"/>
        </w:rPr>
        <w:t>16</w:t>
      </w:r>
    </w:p>
    <w:p w:rsidR="005A54F9" w:rsidRDefault="005A54F9">
      <w:pPr>
        <w:sectPr w:rsidR="005A54F9">
          <w:pgSz w:w="11900" w:h="16838"/>
          <w:pgMar w:top="1392" w:right="1426" w:bottom="371" w:left="1420" w:header="0" w:footer="0" w:gutter="0"/>
          <w:cols w:space="720" w:equalWidth="0">
            <w:col w:w="9060"/>
          </w:cols>
        </w:sectPr>
      </w:pPr>
    </w:p>
    <w:p w:rsidR="005A54F9" w:rsidRDefault="005442FA">
      <w:pPr>
        <w:spacing w:line="480" w:lineRule="auto"/>
        <w:ind w:right="60"/>
        <w:rPr>
          <w:sz w:val="20"/>
          <w:szCs w:val="20"/>
        </w:rPr>
      </w:pPr>
      <w:bookmarkStart w:id="17" w:name="page17"/>
      <w:bookmarkEnd w:id="17"/>
      <w:r>
        <w:rPr>
          <w:rFonts w:eastAsia="Times New Roman"/>
          <w:sz w:val="24"/>
          <w:szCs w:val="24"/>
        </w:rPr>
        <w:lastRenderedPageBreak/>
        <w:t xml:space="preserve">orientations. There are some indications that implicit attitudes </w:t>
      </w:r>
      <w:r>
        <w:rPr>
          <w:rFonts w:eastAsia="Times New Roman"/>
          <w:sz w:val="24"/>
          <w:szCs w:val="24"/>
        </w:rPr>
        <w:t>are related to nursing behavior. Hence, medical visit communication between nurses and patients and patients’ perceptions of care seem to be associated with both implicit attitudes about race and stereotyping (Cooper et al., 2012). Furthermore, implicit pr</w:t>
      </w:r>
      <w:r>
        <w:rPr>
          <w:rFonts w:eastAsia="Times New Roman"/>
          <w:sz w:val="24"/>
          <w:szCs w:val="24"/>
        </w:rPr>
        <w:t>ejudice is found to mediate the relationship between experiences of job stress and intention to change jobs among drug and alcohol nurses (Von Hippel, Brener, &amp; von Hippel, 2008).</w:t>
      </w:r>
    </w:p>
    <w:p w:rsidR="005A54F9" w:rsidRDefault="005442FA">
      <w:pPr>
        <w:spacing w:line="503" w:lineRule="auto"/>
        <w:ind w:firstLine="708"/>
        <w:rPr>
          <w:sz w:val="20"/>
          <w:szCs w:val="20"/>
        </w:rPr>
      </w:pPr>
      <w:r>
        <w:rPr>
          <w:rFonts w:eastAsia="Times New Roman"/>
          <w:sz w:val="23"/>
          <w:szCs w:val="23"/>
        </w:rPr>
        <w:t>With regard to the relationship between patient characteristics and ward cli</w:t>
      </w:r>
      <w:r>
        <w:rPr>
          <w:rFonts w:eastAsia="Times New Roman"/>
          <w:sz w:val="23"/>
          <w:szCs w:val="23"/>
        </w:rPr>
        <w:t>mate, the results of this current study show that high scores on the patient cohesion subscale are negatively associated with the antisocial facet of the PCL-R, and positively with the historical factor of the HCR-20. Contrary to this finding, Dickens et a</w:t>
      </w:r>
      <w:r>
        <w:rPr>
          <w:rFonts w:eastAsia="Times New Roman"/>
          <w:sz w:val="23"/>
          <w:szCs w:val="23"/>
        </w:rPr>
        <w:t>l. (2014) found a negative predictive value of the HCR-20 total-score on the level of cohesion on a ward. The explanations given by Dickens and colleagues are that individuals with a higher level of risk of future violence influence cohesion among patients</w:t>
      </w:r>
      <w:r>
        <w:rPr>
          <w:rFonts w:eastAsia="Times New Roman"/>
          <w:sz w:val="23"/>
          <w:szCs w:val="23"/>
        </w:rPr>
        <w:t xml:space="preserve"> negatively or that the risk of violence might be lowered by more cohesion on a ward. It is important to note that the operationalization of the outcome measures used in the present study and the study of Dickens and colleagues differs. While Dickens focus</w:t>
      </w:r>
      <w:r>
        <w:rPr>
          <w:rFonts w:eastAsia="Times New Roman"/>
          <w:sz w:val="23"/>
          <w:szCs w:val="23"/>
        </w:rPr>
        <w:t>ed on how patient characteristics are represented on a ward and how this relates to ward climate as a group score (mean of all patients’ scores), this current study used individual scores on patient characteristics as predictors and individual perceived wa</w:t>
      </w:r>
      <w:r>
        <w:rPr>
          <w:rFonts w:eastAsia="Times New Roman"/>
          <w:sz w:val="23"/>
          <w:szCs w:val="23"/>
        </w:rPr>
        <w:t>rd climate as an outcome measure. Also, there are several other differences between the study of Dickens and colleagues and our study that could possibly account for the different findings. For example, 62 % of the data collected by Dickens et al. (2014) c</w:t>
      </w:r>
      <w:r>
        <w:rPr>
          <w:rFonts w:eastAsia="Times New Roman"/>
          <w:sz w:val="23"/>
          <w:szCs w:val="23"/>
        </w:rPr>
        <w:t>ame from low security wards while the data of this study were collected within a high secure forensic setting. Risk was also operationalized differently, while Dickens and colleagues used the total score of the HCR-20, this current study uses the three sub</w:t>
      </w:r>
      <w:r>
        <w:rPr>
          <w:rFonts w:eastAsia="Times New Roman"/>
          <w:sz w:val="23"/>
          <w:szCs w:val="23"/>
        </w:rPr>
        <w:t>scales of the HCR-20,</w:t>
      </w: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2" w:lineRule="exact"/>
        <w:rPr>
          <w:sz w:val="20"/>
          <w:szCs w:val="20"/>
        </w:rPr>
      </w:pPr>
    </w:p>
    <w:p w:rsidR="005A54F9" w:rsidRDefault="005442FA">
      <w:pPr>
        <w:jc w:val="right"/>
        <w:rPr>
          <w:sz w:val="20"/>
          <w:szCs w:val="20"/>
        </w:rPr>
      </w:pPr>
      <w:r>
        <w:rPr>
          <w:rFonts w:ascii="Verdana" w:eastAsia="Verdana" w:hAnsi="Verdana" w:cs="Verdana"/>
          <w:sz w:val="18"/>
          <w:szCs w:val="18"/>
        </w:rPr>
        <w:t>17</w:t>
      </w:r>
    </w:p>
    <w:p w:rsidR="005A54F9" w:rsidRDefault="005A54F9">
      <w:pPr>
        <w:sectPr w:rsidR="005A54F9">
          <w:pgSz w:w="11900" w:h="16838"/>
          <w:pgMar w:top="1392" w:right="1426" w:bottom="371" w:left="1420" w:header="0" w:footer="0" w:gutter="0"/>
          <w:cols w:space="720" w:equalWidth="0">
            <w:col w:w="9060"/>
          </w:cols>
        </w:sectPr>
      </w:pPr>
    </w:p>
    <w:p w:rsidR="005A54F9" w:rsidRDefault="005442FA">
      <w:pPr>
        <w:spacing w:line="480" w:lineRule="auto"/>
        <w:ind w:right="880"/>
        <w:rPr>
          <w:sz w:val="20"/>
          <w:szCs w:val="20"/>
        </w:rPr>
      </w:pPr>
      <w:bookmarkStart w:id="18" w:name="page18"/>
      <w:bookmarkEnd w:id="18"/>
      <w:r>
        <w:rPr>
          <w:rFonts w:eastAsia="Times New Roman"/>
          <w:sz w:val="24"/>
          <w:szCs w:val="24"/>
        </w:rPr>
        <w:lastRenderedPageBreak/>
        <w:t>historical, clinical, and risk management in order to get more detailed insight into the relationships between risk and climate.</w:t>
      </w:r>
    </w:p>
    <w:p w:rsidR="005A54F9" w:rsidRDefault="005442FA">
      <w:pPr>
        <w:spacing w:line="480" w:lineRule="auto"/>
        <w:ind w:right="80" w:firstLine="708"/>
        <w:rPr>
          <w:sz w:val="20"/>
          <w:szCs w:val="20"/>
        </w:rPr>
      </w:pPr>
      <w:r>
        <w:rPr>
          <w:rFonts w:eastAsia="Times New Roman"/>
          <w:sz w:val="24"/>
          <w:szCs w:val="24"/>
        </w:rPr>
        <w:t xml:space="preserve">The results show that differentiating between the three risk scales of the </w:t>
      </w:r>
      <w:r>
        <w:rPr>
          <w:rFonts w:eastAsia="Times New Roman"/>
          <w:sz w:val="24"/>
          <w:szCs w:val="24"/>
        </w:rPr>
        <w:t>HCR-20 is useful in the prediction of climate. Hence, in predicting individual perceived climate the historical scale of the HCR-20 is found to positively predict patient cohesion and experienced safety. A potential underlying mechanism explaining the rela</w:t>
      </w:r>
      <w:r>
        <w:rPr>
          <w:rFonts w:eastAsia="Times New Roman"/>
          <w:sz w:val="24"/>
          <w:szCs w:val="24"/>
        </w:rPr>
        <w:t>tionship between the historical risk factor and patient cohesion might be that the current environment (within the clinic) might be significantly better compared to patients’ past environment with regard to the amount of support and safety. It might be tha</w:t>
      </w:r>
      <w:r>
        <w:rPr>
          <w:rFonts w:eastAsia="Times New Roman"/>
          <w:sz w:val="24"/>
          <w:szCs w:val="24"/>
        </w:rPr>
        <w:t>t patients scoring high on the historical risk factors have experienced low levels of support during their life and evaluate even a little amount of support more positively than patients who are used to living in a supportive environment. With regard to sa</w:t>
      </w:r>
      <w:r>
        <w:rPr>
          <w:rFonts w:eastAsia="Times New Roman"/>
          <w:sz w:val="24"/>
          <w:szCs w:val="24"/>
        </w:rPr>
        <w:t>fety, patients scoring high on the historical risk factors might be less susceptible to feeling a lack of safety due to their history of violence and/or personality disorder. It could also be the case that they are the more aggressive/intimidating patients</w:t>
      </w:r>
      <w:r>
        <w:rPr>
          <w:rFonts w:eastAsia="Times New Roman"/>
          <w:sz w:val="24"/>
          <w:szCs w:val="24"/>
        </w:rPr>
        <w:t xml:space="preserve"> on a ward, which causes other patients to feel unsafe.</w:t>
      </w:r>
    </w:p>
    <w:p w:rsidR="005A54F9" w:rsidRDefault="005A54F9">
      <w:pPr>
        <w:spacing w:line="1" w:lineRule="exact"/>
        <w:rPr>
          <w:sz w:val="20"/>
          <w:szCs w:val="20"/>
        </w:rPr>
      </w:pPr>
    </w:p>
    <w:p w:rsidR="005A54F9" w:rsidRDefault="005442FA">
      <w:pPr>
        <w:spacing w:line="500" w:lineRule="auto"/>
        <w:ind w:right="200" w:firstLine="708"/>
        <w:jc w:val="both"/>
        <w:rPr>
          <w:sz w:val="20"/>
          <w:szCs w:val="20"/>
        </w:rPr>
      </w:pPr>
      <w:r>
        <w:rPr>
          <w:rFonts w:eastAsia="Times New Roman"/>
          <w:sz w:val="23"/>
          <w:szCs w:val="23"/>
        </w:rPr>
        <w:t>A potential underlying mechanism of the negative predictive value of the antisocial facet of the PCL-R in patient cohesion might be that these antisocial patients find it difficult to interact with o</w:t>
      </w:r>
      <w:r>
        <w:rPr>
          <w:rFonts w:eastAsia="Times New Roman"/>
          <w:sz w:val="23"/>
          <w:szCs w:val="23"/>
        </w:rPr>
        <w:t xml:space="preserve">ther patients. With regard to the </w:t>
      </w:r>
      <w:r>
        <w:rPr>
          <w:rFonts w:eastAsia="Times New Roman"/>
        </w:rPr>
        <w:t>relationship between psychopathy and social</w:t>
      </w:r>
    </w:p>
    <w:p w:rsidR="005A54F9" w:rsidRDefault="005A54F9">
      <w:pPr>
        <w:spacing w:line="1" w:lineRule="exact"/>
        <w:rPr>
          <w:sz w:val="20"/>
          <w:szCs w:val="20"/>
        </w:rPr>
      </w:pPr>
    </w:p>
    <w:p w:rsidR="005A54F9" w:rsidRDefault="005442FA">
      <w:pPr>
        <w:rPr>
          <w:sz w:val="20"/>
          <w:szCs w:val="20"/>
        </w:rPr>
      </w:pPr>
      <w:r>
        <w:rPr>
          <w:rFonts w:eastAsia="Times New Roman"/>
          <w:sz w:val="23"/>
          <w:szCs w:val="23"/>
        </w:rPr>
        <w:t xml:space="preserve">functioning and adaptation in a normal population, </w:t>
      </w:r>
      <w:r>
        <w:rPr>
          <w:rFonts w:eastAsia="Times New Roman"/>
          <w:sz w:val="24"/>
          <w:szCs w:val="24"/>
        </w:rPr>
        <w:t>Baird (2002) demonstrated that</w:t>
      </w:r>
      <w:r>
        <w:rPr>
          <w:rFonts w:eastAsia="Times New Roman"/>
          <w:sz w:val="23"/>
          <w:szCs w:val="23"/>
        </w:rPr>
        <w:t xml:space="preserve"> primary</w:t>
      </w:r>
    </w:p>
    <w:p w:rsidR="005A54F9" w:rsidRDefault="005A54F9">
      <w:pPr>
        <w:spacing w:line="276" w:lineRule="exact"/>
        <w:rPr>
          <w:sz w:val="20"/>
          <w:szCs w:val="20"/>
        </w:rPr>
      </w:pPr>
    </w:p>
    <w:p w:rsidR="005A54F9" w:rsidRDefault="005442FA">
      <w:pPr>
        <w:rPr>
          <w:sz w:val="20"/>
          <w:szCs w:val="20"/>
        </w:rPr>
      </w:pPr>
      <w:r>
        <w:rPr>
          <w:rFonts w:eastAsia="Times New Roman"/>
          <w:sz w:val="23"/>
          <w:szCs w:val="23"/>
        </w:rPr>
        <w:t>psychopathy (</w:t>
      </w:r>
      <w:r>
        <w:rPr>
          <w:rFonts w:eastAsia="Times New Roman"/>
          <w:sz w:val="24"/>
          <w:szCs w:val="24"/>
        </w:rPr>
        <w:t xml:space="preserve">egocentricity, manipulativeness, deceitfulness, and having a lack of </w:t>
      </w:r>
      <w:r>
        <w:rPr>
          <w:rFonts w:eastAsia="Times New Roman"/>
          <w:sz w:val="24"/>
          <w:szCs w:val="24"/>
        </w:rPr>
        <w:t>remorse)</w:t>
      </w:r>
      <w:r>
        <w:rPr>
          <w:rFonts w:eastAsia="Times New Roman"/>
          <w:sz w:val="23"/>
          <w:szCs w:val="23"/>
        </w:rPr>
        <w:t xml:space="preserve"> is</w:t>
      </w:r>
    </w:p>
    <w:p w:rsidR="005A54F9" w:rsidRDefault="005A54F9">
      <w:pPr>
        <w:spacing w:line="279" w:lineRule="exact"/>
        <w:rPr>
          <w:sz w:val="20"/>
          <w:szCs w:val="20"/>
        </w:rPr>
      </w:pPr>
    </w:p>
    <w:p w:rsidR="005A54F9" w:rsidRDefault="005442FA">
      <w:pPr>
        <w:rPr>
          <w:sz w:val="20"/>
          <w:szCs w:val="20"/>
        </w:rPr>
      </w:pPr>
      <w:r>
        <w:rPr>
          <w:rFonts w:eastAsia="Times New Roman"/>
          <w:sz w:val="23"/>
          <w:szCs w:val="23"/>
        </w:rPr>
        <w:t>not detrimental but also does not benefit social functioning. Moreover, it was found that</w:t>
      </w:r>
    </w:p>
    <w:p w:rsidR="005A54F9" w:rsidRDefault="005A54F9">
      <w:pPr>
        <w:spacing w:line="263" w:lineRule="exact"/>
        <w:rPr>
          <w:sz w:val="20"/>
          <w:szCs w:val="20"/>
        </w:rPr>
      </w:pPr>
    </w:p>
    <w:p w:rsidR="005A54F9" w:rsidRDefault="005442FA">
      <w:pPr>
        <w:rPr>
          <w:sz w:val="20"/>
          <w:szCs w:val="20"/>
        </w:rPr>
      </w:pPr>
      <w:r>
        <w:rPr>
          <w:rFonts w:eastAsia="Times New Roman"/>
          <w:sz w:val="23"/>
          <w:szCs w:val="23"/>
        </w:rPr>
        <w:t>se</w:t>
      </w:r>
      <w:r>
        <w:rPr>
          <w:rFonts w:eastAsia="Times New Roman"/>
          <w:sz w:val="24"/>
          <w:szCs w:val="24"/>
        </w:rPr>
        <w:t>condary psychopathy (antisocial behaviors and an unstable, self-defeating lifestyle) was</w:t>
      </w:r>
    </w:p>
    <w:p w:rsidR="005A54F9" w:rsidRDefault="005A54F9">
      <w:pPr>
        <w:spacing w:line="276" w:lineRule="exact"/>
        <w:rPr>
          <w:sz w:val="20"/>
          <w:szCs w:val="20"/>
        </w:rPr>
      </w:pPr>
    </w:p>
    <w:p w:rsidR="005A54F9" w:rsidRDefault="005442FA">
      <w:pPr>
        <w:spacing w:line="523" w:lineRule="auto"/>
        <w:ind w:right="160"/>
        <w:jc w:val="both"/>
        <w:rPr>
          <w:sz w:val="20"/>
          <w:szCs w:val="20"/>
        </w:rPr>
      </w:pPr>
      <w:r>
        <w:rPr>
          <w:rFonts w:eastAsia="Times New Roman"/>
          <w:sz w:val="23"/>
          <w:szCs w:val="23"/>
        </w:rPr>
        <w:t xml:space="preserve">related </w:t>
      </w:r>
      <w:r>
        <w:rPr>
          <w:rFonts w:eastAsia="Times New Roman"/>
        </w:rPr>
        <w:t>to a lack of success in social functioning. Furtherm</w:t>
      </w:r>
      <w:r>
        <w:rPr>
          <w:rFonts w:eastAsia="Times New Roman"/>
        </w:rPr>
        <w:t xml:space="preserve">ore, patients scoring high on the anti-social facet of the PCL-R might have difficulties </w:t>
      </w:r>
      <w:r>
        <w:rPr>
          <w:rFonts w:eastAsia="Times New Roman"/>
          <w:sz w:val="23"/>
          <w:szCs w:val="23"/>
        </w:rPr>
        <w:t>adhering to clinic/ward rules, leading them to</w:t>
      </w:r>
      <w:r>
        <w:rPr>
          <w:rFonts w:eastAsia="Times New Roman"/>
        </w:rPr>
        <w:t xml:space="preserve"> </w:t>
      </w:r>
      <w:r>
        <w:rPr>
          <w:rFonts w:eastAsia="Times New Roman"/>
          <w:sz w:val="23"/>
          <w:szCs w:val="23"/>
        </w:rPr>
        <w:t>be either frequently secluded or socially isolated from the group. In research among juvenile</w:t>
      </w:r>
    </w:p>
    <w:p w:rsidR="005A54F9" w:rsidRDefault="005A54F9">
      <w:pPr>
        <w:spacing w:line="200" w:lineRule="exact"/>
        <w:rPr>
          <w:sz w:val="20"/>
          <w:szCs w:val="20"/>
        </w:rPr>
      </w:pPr>
    </w:p>
    <w:p w:rsidR="005A54F9" w:rsidRDefault="005A54F9">
      <w:pPr>
        <w:spacing w:line="243" w:lineRule="exact"/>
        <w:rPr>
          <w:sz w:val="20"/>
          <w:szCs w:val="20"/>
        </w:rPr>
      </w:pPr>
    </w:p>
    <w:p w:rsidR="005A54F9" w:rsidRDefault="005442FA">
      <w:pPr>
        <w:jc w:val="right"/>
        <w:rPr>
          <w:sz w:val="20"/>
          <w:szCs w:val="20"/>
        </w:rPr>
      </w:pPr>
      <w:r>
        <w:rPr>
          <w:rFonts w:ascii="Verdana" w:eastAsia="Verdana" w:hAnsi="Verdana" w:cs="Verdana"/>
          <w:sz w:val="18"/>
          <w:szCs w:val="18"/>
        </w:rPr>
        <w:t>18</w:t>
      </w:r>
    </w:p>
    <w:p w:rsidR="005A54F9" w:rsidRDefault="005A54F9">
      <w:pPr>
        <w:sectPr w:rsidR="005A54F9">
          <w:pgSz w:w="11900" w:h="16838"/>
          <w:pgMar w:top="1392" w:right="1426" w:bottom="371" w:left="1420" w:header="0" w:footer="0" w:gutter="0"/>
          <w:cols w:space="720" w:equalWidth="0">
            <w:col w:w="9060"/>
          </w:cols>
        </w:sectPr>
      </w:pPr>
    </w:p>
    <w:p w:rsidR="005A54F9" w:rsidRDefault="005442FA">
      <w:pPr>
        <w:spacing w:line="480" w:lineRule="auto"/>
        <w:rPr>
          <w:sz w:val="20"/>
          <w:szCs w:val="20"/>
        </w:rPr>
      </w:pPr>
      <w:bookmarkStart w:id="19" w:name="page19"/>
      <w:bookmarkEnd w:id="19"/>
      <w:r>
        <w:rPr>
          <w:rFonts w:eastAsia="Times New Roman"/>
          <w:sz w:val="24"/>
          <w:szCs w:val="24"/>
        </w:rPr>
        <w:lastRenderedPageBreak/>
        <w:t>psychiatric inpatients, psychopathy has been associated with poorer institutional adjustment in the form of increased number of intensive supervision placement as a result of fighting, refusing to attend school or other mandatory activities, hurting onese</w:t>
      </w:r>
      <w:r>
        <w:rPr>
          <w:rFonts w:eastAsia="Times New Roman"/>
          <w:sz w:val="24"/>
          <w:szCs w:val="24"/>
        </w:rPr>
        <w:t>lf or others (Taylor, Kemper, &amp; Kistner, 2007). A link between psychopathy and removal for serious non-compliance and rule violation has also been found in incarcerated female offenders in a substance abuse treatment program (Richards, Casey, &amp; Lucente, 20</w:t>
      </w:r>
      <w:r>
        <w:rPr>
          <w:rFonts w:eastAsia="Times New Roman"/>
          <w:sz w:val="24"/>
          <w:szCs w:val="24"/>
        </w:rPr>
        <w:t>03).</w:t>
      </w:r>
    </w:p>
    <w:p w:rsidR="005A54F9" w:rsidRDefault="005442FA">
      <w:pPr>
        <w:spacing w:line="480" w:lineRule="auto"/>
        <w:ind w:firstLine="708"/>
        <w:rPr>
          <w:sz w:val="20"/>
          <w:szCs w:val="20"/>
        </w:rPr>
      </w:pPr>
      <w:r>
        <w:rPr>
          <w:rFonts w:eastAsia="Times New Roman"/>
          <w:sz w:val="24"/>
          <w:szCs w:val="24"/>
        </w:rPr>
        <w:t>Therapeutic hold was predicted by three of the nine included patient characteristics. This result differs from results found in previous research where age was not found to be related to the perception of ward climate (Campbell et al., 2014; Middelboe</w:t>
      </w:r>
      <w:r>
        <w:rPr>
          <w:rFonts w:eastAsia="Times New Roman"/>
          <w:sz w:val="24"/>
          <w:szCs w:val="24"/>
        </w:rPr>
        <w:t xml:space="preserve"> et al., 2001; Pedersen and Karterud, 2007). In our study there was a positive relationship between age and therapeutic hold. A potential underlying mechanism might be that with increasing age patients become wiser, and calmer. Patients might get more noti</w:t>
      </w:r>
      <w:r>
        <w:rPr>
          <w:rFonts w:eastAsia="Times New Roman"/>
          <w:sz w:val="24"/>
          <w:szCs w:val="24"/>
        </w:rPr>
        <w:t>on of, and respect for the intentions of staff members for their recovery. There is research demonstrating that age is an important factor in the early formation of a therapeutic relationship. For example, Rosen, Miller, Nakash, Halpern and Alegría, (2012)</w:t>
      </w:r>
      <w:r>
        <w:rPr>
          <w:rFonts w:eastAsia="Times New Roman"/>
          <w:sz w:val="24"/>
          <w:szCs w:val="24"/>
        </w:rPr>
        <w:t xml:space="preserve"> found that matching out-patients from mental health and substance abuse services and therapists on age positively affected the intake process.</w:t>
      </w:r>
    </w:p>
    <w:p w:rsidR="005A54F9" w:rsidRDefault="005442FA">
      <w:pPr>
        <w:spacing w:line="506" w:lineRule="auto"/>
        <w:ind w:right="140" w:firstLine="708"/>
        <w:rPr>
          <w:sz w:val="20"/>
          <w:szCs w:val="20"/>
        </w:rPr>
      </w:pPr>
      <w:r>
        <w:rPr>
          <w:rFonts w:eastAsia="Times New Roman"/>
          <w:sz w:val="23"/>
          <w:szCs w:val="23"/>
        </w:rPr>
        <w:t>The interpersonal facet of the PCL-R was positively- and the clinical factor of the HCR-20 was negatively relate</w:t>
      </w:r>
      <w:r>
        <w:rPr>
          <w:rFonts w:eastAsia="Times New Roman"/>
          <w:sz w:val="23"/>
          <w:szCs w:val="23"/>
        </w:rPr>
        <w:t>d to the perception of therapeutic hold. One interpretation is that individuals scoring high on the interpersonal factor of the PCL-R might have more positive contact with staff members due to their charm and manipulative behavior. In line with this, a stu</w:t>
      </w:r>
      <w:r>
        <w:rPr>
          <w:rFonts w:eastAsia="Times New Roman"/>
          <w:sz w:val="23"/>
          <w:szCs w:val="23"/>
        </w:rPr>
        <w:t xml:space="preserve">dy in a non-forensic sample found that individuals with relatively high scores on interpersonal and affective aspects of psychopathy did not show impairments in social adaptation (Baird, 2002). On the other hand it could also be that their grandiose sense </w:t>
      </w:r>
      <w:r>
        <w:rPr>
          <w:rFonts w:eastAsia="Times New Roman"/>
          <w:sz w:val="23"/>
          <w:szCs w:val="23"/>
        </w:rPr>
        <w:t>of self worth influences their perception of the therapeutic holding by staff. Patients scoring high on the clinical factor of the HCR-20 (having more problems) tend to evaluate the climate as less</w:t>
      </w:r>
    </w:p>
    <w:p w:rsidR="005A54F9" w:rsidRDefault="005A54F9">
      <w:pPr>
        <w:spacing w:line="200" w:lineRule="exact"/>
        <w:rPr>
          <w:sz w:val="20"/>
          <w:szCs w:val="20"/>
        </w:rPr>
      </w:pPr>
    </w:p>
    <w:p w:rsidR="005A54F9" w:rsidRDefault="005A54F9">
      <w:pPr>
        <w:spacing w:line="241" w:lineRule="exact"/>
        <w:rPr>
          <w:sz w:val="20"/>
          <w:szCs w:val="20"/>
        </w:rPr>
      </w:pPr>
    </w:p>
    <w:p w:rsidR="005A54F9" w:rsidRDefault="005442FA">
      <w:pPr>
        <w:jc w:val="right"/>
        <w:rPr>
          <w:sz w:val="20"/>
          <w:szCs w:val="20"/>
        </w:rPr>
      </w:pPr>
      <w:r>
        <w:rPr>
          <w:rFonts w:ascii="Verdana" w:eastAsia="Verdana" w:hAnsi="Verdana" w:cs="Verdana"/>
          <w:sz w:val="18"/>
          <w:szCs w:val="18"/>
        </w:rPr>
        <w:t>19</w:t>
      </w:r>
    </w:p>
    <w:p w:rsidR="005A54F9" w:rsidRDefault="005A54F9">
      <w:pPr>
        <w:sectPr w:rsidR="005A54F9">
          <w:pgSz w:w="11900" w:h="16838"/>
          <w:pgMar w:top="1392" w:right="1426" w:bottom="371" w:left="1420" w:header="0" w:footer="0" w:gutter="0"/>
          <w:cols w:space="720" w:equalWidth="0">
            <w:col w:w="9060"/>
          </w:cols>
        </w:sectPr>
      </w:pPr>
    </w:p>
    <w:p w:rsidR="005A54F9" w:rsidRDefault="005442FA">
      <w:pPr>
        <w:spacing w:line="480" w:lineRule="auto"/>
        <w:ind w:right="20"/>
        <w:rPr>
          <w:sz w:val="20"/>
          <w:szCs w:val="20"/>
        </w:rPr>
      </w:pPr>
      <w:bookmarkStart w:id="20" w:name="page20"/>
      <w:bookmarkEnd w:id="20"/>
      <w:r>
        <w:rPr>
          <w:rFonts w:eastAsia="Times New Roman"/>
          <w:sz w:val="24"/>
          <w:szCs w:val="24"/>
        </w:rPr>
        <w:lastRenderedPageBreak/>
        <w:t xml:space="preserve">therapeutic. It could be that </w:t>
      </w:r>
      <w:r>
        <w:rPr>
          <w:rFonts w:eastAsia="Times New Roman"/>
          <w:sz w:val="24"/>
          <w:szCs w:val="24"/>
        </w:rPr>
        <w:t>their negative attitude and lack of insight resonates in their evaluation of the therapeutic holding on a ward. In order to see whether the relationship between the interpersonal factor of the PCL-R, the clinical risk factor of the HCR-20 and therapeutic h</w:t>
      </w:r>
      <w:r>
        <w:rPr>
          <w:rFonts w:eastAsia="Times New Roman"/>
          <w:sz w:val="24"/>
          <w:szCs w:val="24"/>
        </w:rPr>
        <w:t>old is a result of the environment that differs as a function of patient needs, or whether the explanation lies more within the perception of the patient, it would be desirable to incorporate measures giving more insight into patients’ (security) needs and</w:t>
      </w:r>
      <w:r>
        <w:rPr>
          <w:rFonts w:eastAsia="Times New Roman"/>
          <w:sz w:val="24"/>
          <w:szCs w:val="24"/>
        </w:rPr>
        <w:t xml:space="preserve"> the therapeutic contact between staff and patients (for instance the frequency, perceived quality, and duration of the time spent with each other) in the future.</w:t>
      </w:r>
    </w:p>
    <w:p w:rsidR="005A54F9" w:rsidRDefault="005442FA">
      <w:pPr>
        <w:spacing w:line="480" w:lineRule="auto"/>
        <w:ind w:right="20" w:firstLine="708"/>
        <w:rPr>
          <w:sz w:val="20"/>
          <w:szCs w:val="20"/>
        </w:rPr>
      </w:pPr>
      <w:r>
        <w:rPr>
          <w:rFonts w:eastAsia="Times New Roman"/>
          <w:sz w:val="24"/>
          <w:szCs w:val="24"/>
        </w:rPr>
        <w:t>The present study demonstrates that there are patient characteristics associated with individ</w:t>
      </w:r>
      <w:r>
        <w:rPr>
          <w:rFonts w:eastAsia="Times New Roman"/>
          <w:sz w:val="24"/>
          <w:szCs w:val="24"/>
        </w:rPr>
        <w:t>ual ratings of ward climate. However, the precise mechanisms underlying the relationships between patient characteristics and individual perceived ward climate requires further examination. As mentioned before, the relationship between patient characterist</w:t>
      </w:r>
      <w:r>
        <w:rPr>
          <w:rFonts w:eastAsia="Times New Roman"/>
          <w:sz w:val="24"/>
          <w:szCs w:val="24"/>
        </w:rPr>
        <w:t xml:space="preserve">ics and the perception of ward climate might reflect the interplay between patients’ (security) needs and the environment / climate. As climate needs to be adaptive and responsive to patients’ needs it would be interesting to conduct longitudinal research </w:t>
      </w:r>
      <w:r>
        <w:rPr>
          <w:rFonts w:eastAsia="Times New Roman"/>
          <w:sz w:val="24"/>
          <w:szCs w:val="24"/>
        </w:rPr>
        <w:t>to assess the perception of ward climate at regular intervals during several years, to see whether the perception of climate changes as a function of changes in (security) needs of patients.</w:t>
      </w:r>
    </w:p>
    <w:p w:rsidR="005A54F9" w:rsidRDefault="005442FA">
      <w:pPr>
        <w:spacing w:line="484" w:lineRule="auto"/>
        <w:ind w:right="100" w:firstLine="708"/>
        <w:rPr>
          <w:sz w:val="20"/>
          <w:szCs w:val="20"/>
        </w:rPr>
      </w:pPr>
      <w:r>
        <w:rPr>
          <w:rFonts w:eastAsia="Times New Roman"/>
          <w:sz w:val="24"/>
          <w:szCs w:val="24"/>
        </w:rPr>
        <w:t>The findings of this study add and underline the importance of as</w:t>
      </w:r>
      <w:r>
        <w:rPr>
          <w:rFonts w:eastAsia="Times New Roman"/>
          <w:sz w:val="24"/>
          <w:szCs w:val="24"/>
        </w:rPr>
        <w:t xml:space="preserve">sessing ward climate among both patients and staff in clinical practice. Since ward climate is perceived differently between these two groups, the perception of the staff cannot be regarded as a valid indicator of how the climate is perceived by patients. </w:t>
      </w:r>
      <w:r>
        <w:rPr>
          <w:rFonts w:eastAsia="Times New Roman"/>
          <w:sz w:val="24"/>
          <w:szCs w:val="24"/>
        </w:rPr>
        <w:t>Detailed feedback differentiating between patients’ scores and staff scores could provide insight into potential discrepancies between groups. When discrepancies between staff and patients views are clear on a ward, interventions (for example active discus</w:t>
      </w:r>
      <w:r>
        <w:rPr>
          <w:rFonts w:eastAsia="Times New Roman"/>
          <w:sz w:val="24"/>
          <w:szCs w:val="24"/>
        </w:rPr>
        <w:t>sion between staff and patients or staff training) can take place aimed at fine-tuning climate on a ward. Given that staff and patients differ in their</w:t>
      </w:r>
    </w:p>
    <w:p w:rsidR="005A54F9" w:rsidRDefault="005A54F9">
      <w:pPr>
        <w:spacing w:line="200" w:lineRule="exact"/>
        <w:rPr>
          <w:sz w:val="20"/>
          <w:szCs w:val="20"/>
        </w:rPr>
      </w:pPr>
    </w:p>
    <w:p w:rsidR="005A54F9" w:rsidRDefault="005A54F9">
      <w:pPr>
        <w:spacing w:line="255" w:lineRule="exact"/>
        <w:rPr>
          <w:sz w:val="20"/>
          <w:szCs w:val="20"/>
        </w:rPr>
      </w:pPr>
    </w:p>
    <w:p w:rsidR="005A54F9" w:rsidRDefault="005442FA">
      <w:pPr>
        <w:jc w:val="right"/>
        <w:rPr>
          <w:sz w:val="20"/>
          <w:szCs w:val="20"/>
        </w:rPr>
      </w:pPr>
      <w:r>
        <w:rPr>
          <w:rFonts w:ascii="Verdana" w:eastAsia="Verdana" w:hAnsi="Verdana" w:cs="Verdana"/>
          <w:sz w:val="18"/>
          <w:szCs w:val="18"/>
        </w:rPr>
        <w:t>20</w:t>
      </w:r>
    </w:p>
    <w:p w:rsidR="005A54F9" w:rsidRDefault="005A54F9">
      <w:pPr>
        <w:sectPr w:rsidR="005A54F9">
          <w:pgSz w:w="11900" w:h="16838"/>
          <w:pgMar w:top="1392" w:right="1426" w:bottom="371" w:left="1420" w:header="0" w:footer="0" w:gutter="0"/>
          <w:cols w:space="720" w:equalWidth="0">
            <w:col w:w="9060"/>
          </w:cols>
        </w:sectPr>
      </w:pPr>
    </w:p>
    <w:p w:rsidR="005A54F9" w:rsidRDefault="005442FA">
      <w:pPr>
        <w:spacing w:line="480" w:lineRule="auto"/>
        <w:ind w:right="100"/>
        <w:rPr>
          <w:sz w:val="20"/>
          <w:szCs w:val="20"/>
        </w:rPr>
      </w:pPr>
      <w:bookmarkStart w:id="21" w:name="page21"/>
      <w:bookmarkEnd w:id="21"/>
      <w:r>
        <w:rPr>
          <w:rFonts w:eastAsia="Times New Roman"/>
          <w:sz w:val="24"/>
          <w:szCs w:val="24"/>
        </w:rPr>
        <w:lastRenderedPageBreak/>
        <w:t>perceptions of the ward climate, suggest that interventions designed to impro</w:t>
      </w:r>
      <w:r>
        <w:rPr>
          <w:rFonts w:eastAsia="Times New Roman"/>
          <w:sz w:val="24"/>
          <w:szCs w:val="24"/>
        </w:rPr>
        <w:t>ve the perceived climate on a ward should target different aspects when delivered to staff compared to when they are delivered to patients. Service managers could choose or design interventions to improve perceptions of climate in both staff and patients.</w:t>
      </w:r>
    </w:p>
    <w:p w:rsidR="005A54F9" w:rsidRDefault="005442FA">
      <w:pPr>
        <w:spacing w:line="503" w:lineRule="auto"/>
        <w:ind w:right="20" w:firstLine="708"/>
        <w:rPr>
          <w:sz w:val="20"/>
          <w:szCs w:val="20"/>
        </w:rPr>
      </w:pPr>
      <w:r>
        <w:rPr>
          <w:rFonts w:eastAsia="Times New Roman"/>
          <w:sz w:val="23"/>
          <w:szCs w:val="23"/>
        </w:rPr>
        <w:t>Research has shown that active participation of staff (and patients) is a key factor in the process of improving perceptions of ward climate (James, Milne, &amp; Firth, 1990; Moos, 1973). Nesset, Rossberg, and Almvik (2009) indicate for instance that a three-w</w:t>
      </w:r>
      <w:r>
        <w:rPr>
          <w:rFonts w:eastAsia="Times New Roman"/>
          <w:sz w:val="23"/>
          <w:szCs w:val="23"/>
        </w:rPr>
        <w:t>eek staff training program concerning important aspects of treatment milieu (with a particular focus on the relationship between patients and nursing staff and staff members’ behavior and their attitudes towards the patients), can improve ward climate as p</w:t>
      </w:r>
      <w:r>
        <w:rPr>
          <w:rFonts w:eastAsia="Times New Roman"/>
          <w:sz w:val="23"/>
          <w:szCs w:val="23"/>
        </w:rPr>
        <w:t>erceived by patients within a forensic psychiatric ward. After the intervention, patients reported an increase in a number of WAS scales, including involvement, support, practical orientation (how much patients learn practical skills and are prepared for r</w:t>
      </w:r>
      <w:r>
        <w:rPr>
          <w:rFonts w:eastAsia="Times New Roman"/>
          <w:sz w:val="23"/>
          <w:szCs w:val="23"/>
        </w:rPr>
        <w:t>elease from a program), order and organization (the importance of order and organization in a program), as well as a lower level of anger and aggressive behavior. Another potential important aspect for management of ward climate, described by Norton (2004)</w:t>
      </w:r>
      <w:r>
        <w:rPr>
          <w:rFonts w:eastAsia="Times New Roman"/>
          <w:sz w:val="23"/>
          <w:szCs w:val="23"/>
        </w:rPr>
        <w:t>, is that patients know what they can expect from the environment (nurses) and what is expected from them. Norton argues that the overall therapeutic objectives of a ward need to be clear. These objectives can for instance be documented for staff and patie</w:t>
      </w:r>
      <w:r>
        <w:rPr>
          <w:rFonts w:eastAsia="Times New Roman"/>
          <w:sz w:val="23"/>
          <w:szCs w:val="23"/>
        </w:rPr>
        <w:t>nts, accompanied with methods used on a ward to achieve them. Although additional research into the relationships between patient characteristics and individual perceived climate is needed, this knowledge could potentially be beneficial for active manageme</w:t>
      </w:r>
      <w:r>
        <w:rPr>
          <w:rFonts w:eastAsia="Times New Roman"/>
          <w:sz w:val="23"/>
          <w:szCs w:val="23"/>
        </w:rPr>
        <w:t>nt of ward climate. Knowledge on the relationship between patient characteristics and the perception of climate on a ward could for instance assist service managers in the composition of patient groups. Furthermore, insights could be implemented in staff’s</w:t>
      </w:r>
      <w:r>
        <w:rPr>
          <w:rFonts w:eastAsia="Times New Roman"/>
          <w:sz w:val="23"/>
          <w:szCs w:val="23"/>
        </w:rPr>
        <w:t xml:space="preserve"> training programs, informing them what they can expect from patients with regard to their perception of climate</w:t>
      </w:r>
    </w:p>
    <w:p w:rsidR="005A54F9" w:rsidRDefault="005A54F9">
      <w:pPr>
        <w:spacing w:line="200" w:lineRule="exact"/>
        <w:rPr>
          <w:sz w:val="20"/>
          <w:szCs w:val="20"/>
        </w:rPr>
      </w:pPr>
    </w:p>
    <w:p w:rsidR="005A54F9" w:rsidRDefault="005A54F9">
      <w:pPr>
        <w:spacing w:line="243" w:lineRule="exact"/>
        <w:rPr>
          <w:sz w:val="20"/>
          <w:szCs w:val="20"/>
        </w:rPr>
      </w:pPr>
    </w:p>
    <w:p w:rsidR="005A54F9" w:rsidRDefault="005442FA">
      <w:pPr>
        <w:jc w:val="right"/>
        <w:rPr>
          <w:sz w:val="20"/>
          <w:szCs w:val="20"/>
        </w:rPr>
      </w:pPr>
      <w:r>
        <w:rPr>
          <w:rFonts w:ascii="Verdana" w:eastAsia="Verdana" w:hAnsi="Verdana" w:cs="Verdana"/>
          <w:sz w:val="18"/>
          <w:szCs w:val="18"/>
        </w:rPr>
        <w:t>21</w:t>
      </w:r>
    </w:p>
    <w:p w:rsidR="005A54F9" w:rsidRDefault="005A54F9">
      <w:pPr>
        <w:sectPr w:rsidR="005A54F9">
          <w:pgSz w:w="11900" w:h="16838"/>
          <w:pgMar w:top="1392" w:right="1426" w:bottom="371" w:left="1420" w:header="0" w:footer="0" w:gutter="0"/>
          <w:cols w:space="720" w:equalWidth="0">
            <w:col w:w="9060"/>
          </w:cols>
        </w:sectPr>
      </w:pPr>
    </w:p>
    <w:p w:rsidR="005A54F9" w:rsidRDefault="005442FA">
      <w:pPr>
        <w:spacing w:line="480" w:lineRule="auto"/>
        <w:ind w:right="340"/>
        <w:rPr>
          <w:sz w:val="20"/>
          <w:szCs w:val="20"/>
        </w:rPr>
      </w:pPr>
      <w:bookmarkStart w:id="22" w:name="page22"/>
      <w:bookmarkEnd w:id="22"/>
      <w:r>
        <w:rPr>
          <w:rFonts w:eastAsia="Times New Roman"/>
          <w:sz w:val="24"/>
          <w:szCs w:val="24"/>
        </w:rPr>
        <w:lastRenderedPageBreak/>
        <w:t>(for instance, which patients might be susceptible for feelings of unsafety or for perceiving lower levels of therap</w:t>
      </w:r>
      <w:r>
        <w:rPr>
          <w:rFonts w:eastAsia="Times New Roman"/>
          <w:sz w:val="24"/>
          <w:szCs w:val="24"/>
        </w:rPr>
        <w:t>eutic hold).</w:t>
      </w:r>
    </w:p>
    <w:p w:rsidR="005A54F9" w:rsidRDefault="005442FA">
      <w:pPr>
        <w:spacing w:line="500" w:lineRule="auto"/>
        <w:ind w:right="60" w:firstLine="708"/>
        <w:rPr>
          <w:sz w:val="20"/>
          <w:szCs w:val="20"/>
        </w:rPr>
      </w:pPr>
      <w:r>
        <w:rPr>
          <w:rFonts w:eastAsia="Times New Roman"/>
          <w:sz w:val="23"/>
          <w:szCs w:val="23"/>
        </w:rPr>
        <w:t>There were various limitations to this study that should be noted. Firstly, the sample was drawn from a single high secure forensic hospital in the Netherlands, limiting generalizability of the results. Replication of these results is needed i</w:t>
      </w:r>
      <w:r>
        <w:rPr>
          <w:rFonts w:eastAsia="Times New Roman"/>
          <w:sz w:val="23"/>
          <w:szCs w:val="23"/>
        </w:rPr>
        <w:t>n other high secure forensic hospitals. A second limitation would be missing data as a result of the participation of patients on voluntary base. It could be that individuals that did not participate in the assessment have other views on climate than indiv</w:t>
      </w:r>
      <w:r>
        <w:rPr>
          <w:rFonts w:eastAsia="Times New Roman"/>
          <w:sz w:val="23"/>
          <w:szCs w:val="23"/>
        </w:rPr>
        <w:t>iduals that did participate. Nevertheless, in order to gain a valid and realistic assessment, we aimed at intrinsically motivated, spontaneous participation. Therefore, in line with recommendations of the authors of the EssenCES, assessment took place by i</w:t>
      </w:r>
      <w:r>
        <w:rPr>
          <w:rFonts w:eastAsia="Times New Roman"/>
          <w:sz w:val="23"/>
          <w:szCs w:val="23"/>
        </w:rPr>
        <w:t>nviting instead of urging staff members and patients to fill in the questionnaire. Also, not all information from clinical files was available for the researchers for several reasons. For instance, some participants were administered to and discharged from</w:t>
      </w:r>
      <w:r>
        <w:rPr>
          <w:rFonts w:eastAsia="Times New Roman"/>
          <w:sz w:val="23"/>
          <w:szCs w:val="23"/>
        </w:rPr>
        <w:t xml:space="preserve"> the clinic before routine assessment of risk became obligatory, some clinical files were not (yet) up to date and sometimes missing items on a scale resulted in missing scores on subscales. The possibility that individuals with missing data (that were thu</w:t>
      </w:r>
      <w:r>
        <w:rPr>
          <w:rFonts w:eastAsia="Times New Roman"/>
          <w:sz w:val="23"/>
          <w:szCs w:val="23"/>
        </w:rPr>
        <w:t xml:space="preserve">s excluded from the path analysis) would change the results when included can therefore not be ruled out. Third, our study only entails a couple of patient characteristics that could be related to the perception of ward climate. Other characteristics that </w:t>
      </w:r>
      <w:r>
        <w:rPr>
          <w:rFonts w:eastAsia="Times New Roman"/>
          <w:sz w:val="23"/>
          <w:szCs w:val="23"/>
        </w:rPr>
        <w:t>would be worth adding in future research are for instance, type of offence, treatment engagement, and amount of leave taking.</w:t>
      </w:r>
    </w:p>
    <w:p w:rsidR="005A54F9" w:rsidRDefault="005A54F9">
      <w:pPr>
        <w:spacing w:line="16" w:lineRule="exact"/>
        <w:rPr>
          <w:sz w:val="20"/>
          <w:szCs w:val="20"/>
        </w:rPr>
      </w:pPr>
    </w:p>
    <w:p w:rsidR="005A54F9" w:rsidRDefault="005442FA">
      <w:pPr>
        <w:spacing w:line="512" w:lineRule="auto"/>
        <w:ind w:right="200" w:firstLine="708"/>
        <w:rPr>
          <w:sz w:val="20"/>
          <w:szCs w:val="20"/>
        </w:rPr>
      </w:pPr>
      <w:r>
        <w:rPr>
          <w:rFonts w:eastAsia="Times New Roman"/>
          <w:sz w:val="23"/>
          <w:szCs w:val="23"/>
        </w:rPr>
        <w:t xml:space="preserve">Despite the limitations of this study, the findings further our knowledge about an under explored topic, namely the relationship </w:t>
      </w:r>
      <w:r>
        <w:rPr>
          <w:rFonts w:eastAsia="Times New Roman"/>
          <w:sz w:val="23"/>
          <w:szCs w:val="23"/>
        </w:rPr>
        <w:t>between patients’ characteristics on individual perceived climate, using sophisticated statistical techniques. Also, this study extends earlier research conducted mostly in the US and the UK to the high secure forensic setting in the Netherlands. This stud</w:t>
      </w:r>
      <w:r>
        <w:rPr>
          <w:rFonts w:eastAsia="Times New Roman"/>
          <w:sz w:val="23"/>
          <w:szCs w:val="23"/>
        </w:rPr>
        <w:t>y is the first to demonstrate differences between staff members and</w:t>
      </w:r>
    </w:p>
    <w:p w:rsidR="005A54F9" w:rsidRDefault="005A54F9">
      <w:pPr>
        <w:spacing w:line="200" w:lineRule="exact"/>
        <w:rPr>
          <w:sz w:val="20"/>
          <w:szCs w:val="20"/>
        </w:rPr>
      </w:pPr>
    </w:p>
    <w:p w:rsidR="005A54F9" w:rsidRDefault="005A54F9">
      <w:pPr>
        <w:spacing w:line="233" w:lineRule="exact"/>
        <w:rPr>
          <w:sz w:val="20"/>
          <w:szCs w:val="20"/>
        </w:rPr>
      </w:pPr>
    </w:p>
    <w:p w:rsidR="005A54F9" w:rsidRDefault="005442FA">
      <w:pPr>
        <w:jc w:val="right"/>
        <w:rPr>
          <w:sz w:val="20"/>
          <w:szCs w:val="20"/>
        </w:rPr>
      </w:pPr>
      <w:r>
        <w:rPr>
          <w:rFonts w:ascii="Verdana" w:eastAsia="Verdana" w:hAnsi="Verdana" w:cs="Verdana"/>
          <w:sz w:val="18"/>
          <w:szCs w:val="18"/>
        </w:rPr>
        <w:t>22</w:t>
      </w:r>
    </w:p>
    <w:p w:rsidR="005A54F9" w:rsidRDefault="005A54F9">
      <w:pPr>
        <w:sectPr w:rsidR="005A54F9">
          <w:pgSz w:w="11900" w:h="16838"/>
          <w:pgMar w:top="1392" w:right="1426" w:bottom="371" w:left="1420" w:header="0" w:footer="0" w:gutter="0"/>
          <w:cols w:space="720" w:equalWidth="0">
            <w:col w:w="9060"/>
          </w:cols>
        </w:sectPr>
      </w:pPr>
    </w:p>
    <w:p w:rsidR="005A54F9" w:rsidRDefault="005442FA">
      <w:pPr>
        <w:spacing w:line="488" w:lineRule="auto"/>
        <w:ind w:right="60"/>
        <w:rPr>
          <w:sz w:val="20"/>
          <w:szCs w:val="20"/>
        </w:rPr>
      </w:pPr>
      <w:bookmarkStart w:id="23" w:name="page23"/>
      <w:bookmarkEnd w:id="23"/>
      <w:r>
        <w:rPr>
          <w:rFonts w:eastAsia="Times New Roman"/>
          <w:sz w:val="24"/>
          <w:szCs w:val="24"/>
        </w:rPr>
        <w:lastRenderedPageBreak/>
        <w:t>patients on all three factors of climate measured with the EssenCES within a high secure forensic setting. Nursing staff and management within the forensic setti</w:t>
      </w:r>
      <w:r>
        <w:rPr>
          <w:rFonts w:eastAsia="Times New Roman"/>
          <w:sz w:val="24"/>
          <w:szCs w:val="24"/>
        </w:rPr>
        <w:t>ng could use the knowledge derived from this study in their challenging task of setting and maintaining a ward climate supportive of treatment success for the whole group and well as for the individual patient.</w:t>
      </w: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86" w:lineRule="exact"/>
        <w:rPr>
          <w:sz w:val="20"/>
          <w:szCs w:val="20"/>
        </w:rPr>
      </w:pPr>
    </w:p>
    <w:p w:rsidR="005A54F9" w:rsidRDefault="005442FA">
      <w:pPr>
        <w:jc w:val="right"/>
        <w:rPr>
          <w:sz w:val="20"/>
          <w:szCs w:val="20"/>
        </w:rPr>
      </w:pPr>
      <w:r>
        <w:rPr>
          <w:rFonts w:ascii="Verdana" w:eastAsia="Verdana" w:hAnsi="Verdana" w:cs="Verdana"/>
          <w:sz w:val="18"/>
          <w:szCs w:val="18"/>
        </w:rPr>
        <w:t>23</w:t>
      </w:r>
    </w:p>
    <w:p w:rsidR="005A54F9" w:rsidRDefault="005A54F9">
      <w:pPr>
        <w:sectPr w:rsidR="005A54F9">
          <w:pgSz w:w="11900" w:h="16838"/>
          <w:pgMar w:top="1392" w:right="1426" w:bottom="371" w:left="1420" w:header="0" w:footer="0" w:gutter="0"/>
          <w:cols w:space="720" w:equalWidth="0">
            <w:col w:w="9060"/>
          </w:cols>
        </w:sectPr>
      </w:pPr>
    </w:p>
    <w:p w:rsidR="005A54F9" w:rsidRDefault="005442FA">
      <w:pPr>
        <w:jc w:val="center"/>
        <w:rPr>
          <w:sz w:val="20"/>
          <w:szCs w:val="20"/>
        </w:rPr>
      </w:pPr>
      <w:bookmarkStart w:id="24" w:name="page24"/>
      <w:bookmarkEnd w:id="24"/>
      <w:r>
        <w:rPr>
          <w:rFonts w:eastAsia="Times New Roman"/>
          <w:sz w:val="24"/>
          <w:szCs w:val="24"/>
        </w:rPr>
        <w:lastRenderedPageBreak/>
        <w:t>Acknowledgements</w:t>
      </w:r>
    </w:p>
    <w:p w:rsidR="005A54F9" w:rsidRDefault="005A54F9">
      <w:pPr>
        <w:spacing w:line="276" w:lineRule="exact"/>
        <w:rPr>
          <w:sz w:val="20"/>
          <w:szCs w:val="20"/>
        </w:rPr>
      </w:pPr>
    </w:p>
    <w:p w:rsidR="005A54F9" w:rsidRDefault="005442FA">
      <w:pPr>
        <w:spacing w:line="496" w:lineRule="auto"/>
        <w:ind w:right="480"/>
        <w:rPr>
          <w:sz w:val="20"/>
          <w:szCs w:val="20"/>
        </w:rPr>
      </w:pPr>
      <w:r>
        <w:rPr>
          <w:rFonts w:eastAsia="Times New Roman"/>
          <w:sz w:val="24"/>
          <w:szCs w:val="24"/>
        </w:rPr>
        <w:t xml:space="preserve">We would like to thank the Pompestichting and all the patients and staff members that participated in our study. In addition we would like to thank Marjolein Kobes and Rachel Arends for their work </w:t>
      </w:r>
      <w:r>
        <w:rPr>
          <w:rFonts w:eastAsia="Times New Roman"/>
          <w:sz w:val="24"/>
          <w:szCs w:val="24"/>
        </w:rPr>
        <w:t>during data collection.</w:t>
      </w:r>
    </w:p>
    <w:p w:rsidR="005A54F9" w:rsidRDefault="005A54F9">
      <w:pPr>
        <w:spacing w:line="200" w:lineRule="exact"/>
        <w:rPr>
          <w:sz w:val="20"/>
          <w:szCs w:val="20"/>
        </w:rPr>
      </w:pPr>
    </w:p>
    <w:p w:rsidR="005A54F9" w:rsidRDefault="005A54F9">
      <w:pPr>
        <w:spacing w:line="230" w:lineRule="exact"/>
        <w:rPr>
          <w:sz w:val="20"/>
          <w:szCs w:val="20"/>
        </w:rPr>
      </w:pPr>
    </w:p>
    <w:p w:rsidR="005A54F9" w:rsidRDefault="005442FA">
      <w:pPr>
        <w:jc w:val="center"/>
        <w:rPr>
          <w:sz w:val="20"/>
          <w:szCs w:val="20"/>
        </w:rPr>
      </w:pPr>
      <w:r>
        <w:rPr>
          <w:rFonts w:eastAsia="Times New Roman"/>
          <w:sz w:val="24"/>
          <w:szCs w:val="24"/>
        </w:rPr>
        <w:t>References</w:t>
      </w:r>
    </w:p>
    <w:p w:rsidR="005A54F9" w:rsidRDefault="005A54F9">
      <w:pPr>
        <w:spacing w:line="276" w:lineRule="exact"/>
        <w:rPr>
          <w:sz w:val="20"/>
          <w:szCs w:val="20"/>
        </w:rPr>
      </w:pPr>
    </w:p>
    <w:p w:rsidR="005A54F9" w:rsidRDefault="005442FA">
      <w:pPr>
        <w:spacing w:line="480" w:lineRule="auto"/>
        <w:ind w:left="700" w:right="820" w:hanging="707"/>
        <w:rPr>
          <w:sz w:val="20"/>
          <w:szCs w:val="20"/>
        </w:rPr>
      </w:pPr>
      <w:r>
        <w:rPr>
          <w:rFonts w:eastAsia="Times New Roman"/>
          <w:sz w:val="24"/>
          <w:szCs w:val="24"/>
        </w:rPr>
        <w:t>American Psychiatric Association (2000). Diagnostic and statistical manual of mental disorders (4th ed., text rev). Washington, DC: Author.</w:t>
      </w:r>
    </w:p>
    <w:p w:rsidR="005A54F9" w:rsidRDefault="005442FA">
      <w:pPr>
        <w:spacing w:line="480" w:lineRule="auto"/>
        <w:ind w:right="840"/>
        <w:jc w:val="center"/>
        <w:rPr>
          <w:sz w:val="20"/>
          <w:szCs w:val="20"/>
        </w:rPr>
      </w:pPr>
      <w:r>
        <w:rPr>
          <w:rFonts w:eastAsia="Times New Roman"/>
          <w:sz w:val="24"/>
          <w:szCs w:val="24"/>
        </w:rPr>
        <w:t>Baird, S.A. (2002). The links between primary and secondary psychopathy and so</w:t>
      </w:r>
      <w:r>
        <w:rPr>
          <w:rFonts w:eastAsia="Times New Roman"/>
          <w:sz w:val="24"/>
          <w:szCs w:val="24"/>
        </w:rPr>
        <w:t>cial adaptation. Colgate University Journal of the Sciences. Student Paper.</w:t>
      </w:r>
    </w:p>
    <w:p w:rsidR="005A54F9" w:rsidRDefault="005442FA">
      <w:pPr>
        <w:spacing w:line="480" w:lineRule="auto"/>
        <w:ind w:left="700" w:right="40" w:hanging="707"/>
        <w:rPr>
          <w:sz w:val="20"/>
          <w:szCs w:val="20"/>
        </w:rPr>
      </w:pPr>
      <w:r>
        <w:rPr>
          <w:rFonts w:eastAsia="Times New Roman"/>
          <w:sz w:val="24"/>
          <w:szCs w:val="24"/>
        </w:rPr>
        <w:t xml:space="preserve">Beech, A. R., &amp; Hamilton-Giachritsis, C. E. (2005). Relationship between therapeutic climate and treatment outcome in group-based sexual offender treatment programs. </w:t>
      </w:r>
      <w:r>
        <w:rPr>
          <w:rFonts w:eastAsia="Times New Roman"/>
          <w:i/>
          <w:iCs/>
          <w:sz w:val="24"/>
          <w:szCs w:val="24"/>
        </w:rPr>
        <w:t>Sexual</w:t>
      </w:r>
      <w:r>
        <w:rPr>
          <w:rFonts w:eastAsia="Times New Roman"/>
          <w:sz w:val="24"/>
          <w:szCs w:val="24"/>
        </w:rPr>
        <w:t xml:space="preserve"> </w:t>
      </w:r>
      <w:r>
        <w:rPr>
          <w:rFonts w:eastAsia="Times New Roman"/>
          <w:i/>
          <w:iCs/>
          <w:sz w:val="24"/>
          <w:szCs w:val="24"/>
        </w:rPr>
        <w:t xml:space="preserve">Abuse: A Journal of Research and Treatment, 17, </w:t>
      </w:r>
      <w:r>
        <w:rPr>
          <w:rFonts w:eastAsia="Times New Roman"/>
          <w:sz w:val="24"/>
          <w:szCs w:val="24"/>
        </w:rPr>
        <w:t>127–140.</w:t>
      </w:r>
    </w:p>
    <w:p w:rsidR="005A54F9" w:rsidRDefault="005442FA">
      <w:pPr>
        <w:spacing w:line="480" w:lineRule="auto"/>
        <w:ind w:left="700" w:right="220" w:hanging="707"/>
        <w:rPr>
          <w:sz w:val="20"/>
          <w:szCs w:val="20"/>
        </w:rPr>
      </w:pPr>
      <w:r>
        <w:rPr>
          <w:rFonts w:eastAsia="Times New Roman"/>
          <w:sz w:val="24"/>
          <w:szCs w:val="24"/>
        </w:rPr>
        <w:t>Bressington, D., Stewart, B., Beer, D., &amp; MacInnes, D. (2011). Levels of service user satisfaction in secure settings – A survey of the association between perceived social climate, perceived therape</w:t>
      </w:r>
      <w:r>
        <w:rPr>
          <w:rFonts w:eastAsia="Times New Roman"/>
          <w:sz w:val="24"/>
          <w:szCs w:val="24"/>
        </w:rPr>
        <w:t xml:space="preserve">utic relationship and satisfaction with forensic services. </w:t>
      </w:r>
      <w:r>
        <w:rPr>
          <w:rFonts w:eastAsia="Times New Roman"/>
          <w:i/>
          <w:iCs/>
          <w:sz w:val="24"/>
          <w:szCs w:val="24"/>
        </w:rPr>
        <w:t>International Journal of Nursing Studies, 18</w:t>
      </w:r>
      <w:r>
        <w:rPr>
          <w:rFonts w:eastAsia="Times New Roman"/>
          <w:sz w:val="24"/>
          <w:szCs w:val="24"/>
        </w:rPr>
        <w:t>, 1329-1356.</w:t>
      </w:r>
    </w:p>
    <w:p w:rsidR="005A54F9" w:rsidRDefault="005442FA">
      <w:pPr>
        <w:spacing w:line="480" w:lineRule="auto"/>
        <w:ind w:left="700" w:right="700" w:hanging="707"/>
        <w:rPr>
          <w:sz w:val="20"/>
          <w:szCs w:val="20"/>
        </w:rPr>
      </w:pPr>
      <w:r>
        <w:rPr>
          <w:rFonts w:eastAsia="Times New Roman"/>
          <w:sz w:val="24"/>
          <w:szCs w:val="24"/>
        </w:rPr>
        <w:t xml:space="preserve">Brunt, D., &amp; Rask, M. (2007). Ward atmosphere – The scarlet pimpernel of psychiatric settings? </w:t>
      </w:r>
      <w:r>
        <w:rPr>
          <w:rFonts w:eastAsia="Times New Roman"/>
          <w:i/>
          <w:iCs/>
          <w:sz w:val="24"/>
          <w:szCs w:val="24"/>
        </w:rPr>
        <w:t>Issues in Mental Health Nursing, 28</w:t>
      </w:r>
      <w:r>
        <w:rPr>
          <w:rFonts w:eastAsia="Times New Roman"/>
          <w:sz w:val="24"/>
          <w:szCs w:val="24"/>
        </w:rPr>
        <w:t>, 639–655.</w:t>
      </w:r>
    </w:p>
    <w:p w:rsidR="005A54F9" w:rsidRDefault="005442FA">
      <w:pPr>
        <w:rPr>
          <w:sz w:val="20"/>
          <w:szCs w:val="20"/>
        </w:rPr>
      </w:pPr>
      <w:r>
        <w:rPr>
          <w:rFonts w:eastAsia="Times New Roman"/>
          <w:sz w:val="24"/>
          <w:szCs w:val="24"/>
        </w:rPr>
        <w:t>Bulten, B.H., &amp; Fluttert, F.A.J. (2007) Essen Climate Evaluation Schema (EssenCES-NL).</w:t>
      </w:r>
    </w:p>
    <w:p w:rsidR="005A54F9" w:rsidRDefault="005A54F9">
      <w:pPr>
        <w:spacing w:line="276" w:lineRule="exact"/>
        <w:rPr>
          <w:sz w:val="20"/>
          <w:szCs w:val="20"/>
        </w:rPr>
      </w:pPr>
    </w:p>
    <w:p w:rsidR="005A54F9" w:rsidRDefault="005442FA">
      <w:pPr>
        <w:ind w:left="760"/>
        <w:rPr>
          <w:sz w:val="20"/>
          <w:szCs w:val="20"/>
        </w:rPr>
      </w:pPr>
      <w:r>
        <w:rPr>
          <w:rFonts w:eastAsia="Times New Roman"/>
          <w:sz w:val="24"/>
          <w:szCs w:val="24"/>
        </w:rPr>
        <w:t>Germany: Institute of Forensic Psychiatry.</w:t>
      </w:r>
    </w:p>
    <w:p w:rsidR="005A54F9" w:rsidRDefault="005A54F9">
      <w:pPr>
        <w:spacing w:line="276" w:lineRule="exact"/>
        <w:rPr>
          <w:sz w:val="20"/>
          <w:szCs w:val="20"/>
        </w:rPr>
      </w:pPr>
    </w:p>
    <w:p w:rsidR="005A54F9" w:rsidRDefault="005442FA">
      <w:pPr>
        <w:rPr>
          <w:sz w:val="20"/>
          <w:szCs w:val="20"/>
        </w:rPr>
      </w:pPr>
      <w:r>
        <w:rPr>
          <w:rFonts w:eastAsia="Times New Roman"/>
          <w:sz w:val="24"/>
          <w:szCs w:val="24"/>
        </w:rPr>
        <w:t>Burrows, S. (1991). The special hospital nurse and the dilemma of therapeutic custody.</w:t>
      </w:r>
    </w:p>
    <w:p w:rsidR="005A54F9" w:rsidRDefault="005A54F9">
      <w:pPr>
        <w:spacing w:line="272" w:lineRule="exact"/>
        <w:rPr>
          <w:sz w:val="20"/>
          <w:szCs w:val="20"/>
        </w:rPr>
      </w:pPr>
    </w:p>
    <w:p w:rsidR="005A54F9" w:rsidRDefault="005442FA">
      <w:pPr>
        <w:ind w:left="700"/>
        <w:rPr>
          <w:sz w:val="20"/>
          <w:szCs w:val="20"/>
        </w:rPr>
      </w:pPr>
      <w:r>
        <w:rPr>
          <w:rFonts w:eastAsia="Times New Roman"/>
          <w:i/>
          <w:iCs/>
          <w:sz w:val="24"/>
          <w:szCs w:val="24"/>
        </w:rPr>
        <w:t>Journal of Advances in Health and N</w:t>
      </w:r>
      <w:r>
        <w:rPr>
          <w:rFonts w:eastAsia="Times New Roman"/>
          <w:i/>
          <w:iCs/>
          <w:sz w:val="24"/>
          <w:szCs w:val="24"/>
        </w:rPr>
        <w:t>ursing Care, 1</w:t>
      </w:r>
      <w:r>
        <w:rPr>
          <w:rFonts w:eastAsia="Times New Roman"/>
          <w:sz w:val="24"/>
          <w:szCs w:val="24"/>
        </w:rPr>
        <w:t>, 21–38.</w:t>
      </w: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343" w:lineRule="exact"/>
        <w:rPr>
          <w:sz w:val="20"/>
          <w:szCs w:val="20"/>
        </w:rPr>
      </w:pPr>
    </w:p>
    <w:p w:rsidR="005A54F9" w:rsidRDefault="005442FA">
      <w:pPr>
        <w:jc w:val="right"/>
        <w:rPr>
          <w:sz w:val="20"/>
          <w:szCs w:val="20"/>
        </w:rPr>
      </w:pPr>
      <w:r>
        <w:rPr>
          <w:rFonts w:ascii="Verdana" w:eastAsia="Verdana" w:hAnsi="Verdana" w:cs="Verdana"/>
          <w:sz w:val="18"/>
          <w:szCs w:val="18"/>
        </w:rPr>
        <w:t>24</w:t>
      </w:r>
    </w:p>
    <w:p w:rsidR="005A54F9" w:rsidRDefault="005A54F9">
      <w:pPr>
        <w:sectPr w:rsidR="005A54F9">
          <w:pgSz w:w="11900" w:h="16838"/>
          <w:pgMar w:top="1392" w:right="1426" w:bottom="371" w:left="1420" w:header="0" w:footer="0" w:gutter="0"/>
          <w:cols w:space="720" w:equalWidth="0">
            <w:col w:w="9060"/>
          </w:cols>
        </w:sectPr>
      </w:pPr>
    </w:p>
    <w:p w:rsidR="005A54F9" w:rsidRDefault="005442FA">
      <w:pPr>
        <w:spacing w:line="480" w:lineRule="auto"/>
        <w:ind w:left="700" w:right="140" w:hanging="707"/>
        <w:rPr>
          <w:sz w:val="20"/>
          <w:szCs w:val="20"/>
        </w:rPr>
      </w:pPr>
      <w:bookmarkStart w:id="25" w:name="page25"/>
      <w:bookmarkEnd w:id="25"/>
      <w:r>
        <w:rPr>
          <w:rFonts w:eastAsia="Times New Roman"/>
          <w:sz w:val="24"/>
          <w:szCs w:val="24"/>
        </w:rPr>
        <w:lastRenderedPageBreak/>
        <w:t xml:space="preserve">Campbell, R., Allan, S., &amp; Sims, P. (2014). Service attachment: The relative contributions of ward climate perceptions and attachment anxiety and avoidance in male inpatients with psychosis. </w:t>
      </w:r>
      <w:r>
        <w:rPr>
          <w:rFonts w:eastAsia="Times New Roman"/>
          <w:i/>
          <w:iCs/>
          <w:sz w:val="24"/>
          <w:szCs w:val="24"/>
        </w:rPr>
        <w:t>Criminal</w:t>
      </w:r>
      <w:r>
        <w:rPr>
          <w:rFonts w:eastAsia="Times New Roman"/>
          <w:i/>
          <w:iCs/>
          <w:sz w:val="24"/>
          <w:szCs w:val="24"/>
        </w:rPr>
        <w:t xml:space="preserve"> Behaviour and Mental Health, 24,</w:t>
      </w:r>
      <w:r>
        <w:rPr>
          <w:rFonts w:eastAsia="Times New Roman"/>
          <w:sz w:val="24"/>
          <w:szCs w:val="24"/>
        </w:rPr>
        <w:t xml:space="preserve"> 49–59</w:t>
      </w:r>
    </w:p>
    <w:p w:rsidR="005A54F9" w:rsidRDefault="005442FA">
      <w:pPr>
        <w:spacing w:line="480" w:lineRule="auto"/>
        <w:ind w:left="700" w:right="20" w:hanging="707"/>
        <w:rPr>
          <w:sz w:val="20"/>
          <w:szCs w:val="20"/>
        </w:rPr>
      </w:pPr>
      <w:r>
        <w:rPr>
          <w:rFonts w:eastAsia="Times New Roman"/>
          <w:sz w:val="24"/>
          <w:szCs w:val="24"/>
        </w:rPr>
        <w:t xml:space="preserve">Campbell, W. K., &amp; Sedikides, C. (1999). Self-threat magnifies the self-serving bias: A meta-analytic integration. </w:t>
      </w:r>
      <w:r>
        <w:rPr>
          <w:rFonts w:eastAsia="Times New Roman"/>
          <w:i/>
          <w:iCs/>
          <w:sz w:val="24"/>
          <w:szCs w:val="24"/>
        </w:rPr>
        <w:t>Review of General Psychology</w:t>
      </w:r>
      <w:r>
        <w:rPr>
          <w:rFonts w:eastAsia="Times New Roman"/>
          <w:sz w:val="24"/>
          <w:szCs w:val="24"/>
        </w:rPr>
        <w:t xml:space="preserve"> </w:t>
      </w:r>
      <w:r>
        <w:rPr>
          <w:rFonts w:eastAsia="Times New Roman"/>
          <w:i/>
          <w:iCs/>
          <w:sz w:val="24"/>
          <w:szCs w:val="24"/>
        </w:rPr>
        <w:t>3,</w:t>
      </w:r>
      <w:r>
        <w:rPr>
          <w:rFonts w:eastAsia="Times New Roman"/>
          <w:sz w:val="24"/>
          <w:szCs w:val="24"/>
        </w:rPr>
        <w:t xml:space="preserve"> 23 - 43.</w:t>
      </w:r>
    </w:p>
    <w:p w:rsidR="005A54F9" w:rsidRDefault="005442FA">
      <w:pPr>
        <w:spacing w:line="500" w:lineRule="auto"/>
        <w:ind w:left="760" w:right="240" w:hanging="767"/>
        <w:rPr>
          <w:sz w:val="20"/>
          <w:szCs w:val="20"/>
        </w:rPr>
      </w:pPr>
      <w:r>
        <w:rPr>
          <w:rFonts w:eastAsia="Times New Roman"/>
          <w:sz w:val="23"/>
          <w:szCs w:val="23"/>
        </w:rPr>
        <w:t>Campling, P., Davies, S., &amp; Farquharson, G. (2004). From Tox</w:t>
      </w:r>
      <w:r>
        <w:rPr>
          <w:rFonts w:eastAsia="Times New Roman"/>
          <w:sz w:val="23"/>
          <w:szCs w:val="23"/>
        </w:rPr>
        <w:t>ic Institutions to Therapeutic Environments: Residential Settings in Mental Health Services. Lonon: Gaskell.</w:t>
      </w:r>
    </w:p>
    <w:p w:rsidR="005A54F9" w:rsidRDefault="005A54F9">
      <w:pPr>
        <w:spacing w:line="2" w:lineRule="exact"/>
        <w:rPr>
          <w:sz w:val="20"/>
          <w:szCs w:val="20"/>
        </w:rPr>
      </w:pPr>
    </w:p>
    <w:p w:rsidR="005A54F9" w:rsidRDefault="005442FA">
      <w:pPr>
        <w:spacing w:line="480" w:lineRule="auto"/>
        <w:ind w:right="680"/>
        <w:jc w:val="right"/>
        <w:rPr>
          <w:sz w:val="20"/>
          <w:szCs w:val="20"/>
        </w:rPr>
      </w:pPr>
      <w:r>
        <w:rPr>
          <w:rFonts w:eastAsia="Times New Roman"/>
          <w:sz w:val="24"/>
          <w:szCs w:val="24"/>
        </w:rPr>
        <w:t xml:space="preserve">Caplan, C.A. (1993). Nursing staff and patient perceptions on the ward atmosphere in a maximum security forensic hospital. </w:t>
      </w:r>
      <w:r>
        <w:rPr>
          <w:rFonts w:eastAsia="Times New Roman"/>
          <w:i/>
          <w:iCs/>
          <w:sz w:val="24"/>
          <w:szCs w:val="24"/>
        </w:rPr>
        <w:t>Archives of Psychiatric</w:t>
      </w:r>
      <w:r>
        <w:rPr>
          <w:rFonts w:eastAsia="Times New Roman"/>
          <w:i/>
          <w:iCs/>
          <w:sz w:val="24"/>
          <w:szCs w:val="24"/>
        </w:rPr>
        <w:t xml:space="preserve"> Nursing, 7</w:t>
      </w:r>
      <w:r>
        <w:rPr>
          <w:rFonts w:eastAsia="Times New Roman"/>
          <w:sz w:val="24"/>
          <w:szCs w:val="24"/>
        </w:rPr>
        <w:t>, 23-29.</w:t>
      </w:r>
    </w:p>
    <w:p w:rsidR="005A54F9" w:rsidRDefault="005442FA">
      <w:pPr>
        <w:spacing w:line="480" w:lineRule="auto"/>
        <w:ind w:left="700" w:right="120" w:hanging="707"/>
        <w:rPr>
          <w:rFonts w:eastAsia="Times New Roman"/>
          <w:sz w:val="24"/>
          <w:szCs w:val="24"/>
        </w:rPr>
      </w:pPr>
      <w:hyperlink r:id="rId6">
        <w:r>
          <w:rPr>
            <w:rFonts w:eastAsia="Times New Roman"/>
            <w:sz w:val="24"/>
            <w:szCs w:val="24"/>
          </w:rPr>
          <w:t xml:space="preserve">Cooper, </w:t>
        </w:r>
      </w:hyperlink>
      <w:r>
        <w:rPr>
          <w:rFonts w:eastAsia="Times New Roman"/>
          <w:sz w:val="24"/>
          <w:szCs w:val="24"/>
        </w:rPr>
        <w:t xml:space="preserve">L.A., </w:t>
      </w:r>
      <w:hyperlink r:id="rId7">
        <w:r>
          <w:rPr>
            <w:rFonts w:eastAsia="Times New Roman"/>
            <w:sz w:val="24"/>
            <w:szCs w:val="24"/>
          </w:rPr>
          <w:t xml:space="preserve">Roter, </w:t>
        </w:r>
      </w:hyperlink>
      <w:r>
        <w:rPr>
          <w:rFonts w:eastAsia="Times New Roman"/>
          <w:sz w:val="24"/>
          <w:szCs w:val="24"/>
        </w:rPr>
        <w:t xml:space="preserve">D.L. </w:t>
      </w:r>
      <w:hyperlink r:id="rId8">
        <w:r>
          <w:rPr>
            <w:rFonts w:eastAsia="Times New Roman"/>
            <w:sz w:val="24"/>
            <w:szCs w:val="24"/>
          </w:rPr>
          <w:t xml:space="preserve">Carson, </w:t>
        </w:r>
      </w:hyperlink>
      <w:r>
        <w:rPr>
          <w:rFonts w:eastAsia="Times New Roman"/>
          <w:sz w:val="24"/>
          <w:szCs w:val="24"/>
        </w:rPr>
        <w:t xml:space="preserve">K.A., </w:t>
      </w:r>
      <w:hyperlink r:id="rId9">
        <w:r>
          <w:rPr>
            <w:rFonts w:eastAsia="Times New Roman"/>
            <w:sz w:val="24"/>
            <w:szCs w:val="24"/>
          </w:rPr>
          <w:t xml:space="preserve">Beach, </w:t>
        </w:r>
      </w:hyperlink>
      <w:r>
        <w:rPr>
          <w:rFonts w:eastAsia="Times New Roman"/>
          <w:sz w:val="24"/>
          <w:szCs w:val="24"/>
        </w:rPr>
        <w:t xml:space="preserve">M.C., </w:t>
      </w:r>
      <w:hyperlink r:id="rId10">
        <w:r>
          <w:rPr>
            <w:rFonts w:eastAsia="Times New Roman"/>
            <w:sz w:val="24"/>
            <w:szCs w:val="24"/>
          </w:rPr>
          <w:t xml:space="preserve">Sabin, </w:t>
        </w:r>
      </w:hyperlink>
      <w:r>
        <w:rPr>
          <w:rFonts w:eastAsia="Times New Roman"/>
          <w:sz w:val="24"/>
          <w:szCs w:val="24"/>
        </w:rPr>
        <w:t xml:space="preserve">J.A., </w:t>
      </w:r>
      <w:hyperlink r:id="rId11">
        <w:r>
          <w:rPr>
            <w:rFonts w:eastAsia="Times New Roman"/>
            <w:sz w:val="24"/>
            <w:szCs w:val="24"/>
          </w:rPr>
          <w:t xml:space="preserve">Greenwald, </w:t>
        </w:r>
      </w:hyperlink>
      <w:r>
        <w:rPr>
          <w:rFonts w:eastAsia="Times New Roman"/>
          <w:sz w:val="24"/>
          <w:szCs w:val="24"/>
        </w:rPr>
        <w:t xml:space="preserve">A.G., </w:t>
      </w:r>
      <w:hyperlink r:id="rId12">
        <w:r>
          <w:rPr>
            <w:rFonts w:eastAsia="Times New Roman"/>
            <w:sz w:val="24"/>
            <w:szCs w:val="24"/>
          </w:rPr>
          <w:t>Inui,</w:t>
        </w:r>
      </w:hyperlink>
      <w:r>
        <w:rPr>
          <w:rFonts w:eastAsia="Times New Roman"/>
          <w:sz w:val="24"/>
          <w:szCs w:val="24"/>
        </w:rPr>
        <w:t xml:space="preserve"> T.S. (2012). The Associations of clinicians’ implicit attitudes about race with medical visit communication an</w:t>
      </w:r>
      <w:r>
        <w:rPr>
          <w:rFonts w:eastAsia="Times New Roman"/>
          <w:sz w:val="24"/>
          <w:szCs w:val="24"/>
        </w:rPr>
        <w:t xml:space="preserve">d patient ratings of interpersonal care. </w:t>
      </w:r>
      <w:r>
        <w:rPr>
          <w:rFonts w:eastAsia="Times New Roman"/>
          <w:i/>
          <w:iCs/>
          <w:sz w:val="24"/>
          <w:szCs w:val="24"/>
        </w:rPr>
        <w:t>American Journal of</w:t>
      </w:r>
      <w:r>
        <w:rPr>
          <w:rFonts w:eastAsia="Times New Roman"/>
          <w:sz w:val="24"/>
          <w:szCs w:val="24"/>
        </w:rPr>
        <w:t xml:space="preserve"> </w:t>
      </w:r>
      <w:r>
        <w:rPr>
          <w:rFonts w:eastAsia="Times New Roman"/>
          <w:i/>
          <w:iCs/>
          <w:sz w:val="24"/>
          <w:szCs w:val="24"/>
        </w:rPr>
        <w:t xml:space="preserve">Public Health, 102, </w:t>
      </w:r>
      <w:r>
        <w:rPr>
          <w:rFonts w:eastAsia="Times New Roman"/>
          <w:sz w:val="24"/>
          <w:szCs w:val="24"/>
        </w:rPr>
        <w:t>979-987.</w:t>
      </w:r>
    </w:p>
    <w:p w:rsidR="005A54F9" w:rsidRDefault="005442FA">
      <w:pPr>
        <w:rPr>
          <w:sz w:val="20"/>
          <w:szCs w:val="20"/>
        </w:rPr>
      </w:pPr>
      <w:r>
        <w:rPr>
          <w:rFonts w:eastAsia="Times New Roman"/>
          <w:sz w:val="24"/>
          <w:szCs w:val="24"/>
        </w:rPr>
        <w:t>Cortina, J. M. (1993). What is coefficient alpha? An examination of theory and applications.</w:t>
      </w:r>
    </w:p>
    <w:p w:rsidR="005A54F9" w:rsidRDefault="005A54F9">
      <w:pPr>
        <w:spacing w:line="272" w:lineRule="exact"/>
        <w:rPr>
          <w:rFonts w:eastAsia="Times New Roman"/>
          <w:sz w:val="24"/>
          <w:szCs w:val="24"/>
        </w:rPr>
      </w:pPr>
    </w:p>
    <w:p w:rsidR="005A54F9" w:rsidRDefault="005442FA">
      <w:pPr>
        <w:ind w:left="700"/>
        <w:rPr>
          <w:sz w:val="20"/>
          <w:szCs w:val="20"/>
        </w:rPr>
      </w:pPr>
      <w:r>
        <w:rPr>
          <w:rFonts w:eastAsia="Times New Roman"/>
          <w:i/>
          <w:iCs/>
          <w:sz w:val="24"/>
          <w:szCs w:val="24"/>
        </w:rPr>
        <w:t>Journal of Applied Psychology</w:t>
      </w:r>
      <w:r>
        <w:rPr>
          <w:rFonts w:eastAsia="Times New Roman"/>
          <w:sz w:val="24"/>
          <w:szCs w:val="24"/>
        </w:rPr>
        <w:t>,</w:t>
      </w:r>
      <w:r>
        <w:rPr>
          <w:rFonts w:eastAsia="Times New Roman"/>
          <w:i/>
          <w:iCs/>
          <w:sz w:val="24"/>
          <w:szCs w:val="24"/>
        </w:rPr>
        <w:t xml:space="preserve"> 78</w:t>
      </w:r>
      <w:r>
        <w:rPr>
          <w:rFonts w:eastAsia="Times New Roman"/>
          <w:sz w:val="24"/>
          <w:szCs w:val="24"/>
        </w:rPr>
        <w:t>, 98–104.</w:t>
      </w:r>
    </w:p>
    <w:p w:rsidR="005A54F9" w:rsidRDefault="005A54F9">
      <w:pPr>
        <w:spacing w:line="280" w:lineRule="exact"/>
        <w:rPr>
          <w:rFonts w:eastAsia="Times New Roman"/>
          <w:sz w:val="24"/>
          <w:szCs w:val="24"/>
        </w:rPr>
      </w:pPr>
    </w:p>
    <w:p w:rsidR="005A54F9" w:rsidRDefault="005442FA">
      <w:pPr>
        <w:spacing w:line="480" w:lineRule="auto"/>
        <w:ind w:left="700" w:right="300" w:hanging="707"/>
        <w:rPr>
          <w:sz w:val="20"/>
          <w:szCs w:val="20"/>
        </w:rPr>
      </w:pPr>
      <w:r>
        <w:rPr>
          <w:rFonts w:eastAsia="Times New Roman"/>
          <w:sz w:val="24"/>
          <w:szCs w:val="24"/>
        </w:rPr>
        <w:t xml:space="preserve">Day, A., Casey, S., Vess, J., &amp; Huisy, G. (2011). Assessing the social climate of Australian prisons. </w:t>
      </w:r>
      <w:r>
        <w:rPr>
          <w:rFonts w:eastAsia="Times New Roman"/>
          <w:i/>
          <w:iCs/>
          <w:sz w:val="24"/>
          <w:szCs w:val="24"/>
        </w:rPr>
        <w:t>Trends and issues in</w:t>
      </w:r>
      <w:r>
        <w:rPr>
          <w:rFonts w:eastAsia="Times New Roman"/>
          <w:sz w:val="24"/>
          <w:szCs w:val="24"/>
        </w:rPr>
        <w:t xml:space="preserve"> </w:t>
      </w:r>
      <w:r>
        <w:rPr>
          <w:rFonts w:eastAsia="Times New Roman"/>
          <w:i/>
          <w:iCs/>
          <w:sz w:val="24"/>
          <w:szCs w:val="24"/>
        </w:rPr>
        <w:t>crime and</w:t>
      </w:r>
      <w:r>
        <w:rPr>
          <w:rFonts w:eastAsia="Times New Roman"/>
          <w:sz w:val="24"/>
          <w:szCs w:val="24"/>
        </w:rPr>
        <w:t xml:space="preserve"> </w:t>
      </w:r>
      <w:r>
        <w:rPr>
          <w:rFonts w:eastAsia="Times New Roman"/>
          <w:i/>
          <w:iCs/>
          <w:sz w:val="24"/>
          <w:szCs w:val="24"/>
        </w:rPr>
        <w:t>criminal</w:t>
      </w:r>
      <w:r>
        <w:rPr>
          <w:rFonts w:eastAsia="Times New Roman"/>
          <w:sz w:val="24"/>
          <w:szCs w:val="24"/>
        </w:rPr>
        <w:t xml:space="preserve"> </w:t>
      </w:r>
      <w:r>
        <w:rPr>
          <w:rFonts w:eastAsia="Times New Roman"/>
          <w:i/>
          <w:iCs/>
          <w:sz w:val="24"/>
          <w:szCs w:val="24"/>
        </w:rPr>
        <w:t>justice 427,</w:t>
      </w:r>
      <w:r>
        <w:rPr>
          <w:rFonts w:eastAsia="Times New Roman"/>
          <w:sz w:val="24"/>
          <w:szCs w:val="24"/>
        </w:rPr>
        <w:t xml:space="preserve"> 1 -6.</w:t>
      </w:r>
    </w:p>
    <w:p w:rsidR="005A54F9" w:rsidRDefault="005442FA">
      <w:pPr>
        <w:spacing w:line="479" w:lineRule="auto"/>
        <w:ind w:left="700" w:right="220" w:hanging="707"/>
        <w:rPr>
          <w:sz w:val="20"/>
          <w:szCs w:val="20"/>
        </w:rPr>
      </w:pPr>
      <w:r>
        <w:rPr>
          <w:rFonts w:eastAsia="Times New Roman"/>
          <w:sz w:val="24"/>
          <w:szCs w:val="24"/>
        </w:rPr>
        <w:t xml:space="preserve">Dickens, G.L., Suesse, M., Snyman, P., &amp; Picchioni, M. (2014). Associations between ward climate and patient characteristics in a secure forensic mental health service. </w:t>
      </w:r>
      <w:r>
        <w:rPr>
          <w:rFonts w:eastAsia="Times New Roman"/>
          <w:i/>
          <w:iCs/>
          <w:sz w:val="24"/>
          <w:szCs w:val="24"/>
        </w:rPr>
        <w:t>The</w:t>
      </w:r>
      <w:r>
        <w:rPr>
          <w:rFonts w:eastAsia="Times New Roman"/>
          <w:sz w:val="24"/>
          <w:szCs w:val="24"/>
        </w:rPr>
        <w:t xml:space="preserve"> </w:t>
      </w:r>
      <w:r>
        <w:rPr>
          <w:rFonts w:eastAsia="Times New Roman"/>
          <w:i/>
          <w:iCs/>
          <w:sz w:val="24"/>
          <w:szCs w:val="24"/>
        </w:rPr>
        <w:t>Journal of Forensic Psychiatry &amp; Psychology, 25</w:t>
      </w:r>
      <w:r>
        <w:rPr>
          <w:rFonts w:eastAsia="Times New Roman"/>
          <w:sz w:val="24"/>
          <w:szCs w:val="24"/>
        </w:rPr>
        <w:t>, 195-211.</w:t>
      </w:r>
    </w:p>
    <w:p w:rsidR="005A54F9" w:rsidRDefault="005A54F9">
      <w:pPr>
        <w:spacing w:line="1" w:lineRule="exact"/>
        <w:rPr>
          <w:rFonts w:eastAsia="Times New Roman"/>
          <w:sz w:val="24"/>
          <w:szCs w:val="24"/>
        </w:rPr>
      </w:pPr>
    </w:p>
    <w:p w:rsidR="005A54F9" w:rsidRDefault="005442FA">
      <w:pPr>
        <w:spacing w:line="480" w:lineRule="auto"/>
        <w:ind w:left="700" w:right="740" w:hanging="707"/>
        <w:rPr>
          <w:sz w:val="20"/>
          <w:szCs w:val="20"/>
        </w:rPr>
      </w:pPr>
      <w:r>
        <w:rPr>
          <w:rFonts w:eastAsia="Times New Roman"/>
          <w:sz w:val="24"/>
          <w:szCs w:val="24"/>
        </w:rPr>
        <w:t xml:space="preserve">Douglas, K., &amp; Webster, </w:t>
      </w:r>
      <w:r>
        <w:rPr>
          <w:rFonts w:eastAsia="Times New Roman"/>
          <w:sz w:val="24"/>
          <w:szCs w:val="24"/>
        </w:rPr>
        <w:t xml:space="preserve">C. (1999). The HCR-20 violence risk assessment scheme: Concurrent validity in a sample of incarcerated offenders. </w:t>
      </w:r>
      <w:r>
        <w:rPr>
          <w:rFonts w:eastAsia="Times New Roman"/>
          <w:i/>
          <w:iCs/>
          <w:sz w:val="24"/>
          <w:szCs w:val="24"/>
        </w:rPr>
        <w:t>Criminal Justice and</w:t>
      </w:r>
      <w:r>
        <w:rPr>
          <w:rFonts w:eastAsia="Times New Roman"/>
          <w:sz w:val="24"/>
          <w:szCs w:val="24"/>
        </w:rPr>
        <w:t xml:space="preserve"> </w:t>
      </w:r>
      <w:r>
        <w:rPr>
          <w:rFonts w:eastAsia="Times New Roman"/>
          <w:i/>
          <w:iCs/>
          <w:sz w:val="24"/>
          <w:szCs w:val="24"/>
        </w:rPr>
        <w:t>Behavior, 26</w:t>
      </w:r>
      <w:r>
        <w:rPr>
          <w:rFonts w:eastAsia="Times New Roman"/>
          <w:sz w:val="24"/>
          <w:szCs w:val="24"/>
        </w:rPr>
        <w:t>, 3–19.</w:t>
      </w:r>
    </w:p>
    <w:p w:rsidR="005A54F9" w:rsidRDefault="005442FA">
      <w:pPr>
        <w:spacing w:line="512" w:lineRule="auto"/>
        <w:ind w:left="700" w:right="1120" w:hanging="707"/>
        <w:rPr>
          <w:sz w:val="20"/>
          <w:szCs w:val="20"/>
        </w:rPr>
      </w:pPr>
      <w:r>
        <w:rPr>
          <w:rFonts w:eastAsia="Times New Roman"/>
          <w:sz w:val="24"/>
          <w:szCs w:val="24"/>
        </w:rPr>
        <w:t>Friis, S. (1986). Measurements of the perceived ward milieu: A reevaluation of the ward atmosphere sc</w:t>
      </w:r>
      <w:r>
        <w:rPr>
          <w:rFonts w:eastAsia="Times New Roman"/>
          <w:sz w:val="24"/>
          <w:szCs w:val="24"/>
        </w:rPr>
        <w:t xml:space="preserve">ale. </w:t>
      </w:r>
      <w:r>
        <w:rPr>
          <w:rFonts w:eastAsia="Times New Roman"/>
          <w:i/>
          <w:iCs/>
          <w:sz w:val="24"/>
          <w:szCs w:val="24"/>
        </w:rPr>
        <w:t>Acta Psychiatrica Scandinavica, 73</w:t>
      </w:r>
      <w:r>
        <w:rPr>
          <w:rFonts w:eastAsia="Times New Roman"/>
          <w:sz w:val="24"/>
          <w:szCs w:val="24"/>
        </w:rPr>
        <w:t>, 589–599.</w:t>
      </w:r>
    </w:p>
    <w:p w:rsidR="005A54F9" w:rsidRDefault="005A54F9">
      <w:pPr>
        <w:spacing w:line="200" w:lineRule="exact"/>
        <w:rPr>
          <w:rFonts w:eastAsia="Times New Roman"/>
          <w:sz w:val="24"/>
          <w:szCs w:val="24"/>
        </w:rPr>
      </w:pPr>
    </w:p>
    <w:p w:rsidR="005A54F9" w:rsidRDefault="005A54F9">
      <w:pPr>
        <w:spacing w:line="221" w:lineRule="exact"/>
        <w:rPr>
          <w:rFonts w:eastAsia="Times New Roman"/>
          <w:sz w:val="24"/>
          <w:szCs w:val="24"/>
        </w:rPr>
      </w:pPr>
    </w:p>
    <w:p w:rsidR="005A54F9" w:rsidRDefault="005442FA">
      <w:pPr>
        <w:jc w:val="right"/>
        <w:rPr>
          <w:sz w:val="20"/>
          <w:szCs w:val="20"/>
        </w:rPr>
      </w:pPr>
      <w:r>
        <w:rPr>
          <w:rFonts w:ascii="Verdana" w:eastAsia="Verdana" w:hAnsi="Verdana" w:cs="Verdana"/>
          <w:sz w:val="18"/>
          <w:szCs w:val="18"/>
        </w:rPr>
        <w:t>25</w:t>
      </w:r>
    </w:p>
    <w:p w:rsidR="005A54F9" w:rsidRDefault="005A54F9">
      <w:pPr>
        <w:sectPr w:rsidR="005A54F9">
          <w:pgSz w:w="11900" w:h="16838"/>
          <w:pgMar w:top="1392" w:right="1426" w:bottom="371" w:left="1420" w:header="0" w:footer="0" w:gutter="0"/>
          <w:cols w:space="720" w:equalWidth="0">
            <w:col w:w="9060"/>
          </w:cols>
        </w:sectPr>
      </w:pPr>
    </w:p>
    <w:p w:rsidR="005A54F9" w:rsidRDefault="005442FA">
      <w:pPr>
        <w:spacing w:line="480" w:lineRule="auto"/>
        <w:ind w:left="700" w:right="80" w:hanging="707"/>
        <w:rPr>
          <w:sz w:val="20"/>
          <w:szCs w:val="20"/>
        </w:rPr>
      </w:pPr>
      <w:bookmarkStart w:id="26" w:name="page26"/>
      <w:bookmarkEnd w:id="26"/>
      <w:r>
        <w:rPr>
          <w:rFonts w:eastAsia="Times New Roman"/>
          <w:sz w:val="24"/>
          <w:szCs w:val="24"/>
        </w:rPr>
        <w:lastRenderedPageBreak/>
        <w:t xml:space="preserve">Gelman A., Carlin J. B., Stern H. S., and Rubin D. B. (2004). Bayesian Data Analysis, 2nd ed., Chapman &amp; Hall/CRC Texts in Statistical Science Series (Chapman &amp; Hall/CRC, London: </w:t>
      </w:r>
      <w:r>
        <w:rPr>
          <w:rFonts w:eastAsia="Times New Roman"/>
          <w:sz w:val="24"/>
          <w:szCs w:val="24"/>
        </w:rPr>
        <w:t>).</w:t>
      </w:r>
    </w:p>
    <w:p w:rsidR="005A54F9" w:rsidRDefault="005442FA">
      <w:pPr>
        <w:spacing w:line="480" w:lineRule="auto"/>
        <w:ind w:left="700" w:right="880" w:hanging="707"/>
        <w:rPr>
          <w:sz w:val="20"/>
          <w:szCs w:val="20"/>
        </w:rPr>
      </w:pPr>
      <w:r>
        <w:rPr>
          <w:rFonts w:eastAsia="Times New Roman"/>
          <w:sz w:val="24"/>
          <w:szCs w:val="24"/>
        </w:rPr>
        <w:t>Gelman A., &amp; Rubin, D.B. (1992). Inference from iterative simulation using multiple sequences. Statistical Science, 7, 457-511.</w:t>
      </w:r>
    </w:p>
    <w:p w:rsidR="005A54F9" w:rsidRDefault="005442FA">
      <w:pPr>
        <w:rPr>
          <w:sz w:val="20"/>
          <w:szCs w:val="20"/>
        </w:rPr>
      </w:pPr>
      <w:r>
        <w:rPr>
          <w:rFonts w:eastAsia="Times New Roman"/>
          <w:sz w:val="24"/>
          <w:szCs w:val="24"/>
        </w:rPr>
        <w:t>Goffman, E. (1961). Asylums: essays on the social situation of mental patients and other</w:t>
      </w:r>
    </w:p>
    <w:p w:rsidR="005A54F9" w:rsidRDefault="005A54F9">
      <w:pPr>
        <w:spacing w:line="276" w:lineRule="exact"/>
        <w:rPr>
          <w:sz w:val="20"/>
          <w:szCs w:val="20"/>
        </w:rPr>
      </w:pPr>
    </w:p>
    <w:p w:rsidR="005A54F9" w:rsidRDefault="005442FA">
      <w:pPr>
        <w:ind w:left="700"/>
        <w:rPr>
          <w:sz w:val="20"/>
          <w:szCs w:val="20"/>
        </w:rPr>
      </w:pPr>
      <w:r>
        <w:rPr>
          <w:rFonts w:eastAsia="Times New Roman"/>
          <w:sz w:val="24"/>
          <w:szCs w:val="24"/>
        </w:rPr>
        <w:t>inmates, New York: Anchor books</w:t>
      </w:r>
    </w:p>
    <w:p w:rsidR="005A54F9" w:rsidRDefault="005A54F9">
      <w:pPr>
        <w:spacing w:line="319" w:lineRule="exact"/>
        <w:rPr>
          <w:sz w:val="20"/>
          <w:szCs w:val="20"/>
        </w:rPr>
      </w:pPr>
    </w:p>
    <w:p w:rsidR="005A54F9" w:rsidRDefault="005442FA">
      <w:pPr>
        <w:rPr>
          <w:sz w:val="20"/>
          <w:szCs w:val="20"/>
        </w:rPr>
      </w:pPr>
      <w:r>
        <w:rPr>
          <w:rFonts w:eastAsia="Times New Roman"/>
          <w:sz w:val="24"/>
          <w:szCs w:val="24"/>
        </w:rPr>
        <w:t>Ha</w:t>
      </w:r>
      <w:r>
        <w:rPr>
          <w:rFonts w:eastAsia="Times New Roman"/>
          <w:sz w:val="24"/>
          <w:szCs w:val="24"/>
        </w:rPr>
        <w:t>re, R.D. (2003). Manual for the Revised Psychopathy Checklist, 2ndEdn. Toronto, ON:</w:t>
      </w:r>
    </w:p>
    <w:p w:rsidR="005A54F9" w:rsidRDefault="005A54F9">
      <w:pPr>
        <w:spacing w:line="276" w:lineRule="exact"/>
        <w:rPr>
          <w:sz w:val="20"/>
          <w:szCs w:val="20"/>
        </w:rPr>
      </w:pPr>
    </w:p>
    <w:p w:rsidR="005A54F9" w:rsidRDefault="005442FA">
      <w:pPr>
        <w:ind w:left="700"/>
        <w:rPr>
          <w:sz w:val="20"/>
          <w:szCs w:val="20"/>
        </w:rPr>
      </w:pPr>
      <w:r>
        <w:rPr>
          <w:rFonts w:eastAsia="Times New Roman"/>
          <w:sz w:val="24"/>
          <w:szCs w:val="24"/>
        </w:rPr>
        <w:t>Multi-Health Systems.</w:t>
      </w:r>
    </w:p>
    <w:p w:rsidR="005A54F9" w:rsidRDefault="005A54F9">
      <w:pPr>
        <w:spacing w:line="272" w:lineRule="exact"/>
        <w:rPr>
          <w:sz w:val="20"/>
          <w:szCs w:val="20"/>
        </w:rPr>
      </w:pPr>
    </w:p>
    <w:p w:rsidR="005A54F9" w:rsidRDefault="005442FA">
      <w:pPr>
        <w:spacing w:line="481" w:lineRule="auto"/>
        <w:ind w:left="700" w:right="40" w:hanging="707"/>
        <w:rPr>
          <w:rFonts w:eastAsia="Times New Roman"/>
          <w:sz w:val="24"/>
          <w:szCs w:val="24"/>
        </w:rPr>
      </w:pPr>
      <w:r>
        <w:rPr>
          <w:rFonts w:eastAsia="Times New Roman"/>
          <w:sz w:val="24"/>
          <w:szCs w:val="24"/>
        </w:rPr>
        <w:t xml:space="preserve">Hare, R. D., &amp; Neumann, C. S. (2005). </w:t>
      </w:r>
      <w:hyperlink r:id="rId13">
        <w:r>
          <w:rPr>
            <w:rFonts w:eastAsia="Times New Roman"/>
            <w:sz w:val="24"/>
            <w:szCs w:val="24"/>
          </w:rPr>
          <w:t xml:space="preserve">Structural models of psychopathy. </w:t>
        </w:r>
      </w:hyperlink>
      <w:r>
        <w:rPr>
          <w:rFonts w:eastAsia="Times New Roman"/>
          <w:i/>
          <w:iCs/>
          <w:sz w:val="24"/>
          <w:szCs w:val="24"/>
        </w:rPr>
        <w:t>Current</w:t>
      </w:r>
      <w:r>
        <w:rPr>
          <w:rFonts w:eastAsia="Times New Roman"/>
          <w:sz w:val="24"/>
          <w:szCs w:val="24"/>
        </w:rPr>
        <w:t xml:space="preserve"> </w:t>
      </w:r>
      <w:r>
        <w:rPr>
          <w:rFonts w:eastAsia="Times New Roman"/>
          <w:i/>
          <w:iCs/>
          <w:sz w:val="24"/>
          <w:szCs w:val="24"/>
        </w:rPr>
        <w:t>Psychiatry</w:t>
      </w:r>
      <w:r>
        <w:rPr>
          <w:rFonts w:eastAsia="Times New Roman"/>
          <w:sz w:val="24"/>
          <w:szCs w:val="24"/>
        </w:rPr>
        <w:t xml:space="preserve"> </w:t>
      </w:r>
      <w:r>
        <w:rPr>
          <w:rFonts w:eastAsia="Times New Roman"/>
          <w:i/>
          <w:iCs/>
          <w:sz w:val="24"/>
          <w:szCs w:val="24"/>
        </w:rPr>
        <w:t>Reports, 7</w:t>
      </w:r>
      <w:r>
        <w:rPr>
          <w:rFonts w:eastAsia="Times New Roman"/>
          <w:sz w:val="24"/>
          <w:szCs w:val="24"/>
        </w:rPr>
        <w:t>, 57-64.</w:t>
      </w:r>
    </w:p>
    <w:p w:rsidR="005A54F9" w:rsidRDefault="005A54F9">
      <w:pPr>
        <w:spacing w:line="2" w:lineRule="exact"/>
        <w:rPr>
          <w:sz w:val="20"/>
          <w:szCs w:val="20"/>
        </w:rPr>
      </w:pPr>
    </w:p>
    <w:p w:rsidR="005A54F9" w:rsidRDefault="005442FA">
      <w:pPr>
        <w:spacing w:line="480" w:lineRule="auto"/>
        <w:ind w:left="700" w:right="160" w:hanging="707"/>
        <w:rPr>
          <w:sz w:val="20"/>
          <w:szCs w:val="20"/>
        </w:rPr>
      </w:pPr>
      <w:r>
        <w:rPr>
          <w:rFonts w:eastAsia="Times New Roman"/>
          <w:sz w:val="24"/>
          <w:szCs w:val="24"/>
        </w:rPr>
        <w:t>Harkins, L., Beech, A.R., Thornton, D. (2012). The influence of risk and psychopathy on the therapeutic climate in sex offender treatment. Sexual Abuse: A journal of Research and Treatment, 20, 1-20.</w:t>
      </w:r>
    </w:p>
    <w:p w:rsidR="005A54F9" w:rsidRDefault="005442FA">
      <w:pPr>
        <w:spacing w:line="480" w:lineRule="auto"/>
        <w:ind w:left="700" w:right="580" w:hanging="707"/>
        <w:rPr>
          <w:sz w:val="20"/>
          <w:szCs w:val="20"/>
        </w:rPr>
      </w:pPr>
      <w:r>
        <w:rPr>
          <w:rFonts w:eastAsia="Times New Roman"/>
          <w:sz w:val="24"/>
          <w:szCs w:val="24"/>
        </w:rPr>
        <w:t>Helmstadte, G. (1964). Pr</w:t>
      </w:r>
      <w:r>
        <w:rPr>
          <w:rFonts w:eastAsia="Times New Roman"/>
          <w:sz w:val="24"/>
          <w:szCs w:val="24"/>
        </w:rPr>
        <w:t>inciples of psychological measurement. New York: Appleton– Century–Crofts.</w:t>
      </w:r>
    </w:p>
    <w:p w:rsidR="005A54F9" w:rsidRDefault="005442FA">
      <w:pPr>
        <w:spacing w:line="480" w:lineRule="auto"/>
        <w:ind w:left="700" w:right="420" w:hanging="707"/>
        <w:rPr>
          <w:sz w:val="20"/>
          <w:szCs w:val="20"/>
        </w:rPr>
      </w:pPr>
      <w:r>
        <w:rPr>
          <w:rFonts w:eastAsia="Times New Roman"/>
          <w:sz w:val="24"/>
          <w:szCs w:val="24"/>
        </w:rPr>
        <w:t>Howells, K., &amp; Day, A. (2003). Readiness for anger management. Clinical and theoretical issues</w:t>
      </w:r>
      <w:r>
        <w:rPr>
          <w:rFonts w:eastAsia="Times New Roman"/>
          <w:i/>
          <w:iCs/>
          <w:sz w:val="24"/>
          <w:szCs w:val="24"/>
        </w:rPr>
        <w:t>. Clinical Psychology Review 23</w:t>
      </w:r>
      <w:r>
        <w:rPr>
          <w:rFonts w:eastAsia="Times New Roman"/>
          <w:sz w:val="24"/>
          <w:szCs w:val="24"/>
        </w:rPr>
        <w:t>, 319-337.</w:t>
      </w:r>
    </w:p>
    <w:p w:rsidR="005A54F9" w:rsidRDefault="005442FA">
      <w:pPr>
        <w:spacing w:line="500" w:lineRule="auto"/>
        <w:ind w:left="700" w:right="300" w:hanging="707"/>
        <w:rPr>
          <w:sz w:val="20"/>
          <w:szCs w:val="20"/>
        </w:rPr>
      </w:pPr>
      <w:r>
        <w:rPr>
          <w:rFonts w:eastAsia="Times New Roman"/>
          <w:sz w:val="23"/>
          <w:szCs w:val="23"/>
        </w:rPr>
        <w:t>Howells, K., Krishnan, G., &amp; Daffern, M. (200</w:t>
      </w:r>
      <w:r>
        <w:rPr>
          <w:rFonts w:eastAsia="Times New Roman"/>
          <w:sz w:val="23"/>
          <w:szCs w:val="23"/>
        </w:rPr>
        <w:t xml:space="preserve">7). Challenges in the treatment of dangerous and severe personality disorder. </w:t>
      </w:r>
      <w:r>
        <w:rPr>
          <w:rFonts w:eastAsia="Times New Roman"/>
          <w:i/>
          <w:iCs/>
          <w:sz w:val="23"/>
          <w:szCs w:val="23"/>
        </w:rPr>
        <w:t>Advances in Psychiatric Treatment, 13,</w:t>
      </w:r>
      <w:r>
        <w:rPr>
          <w:rFonts w:eastAsia="Times New Roman"/>
          <w:sz w:val="23"/>
          <w:szCs w:val="23"/>
        </w:rPr>
        <w:t xml:space="preserve"> 325-332.</w:t>
      </w:r>
    </w:p>
    <w:p w:rsidR="005A54F9" w:rsidRDefault="005A54F9">
      <w:pPr>
        <w:spacing w:line="2" w:lineRule="exact"/>
        <w:rPr>
          <w:sz w:val="20"/>
          <w:szCs w:val="20"/>
        </w:rPr>
      </w:pPr>
    </w:p>
    <w:p w:rsidR="005A54F9" w:rsidRDefault="005442FA">
      <w:pPr>
        <w:spacing w:line="490" w:lineRule="auto"/>
        <w:ind w:left="700" w:right="20" w:hanging="707"/>
        <w:rPr>
          <w:sz w:val="20"/>
          <w:szCs w:val="20"/>
        </w:rPr>
      </w:pPr>
      <w:r>
        <w:rPr>
          <w:rFonts w:eastAsia="Times New Roman"/>
          <w:sz w:val="24"/>
          <w:szCs w:val="24"/>
        </w:rPr>
        <w:t xml:space="preserve">Howells, K., Tonkin, M., Milburn, Ch., Lewis, J., Draycot, S., Cordwell, J., Price, M., Davies, St., &amp; Schalast, N. (2009). The EssenCES measure of social climate: A preliminary validation and normative data in UK high secure hospital settings. </w:t>
      </w:r>
      <w:r>
        <w:rPr>
          <w:rFonts w:eastAsia="Times New Roman"/>
          <w:i/>
          <w:iCs/>
          <w:sz w:val="24"/>
          <w:szCs w:val="24"/>
        </w:rPr>
        <w:t>Criminal Be</w:t>
      </w:r>
      <w:r>
        <w:rPr>
          <w:rFonts w:eastAsia="Times New Roman"/>
          <w:i/>
          <w:iCs/>
          <w:sz w:val="24"/>
          <w:szCs w:val="24"/>
        </w:rPr>
        <w:t>haviour</w:t>
      </w:r>
      <w:r>
        <w:rPr>
          <w:rFonts w:eastAsia="Times New Roman"/>
          <w:sz w:val="24"/>
          <w:szCs w:val="24"/>
        </w:rPr>
        <w:t xml:space="preserve"> </w:t>
      </w:r>
      <w:r>
        <w:rPr>
          <w:rFonts w:eastAsia="Times New Roman"/>
          <w:i/>
          <w:iCs/>
          <w:sz w:val="24"/>
          <w:szCs w:val="24"/>
        </w:rPr>
        <w:t xml:space="preserve">and Mental Health, 19, </w:t>
      </w:r>
      <w:r>
        <w:rPr>
          <w:rFonts w:eastAsia="Times New Roman"/>
          <w:sz w:val="24"/>
          <w:szCs w:val="24"/>
        </w:rPr>
        <w:t>308–320.</w:t>
      </w: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355" w:lineRule="exact"/>
        <w:rPr>
          <w:sz w:val="20"/>
          <w:szCs w:val="20"/>
        </w:rPr>
      </w:pPr>
    </w:p>
    <w:p w:rsidR="005A54F9" w:rsidRDefault="005442FA">
      <w:pPr>
        <w:jc w:val="right"/>
        <w:rPr>
          <w:sz w:val="20"/>
          <w:szCs w:val="20"/>
        </w:rPr>
      </w:pPr>
      <w:r>
        <w:rPr>
          <w:rFonts w:ascii="Verdana" w:eastAsia="Verdana" w:hAnsi="Verdana" w:cs="Verdana"/>
          <w:sz w:val="18"/>
          <w:szCs w:val="18"/>
        </w:rPr>
        <w:t>26</w:t>
      </w:r>
    </w:p>
    <w:p w:rsidR="005A54F9" w:rsidRDefault="005A54F9">
      <w:pPr>
        <w:sectPr w:rsidR="005A54F9">
          <w:pgSz w:w="11900" w:h="16838"/>
          <w:pgMar w:top="1392" w:right="1426" w:bottom="371" w:left="1420" w:header="0" w:footer="0" w:gutter="0"/>
          <w:cols w:space="720" w:equalWidth="0">
            <w:col w:w="9060"/>
          </w:cols>
        </w:sectPr>
      </w:pPr>
    </w:p>
    <w:p w:rsidR="005A54F9" w:rsidRDefault="005442FA">
      <w:pPr>
        <w:spacing w:line="480" w:lineRule="auto"/>
        <w:ind w:left="700" w:right="240" w:hanging="707"/>
        <w:rPr>
          <w:sz w:val="20"/>
          <w:szCs w:val="20"/>
        </w:rPr>
      </w:pPr>
      <w:bookmarkStart w:id="27" w:name="page27"/>
      <w:bookmarkEnd w:id="27"/>
      <w:r>
        <w:rPr>
          <w:rFonts w:eastAsia="Times New Roman"/>
          <w:sz w:val="24"/>
          <w:szCs w:val="24"/>
        </w:rPr>
        <w:lastRenderedPageBreak/>
        <w:t xml:space="preserve">James, I., Milne, D.L., &amp; Firth, H. (1990). A systematic comparison of feedback and staff discussion in changing the ward atmosphere. </w:t>
      </w:r>
      <w:r>
        <w:rPr>
          <w:rFonts w:eastAsia="Times New Roman"/>
          <w:i/>
          <w:iCs/>
          <w:sz w:val="24"/>
          <w:szCs w:val="24"/>
        </w:rPr>
        <w:t>Journal of Advanced Nursing, 15</w:t>
      </w:r>
      <w:r>
        <w:rPr>
          <w:rFonts w:eastAsia="Times New Roman"/>
          <w:sz w:val="24"/>
          <w:szCs w:val="24"/>
        </w:rPr>
        <w:t>, 329-336.</w:t>
      </w:r>
    </w:p>
    <w:p w:rsidR="005A54F9" w:rsidRDefault="005442FA">
      <w:pPr>
        <w:spacing w:line="480" w:lineRule="auto"/>
        <w:ind w:left="700" w:right="240" w:hanging="707"/>
        <w:jc w:val="both"/>
        <w:rPr>
          <w:sz w:val="20"/>
          <w:szCs w:val="20"/>
        </w:rPr>
      </w:pPr>
      <w:r>
        <w:rPr>
          <w:rFonts w:eastAsia="Times New Roman"/>
          <w:sz w:val="24"/>
          <w:szCs w:val="24"/>
        </w:rPr>
        <w:t xml:space="preserve">Kirby, S.D., Pollock, P.H. (1995). The relationship between a medium secure environment and occupational stress in forensic psychiatric nurses. </w:t>
      </w:r>
      <w:r>
        <w:rPr>
          <w:rFonts w:eastAsia="Times New Roman"/>
          <w:i/>
          <w:iCs/>
          <w:sz w:val="24"/>
          <w:szCs w:val="24"/>
        </w:rPr>
        <w:t>Journal of Advanced Nursing,</w:t>
      </w:r>
      <w:r>
        <w:rPr>
          <w:rFonts w:eastAsia="Times New Roman"/>
          <w:sz w:val="24"/>
          <w:szCs w:val="24"/>
        </w:rPr>
        <w:t xml:space="preserve"> </w:t>
      </w:r>
      <w:r>
        <w:rPr>
          <w:rFonts w:eastAsia="Times New Roman"/>
          <w:i/>
          <w:iCs/>
          <w:sz w:val="24"/>
          <w:szCs w:val="24"/>
        </w:rPr>
        <w:t>22</w:t>
      </w:r>
      <w:r>
        <w:rPr>
          <w:rFonts w:eastAsia="Times New Roman"/>
          <w:sz w:val="24"/>
          <w:szCs w:val="24"/>
        </w:rPr>
        <w:t>, 862-867.</w:t>
      </w:r>
    </w:p>
    <w:p w:rsidR="005A54F9" w:rsidRDefault="005442FA">
      <w:pPr>
        <w:spacing w:line="480" w:lineRule="auto"/>
        <w:ind w:left="700" w:right="200" w:hanging="707"/>
        <w:rPr>
          <w:sz w:val="20"/>
          <w:szCs w:val="20"/>
        </w:rPr>
      </w:pPr>
      <w:r>
        <w:rPr>
          <w:rFonts w:eastAsia="Times New Roman"/>
          <w:sz w:val="24"/>
          <w:szCs w:val="24"/>
        </w:rPr>
        <w:t>Langdon, P. E., Cosgrave, N., &amp; Tranah, T. (2004). Social climate with</w:t>
      </w:r>
      <w:r>
        <w:rPr>
          <w:rFonts w:eastAsia="Times New Roman"/>
          <w:sz w:val="24"/>
          <w:szCs w:val="24"/>
        </w:rPr>
        <w:t xml:space="preserve">in an adolescent medium secure facility. </w:t>
      </w:r>
      <w:r>
        <w:rPr>
          <w:rFonts w:eastAsia="Times New Roman"/>
          <w:i/>
          <w:iCs/>
          <w:sz w:val="24"/>
          <w:szCs w:val="24"/>
        </w:rPr>
        <w:t>International Journal of Offender Therapy and Comparative</w:t>
      </w:r>
      <w:r>
        <w:rPr>
          <w:rFonts w:eastAsia="Times New Roman"/>
          <w:sz w:val="24"/>
          <w:szCs w:val="24"/>
        </w:rPr>
        <w:t xml:space="preserve"> </w:t>
      </w:r>
      <w:r>
        <w:rPr>
          <w:rFonts w:eastAsia="Times New Roman"/>
          <w:i/>
          <w:iCs/>
          <w:sz w:val="24"/>
          <w:szCs w:val="24"/>
        </w:rPr>
        <w:t>Criminology</w:t>
      </w:r>
      <w:r>
        <w:rPr>
          <w:rFonts w:eastAsia="Times New Roman"/>
          <w:sz w:val="24"/>
          <w:szCs w:val="24"/>
        </w:rPr>
        <w:t>,</w:t>
      </w:r>
      <w:r>
        <w:rPr>
          <w:rFonts w:eastAsia="Times New Roman"/>
          <w:i/>
          <w:iCs/>
          <w:sz w:val="24"/>
          <w:szCs w:val="24"/>
        </w:rPr>
        <w:t xml:space="preserve"> 48</w:t>
      </w:r>
      <w:r>
        <w:rPr>
          <w:rFonts w:eastAsia="Times New Roman"/>
          <w:sz w:val="24"/>
          <w:szCs w:val="24"/>
        </w:rPr>
        <w:t>, 504-515.</w:t>
      </w:r>
    </w:p>
    <w:p w:rsidR="005A54F9" w:rsidRDefault="005442FA">
      <w:pPr>
        <w:spacing w:line="480" w:lineRule="auto"/>
        <w:ind w:left="700" w:right="480" w:hanging="707"/>
        <w:rPr>
          <w:sz w:val="20"/>
          <w:szCs w:val="20"/>
        </w:rPr>
      </w:pPr>
      <w:r>
        <w:rPr>
          <w:rFonts w:eastAsia="Times New Roman"/>
          <w:sz w:val="24"/>
          <w:szCs w:val="24"/>
        </w:rPr>
        <w:t xml:space="preserve">Livingston, J.D., Nijdam-Jones, A., Brink, J. (2012.) A tale of two cultures: examining patient-centered care in a forensic mental </w:t>
      </w:r>
      <w:r>
        <w:rPr>
          <w:rFonts w:eastAsia="Times New Roman"/>
          <w:sz w:val="24"/>
          <w:szCs w:val="24"/>
        </w:rPr>
        <w:t xml:space="preserve">health hospital. </w:t>
      </w:r>
      <w:r>
        <w:rPr>
          <w:rFonts w:eastAsia="Times New Roman"/>
          <w:i/>
          <w:iCs/>
          <w:sz w:val="24"/>
          <w:szCs w:val="24"/>
        </w:rPr>
        <w:t>The Journal of Forensic</w:t>
      </w:r>
      <w:r>
        <w:rPr>
          <w:rFonts w:eastAsia="Times New Roman"/>
          <w:sz w:val="24"/>
          <w:szCs w:val="24"/>
        </w:rPr>
        <w:t xml:space="preserve"> </w:t>
      </w:r>
      <w:r>
        <w:rPr>
          <w:rFonts w:eastAsia="Times New Roman"/>
          <w:i/>
          <w:iCs/>
          <w:sz w:val="24"/>
          <w:szCs w:val="24"/>
        </w:rPr>
        <w:t>Psychiatry &amp; Psychology, 23</w:t>
      </w:r>
      <w:r>
        <w:rPr>
          <w:rFonts w:eastAsia="Times New Roman"/>
          <w:sz w:val="24"/>
          <w:szCs w:val="24"/>
        </w:rPr>
        <w:t>, 345-360.</w:t>
      </w:r>
    </w:p>
    <w:p w:rsidR="005A54F9" w:rsidRDefault="005442FA">
      <w:pPr>
        <w:spacing w:line="480" w:lineRule="auto"/>
        <w:ind w:left="700" w:right="280" w:hanging="707"/>
        <w:rPr>
          <w:sz w:val="20"/>
          <w:szCs w:val="20"/>
        </w:rPr>
      </w:pPr>
      <w:r>
        <w:rPr>
          <w:rFonts w:eastAsia="Times New Roman"/>
          <w:sz w:val="24"/>
          <w:szCs w:val="24"/>
        </w:rPr>
        <w:t>Long, C. G., Anagnostakis, K., Fox, E., Silaule, P., Somers, J., West, R., &amp; Webster, A. (2011). Social climate along the pathway of care in women’s secure mental health service</w:t>
      </w:r>
      <w:r>
        <w:rPr>
          <w:rFonts w:eastAsia="Times New Roman"/>
          <w:sz w:val="24"/>
          <w:szCs w:val="24"/>
        </w:rPr>
        <w:t xml:space="preserve">: Variation with level of security, patient motivation, therapeutic alliance and level of disturbance. </w:t>
      </w:r>
      <w:r>
        <w:rPr>
          <w:rFonts w:eastAsia="Times New Roman"/>
          <w:i/>
          <w:iCs/>
          <w:sz w:val="24"/>
          <w:szCs w:val="24"/>
        </w:rPr>
        <w:t>Criminal Behaviour and Mental Health, 21,</w:t>
      </w:r>
      <w:r>
        <w:rPr>
          <w:rFonts w:eastAsia="Times New Roman"/>
          <w:sz w:val="24"/>
          <w:szCs w:val="24"/>
        </w:rPr>
        <w:t xml:space="preserve"> 202–214.</w:t>
      </w:r>
    </w:p>
    <w:p w:rsidR="005A54F9" w:rsidRDefault="005442FA">
      <w:pPr>
        <w:spacing w:line="479" w:lineRule="auto"/>
        <w:ind w:left="700" w:right="920" w:hanging="707"/>
        <w:rPr>
          <w:sz w:val="20"/>
          <w:szCs w:val="20"/>
        </w:rPr>
      </w:pPr>
      <w:r>
        <w:rPr>
          <w:rFonts w:eastAsia="Times New Roman"/>
          <w:sz w:val="24"/>
          <w:szCs w:val="24"/>
        </w:rPr>
        <w:t>Middelboe, T., Schjùdt, T., Byrsting, K., &amp; Gjerris, A. (2001). Ward atmosphere in acute psychiatric i</w:t>
      </w:r>
      <w:r>
        <w:rPr>
          <w:rFonts w:eastAsia="Times New Roman"/>
          <w:sz w:val="24"/>
          <w:szCs w:val="24"/>
        </w:rPr>
        <w:t xml:space="preserve">n-patient care: patients' perceptions, ideals and satisfaction. </w:t>
      </w:r>
      <w:r>
        <w:rPr>
          <w:rFonts w:eastAsia="Times New Roman"/>
          <w:i/>
          <w:iCs/>
          <w:sz w:val="24"/>
          <w:szCs w:val="24"/>
        </w:rPr>
        <w:t xml:space="preserve">Acta Psychiatrica Scandinavica 103, </w:t>
      </w:r>
      <w:r>
        <w:rPr>
          <w:rFonts w:eastAsia="Times New Roman"/>
          <w:sz w:val="24"/>
          <w:szCs w:val="24"/>
        </w:rPr>
        <w:t>212-219.</w:t>
      </w:r>
    </w:p>
    <w:p w:rsidR="005A54F9" w:rsidRDefault="005A54F9">
      <w:pPr>
        <w:spacing w:line="1" w:lineRule="exact"/>
        <w:rPr>
          <w:sz w:val="20"/>
          <w:szCs w:val="20"/>
        </w:rPr>
      </w:pPr>
    </w:p>
    <w:p w:rsidR="005A54F9" w:rsidRDefault="005442FA">
      <w:pPr>
        <w:spacing w:line="478" w:lineRule="auto"/>
        <w:ind w:left="700" w:right="140" w:hanging="707"/>
        <w:rPr>
          <w:sz w:val="20"/>
          <w:szCs w:val="20"/>
        </w:rPr>
      </w:pPr>
      <w:r>
        <w:rPr>
          <w:rFonts w:eastAsia="Times New Roman"/>
          <w:sz w:val="24"/>
          <w:szCs w:val="24"/>
        </w:rPr>
        <w:t xml:space="preserve">Milsom, S., Freestone, M., Duller, R., Bouman, M., &amp; Taylor, C. (2013). Factor structure of the Essen Climate Evaluation Schema measure of social </w:t>
      </w:r>
      <w:r>
        <w:rPr>
          <w:rFonts w:eastAsia="Times New Roman"/>
          <w:sz w:val="24"/>
          <w:szCs w:val="24"/>
        </w:rPr>
        <w:t xml:space="preserve">climate in a UK medium-security setting. </w:t>
      </w:r>
      <w:r>
        <w:rPr>
          <w:rFonts w:eastAsia="Times New Roman"/>
          <w:i/>
          <w:iCs/>
          <w:sz w:val="24"/>
          <w:szCs w:val="24"/>
        </w:rPr>
        <w:t>Criminal Behaviour and Mental Health</w:t>
      </w:r>
      <w:r>
        <w:rPr>
          <w:rFonts w:eastAsia="Times New Roman"/>
          <w:sz w:val="24"/>
          <w:szCs w:val="24"/>
        </w:rPr>
        <w:t>. Advance online publication.</w:t>
      </w:r>
    </w:p>
    <w:p w:rsidR="005A54F9" w:rsidRDefault="005A54F9">
      <w:pPr>
        <w:spacing w:line="3" w:lineRule="exact"/>
        <w:rPr>
          <w:sz w:val="20"/>
          <w:szCs w:val="20"/>
        </w:rPr>
      </w:pPr>
    </w:p>
    <w:p w:rsidR="005A54F9" w:rsidRDefault="005442FA">
      <w:pPr>
        <w:spacing w:line="516" w:lineRule="auto"/>
        <w:ind w:left="700" w:right="140" w:hanging="707"/>
        <w:rPr>
          <w:sz w:val="20"/>
          <w:szCs w:val="20"/>
        </w:rPr>
      </w:pPr>
      <w:r>
        <w:rPr>
          <w:rFonts w:eastAsia="Times New Roman"/>
          <w:sz w:val="24"/>
          <w:szCs w:val="24"/>
        </w:rPr>
        <w:t xml:space="preserve">Moos, R. H. (1973). Changing the social milieus of psychiatric treatment settings. </w:t>
      </w:r>
      <w:r>
        <w:rPr>
          <w:rFonts w:eastAsia="Times New Roman"/>
          <w:i/>
          <w:iCs/>
          <w:sz w:val="24"/>
          <w:szCs w:val="24"/>
        </w:rPr>
        <w:t>Journal of</w:t>
      </w:r>
      <w:r>
        <w:rPr>
          <w:rFonts w:eastAsia="Times New Roman"/>
          <w:sz w:val="24"/>
          <w:szCs w:val="24"/>
        </w:rPr>
        <w:t xml:space="preserve"> </w:t>
      </w:r>
      <w:r>
        <w:rPr>
          <w:rFonts w:eastAsia="Times New Roman"/>
          <w:i/>
          <w:iCs/>
          <w:sz w:val="24"/>
          <w:szCs w:val="24"/>
        </w:rPr>
        <w:t>Applied Behavioral Science 9</w:t>
      </w:r>
      <w:r>
        <w:rPr>
          <w:rFonts w:eastAsia="Times New Roman"/>
          <w:sz w:val="24"/>
          <w:szCs w:val="24"/>
        </w:rPr>
        <w:t>, 575- 593.</w:t>
      </w: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367" w:lineRule="exact"/>
        <w:rPr>
          <w:sz w:val="20"/>
          <w:szCs w:val="20"/>
        </w:rPr>
      </w:pPr>
    </w:p>
    <w:p w:rsidR="005A54F9" w:rsidRDefault="005442FA">
      <w:pPr>
        <w:jc w:val="right"/>
        <w:rPr>
          <w:sz w:val="20"/>
          <w:szCs w:val="20"/>
        </w:rPr>
      </w:pPr>
      <w:r>
        <w:rPr>
          <w:rFonts w:ascii="Verdana" w:eastAsia="Verdana" w:hAnsi="Verdana" w:cs="Verdana"/>
          <w:sz w:val="18"/>
          <w:szCs w:val="18"/>
        </w:rPr>
        <w:t>27</w:t>
      </w:r>
    </w:p>
    <w:p w:rsidR="005A54F9" w:rsidRDefault="005A54F9">
      <w:pPr>
        <w:sectPr w:rsidR="005A54F9">
          <w:pgSz w:w="11900" w:h="16838"/>
          <w:pgMar w:top="1392" w:right="1426" w:bottom="371" w:left="1420" w:header="0" w:footer="0" w:gutter="0"/>
          <w:cols w:space="720" w:equalWidth="0">
            <w:col w:w="9060"/>
          </w:cols>
        </w:sectPr>
      </w:pPr>
    </w:p>
    <w:p w:rsidR="005A54F9" w:rsidRDefault="005442FA">
      <w:pPr>
        <w:spacing w:line="478" w:lineRule="auto"/>
        <w:ind w:left="700" w:right="1280" w:hanging="707"/>
        <w:rPr>
          <w:sz w:val="20"/>
          <w:szCs w:val="20"/>
        </w:rPr>
      </w:pPr>
      <w:bookmarkStart w:id="28" w:name="page28"/>
      <w:bookmarkEnd w:id="28"/>
      <w:r>
        <w:rPr>
          <w:rFonts w:eastAsia="Times New Roman"/>
          <w:sz w:val="24"/>
          <w:szCs w:val="24"/>
        </w:rPr>
        <w:lastRenderedPageBreak/>
        <w:t>Moos, R. H. (1974). Ward Atmosphere Scale manual. Palo Alto, CA: Consulting Psychologists Press.</w:t>
      </w:r>
    </w:p>
    <w:p w:rsidR="005A54F9" w:rsidRDefault="005A54F9">
      <w:pPr>
        <w:spacing w:line="1" w:lineRule="exact"/>
        <w:rPr>
          <w:sz w:val="20"/>
          <w:szCs w:val="20"/>
        </w:rPr>
      </w:pPr>
    </w:p>
    <w:p w:rsidR="005A54F9" w:rsidRDefault="005442FA">
      <w:pPr>
        <w:spacing w:line="481" w:lineRule="auto"/>
        <w:ind w:left="700" w:right="260" w:hanging="707"/>
        <w:rPr>
          <w:sz w:val="20"/>
          <w:szCs w:val="20"/>
        </w:rPr>
      </w:pPr>
      <w:r>
        <w:rPr>
          <w:rFonts w:eastAsia="Times New Roman"/>
          <w:sz w:val="24"/>
          <w:szCs w:val="24"/>
        </w:rPr>
        <w:t xml:space="preserve">Moos, R. H. (1975). </w:t>
      </w:r>
      <w:r>
        <w:rPr>
          <w:rFonts w:eastAsia="Times New Roman"/>
          <w:i/>
          <w:iCs/>
          <w:sz w:val="24"/>
          <w:szCs w:val="24"/>
        </w:rPr>
        <w:t>Evaluating correctional and community settings</w:t>
      </w:r>
      <w:r>
        <w:rPr>
          <w:rFonts w:eastAsia="Times New Roman"/>
          <w:sz w:val="24"/>
          <w:szCs w:val="24"/>
        </w:rPr>
        <w:t>. New York, NY: John Wiley.</w:t>
      </w:r>
    </w:p>
    <w:p w:rsidR="005A54F9" w:rsidRDefault="005A54F9">
      <w:pPr>
        <w:spacing w:line="2" w:lineRule="exact"/>
        <w:rPr>
          <w:sz w:val="20"/>
          <w:szCs w:val="20"/>
        </w:rPr>
      </w:pPr>
    </w:p>
    <w:p w:rsidR="005A54F9" w:rsidRDefault="005442FA">
      <w:pPr>
        <w:spacing w:line="480" w:lineRule="auto"/>
        <w:ind w:left="700" w:right="360" w:hanging="707"/>
        <w:rPr>
          <w:sz w:val="20"/>
          <w:szCs w:val="20"/>
        </w:rPr>
      </w:pPr>
      <w:r>
        <w:rPr>
          <w:rFonts w:eastAsia="Times New Roman"/>
          <w:sz w:val="24"/>
          <w:szCs w:val="24"/>
        </w:rPr>
        <w:t xml:space="preserve">Moos, R. H. (1989). Ward Atmosphere </w:t>
      </w:r>
      <w:r>
        <w:rPr>
          <w:rFonts w:eastAsia="Times New Roman"/>
          <w:sz w:val="24"/>
          <w:szCs w:val="24"/>
        </w:rPr>
        <w:t>Scale manual (2nd ed.). Palo Alto, CA: Consulting Psychologists Press.</w:t>
      </w:r>
    </w:p>
    <w:p w:rsidR="005A54F9" w:rsidRDefault="005442FA">
      <w:pPr>
        <w:spacing w:line="480" w:lineRule="auto"/>
        <w:ind w:left="700" w:right="560" w:hanging="707"/>
        <w:rPr>
          <w:sz w:val="20"/>
          <w:szCs w:val="20"/>
        </w:rPr>
      </w:pPr>
      <w:r>
        <w:rPr>
          <w:rFonts w:eastAsia="Times New Roman"/>
          <w:sz w:val="24"/>
          <w:szCs w:val="24"/>
        </w:rPr>
        <w:t xml:space="preserve">Moos, R. H., &amp; Houts, P. S. (1968). Assessment of the social atmospheres of psychiatric wards. </w:t>
      </w:r>
      <w:r>
        <w:rPr>
          <w:rFonts w:eastAsia="Times New Roman"/>
          <w:i/>
          <w:iCs/>
          <w:sz w:val="24"/>
          <w:szCs w:val="24"/>
        </w:rPr>
        <w:t>Journal of Abnormal Psychology</w:t>
      </w:r>
      <w:r>
        <w:rPr>
          <w:rFonts w:eastAsia="Times New Roman"/>
          <w:sz w:val="24"/>
          <w:szCs w:val="24"/>
        </w:rPr>
        <w:t xml:space="preserve">, </w:t>
      </w:r>
      <w:r>
        <w:rPr>
          <w:rFonts w:eastAsia="Times New Roman"/>
          <w:i/>
          <w:iCs/>
          <w:sz w:val="24"/>
          <w:szCs w:val="24"/>
        </w:rPr>
        <w:t>73</w:t>
      </w:r>
      <w:r>
        <w:rPr>
          <w:rFonts w:eastAsia="Times New Roman"/>
          <w:sz w:val="24"/>
          <w:szCs w:val="24"/>
        </w:rPr>
        <w:t>, 595-604.</w:t>
      </w:r>
    </w:p>
    <w:p w:rsidR="005A54F9" w:rsidRDefault="005442FA">
      <w:pPr>
        <w:spacing w:line="480" w:lineRule="auto"/>
        <w:ind w:left="700" w:right="480" w:hanging="707"/>
        <w:rPr>
          <w:sz w:val="20"/>
          <w:szCs w:val="20"/>
        </w:rPr>
      </w:pPr>
      <w:r>
        <w:rPr>
          <w:rFonts w:eastAsia="Times New Roman"/>
          <w:sz w:val="24"/>
          <w:szCs w:val="24"/>
        </w:rPr>
        <w:t>Moos, R. H., &amp; Schaefer, J. (1987). Evaluatin</w:t>
      </w:r>
      <w:r>
        <w:rPr>
          <w:rFonts w:eastAsia="Times New Roman"/>
          <w:sz w:val="24"/>
          <w:szCs w:val="24"/>
        </w:rPr>
        <w:t xml:space="preserve">g health care settings: A holistic conceptual framework. </w:t>
      </w:r>
      <w:r>
        <w:rPr>
          <w:rFonts w:eastAsia="Times New Roman"/>
          <w:i/>
          <w:iCs/>
          <w:sz w:val="24"/>
          <w:szCs w:val="24"/>
        </w:rPr>
        <w:t>Psychology &amp; Health, 1,</w:t>
      </w:r>
      <w:r>
        <w:rPr>
          <w:rFonts w:eastAsia="Times New Roman"/>
          <w:sz w:val="24"/>
          <w:szCs w:val="24"/>
        </w:rPr>
        <w:t xml:space="preserve"> 97–122.</w:t>
      </w:r>
    </w:p>
    <w:p w:rsidR="005A54F9" w:rsidRDefault="005442FA">
      <w:pPr>
        <w:rPr>
          <w:sz w:val="20"/>
          <w:szCs w:val="20"/>
        </w:rPr>
      </w:pPr>
      <w:r>
        <w:rPr>
          <w:rFonts w:eastAsia="Times New Roman"/>
          <w:sz w:val="24"/>
          <w:szCs w:val="24"/>
        </w:rPr>
        <w:t>Moos, R.H., Shelton, R., &amp; Petty, C. (1973). Perceived ward climate and treatment outcome.</w:t>
      </w:r>
    </w:p>
    <w:p w:rsidR="005A54F9" w:rsidRDefault="005A54F9">
      <w:pPr>
        <w:spacing w:line="272" w:lineRule="exact"/>
        <w:rPr>
          <w:sz w:val="20"/>
          <w:szCs w:val="20"/>
        </w:rPr>
      </w:pPr>
    </w:p>
    <w:p w:rsidR="005A54F9" w:rsidRDefault="005442FA">
      <w:pPr>
        <w:ind w:left="700"/>
        <w:rPr>
          <w:sz w:val="20"/>
          <w:szCs w:val="20"/>
        </w:rPr>
      </w:pPr>
      <w:r>
        <w:rPr>
          <w:rFonts w:eastAsia="Times New Roman"/>
          <w:i/>
          <w:iCs/>
          <w:sz w:val="24"/>
          <w:szCs w:val="24"/>
        </w:rPr>
        <w:t xml:space="preserve">Journal of Abnormal Psychology, 82, </w:t>
      </w:r>
      <w:r>
        <w:rPr>
          <w:rFonts w:eastAsia="Times New Roman"/>
          <w:sz w:val="24"/>
          <w:szCs w:val="24"/>
        </w:rPr>
        <w:t>291–298.</w:t>
      </w:r>
    </w:p>
    <w:p w:rsidR="005A54F9" w:rsidRDefault="005A54F9">
      <w:pPr>
        <w:spacing w:line="280" w:lineRule="exact"/>
        <w:rPr>
          <w:sz w:val="20"/>
          <w:szCs w:val="20"/>
        </w:rPr>
      </w:pPr>
    </w:p>
    <w:p w:rsidR="005A54F9" w:rsidRDefault="005442FA">
      <w:pPr>
        <w:spacing w:line="478" w:lineRule="auto"/>
        <w:ind w:left="700" w:right="220" w:hanging="707"/>
        <w:rPr>
          <w:sz w:val="20"/>
          <w:szCs w:val="20"/>
        </w:rPr>
      </w:pPr>
      <w:r>
        <w:rPr>
          <w:rFonts w:eastAsia="Times New Roman"/>
          <w:sz w:val="24"/>
          <w:szCs w:val="24"/>
        </w:rPr>
        <w:t xml:space="preserve">Morrison, P., Burnard, P., &amp; Phillips, C. (1997). Nurses’ and patients’ perceptions of the social climate in a forensic unit in Wales. </w:t>
      </w:r>
      <w:r>
        <w:rPr>
          <w:rFonts w:eastAsia="Times New Roman"/>
          <w:i/>
          <w:iCs/>
          <w:sz w:val="24"/>
          <w:szCs w:val="24"/>
        </w:rPr>
        <w:t>International Journal of Offender Therapy</w:t>
      </w:r>
      <w:r>
        <w:rPr>
          <w:rFonts w:eastAsia="Times New Roman"/>
          <w:sz w:val="24"/>
          <w:szCs w:val="24"/>
        </w:rPr>
        <w:t xml:space="preserve"> </w:t>
      </w:r>
      <w:r>
        <w:rPr>
          <w:rFonts w:eastAsia="Times New Roman"/>
          <w:i/>
          <w:iCs/>
          <w:sz w:val="24"/>
          <w:szCs w:val="24"/>
        </w:rPr>
        <w:t>and Comparative Criminology</w:t>
      </w:r>
      <w:r>
        <w:rPr>
          <w:rFonts w:eastAsia="Times New Roman"/>
          <w:sz w:val="24"/>
          <w:szCs w:val="24"/>
        </w:rPr>
        <w:t>,</w:t>
      </w:r>
      <w:r>
        <w:rPr>
          <w:rFonts w:eastAsia="Times New Roman"/>
          <w:i/>
          <w:iCs/>
          <w:sz w:val="24"/>
          <w:szCs w:val="24"/>
        </w:rPr>
        <w:t xml:space="preserve"> 41</w:t>
      </w:r>
      <w:r>
        <w:rPr>
          <w:rFonts w:eastAsia="Times New Roman"/>
          <w:sz w:val="24"/>
          <w:szCs w:val="24"/>
        </w:rPr>
        <w:t>, 65-78.</w:t>
      </w:r>
    </w:p>
    <w:p w:rsidR="005A54F9" w:rsidRDefault="005A54F9">
      <w:pPr>
        <w:spacing w:line="3" w:lineRule="exact"/>
        <w:rPr>
          <w:sz w:val="20"/>
          <w:szCs w:val="20"/>
        </w:rPr>
      </w:pPr>
    </w:p>
    <w:p w:rsidR="005A54F9" w:rsidRDefault="005442FA">
      <w:pPr>
        <w:rPr>
          <w:sz w:val="20"/>
          <w:szCs w:val="20"/>
        </w:rPr>
      </w:pPr>
      <w:r>
        <w:rPr>
          <w:rFonts w:eastAsia="Times New Roman"/>
          <w:sz w:val="24"/>
          <w:szCs w:val="24"/>
        </w:rPr>
        <w:t xml:space="preserve">Muthén, B. (2010). </w:t>
      </w:r>
      <w:r>
        <w:rPr>
          <w:rFonts w:eastAsia="Times New Roman"/>
          <w:i/>
          <w:iCs/>
          <w:sz w:val="24"/>
          <w:szCs w:val="24"/>
        </w:rPr>
        <w:t>Bayesian analysis i</w:t>
      </w:r>
      <w:r>
        <w:rPr>
          <w:rFonts w:eastAsia="Times New Roman"/>
          <w:i/>
          <w:iCs/>
          <w:sz w:val="24"/>
          <w:szCs w:val="24"/>
        </w:rPr>
        <w:t>n Mplus: A brief introduction</w:t>
      </w:r>
      <w:r>
        <w:rPr>
          <w:rFonts w:eastAsia="Times New Roman"/>
          <w:sz w:val="24"/>
          <w:szCs w:val="24"/>
        </w:rPr>
        <w:t>. (Technical Report).</w:t>
      </w:r>
    </w:p>
    <w:p w:rsidR="005A54F9" w:rsidRDefault="005A54F9">
      <w:pPr>
        <w:spacing w:line="280" w:lineRule="exact"/>
        <w:rPr>
          <w:sz w:val="20"/>
          <w:szCs w:val="20"/>
        </w:rPr>
      </w:pPr>
    </w:p>
    <w:p w:rsidR="005A54F9" w:rsidRDefault="005442FA">
      <w:pPr>
        <w:ind w:left="700"/>
        <w:rPr>
          <w:sz w:val="20"/>
          <w:szCs w:val="20"/>
        </w:rPr>
      </w:pPr>
      <w:r>
        <w:rPr>
          <w:rFonts w:eastAsia="Times New Roman"/>
          <w:sz w:val="24"/>
          <w:szCs w:val="24"/>
        </w:rPr>
        <w:t>Version 3. Retrieved from</w:t>
      </w:r>
    </w:p>
    <w:p w:rsidR="005A54F9" w:rsidRDefault="005A54F9">
      <w:pPr>
        <w:spacing w:line="276" w:lineRule="exact"/>
        <w:rPr>
          <w:sz w:val="20"/>
          <w:szCs w:val="20"/>
        </w:rPr>
      </w:pPr>
    </w:p>
    <w:p w:rsidR="005A54F9" w:rsidRDefault="005442FA">
      <w:pPr>
        <w:ind w:left="700"/>
        <w:rPr>
          <w:sz w:val="20"/>
          <w:szCs w:val="20"/>
        </w:rPr>
      </w:pPr>
      <w:r>
        <w:rPr>
          <w:rFonts w:eastAsia="Times New Roman"/>
          <w:sz w:val="24"/>
          <w:szCs w:val="24"/>
        </w:rPr>
        <w:t>http://www.statmodel.com/download/IntroBayesVersion%203.pdf</w:t>
      </w:r>
    </w:p>
    <w:p w:rsidR="005A54F9" w:rsidRDefault="005A54F9">
      <w:pPr>
        <w:spacing w:line="274" w:lineRule="exact"/>
        <w:rPr>
          <w:sz w:val="20"/>
          <w:szCs w:val="20"/>
        </w:rPr>
      </w:pPr>
    </w:p>
    <w:p w:rsidR="005A54F9" w:rsidRDefault="005442FA">
      <w:pPr>
        <w:rPr>
          <w:sz w:val="20"/>
          <w:szCs w:val="20"/>
        </w:rPr>
      </w:pPr>
      <w:r>
        <w:rPr>
          <w:rFonts w:eastAsia="Times New Roman"/>
          <w:sz w:val="24"/>
          <w:szCs w:val="24"/>
        </w:rPr>
        <w:t>Muthen, L. K., &amp; Muthen, B. O. (1998). Mplus user’s guide (7th ed.). Los Angeles, CA:</w:t>
      </w:r>
    </w:p>
    <w:p w:rsidR="005A54F9" w:rsidRDefault="005A54F9">
      <w:pPr>
        <w:spacing w:line="276" w:lineRule="exact"/>
        <w:rPr>
          <w:sz w:val="20"/>
          <w:szCs w:val="20"/>
        </w:rPr>
      </w:pPr>
    </w:p>
    <w:p w:rsidR="005A54F9" w:rsidRDefault="005442FA">
      <w:pPr>
        <w:ind w:left="700"/>
        <w:rPr>
          <w:sz w:val="20"/>
          <w:szCs w:val="20"/>
        </w:rPr>
      </w:pPr>
      <w:r>
        <w:rPr>
          <w:rFonts w:eastAsia="Times New Roman"/>
          <w:sz w:val="24"/>
          <w:szCs w:val="24"/>
        </w:rPr>
        <w:t>Muthén &amp; Muthén.</w:t>
      </w:r>
    </w:p>
    <w:p w:rsidR="005A54F9" w:rsidRDefault="005A54F9">
      <w:pPr>
        <w:spacing w:line="276" w:lineRule="exact"/>
        <w:rPr>
          <w:sz w:val="20"/>
          <w:szCs w:val="20"/>
        </w:rPr>
      </w:pPr>
    </w:p>
    <w:p w:rsidR="005A54F9" w:rsidRDefault="005442FA">
      <w:pPr>
        <w:spacing w:line="490" w:lineRule="auto"/>
        <w:ind w:left="700" w:right="80" w:hanging="707"/>
        <w:rPr>
          <w:rFonts w:eastAsia="Times New Roman"/>
          <w:sz w:val="24"/>
          <w:szCs w:val="24"/>
        </w:rPr>
      </w:pPr>
      <w:r>
        <w:rPr>
          <w:rFonts w:eastAsia="Times New Roman"/>
          <w:sz w:val="24"/>
          <w:szCs w:val="24"/>
        </w:rPr>
        <w:t>Nesset, M.B</w:t>
      </w:r>
      <w:r>
        <w:rPr>
          <w:rFonts w:eastAsia="Times New Roman"/>
          <w:sz w:val="24"/>
          <w:szCs w:val="24"/>
        </w:rPr>
        <w:t xml:space="preserve">., Rossberg, J.I., Almvik, R., Friis, S. (2009). </w:t>
      </w:r>
      <w:hyperlink r:id="rId14">
        <w:r>
          <w:rPr>
            <w:rFonts w:eastAsia="Times New Roman"/>
            <w:sz w:val="24"/>
            <w:szCs w:val="24"/>
          </w:rPr>
          <w:t>Can a focused staff training</w:t>
        </w:r>
      </w:hyperlink>
      <w:r>
        <w:rPr>
          <w:rFonts w:eastAsia="Times New Roman"/>
          <w:sz w:val="24"/>
          <w:szCs w:val="24"/>
        </w:rPr>
        <w:t xml:space="preserve"> </w:t>
      </w:r>
      <w:hyperlink r:id="rId15">
        <w:r>
          <w:rPr>
            <w:rFonts w:eastAsia="Times New Roman"/>
            <w:sz w:val="24"/>
            <w:szCs w:val="24"/>
          </w:rPr>
          <w:t xml:space="preserve">programme improve the ward atmosphere </w:t>
        </w:r>
        <w:r>
          <w:rPr>
            <w:rFonts w:eastAsia="Times New Roman"/>
            <w:sz w:val="24"/>
            <w:szCs w:val="24"/>
          </w:rPr>
          <w:t>and patient satisfaction in a forensic</w:t>
        </w:r>
      </w:hyperlink>
      <w:r>
        <w:rPr>
          <w:rFonts w:eastAsia="Times New Roman"/>
          <w:sz w:val="24"/>
          <w:szCs w:val="24"/>
        </w:rPr>
        <w:t xml:space="preserve"> </w:t>
      </w:r>
      <w:hyperlink r:id="rId16">
        <w:r>
          <w:rPr>
            <w:rFonts w:eastAsia="Times New Roman"/>
            <w:sz w:val="24"/>
            <w:szCs w:val="24"/>
          </w:rPr>
          <w:t xml:space="preserve">psychiatric hospital? A pilot study. </w:t>
        </w:r>
      </w:hyperlink>
      <w:hyperlink r:id="rId17">
        <w:r>
          <w:rPr>
            <w:rFonts w:eastAsia="Times New Roman"/>
            <w:i/>
            <w:iCs/>
            <w:sz w:val="24"/>
            <w:szCs w:val="24"/>
          </w:rPr>
          <w:t>Scandinavian Journal of Ca</w:t>
        </w:r>
        <w:r>
          <w:rPr>
            <w:rFonts w:eastAsia="Times New Roman"/>
            <w:i/>
            <w:iCs/>
            <w:sz w:val="24"/>
            <w:szCs w:val="24"/>
          </w:rPr>
          <w:t xml:space="preserve">ring Science., </w:t>
        </w:r>
      </w:hyperlink>
      <w:r>
        <w:rPr>
          <w:rFonts w:eastAsia="Times New Roman"/>
          <w:sz w:val="24"/>
          <w:szCs w:val="24"/>
        </w:rPr>
        <w:t>23, 117-124.</w:t>
      </w:r>
    </w:p>
    <w:p w:rsidR="005A54F9" w:rsidRDefault="005A54F9">
      <w:pPr>
        <w:spacing w:line="200" w:lineRule="exact"/>
        <w:rPr>
          <w:rFonts w:eastAsia="Times New Roman"/>
          <w:sz w:val="24"/>
          <w:szCs w:val="24"/>
        </w:rPr>
      </w:pPr>
    </w:p>
    <w:p w:rsidR="005A54F9" w:rsidRDefault="005A54F9">
      <w:pPr>
        <w:spacing w:line="200" w:lineRule="exact"/>
        <w:rPr>
          <w:rFonts w:eastAsia="Times New Roman"/>
          <w:sz w:val="24"/>
          <w:szCs w:val="24"/>
        </w:rPr>
      </w:pPr>
    </w:p>
    <w:p w:rsidR="005A54F9" w:rsidRDefault="005A54F9">
      <w:pPr>
        <w:spacing w:line="200" w:lineRule="exact"/>
        <w:rPr>
          <w:rFonts w:eastAsia="Times New Roman"/>
          <w:sz w:val="24"/>
          <w:szCs w:val="24"/>
        </w:rPr>
      </w:pPr>
    </w:p>
    <w:p w:rsidR="005A54F9" w:rsidRDefault="005A54F9">
      <w:pPr>
        <w:spacing w:line="400" w:lineRule="exact"/>
        <w:rPr>
          <w:rFonts w:eastAsia="Times New Roman"/>
          <w:sz w:val="24"/>
          <w:szCs w:val="24"/>
        </w:rPr>
      </w:pPr>
    </w:p>
    <w:p w:rsidR="005A54F9" w:rsidRDefault="005442FA">
      <w:pPr>
        <w:jc w:val="right"/>
        <w:rPr>
          <w:sz w:val="20"/>
          <w:szCs w:val="20"/>
        </w:rPr>
      </w:pPr>
      <w:r>
        <w:rPr>
          <w:rFonts w:ascii="Verdana" w:eastAsia="Verdana" w:hAnsi="Verdana" w:cs="Verdana"/>
          <w:sz w:val="18"/>
          <w:szCs w:val="18"/>
        </w:rPr>
        <w:t>28</w:t>
      </w:r>
    </w:p>
    <w:p w:rsidR="005A54F9" w:rsidRDefault="005A54F9">
      <w:pPr>
        <w:sectPr w:rsidR="005A54F9">
          <w:pgSz w:w="11900" w:h="16838"/>
          <w:pgMar w:top="1392" w:right="1426" w:bottom="371" w:left="1420" w:header="0" w:footer="0" w:gutter="0"/>
          <w:cols w:space="720" w:equalWidth="0">
            <w:col w:w="9060"/>
          </w:cols>
        </w:sectPr>
      </w:pPr>
    </w:p>
    <w:p w:rsidR="005A54F9" w:rsidRDefault="005442FA">
      <w:pPr>
        <w:spacing w:line="477" w:lineRule="auto"/>
        <w:ind w:left="700" w:right="500" w:hanging="707"/>
        <w:jc w:val="both"/>
        <w:rPr>
          <w:sz w:val="20"/>
          <w:szCs w:val="20"/>
        </w:rPr>
      </w:pPr>
      <w:bookmarkStart w:id="29" w:name="page29"/>
      <w:bookmarkEnd w:id="29"/>
      <w:r>
        <w:rPr>
          <w:rFonts w:eastAsia="Times New Roman"/>
          <w:sz w:val="24"/>
          <w:szCs w:val="24"/>
        </w:rPr>
        <w:lastRenderedPageBreak/>
        <w:t xml:space="preserve">Neumann, C. S., Hare, R. D., &amp; Newman, J. P. (2007). The super-ordinate nature of the psychopathy checklist-revised. </w:t>
      </w:r>
      <w:r>
        <w:rPr>
          <w:rFonts w:eastAsia="Times New Roman"/>
          <w:i/>
          <w:iCs/>
          <w:sz w:val="24"/>
          <w:szCs w:val="24"/>
        </w:rPr>
        <w:t>Journal of Personality Disorders</w:t>
      </w:r>
      <w:r>
        <w:rPr>
          <w:rFonts w:eastAsia="Times New Roman"/>
          <w:sz w:val="24"/>
          <w:szCs w:val="24"/>
        </w:rPr>
        <w:t xml:space="preserve">, </w:t>
      </w:r>
      <w:r>
        <w:rPr>
          <w:rFonts w:eastAsia="Times New Roman"/>
          <w:i/>
          <w:iCs/>
          <w:sz w:val="24"/>
          <w:szCs w:val="24"/>
        </w:rPr>
        <w:t>21</w:t>
      </w:r>
      <w:r>
        <w:rPr>
          <w:rFonts w:eastAsia="Times New Roman"/>
          <w:sz w:val="24"/>
          <w:szCs w:val="24"/>
        </w:rPr>
        <w:t>(2), 102–117.</w:t>
      </w:r>
    </w:p>
    <w:p w:rsidR="005A54F9" w:rsidRDefault="005A54F9">
      <w:pPr>
        <w:spacing w:line="1" w:lineRule="exact"/>
        <w:rPr>
          <w:sz w:val="20"/>
          <w:szCs w:val="20"/>
        </w:rPr>
      </w:pPr>
    </w:p>
    <w:p w:rsidR="005A54F9" w:rsidRDefault="005442FA">
      <w:pPr>
        <w:spacing w:line="481" w:lineRule="auto"/>
        <w:ind w:left="700" w:right="580" w:hanging="707"/>
        <w:rPr>
          <w:sz w:val="20"/>
          <w:szCs w:val="20"/>
        </w:rPr>
      </w:pPr>
      <w:r>
        <w:rPr>
          <w:rFonts w:eastAsia="Times New Roman"/>
          <w:sz w:val="24"/>
          <w:szCs w:val="24"/>
        </w:rPr>
        <w:t xml:space="preserve">Norton, K. (2004). Re-thinking acute psychiatric inpatient care. </w:t>
      </w:r>
      <w:r>
        <w:rPr>
          <w:rFonts w:eastAsia="Times New Roman"/>
          <w:i/>
          <w:iCs/>
          <w:sz w:val="24"/>
          <w:szCs w:val="24"/>
        </w:rPr>
        <w:t>International Journal of</w:t>
      </w:r>
      <w:r>
        <w:rPr>
          <w:rFonts w:eastAsia="Times New Roman"/>
          <w:sz w:val="24"/>
          <w:szCs w:val="24"/>
        </w:rPr>
        <w:t xml:space="preserve"> </w:t>
      </w:r>
      <w:r>
        <w:rPr>
          <w:rFonts w:eastAsia="Times New Roman"/>
          <w:i/>
          <w:iCs/>
          <w:sz w:val="24"/>
          <w:szCs w:val="24"/>
        </w:rPr>
        <w:t>Social Psychiatry, 50</w:t>
      </w:r>
      <w:r>
        <w:rPr>
          <w:rFonts w:eastAsia="Times New Roman"/>
          <w:sz w:val="24"/>
          <w:szCs w:val="24"/>
        </w:rPr>
        <w:t>, 274–284.</w:t>
      </w:r>
    </w:p>
    <w:p w:rsidR="005A54F9" w:rsidRDefault="005A54F9">
      <w:pPr>
        <w:spacing w:line="2" w:lineRule="exact"/>
        <w:rPr>
          <w:sz w:val="20"/>
          <w:szCs w:val="20"/>
        </w:rPr>
      </w:pPr>
    </w:p>
    <w:p w:rsidR="005A54F9" w:rsidRDefault="005442FA">
      <w:pPr>
        <w:spacing w:line="480" w:lineRule="auto"/>
        <w:ind w:left="700" w:right="140" w:hanging="707"/>
        <w:rPr>
          <w:sz w:val="20"/>
          <w:szCs w:val="20"/>
        </w:rPr>
      </w:pPr>
      <w:r>
        <w:rPr>
          <w:rFonts w:eastAsia="Times New Roman"/>
          <w:sz w:val="24"/>
          <w:szCs w:val="24"/>
        </w:rPr>
        <w:t xml:space="preserve">Pedersen, G., &amp; Karterud, S. (2007). Associations between patient characteristics and ratings of treatment milieu. </w:t>
      </w:r>
      <w:r>
        <w:rPr>
          <w:rFonts w:eastAsia="Times New Roman"/>
          <w:i/>
          <w:iCs/>
          <w:sz w:val="24"/>
          <w:szCs w:val="24"/>
        </w:rPr>
        <w:t>Nord J Psychiatry,</w:t>
      </w:r>
      <w:r>
        <w:rPr>
          <w:rFonts w:eastAsia="Times New Roman"/>
          <w:i/>
          <w:iCs/>
          <w:sz w:val="24"/>
          <w:szCs w:val="24"/>
        </w:rPr>
        <w:t xml:space="preserve"> 61</w:t>
      </w:r>
      <w:r>
        <w:rPr>
          <w:rFonts w:eastAsia="Times New Roman"/>
          <w:sz w:val="24"/>
          <w:szCs w:val="24"/>
        </w:rPr>
        <w:t>, 271-278.</w:t>
      </w:r>
    </w:p>
    <w:p w:rsidR="005A54F9" w:rsidRDefault="005442FA">
      <w:pPr>
        <w:spacing w:line="480" w:lineRule="auto"/>
        <w:ind w:left="700" w:hanging="707"/>
        <w:rPr>
          <w:sz w:val="20"/>
          <w:szCs w:val="20"/>
        </w:rPr>
      </w:pPr>
      <w:r>
        <w:rPr>
          <w:rFonts w:eastAsia="Times New Roman"/>
          <w:sz w:val="24"/>
          <w:szCs w:val="24"/>
        </w:rPr>
        <w:t xml:space="preserve">Richards, H.J., Casey, J.O. &amp; Lucente, S W. (2003). Psychopathy And Treatment Response In Incarcerated Female Substance Abusers. </w:t>
      </w:r>
      <w:r>
        <w:rPr>
          <w:rFonts w:eastAsia="Times New Roman"/>
          <w:i/>
          <w:iCs/>
          <w:sz w:val="24"/>
          <w:szCs w:val="24"/>
        </w:rPr>
        <w:t>Criminal Justice and Behavior</w:t>
      </w:r>
      <w:r>
        <w:rPr>
          <w:rFonts w:eastAsia="Times New Roman"/>
          <w:sz w:val="24"/>
          <w:szCs w:val="24"/>
        </w:rPr>
        <w:t xml:space="preserve"> </w:t>
      </w:r>
      <w:r>
        <w:rPr>
          <w:rFonts w:eastAsia="Times New Roman"/>
          <w:i/>
          <w:iCs/>
          <w:sz w:val="24"/>
          <w:szCs w:val="24"/>
        </w:rPr>
        <w:t>30</w:t>
      </w:r>
      <w:r>
        <w:rPr>
          <w:rFonts w:eastAsia="Times New Roman"/>
          <w:sz w:val="24"/>
          <w:szCs w:val="24"/>
        </w:rPr>
        <w:t>, 251-276.</w:t>
      </w:r>
    </w:p>
    <w:p w:rsidR="005A54F9" w:rsidRDefault="005442FA">
      <w:pPr>
        <w:spacing w:line="480" w:lineRule="auto"/>
        <w:ind w:left="700" w:right="500" w:hanging="707"/>
        <w:jc w:val="both"/>
        <w:rPr>
          <w:sz w:val="20"/>
          <w:szCs w:val="20"/>
        </w:rPr>
      </w:pPr>
      <w:r>
        <w:rPr>
          <w:rFonts w:eastAsia="Times New Roman"/>
          <w:sz w:val="24"/>
          <w:szCs w:val="24"/>
        </w:rPr>
        <w:t>Rosen, D. C., Miller, A. B., Nakash, O., Halpern, L., &amp; Alegría, M. (2</w:t>
      </w:r>
      <w:r>
        <w:rPr>
          <w:rFonts w:eastAsia="Times New Roman"/>
          <w:sz w:val="24"/>
          <w:szCs w:val="24"/>
        </w:rPr>
        <w:t xml:space="preserve">012). Interpersonal complementarity in the mental health intake: A mixed-methods study. </w:t>
      </w:r>
      <w:r>
        <w:rPr>
          <w:rFonts w:eastAsia="Times New Roman"/>
          <w:i/>
          <w:iCs/>
          <w:sz w:val="24"/>
          <w:szCs w:val="24"/>
        </w:rPr>
        <w:t>Journal of</w:t>
      </w:r>
      <w:r>
        <w:rPr>
          <w:rFonts w:eastAsia="Times New Roman"/>
          <w:sz w:val="24"/>
          <w:szCs w:val="24"/>
        </w:rPr>
        <w:t xml:space="preserve"> </w:t>
      </w:r>
      <w:r>
        <w:rPr>
          <w:rFonts w:eastAsia="Times New Roman"/>
          <w:i/>
          <w:iCs/>
          <w:sz w:val="24"/>
          <w:szCs w:val="24"/>
        </w:rPr>
        <w:t>Counseling Psychology</w:t>
      </w:r>
      <w:r>
        <w:rPr>
          <w:rFonts w:eastAsia="Times New Roman"/>
          <w:sz w:val="24"/>
          <w:szCs w:val="24"/>
        </w:rPr>
        <w:t>,</w:t>
      </w:r>
      <w:r>
        <w:rPr>
          <w:rFonts w:eastAsia="Times New Roman"/>
          <w:i/>
          <w:iCs/>
          <w:sz w:val="24"/>
          <w:szCs w:val="24"/>
        </w:rPr>
        <w:t xml:space="preserve"> 59</w:t>
      </w:r>
      <w:r>
        <w:rPr>
          <w:rFonts w:eastAsia="Times New Roman"/>
          <w:sz w:val="24"/>
          <w:szCs w:val="24"/>
        </w:rPr>
        <w:t>, 185-196.</w:t>
      </w:r>
    </w:p>
    <w:p w:rsidR="005A54F9" w:rsidRDefault="005442FA">
      <w:pPr>
        <w:spacing w:line="480" w:lineRule="auto"/>
        <w:ind w:left="700" w:right="420" w:hanging="707"/>
        <w:rPr>
          <w:sz w:val="20"/>
          <w:szCs w:val="20"/>
        </w:rPr>
      </w:pPr>
      <w:r>
        <w:rPr>
          <w:rFonts w:eastAsia="Times New Roman"/>
          <w:sz w:val="24"/>
          <w:szCs w:val="24"/>
        </w:rPr>
        <w:t xml:space="preserve">Røssberg, J. I., &amp; Friis, S. (2004). Patients’ and staff’s perceptions of the psychiatric ward environment. </w:t>
      </w:r>
      <w:r>
        <w:rPr>
          <w:rFonts w:eastAsia="Times New Roman"/>
          <w:i/>
          <w:iCs/>
          <w:sz w:val="24"/>
          <w:szCs w:val="24"/>
        </w:rPr>
        <w:t>Psychiatric S</w:t>
      </w:r>
      <w:r>
        <w:rPr>
          <w:rFonts w:eastAsia="Times New Roman"/>
          <w:i/>
          <w:iCs/>
          <w:sz w:val="24"/>
          <w:szCs w:val="24"/>
        </w:rPr>
        <w:t>ervices, 55,</w:t>
      </w:r>
      <w:r>
        <w:rPr>
          <w:rFonts w:eastAsia="Times New Roman"/>
          <w:sz w:val="24"/>
          <w:szCs w:val="24"/>
        </w:rPr>
        <w:t xml:space="preserve"> 798–803.</w:t>
      </w:r>
    </w:p>
    <w:p w:rsidR="005A54F9" w:rsidRDefault="005442FA">
      <w:pPr>
        <w:spacing w:line="480" w:lineRule="auto"/>
        <w:ind w:left="700" w:right="200" w:hanging="707"/>
        <w:rPr>
          <w:sz w:val="20"/>
          <w:szCs w:val="20"/>
        </w:rPr>
      </w:pPr>
      <w:r>
        <w:rPr>
          <w:rFonts w:eastAsia="Times New Roman"/>
          <w:sz w:val="24"/>
          <w:szCs w:val="24"/>
        </w:rPr>
        <w:t xml:space="preserve">Schalast, N., Redies, M., Collins, M., Stacey, J., &amp; Howells, K. (2008). EssenCES, a short questionnaire for assessing the social climate of forensic psychiatric wards. </w:t>
      </w:r>
      <w:r>
        <w:rPr>
          <w:rFonts w:eastAsia="Times New Roman"/>
          <w:i/>
          <w:iCs/>
          <w:sz w:val="24"/>
          <w:szCs w:val="24"/>
        </w:rPr>
        <w:t>Criminal</w:t>
      </w:r>
      <w:r>
        <w:rPr>
          <w:rFonts w:eastAsia="Times New Roman"/>
          <w:sz w:val="24"/>
          <w:szCs w:val="24"/>
        </w:rPr>
        <w:t xml:space="preserve"> </w:t>
      </w:r>
      <w:r>
        <w:rPr>
          <w:rFonts w:eastAsia="Times New Roman"/>
          <w:i/>
          <w:iCs/>
          <w:sz w:val="24"/>
          <w:szCs w:val="24"/>
        </w:rPr>
        <w:t xml:space="preserve">Behaviour and Mental Health, 18, </w:t>
      </w:r>
      <w:r>
        <w:rPr>
          <w:rFonts w:eastAsia="Times New Roman"/>
          <w:sz w:val="24"/>
          <w:szCs w:val="24"/>
        </w:rPr>
        <w:t>49–58.</w:t>
      </w:r>
    </w:p>
    <w:p w:rsidR="005A54F9" w:rsidRDefault="005442FA">
      <w:pPr>
        <w:spacing w:line="480" w:lineRule="auto"/>
        <w:ind w:left="700" w:right="780" w:hanging="707"/>
        <w:rPr>
          <w:sz w:val="20"/>
          <w:szCs w:val="20"/>
        </w:rPr>
      </w:pPr>
      <w:r>
        <w:rPr>
          <w:rFonts w:eastAsia="Times New Roman"/>
          <w:sz w:val="24"/>
          <w:szCs w:val="24"/>
        </w:rPr>
        <w:t xml:space="preserve">Scheines, R., Hoijtink, H., &amp; Boomsma, A. (1999). Bayesian estimation and testing of structural equation models. </w:t>
      </w:r>
      <w:r>
        <w:rPr>
          <w:rFonts w:eastAsia="Times New Roman"/>
          <w:i/>
          <w:iCs/>
          <w:sz w:val="24"/>
          <w:szCs w:val="24"/>
        </w:rPr>
        <w:t>Psychometrika</w:t>
      </w:r>
      <w:r>
        <w:rPr>
          <w:rFonts w:eastAsia="Times New Roman"/>
          <w:sz w:val="24"/>
          <w:szCs w:val="24"/>
        </w:rPr>
        <w:t xml:space="preserve">, </w:t>
      </w:r>
      <w:r>
        <w:rPr>
          <w:rFonts w:eastAsia="Times New Roman"/>
          <w:i/>
          <w:iCs/>
          <w:sz w:val="24"/>
          <w:szCs w:val="24"/>
        </w:rPr>
        <w:t>64</w:t>
      </w:r>
      <w:r>
        <w:rPr>
          <w:rFonts w:eastAsia="Times New Roman"/>
          <w:sz w:val="24"/>
          <w:szCs w:val="24"/>
        </w:rPr>
        <w:t>(1), 37–52.</w:t>
      </w:r>
    </w:p>
    <w:p w:rsidR="005A54F9" w:rsidRDefault="005442FA">
      <w:pPr>
        <w:spacing w:line="480" w:lineRule="auto"/>
        <w:ind w:left="700" w:right="300" w:hanging="707"/>
        <w:rPr>
          <w:sz w:val="20"/>
          <w:szCs w:val="20"/>
        </w:rPr>
      </w:pPr>
      <w:r>
        <w:rPr>
          <w:rFonts w:eastAsia="Times New Roman"/>
          <w:sz w:val="24"/>
          <w:szCs w:val="24"/>
        </w:rPr>
        <w:t>Taylor, J., Kemper, T. S., &amp; Kistner, J. A. (2007). Predicting institutional maladjustment in severe male juvenile</w:t>
      </w:r>
      <w:r>
        <w:rPr>
          <w:rFonts w:eastAsia="Times New Roman"/>
          <w:sz w:val="24"/>
          <w:szCs w:val="24"/>
        </w:rPr>
        <w:t xml:space="preserve"> delinquents from criminal history and personality/clinical subtype.</w:t>
      </w:r>
      <w:r>
        <w:rPr>
          <w:rFonts w:eastAsia="Times New Roman"/>
          <w:i/>
          <w:iCs/>
          <w:sz w:val="24"/>
          <w:szCs w:val="24"/>
        </w:rPr>
        <w:t>Criminal Justice and Behavior, 34</w:t>
      </w:r>
      <w:r>
        <w:rPr>
          <w:rFonts w:eastAsia="Times New Roman"/>
          <w:sz w:val="24"/>
          <w:szCs w:val="24"/>
        </w:rPr>
        <w:t>, 769-780.</w:t>
      </w:r>
    </w:p>
    <w:p w:rsidR="005A54F9" w:rsidRDefault="005442FA">
      <w:pPr>
        <w:spacing w:line="490" w:lineRule="auto"/>
        <w:ind w:left="700" w:right="220" w:hanging="707"/>
        <w:rPr>
          <w:sz w:val="20"/>
          <w:szCs w:val="20"/>
        </w:rPr>
      </w:pPr>
      <w:r>
        <w:rPr>
          <w:rFonts w:eastAsia="Times New Roman"/>
          <w:sz w:val="24"/>
          <w:szCs w:val="24"/>
        </w:rPr>
        <w:t>Tonkin, M., Howell, K., Ferguson, E., Clark, A., Newberry, M., &amp; Schalast, N. (2012). Lost in translation? Psychometric properties and construct</w:t>
      </w:r>
      <w:r>
        <w:rPr>
          <w:rFonts w:eastAsia="Times New Roman"/>
          <w:sz w:val="24"/>
          <w:szCs w:val="24"/>
        </w:rPr>
        <w:t xml:space="preserve"> validity of the English Essen Climate Evaluation Schema (EssenCES) social climate questionnaire. </w:t>
      </w:r>
      <w:r>
        <w:rPr>
          <w:rFonts w:eastAsia="Times New Roman"/>
          <w:i/>
          <w:iCs/>
          <w:sz w:val="24"/>
          <w:szCs w:val="24"/>
        </w:rPr>
        <w:t>Psychological</w:t>
      </w:r>
      <w:r>
        <w:rPr>
          <w:rFonts w:eastAsia="Times New Roman"/>
          <w:sz w:val="24"/>
          <w:szCs w:val="24"/>
        </w:rPr>
        <w:t xml:space="preserve"> </w:t>
      </w:r>
      <w:r>
        <w:rPr>
          <w:rFonts w:eastAsia="Times New Roman"/>
          <w:i/>
          <w:iCs/>
          <w:sz w:val="24"/>
          <w:szCs w:val="24"/>
        </w:rPr>
        <w:t>Assessment, 24</w:t>
      </w:r>
      <w:r>
        <w:rPr>
          <w:rFonts w:eastAsia="Times New Roman"/>
          <w:sz w:val="24"/>
          <w:szCs w:val="24"/>
        </w:rPr>
        <w:t>, 573-580.</w:t>
      </w:r>
    </w:p>
    <w:p w:rsidR="005A54F9" w:rsidRDefault="005A54F9">
      <w:pPr>
        <w:spacing w:line="200" w:lineRule="exact"/>
        <w:rPr>
          <w:sz w:val="20"/>
          <w:szCs w:val="20"/>
        </w:rPr>
      </w:pPr>
    </w:p>
    <w:p w:rsidR="005A54F9" w:rsidRDefault="005A54F9">
      <w:pPr>
        <w:spacing w:line="248" w:lineRule="exact"/>
        <w:rPr>
          <w:sz w:val="20"/>
          <w:szCs w:val="20"/>
        </w:rPr>
      </w:pPr>
    </w:p>
    <w:p w:rsidR="005A54F9" w:rsidRDefault="005442FA">
      <w:pPr>
        <w:jc w:val="right"/>
        <w:rPr>
          <w:sz w:val="20"/>
          <w:szCs w:val="20"/>
        </w:rPr>
      </w:pPr>
      <w:r>
        <w:rPr>
          <w:rFonts w:ascii="Verdana" w:eastAsia="Verdana" w:hAnsi="Verdana" w:cs="Verdana"/>
          <w:sz w:val="18"/>
          <w:szCs w:val="18"/>
        </w:rPr>
        <w:t>29</w:t>
      </w:r>
    </w:p>
    <w:p w:rsidR="005A54F9" w:rsidRDefault="005A54F9">
      <w:pPr>
        <w:sectPr w:rsidR="005A54F9">
          <w:pgSz w:w="11900" w:h="16838"/>
          <w:pgMar w:top="1392" w:right="1426" w:bottom="371" w:left="1420" w:header="0" w:footer="0" w:gutter="0"/>
          <w:cols w:space="720" w:equalWidth="0">
            <w:col w:w="9060"/>
          </w:cols>
        </w:sectPr>
      </w:pPr>
    </w:p>
    <w:p w:rsidR="005A54F9" w:rsidRDefault="005442FA">
      <w:pPr>
        <w:spacing w:line="480" w:lineRule="auto"/>
        <w:ind w:left="700" w:right="180" w:hanging="707"/>
        <w:rPr>
          <w:sz w:val="20"/>
          <w:szCs w:val="20"/>
        </w:rPr>
      </w:pPr>
      <w:bookmarkStart w:id="30" w:name="page30"/>
      <w:bookmarkEnd w:id="30"/>
      <w:r>
        <w:rPr>
          <w:rFonts w:eastAsia="Times New Roman"/>
          <w:sz w:val="24"/>
          <w:szCs w:val="24"/>
        </w:rPr>
        <w:lastRenderedPageBreak/>
        <w:t>Tonkin, M. (2015). A review of questionnaire measures for assessing the social climate in pr</w:t>
      </w:r>
      <w:r>
        <w:rPr>
          <w:rFonts w:eastAsia="Times New Roman"/>
          <w:sz w:val="24"/>
          <w:szCs w:val="24"/>
        </w:rPr>
        <w:t xml:space="preserve">isons and forensic psychiatric hospitals. </w:t>
      </w:r>
      <w:r>
        <w:rPr>
          <w:rFonts w:eastAsia="Times New Roman"/>
          <w:i/>
          <w:iCs/>
          <w:sz w:val="24"/>
          <w:szCs w:val="24"/>
        </w:rPr>
        <w:t>International Journal of Offender Therapy</w:t>
      </w:r>
      <w:r>
        <w:rPr>
          <w:rFonts w:eastAsia="Times New Roman"/>
          <w:sz w:val="24"/>
          <w:szCs w:val="24"/>
        </w:rPr>
        <w:t xml:space="preserve"> </w:t>
      </w:r>
      <w:r>
        <w:rPr>
          <w:rFonts w:eastAsia="Times New Roman"/>
          <w:i/>
          <w:iCs/>
          <w:sz w:val="24"/>
          <w:szCs w:val="24"/>
        </w:rPr>
        <w:t xml:space="preserve">and Comparative Criminology, </w:t>
      </w:r>
      <w:r>
        <w:rPr>
          <w:rFonts w:eastAsia="Times New Roman"/>
          <w:sz w:val="24"/>
          <w:szCs w:val="24"/>
        </w:rPr>
        <w:t>1-30.</w:t>
      </w:r>
    </w:p>
    <w:p w:rsidR="005A54F9" w:rsidRDefault="005442FA">
      <w:pPr>
        <w:spacing w:line="480" w:lineRule="auto"/>
        <w:ind w:left="700" w:right="460" w:hanging="707"/>
        <w:rPr>
          <w:sz w:val="20"/>
          <w:szCs w:val="20"/>
        </w:rPr>
      </w:pPr>
      <w:r>
        <w:rPr>
          <w:rFonts w:eastAsia="Times New Roman"/>
          <w:sz w:val="24"/>
          <w:szCs w:val="24"/>
        </w:rPr>
        <w:t>van der Helm, G. H. P., Beunk, L., Stams, G. J., &amp; van der Laan, P. H. (2014). The relationship between detention length, living group cl</w:t>
      </w:r>
      <w:r>
        <w:rPr>
          <w:rFonts w:eastAsia="Times New Roman"/>
          <w:sz w:val="24"/>
          <w:szCs w:val="24"/>
        </w:rPr>
        <w:t xml:space="preserve">imate, coping, and treatment motivation among juvenile delinquents in a youth correctional facility. </w:t>
      </w:r>
      <w:r>
        <w:rPr>
          <w:rFonts w:eastAsia="Times New Roman"/>
          <w:i/>
          <w:iCs/>
          <w:sz w:val="24"/>
          <w:szCs w:val="24"/>
        </w:rPr>
        <w:t>The Prison</w:t>
      </w:r>
      <w:r>
        <w:rPr>
          <w:rFonts w:eastAsia="Times New Roman"/>
          <w:sz w:val="24"/>
          <w:szCs w:val="24"/>
        </w:rPr>
        <w:t xml:space="preserve"> </w:t>
      </w:r>
      <w:r>
        <w:rPr>
          <w:rFonts w:eastAsia="Times New Roman"/>
          <w:i/>
          <w:iCs/>
          <w:sz w:val="24"/>
          <w:szCs w:val="24"/>
        </w:rPr>
        <w:t xml:space="preserve">Journal, 94, </w:t>
      </w:r>
      <w:r>
        <w:rPr>
          <w:rFonts w:eastAsia="Times New Roman"/>
          <w:sz w:val="24"/>
          <w:szCs w:val="24"/>
        </w:rPr>
        <w:t>260-275.</w:t>
      </w:r>
    </w:p>
    <w:p w:rsidR="005A54F9" w:rsidRDefault="005442FA">
      <w:pPr>
        <w:spacing w:line="480" w:lineRule="auto"/>
        <w:ind w:left="700" w:right="780" w:hanging="707"/>
        <w:rPr>
          <w:sz w:val="20"/>
          <w:szCs w:val="20"/>
        </w:rPr>
      </w:pPr>
      <w:r>
        <w:rPr>
          <w:rFonts w:eastAsia="Times New Roman"/>
          <w:sz w:val="24"/>
          <w:szCs w:val="24"/>
        </w:rPr>
        <w:t>von Hippel, W., Brener, L., von Hippel, C. (2008). Implicit prejudice toward injecting drug users predicts intentions to c</w:t>
      </w:r>
      <w:r>
        <w:rPr>
          <w:rFonts w:eastAsia="Times New Roman"/>
          <w:sz w:val="24"/>
          <w:szCs w:val="24"/>
        </w:rPr>
        <w:t>hange jobs among drug and alcohol nurses. Psychological Science. 19, 7–11.</w:t>
      </w:r>
    </w:p>
    <w:p w:rsidR="005A54F9" w:rsidRDefault="005442FA">
      <w:pPr>
        <w:spacing w:line="478" w:lineRule="auto"/>
        <w:ind w:left="700" w:right="980" w:hanging="707"/>
        <w:jc w:val="both"/>
        <w:rPr>
          <w:sz w:val="20"/>
          <w:szCs w:val="20"/>
        </w:rPr>
      </w:pPr>
      <w:r>
        <w:rPr>
          <w:rFonts w:eastAsia="Times New Roman"/>
          <w:sz w:val="24"/>
          <w:szCs w:val="24"/>
        </w:rPr>
        <w:t>Webster, C., Douglas, K., Eaves, D., &amp; Hart, S. (1997). HCR-20: Assessing risk for violence (Version 2). Vancouver, BC: Simon Fraser University and Forensic Psychiatric Services Com</w:t>
      </w:r>
      <w:r>
        <w:rPr>
          <w:rFonts w:eastAsia="Times New Roman"/>
          <w:sz w:val="24"/>
          <w:szCs w:val="24"/>
        </w:rPr>
        <w:t>mission of British Columbia.</w:t>
      </w:r>
    </w:p>
    <w:p w:rsidR="005A54F9" w:rsidRDefault="005A54F9">
      <w:pPr>
        <w:spacing w:line="3" w:lineRule="exact"/>
        <w:rPr>
          <w:sz w:val="20"/>
          <w:szCs w:val="20"/>
        </w:rPr>
      </w:pPr>
    </w:p>
    <w:p w:rsidR="005A54F9" w:rsidRDefault="005442FA">
      <w:pPr>
        <w:spacing w:line="516" w:lineRule="auto"/>
        <w:ind w:left="700" w:right="800" w:hanging="707"/>
        <w:rPr>
          <w:sz w:val="20"/>
          <w:szCs w:val="20"/>
        </w:rPr>
      </w:pPr>
      <w:r>
        <w:rPr>
          <w:rFonts w:eastAsia="Times New Roman"/>
          <w:sz w:val="24"/>
          <w:szCs w:val="24"/>
        </w:rPr>
        <w:t xml:space="preserve">World Health Organisation. (2010). </w:t>
      </w:r>
      <w:r>
        <w:rPr>
          <w:rFonts w:eastAsia="Times New Roman"/>
          <w:i/>
          <w:iCs/>
          <w:sz w:val="24"/>
          <w:szCs w:val="24"/>
        </w:rPr>
        <w:t>International classification of diseases version 10</w:t>
      </w:r>
      <w:r>
        <w:rPr>
          <w:rFonts w:eastAsia="Times New Roman"/>
          <w:sz w:val="24"/>
          <w:szCs w:val="24"/>
        </w:rPr>
        <w:t xml:space="preserve"> </w:t>
      </w:r>
      <w:r>
        <w:rPr>
          <w:rFonts w:eastAsia="Times New Roman"/>
          <w:i/>
          <w:iCs/>
          <w:sz w:val="24"/>
          <w:szCs w:val="24"/>
        </w:rPr>
        <w:t>[ICD-10]</w:t>
      </w:r>
      <w:r>
        <w:rPr>
          <w:rFonts w:eastAsia="Times New Roman"/>
          <w:sz w:val="24"/>
          <w:szCs w:val="24"/>
        </w:rPr>
        <w:t>. Geneva: Author.</w:t>
      </w: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200" w:lineRule="exact"/>
        <w:rPr>
          <w:sz w:val="20"/>
          <w:szCs w:val="20"/>
        </w:rPr>
      </w:pPr>
    </w:p>
    <w:p w:rsidR="005A54F9" w:rsidRDefault="005A54F9">
      <w:pPr>
        <w:spacing w:line="333" w:lineRule="exact"/>
        <w:rPr>
          <w:sz w:val="20"/>
          <w:szCs w:val="20"/>
        </w:rPr>
      </w:pPr>
    </w:p>
    <w:p w:rsidR="005A54F9" w:rsidRDefault="005442FA">
      <w:pPr>
        <w:jc w:val="right"/>
        <w:rPr>
          <w:sz w:val="20"/>
          <w:szCs w:val="20"/>
        </w:rPr>
      </w:pPr>
      <w:r>
        <w:rPr>
          <w:rFonts w:ascii="Verdana" w:eastAsia="Verdana" w:hAnsi="Verdana" w:cs="Verdana"/>
          <w:sz w:val="18"/>
          <w:szCs w:val="18"/>
        </w:rPr>
        <w:t>30</w:t>
      </w:r>
    </w:p>
    <w:sectPr w:rsidR="005A54F9">
      <w:pgSz w:w="11900" w:h="16838"/>
      <w:pgMar w:top="1392" w:right="1426" w:bottom="371" w:left="1420" w:header="0" w:footer="0" w:gutter="0"/>
      <w:cols w:space="720" w:equalWidth="0">
        <w:col w:w="90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altName w:val="MS Gothic"/>
    <w:charset w:val="80"/>
    <w:family w:val="swiss"/>
    <w:pitch w:val="variable"/>
    <w:sig w:usb0="00000000"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5CFF"/>
    <w:multiLevelType w:val="hybridMultilevel"/>
    <w:tmpl w:val="55840A28"/>
    <w:lvl w:ilvl="0" w:tplc="DF58F70A">
      <w:start w:val="1"/>
      <w:numFmt w:val="bullet"/>
      <w:lvlText w:val="*"/>
      <w:lvlJc w:val="left"/>
    </w:lvl>
    <w:lvl w:ilvl="1" w:tplc="D52ECDA2">
      <w:numFmt w:val="decimal"/>
      <w:lvlText w:val=""/>
      <w:lvlJc w:val="left"/>
    </w:lvl>
    <w:lvl w:ilvl="2" w:tplc="74961ACE">
      <w:numFmt w:val="decimal"/>
      <w:lvlText w:val=""/>
      <w:lvlJc w:val="left"/>
    </w:lvl>
    <w:lvl w:ilvl="3" w:tplc="AD507DAC">
      <w:numFmt w:val="decimal"/>
      <w:lvlText w:val=""/>
      <w:lvlJc w:val="left"/>
    </w:lvl>
    <w:lvl w:ilvl="4" w:tplc="A670A664">
      <w:numFmt w:val="decimal"/>
      <w:lvlText w:val=""/>
      <w:lvlJc w:val="left"/>
    </w:lvl>
    <w:lvl w:ilvl="5" w:tplc="B8D0B88E">
      <w:numFmt w:val="decimal"/>
      <w:lvlText w:val=""/>
      <w:lvlJc w:val="left"/>
    </w:lvl>
    <w:lvl w:ilvl="6" w:tplc="D25A7EA2">
      <w:numFmt w:val="decimal"/>
      <w:lvlText w:val=""/>
      <w:lvlJc w:val="left"/>
    </w:lvl>
    <w:lvl w:ilvl="7" w:tplc="98183742">
      <w:numFmt w:val="decimal"/>
      <w:lvlText w:val=""/>
      <w:lvlJc w:val="left"/>
    </w:lvl>
    <w:lvl w:ilvl="8" w:tplc="3B8832C2">
      <w:numFmt w:val="decimal"/>
      <w:lvlText w:val=""/>
      <w:lvlJc w:val="left"/>
    </w:lvl>
  </w:abstractNum>
  <w:abstractNum w:abstractNumId="1" w15:restartNumberingAfterBreak="0">
    <w:nsid w:val="2AE8944A"/>
    <w:multiLevelType w:val="hybridMultilevel"/>
    <w:tmpl w:val="B71E6C1C"/>
    <w:lvl w:ilvl="0" w:tplc="C8FE5FD2">
      <w:start w:val="1"/>
      <w:numFmt w:val="bullet"/>
      <w:lvlText w:val="**"/>
      <w:lvlJc w:val="left"/>
    </w:lvl>
    <w:lvl w:ilvl="1" w:tplc="7EB43E0A">
      <w:numFmt w:val="decimal"/>
      <w:lvlText w:val=""/>
      <w:lvlJc w:val="left"/>
    </w:lvl>
    <w:lvl w:ilvl="2" w:tplc="5AE47826">
      <w:numFmt w:val="decimal"/>
      <w:lvlText w:val=""/>
      <w:lvlJc w:val="left"/>
    </w:lvl>
    <w:lvl w:ilvl="3" w:tplc="B4F484D0">
      <w:numFmt w:val="decimal"/>
      <w:lvlText w:val=""/>
      <w:lvlJc w:val="left"/>
    </w:lvl>
    <w:lvl w:ilvl="4" w:tplc="C52840BE">
      <w:numFmt w:val="decimal"/>
      <w:lvlText w:val=""/>
      <w:lvlJc w:val="left"/>
    </w:lvl>
    <w:lvl w:ilvl="5" w:tplc="05525AD0">
      <w:numFmt w:val="decimal"/>
      <w:lvlText w:val=""/>
      <w:lvlJc w:val="left"/>
    </w:lvl>
    <w:lvl w:ilvl="6" w:tplc="4A48FEA6">
      <w:numFmt w:val="decimal"/>
      <w:lvlText w:val=""/>
      <w:lvlJc w:val="left"/>
    </w:lvl>
    <w:lvl w:ilvl="7" w:tplc="BCBC259A">
      <w:numFmt w:val="decimal"/>
      <w:lvlText w:val=""/>
      <w:lvlJc w:val="left"/>
    </w:lvl>
    <w:lvl w:ilvl="8" w:tplc="00CE52DA">
      <w:numFmt w:val="decimal"/>
      <w:lvlText w:val=""/>
      <w:lvlJc w:val="left"/>
    </w:lvl>
  </w:abstractNum>
  <w:abstractNum w:abstractNumId="2" w15:restartNumberingAfterBreak="0">
    <w:nsid w:val="625558EC"/>
    <w:multiLevelType w:val="hybridMultilevel"/>
    <w:tmpl w:val="CC80D536"/>
    <w:lvl w:ilvl="0" w:tplc="2E1C5558">
      <w:start w:val="1"/>
      <w:numFmt w:val="bullet"/>
      <w:lvlText w:val="***"/>
      <w:lvlJc w:val="left"/>
    </w:lvl>
    <w:lvl w:ilvl="1" w:tplc="673E1982">
      <w:numFmt w:val="decimal"/>
      <w:lvlText w:val=""/>
      <w:lvlJc w:val="left"/>
    </w:lvl>
    <w:lvl w:ilvl="2" w:tplc="043CCA64">
      <w:numFmt w:val="decimal"/>
      <w:lvlText w:val=""/>
      <w:lvlJc w:val="left"/>
    </w:lvl>
    <w:lvl w:ilvl="3" w:tplc="14EE3420">
      <w:numFmt w:val="decimal"/>
      <w:lvlText w:val=""/>
      <w:lvlJc w:val="left"/>
    </w:lvl>
    <w:lvl w:ilvl="4" w:tplc="106EAFAA">
      <w:numFmt w:val="decimal"/>
      <w:lvlText w:val=""/>
      <w:lvlJc w:val="left"/>
    </w:lvl>
    <w:lvl w:ilvl="5" w:tplc="B980F472">
      <w:numFmt w:val="decimal"/>
      <w:lvlText w:val=""/>
      <w:lvlJc w:val="left"/>
    </w:lvl>
    <w:lvl w:ilvl="6" w:tplc="6A98AD02">
      <w:numFmt w:val="decimal"/>
      <w:lvlText w:val=""/>
      <w:lvlJc w:val="left"/>
    </w:lvl>
    <w:lvl w:ilvl="7" w:tplc="A8EE5C3A">
      <w:numFmt w:val="decimal"/>
      <w:lvlText w:val=""/>
      <w:lvlJc w:val="left"/>
    </w:lvl>
    <w:lvl w:ilvl="8" w:tplc="A2CE5F00">
      <w:numFmt w:val="decimal"/>
      <w:lvlText w:val=""/>
      <w:lvlJc w:val="left"/>
    </w:lvl>
  </w:abstractNum>
  <w:abstractNum w:abstractNumId="3" w15:restartNumberingAfterBreak="0">
    <w:nsid w:val="74B0DC51"/>
    <w:multiLevelType w:val="hybridMultilevel"/>
    <w:tmpl w:val="9F96BEA0"/>
    <w:lvl w:ilvl="0" w:tplc="862A7A94">
      <w:start w:val="1"/>
      <w:numFmt w:val="decimal"/>
      <w:lvlText w:val="%1"/>
      <w:lvlJc w:val="left"/>
    </w:lvl>
    <w:lvl w:ilvl="1" w:tplc="18921300">
      <w:numFmt w:val="decimal"/>
      <w:lvlText w:val=""/>
      <w:lvlJc w:val="left"/>
    </w:lvl>
    <w:lvl w:ilvl="2" w:tplc="38D4A8F0">
      <w:numFmt w:val="decimal"/>
      <w:lvlText w:val=""/>
      <w:lvlJc w:val="left"/>
    </w:lvl>
    <w:lvl w:ilvl="3" w:tplc="9EC2FFA2">
      <w:numFmt w:val="decimal"/>
      <w:lvlText w:val=""/>
      <w:lvlJc w:val="left"/>
    </w:lvl>
    <w:lvl w:ilvl="4" w:tplc="AE14ABBE">
      <w:numFmt w:val="decimal"/>
      <w:lvlText w:val=""/>
      <w:lvlJc w:val="left"/>
    </w:lvl>
    <w:lvl w:ilvl="5" w:tplc="497EE0DA">
      <w:numFmt w:val="decimal"/>
      <w:lvlText w:val=""/>
      <w:lvlJc w:val="left"/>
    </w:lvl>
    <w:lvl w:ilvl="6" w:tplc="C8D08A78">
      <w:numFmt w:val="decimal"/>
      <w:lvlText w:val=""/>
      <w:lvlJc w:val="left"/>
    </w:lvl>
    <w:lvl w:ilvl="7" w:tplc="B1C0BCDC">
      <w:numFmt w:val="decimal"/>
      <w:lvlText w:val=""/>
      <w:lvlJc w:val="left"/>
    </w:lvl>
    <w:lvl w:ilvl="8" w:tplc="BCCEB1F4">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4F9"/>
    <w:rsid w:val="005442FA"/>
    <w:rsid w:val="005A5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CD0C0"/>
  <w15:docId w15:val="{D7940764-0839-4B3A-90BD-624511CD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2">
    <w:name w:val="Standard2"/>
    <w:rsid w:val="005442FA"/>
    <w:pPr>
      <w:spacing w:after="200" w:line="276" w:lineRule="auto"/>
    </w:pPr>
    <w:rPr>
      <w:rFonts w:ascii="Calibri" w:eastAsia="ヒラギノ角ゴ Pro W3" w:hAnsi="Calibri"/>
      <w:color w:val="00000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3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jph.aphapublications.org/author/Carson%2C+Kathryn+A" TargetMode="External"/><Relationship Id="rId13" Type="http://schemas.openxmlformats.org/officeDocument/2006/relationships/hyperlink" Target="http://dx.doi.org/10.1007/s11920-005-0026-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jph.aphapublications.org/author/Roter%2C+Debra+L" TargetMode="External"/><Relationship Id="rId12" Type="http://schemas.openxmlformats.org/officeDocument/2006/relationships/hyperlink" Target="http://ajph.aphapublications.org/author/Inui%2C+Thomas+S" TargetMode="External"/><Relationship Id="rId17" Type="http://schemas.openxmlformats.org/officeDocument/2006/relationships/hyperlink" Target="http://www.blackwellpublishing.com/aims.asp?ref=0283-9318&amp;site=1" TargetMode="External"/><Relationship Id="rId2" Type="http://schemas.openxmlformats.org/officeDocument/2006/relationships/styles" Target="styles.xml"/><Relationship Id="rId16" Type="http://schemas.openxmlformats.org/officeDocument/2006/relationships/hyperlink" Target="http://dx.doi.org/10.1111/j.1471-6712.2008.00597.x" TargetMode="External"/><Relationship Id="rId1" Type="http://schemas.openxmlformats.org/officeDocument/2006/relationships/numbering" Target="numbering.xml"/><Relationship Id="rId6" Type="http://schemas.openxmlformats.org/officeDocument/2006/relationships/hyperlink" Target="http://ajph.aphapublications.org/author/Cooper%2C+Lisa+A" TargetMode="External"/><Relationship Id="rId11" Type="http://schemas.openxmlformats.org/officeDocument/2006/relationships/hyperlink" Target="http://ajph.aphapublications.org/author/Greenwald%2C+Anthony+G" TargetMode="External"/><Relationship Id="rId5" Type="http://schemas.openxmlformats.org/officeDocument/2006/relationships/image" Target="media/image1.jpeg"/><Relationship Id="rId15" Type="http://schemas.openxmlformats.org/officeDocument/2006/relationships/hyperlink" Target="http://dx.doi.org/10.1111/j.1471-6712.2008.00597.x" TargetMode="External"/><Relationship Id="rId10" Type="http://schemas.openxmlformats.org/officeDocument/2006/relationships/hyperlink" Target="http://ajph.aphapublications.org/author/Sabin%2C+Janice+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jph.aphapublications.org/author/Beach%2C+Mary+Catherine" TargetMode="External"/><Relationship Id="rId14" Type="http://schemas.openxmlformats.org/officeDocument/2006/relationships/hyperlink" Target="http://dx.doi.org/10.1111/j.1471-6712.2008.00597.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8336</Words>
  <Characters>47517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Silvio Aldrovandi</cp:lastModifiedBy>
  <cp:revision>3</cp:revision>
  <dcterms:created xsi:type="dcterms:W3CDTF">2018-08-29T12:08:00Z</dcterms:created>
  <dcterms:modified xsi:type="dcterms:W3CDTF">2018-08-29T16:11:00Z</dcterms:modified>
</cp:coreProperties>
</file>