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F3" w:rsidRDefault="00E3448D">
      <w:pPr>
        <w:rPr>
          <w:sz w:val="20"/>
          <w:szCs w:val="20"/>
        </w:rPr>
      </w:pPr>
      <w:r w:rsidRPr="00E3448D">
        <w:rPr>
          <w:rFonts w:ascii="Arial" w:eastAsia="Arial" w:hAnsi="Arial" w:cs="Arial"/>
          <w:sz w:val="28"/>
          <w:szCs w:val="28"/>
        </w:rPr>
        <w:t>Birmingham City University</w:t>
      </w:r>
      <w:r>
        <w:rPr>
          <w:rFonts w:ascii="Arial" w:eastAsia="Arial" w:hAnsi="Arial" w:cs="Arial"/>
          <w:sz w:val="28"/>
          <w:szCs w:val="28"/>
        </w:rPr>
        <w:t xml:space="preserve"> Repository</w:t>
      </w:r>
    </w:p>
    <w:p w:rsidR="00FE77F3" w:rsidRDefault="00FE77F3">
      <w:pPr>
        <w:spacing w:line="331" w:lineRule="exact"/>
        <w:rPr>
          <w:sz w:val="24"/>
          <w:szCs w:val="24"/>
        </w:rPr>
      </w:pPr>
    </w:p>
    <w:p w:rsidR="00FE77F3" w:rsidRDefault="00E3448D">
      <w:pPr>
        <w:rPr>
          <w:sz w:val="20"/>
          <w:szCs w:val="20"/>
        </w:rPr>
      </w:pPr>
      <w:r>
        <w:rPr>
          <w:rFonts w:ascii="Arial" w:eastAsia="Arial" w:hAnsi="Arial" w:cs="Arial"/>
          <w:sz w:val="24"/>
          <w:szCs w:val="24"/>
        </w:rPr>
        <w:t>Mojtahedi, Dara, Ioannou, Maria and Hammond, Laura</w:t>
      </w:r>
    </w:p>
    <w:p w:rsidR="00FE77F3" w:rsidRDefault="00FE77F3">
      <w:pPr>
        <w:spacing w:line="302" w:lineRule="exact"/>
        <w:rPr>
          <w:sz w:val="24"/>
          <w:szCs w:val="24"/>
        </w:rPr>
      </w:pPr>
    </w:p>
    <w:p w:rsidR="00FE77F3" w:rsidRDefault="00E3448D">
      <w:pPr>
        <w:rPr>
          <w:sz w:val="20"/>
          <w:szCs w:val="20"/>
        </w:rPr>
      </w:pPr>
      <w:r>
        <w:rPr>
          <w:rFonts w:ascii="Arial" w:eastAsia="Arial" w:hAnsi="Arial" w:cs="Arial"/>
          <w:sz w:val="24"/>
          <w:szCs w:val="24"/>
        </w:rPr>
        <w:t>Group size, misinformation and unanimity influences on co­witness judgments</w:t>
      </w:r>
    </w:p>
    <w:p w:rsidR="00FE77F3" w:rsidRDefault="00FE77F3">
      <w:pPr>
        <w:spacing w:line="301" w:lineRule="exact"/>
        <w:rPr>
          <w:sz w:val="24"/>
          <w:szCs w:val="24"/>
        </w:rPr>
      </w:pPr>
    </w:p>
    <w:p w:rsidR="00FE77F3" w:rsidRDefault="00E3448D">
      <w:pPr>
        <w:rPr>
          <w:sz w:val="20"/>
          <w:szCs w:val="20"/>
        </w:rPr>
      </w:pPr>
      <w:r>
        <w:rPr>
          <w:rFonts w:ascii="Arial" w:eastAsia="Arial" w:hAnsi="Arial" w:cs="Arial"/>
          <w:sz w:val="24"/>
          <w:szCs w:val="24"/>
        </w:rPr>
        <w:t>Original Citation</w:t>
      </w:r>
    </w:p>
    <w:p w:rsidR="00FE77F3" w:rsidRDefault="00FE77F3">
      <w:pPr>
        <w:spacing w:line="327" w:lineRule="exact"/>
        <w:rPr>
          <w:sz w:val="24"/>
          <w:szCs w:val="24"/>
        </w:rPr>
      </w:pPr>
    </w:p>
    <w:p w:rsidR="00FE77F3" w:rsidRDefault="00E3448D" w:rsidP="00E3448D">
      <w:pPr>
        <w:spacing w:line="256" w:lineRule="auto"/>
        <w:rPr>
          <w:sz w:val="20"/>
          <w:szCs w:val="20"/>
        </w:rPr>
      </w:pPr>
      <w:r>
        <w:rPr>
          <w:rFonts w:ascii="Arial" w:eastAsia="Arial" w:hAnsi="Arial" w:cs="Arial"/>
          <w:sz w:val="24"/>
          <w:szCs w:val="24"/>
        </w:rPr>
        <w:t>Mojtahedi, Dara, Ioannou, Maria and Hammond, Laura (2018) Group size, misinformation and unanimity influences on co­witness judgments. Journal of Forensic Psychiatry &amp; Psychology. ISSN 1478­9949</w:t>
      </w:r>
    </w:p>
    <w:p w:rsidR="00FE77F3" w:rsidRDefault="00FE77F3"/>
    <w:p w:rsidR="00841DAE" w:rsidRDefault="00841DAE"/>
    <w:p w:rsidR="00841DAE" w:rsidRDefault="00841DAE" w:rsidP="00841DAE">
      <w:pPr>
        <w:pBdr>
          <w:top w:val="single" w:sz="4" w:space="1" w:color="auto"/>
          <w:left w:val="single" w:sz="4" w:space="4" w:color="auto"/>
          <w:bottom w:val="single" w:sz="4" w:space="1" w:color="auto"/>
          <w:right w:val="single" w:sz="4" w:space="4" w:color="auto"/>
        </w:pBdr>
      </w:pPr>
    </w:p>
    <w:p w:rsidR="00841DAE" w:rsidRPr="00841DAE" w:rsidRDefault="00841DAE" w:rsidP="00841DAE">
      <w:pPr>
        <w:pBdr>
          <w:top w:val="single" w:sz="4" w:space="1" w:color="auto"/>
          <w:left w:val="single" w:sz="4" w:space="4" w:color="auto"/>
          <w:bottom w:val="single" w:sz="4" w:space="1" w:color="auto"/>
          <w:right w:val="single" w:sz="4" w:space="4" w:color="auto"/>
        </w:pBdr>
        <w:rPr>
          <w:rFonts w:ascii="Arial" w:hAnsi="Arial" w:cs="Arial"/>
          <w:sz w:val="24"/>
        </w:rPr>
      </w:pPr>
      <w:r w:rsidRPr="00841DAE">
        <w:rPr>
          <w:rFonts w:ascii="Arial" w:hAnsi="Arial" w:cs="Arial"/>
          <w:sz w:val="24"/>
        </w:rPr>
        <w:t xml:space="preserve">This is an Accepted Manuscript of an article published by Taylor &amp; Francis Group in </w:t>
      </w:r>
      <w:r w:rsidRPr="00841DAE">
        <w:rPr>
          <w:rFonts w:ascii="Arial" w:hAnsi="Arial" w:cs="Arial"/>
          <w:i/>
          <w:sz w:val="24"/>
        </w:rPr>
        <w:t>Journal of Forensic Psychiatry &amp; Psychology</w:t>
      </w:r>
      <w:r w:rsidRPr="00841DAE">
        <w:rPr>
          <w:rFonts w:ascii="Arial" w:hAnsi="Arial" w:cs="Arial"/>
          <w:sz w:val="24"/>
        </w:rPr>
        <w:t>, available online: https://www.tandfonline.com/doi/abs/10.1080/14789949.2018.1439990</w:t>
      </w:r>
      <w:bookmarkStart w:id="0" w:name="_GoBack"/>
      <w:bookmarkEnd w:id="0"/>
    </w:p>
    <w:p w:rsidR="00841DAE" w:rsidRDefault="00841DAE" w:rsidP="00841DAE">
      <w:pPr>
        <w:pBdr>
          <w:top w:val="single" w:sz="4" w:space="1" w:color="auto"/>
          <w:left w:val="single" w:sz="4" w:space="4" w:color="auto"/>
          <w:bottom w:val="single" w:sz="4" w:space="1" w:color="auto"/>
          <w:right w:val="single" w:sz="4" w:space="4" w:color="auto"/>
        </w:pBdr>
      </w:pPr>
    </w:p>
    <w:p w:rsidR="00841DAE" w:rsidRDefault="00841DAE" w:rsidP="00841DAE">
      <w:pPr>
        <w:pBdr>
          <w:top w:val="single" w:sz="4" w:space="1" w:color="auto"/>
          <w:left w:val="single" w:sz="4" w:space="4" w:color="auto"/>
          <w:bottom w:val="single" w:sz="4" w:space="1" w:color="auto"/>
          <w:right w:val="single" w:sz="4" w:space="4" w:color="auto"/>
        </w:pBdr>
      </w:pPr>
    </w:p>
    <w:p w:rsidR="00841DAE" w:rsidRDefault="00841DAE" w:rsidP="00841DAE">
      <w:pPr>
        <w:pBdr>
          <w:top w:val="single" w:sz="4" w:space="1" w:color="auto"/>
          <w:left w:val="single" w:sz="4" w:space="4" w:color="auto"/>
          <w:bottom w:val="single" w:sz="4" w:space="1" w:color="auto"/>
          <w:right w:val="single" w:sz="4" w:space="4" w:color="auto"/>
        </w:pBdr>
        <w:sectPr w:rsidR="00841DAE">
          <w:pgSz w:w="11900" w:h="16840"/>
          <w:pgMar w:top="1440" w:right="1180" w:bottom="1440" w:left="1140" w:header="0" w:footer="0" w:gutter="0"/>
          <w:cols w:space="720" w:equalWidth="0">
            <w:col w:w="9580"/>
          </w:cols>
        </w:sectPr>
      </w:pPr>
    </w:p>
    <w:p w:rsidR="00FE77F3" w:rsidRDefault="00E3448D">
      <w:pPr>
        <w:rPr>
          <w:sz w:val="20"/>
          <w:szCs w:val="20"/>
        </w:rPr>
      </w:pPr>
      <w:bookmarkStart w:id="1" w:name="page2"/>
      <w:bookmarkEnd w:id="1"/>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0" w:lineRule="exact"/>
        <w:rPr>
          <w:sz w:val="20"/>
          <w:szCs w:val="20"/>
        </w:rPr>
      </w:pPr>
    </w:p>
    <w:p w:rsidR="00FE77F3" w:rsidRDefault="00E3448D">
      <w:pPr>
        <w:rPr>
          <w:sz w:val="20"/>
          <w:szCs w:val="20"/>
        </w:rPr>
      </w:pPr>
      <w:r>
        <w:rPr>
          <w:rFonts w:eastAsia="Times New Roman"/>
          <w:b/>
          <w:bCs/>
          <w:sz w:val="40"/>
          <w:szCs w:val="40"/>
        </w:rPr>
        <w:t>Group size, misinformation and unanimity</w:t>
      </w:r>
    </w:p>
    <w:p w:rsidR="00FE77F3" w:rsidRDefault="00FE77F3">
      <w:pPr>
        <w:spacing w:line="200" w:lineRule="exact"/>
        <w:rPr>
          <w:sz w:val="20"/>
          <w:szCs w:val="20"/>
        </w:rPr>
      </w:pPr>
    </w:p>
    <w:p w:rsidR="00FE77F3" w:rsidRDefault="00FE77F3">
      <w:pPr>
        <w:spacing w:line="257" w:lineRule="exact"/>
        <w:rPr>
          <w:sz w:val="20"/>
          <w:szCs w:val="20"/>
        </w:rPr>
      </w:pPr>
    </w:p>
    <w:p w:rsidR="00FE77F3" w:rsidRDefault="00E3448D">
      <w:pPr>
        <w:rPr>
          <w:sz w:val="20"/>
          <w:szCs w:val="20"/>
        </w:rPr>
      </w:pPr>
      <w:r>
        <w:rPr>
          <w:rFonts w:eastAsia="Times New Roman"/>
          <w:b/>
          <w:bCs/>
          <w:sz w:val="40"/>
          <w:szCs w:val="40"/>
        </w:rPr>
        <w:t>influences on co-witness judgments.</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98" w:lineRule="exact"/>
        <w:rPr>
          <w:sz w:val="20"/>
          <w:szCs w:val="20"/>
        </w:rPr>
      </w:pPr>
    </w:p>
    <w:p w:rsidR="00FE77F3" w:rsidRDefault="00E3448D">
      <w:pPr>
        <w:rPr>
          <w:sz w:val="20"/>
          <w:szCs w:val="20"/>
        </w:rPr>
      </w:pPr>
      <w:r>
        <w:rPr>
          <w:rFonts w:eastAsia="Times New Roman"/>
          <w:sz w:val="28"/>
          <w:szCs w:val="28"/>
        </w:rPr>
        <w:t xml:space="preserve">Dara Mojtahedi </w:t>
      </w:r>
      <w:r>
        <w:rPr>
          <w:rFonts w:eastAsia="Times New Roman"/>
          <w:sz w:val="36"/>
          <w:szCs w:val="36"/>
          <w:vertAlign w:val="superscript"/>
        </w:rPr>
        <w:t>a</w:t>
      </w:r>
      <w:r>
        <w:rPr>
          <w:rFonts w:eastAsia="Times New Roman"/>
          <w:sz w:val="28"/>
          <w:szCs w:val="28"/>
        </w:rPr>
        <w:t xml:space="preserve">*, Maria Ioannou </w:t>
      </w:r>
      <w:r>
        <w:rPr>
          <w:rFonts w:eastAsia="Times New Roman"/>
          <w:sz w:val="36"/>
          <w:szCs w:val="36"/>
          <w:vertAlign w:val="superscript"/>
        </w:rPr>
        <w:t>b</w:t>
      </w:r>
      <w:r>
        <w:rPr>
          <w:rFonts w:eastAsia="Times New Roman"/>
          <w:sz w:val="28"/>
          <w:szCs w:val="28"/>
        </w:rPr>
        <w:t xml:space="preserve">, and Laura Hammond </w:t>
      </w:r>
      <w:r>
        <w:rPr>
          <w:rFonts w:eastAsia="Times New Roman"/>
          <w:sz w:val="36"/>
          <w:szCs w:val="36"/>
          <w:vertAlign w:val="superscript"/>
        </w:rPr>
        <w:t>c</w:t>
      </w:r>
    </w:p>
    <w:p w:rsidR="00FE77F3" w:rsidRDefault="00FE77F3">
      <w:pPr>
        <w:spacing w:line="301" w:lineRule="exact"/>
        <w:rPr>
          <w:sz w:val="20"/>
          <w:szCs w:val="20"/>
        </w:rPr>
      </w:pPr>
    </w:p>
    <w:p w:rsidR="00FE77F3" w:rsidRDefault="00E3448D">
      <w:pPr>
        <w:spacing w:line="285" w:lineRule="auto"/>
        <w:ind w:right="300"/>
        <w:rPr>
          <w:sz w:val="20"/>
          <w:szCs w:val="20"/>
        </w:rPr>
      </w:pPr>
      <w:r>
        <w:rPr>
          <w:rFonts w:eastAsia="Times New Roman"/>
          <w:i/>
          <w:iCs/>
          <w:sz w:val="32"/>
          <w:szCs w:val="32"/>
          <w:vertAlign w:val="superscript"/>
        </w:rPr>
        <w:t>abc</w:t>
      </w:r>
      <w:r>
        <w:rPr>
          <w:rFonts w:eastAsia="Times New Roman"/>
          <w:i/>
          <w:iCs/>
          <w:sz w:val="24"/>
          <w:szCs w:val="24"/>
        </w:rPr>
        <w:t xml:space="preserve"> International Research Centre for Investigative Psychology, Department of Psychology, School of Human and Health Sciences, University of Huddersfield, UK</w:t>
      </w:r>
    </w:p>
    <w:p w:rsidR="00FE77F3" w:rsidRDefault="00FE77F3">
      <w:pPr>
        <w:spacing w:line="321" w:lineRule="exact"/>
        <w:rPr>
          <w:sz w:val="20"/>
          <w:szCs w:val="20"/>
        </w:rPr>
      </w:pPr>
    </w:p>
    <w:p w:rsidR="00FE77F3" w:rsidRDefault="00E3448D">
      <w:pPr>
        <w:numPr>
          <w:ilvl w:val="0"/>
          <w:numId w:val="2"/>
        </w:numPr>
        <w:tabs>
          <w:tab w:val="left" w:pos="180"/>
        </w:tabs>
        <w:spacing w:line="236" w:lineRule="auto"/>
        <w:ind w:right="60"/>
        <w:rPr>
          <w:rFonts w:eastAsia="Times New Roman"/>
          <w:i/>
          <w:iCs/>
          <w:sz w:val="24"/>
          <w:szCs w:val="24"/>
        </w:rPr>
      </w:pPr>
      <w:r>
        <w:rPr>
          <w:rFonts w:eastAsia="Times New Roman"/>
          <w:i/>
          <w:iCs/>
          <w:sz w:val="24"/>
          <w:szCs w:val="24"/>
        </w:rPr>
        <w:t>Requests for reprints should be addressed to Dara Mojtahedi, Department of Psychology, School of Human and Health Sciences, University of Huddersfield, Queensgate, Huddersfield HD1 3DH, UK</w:t>
      </w:r>
    </w:p>
    <w:p w:rsidR="00FE77F3" w:rsidRDefault="00FE77F3">
      <w:pPr>
        <w:spacing w:line="242" w:lineRule="exact"/>
        <w:rPr>
          <w:sz w:val="20"/>
          <w:szCs w:val="20"/>
        </w:rPr>
      </w:pPr>
    </w:p>
    <w:p w:rsidR="00FE77F3" w:rsidRPr="00E3448D" w:rsidRDefault="00E3448D">
      <w:pPr>
        <w:ind w:left="60"/>
        <w:rPr>
          <w:sz w:val="20"/>
          <w:szCs w:val="20"/>
          <w:lang w:val="it-IT"/>
        </w:rPr>
      </w:pPr>
      <w:r w:rsidRPr="00E3448D">
        <w:rPr>
          <w:rFonts w:eastAsia="Times New Roman"/>
          <w:i/>
          <w:iCs/>
          <w:sz w:val="24"/>
          <w:szCs w:val="24"/>
          <w:lang w:val="it-IT"/>
        </w:rPr>
        <w:t>E-mail: d.mojtahedi@hud.ac.uk</w:t>
      </w:r>
    </w:p>
    <w:p w:rsidR="00FE77F3" w:rsidRPr="00E3448D" w:rsidRDefault="00FE77F3">
      <w:pPr>
        <w:spacing w:line="240" w:lineRule="exact"/>
        <w:rPr>
          <w:sz w:val="20"/>
          <w:szCs w:val="20"/>
          <w:lang w:val="it-IT"/>
        </w:rPr>
      </w:pPr>
    </w:p>
    <w:p w:rsidR="00FE77F3" w:rsidRDefault="00E3448D">
      <w:pPr>
        <w:rPr>
          <w:sz w:val="20"/>
          <w:szCs w:val="20"/>
        </w:rPr>
      </w:pPr>
      <w:r>
        <w:rPr>
          <w:rFonts w:eastAsia="Times New Roman"/>
          <w:i/>
          <w:iCs/>
          <w:sz w:val="24"/>
          <w:szCs w:val="24"/>
        </w:rPr>
        <w:t xml:space="preserve">Telephone: +44 (0) </w:t>
      </w:r>
      <w:proofErr w:type="gramStart"/>
      <w:r>
        <w:rPr>
          <w:rFonts w:eastAsia="Times New Roman"/>
          <w:i/>
          <w:iCs/>
          <w:sz w:val="24"/>
          <w:szCs w:val="24"/>
        </w:rPr>
        <w:t>1484  471311</w:t>
      </w:r>
      <w:proofErr w:type="gramEnd"/>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24" w:lineRule="exact"/>
        <w:rPr>
          <w:sz w:val="20"/>
          <w:szCs w:val="20"/>
        </w:rPr>
      </w:pPr>
    </w:p>
    <w:p w:rsidR="00FE77F3" w:rsidRDefault="00E3448D">
      <w:pPr>
        <w:jc w:val="right"/>
        <w:rPr>
          <w:sz w:val="20"/>
          <w:szCs w:val="20"/>
        </w:rPr>
      </w:pPr>
      <w:r>
        <w:rPr>
          <w:rFonts w:ascii="Calibri" w:eastAsia="Calibri" w:hAnsi="Calibri" w:cs="Calibri"/>
        </w:rPr>
        <w:t>1</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 w:name="page3"/>
      <w:bookmarkEnd w:id="2"/>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25" w:lineRule="exact"/>
        <w:rPr>
          <w:sz w:val="20"/>
          <w:szCs w:val="20"/>
        </w:rPr>
      </w:pPr>
    </w:p>
    <w:p w:rsidR="00FE77F3" w:rsidRDefault="00E3448D">
      <w:pPr>
        <w:rPr>
          <w:sz w:val="20"/>
          <w:szCs w:val="20"/>
        </w:rPr>
      </w:pPr>
      <w:r>
        <w:rPr>
          <w:rFonts w:eastAsia="Times New Roman"/>
          <w:b/>
          <w:bCs/>
          <w:sz w:val="40"/>
          <w:szCs w:val="40"/>
        </w:rPr>
        <w:t>Group size, misinformation and unanimity</w:t>
      </w:r>
    </w:p>
    <w:p w:rsidR="00FE77F3" w:rsidRDefault="00FE77F3">
      <w:pPr>
        <w:spacing w:line="200" w:lineRule="exact"/>
        <w:rPr>
          <w:sz w:val="20"/>
          <w:szCs w:val="20"/>
        </w:rPr>
      </w:pPr>
    </w:p>
    <w:p w:rsidR="00FE77F3" w:rsidRDefault="00FE77F3">
      <w:pPr>
        <w:spacing w:line="259" w:lineRule="exact"/>
        <w:rPr>
          <w:sz w:val="20"/>
          <w:szCs w:val="20"/>
        </w:rPr>
      </w:pPr>
    </w:p>
    <w:p w:rsidR="00FE77F3" w:rsidRDefault="00E3448D">
      <w:pPr>
        <w:rPr>
          <w:sz w:val="20"/>
          <w:szCs w:val="20"/>
        </w:rPr>
      </w:pPr>
      <w:r>
        <w:rPr>
          <w:rFonts w:eastAsia="Times New Roman"/>
          <w:b/>
          <w:bCs/>
          <w:sz w:val="40"/>
          <w:szCs w:val="40"/>
        </w:rPr>
        <w:t>influences on co-witness judgments.</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19" w:lineRule="exact"/>
        <w:rPr>
          <w:sz w:val="20"/>
          <w:szCs w:val="20"/>
        </w:rPr>
      </w:pPr>
    </w:p>
    <w:p w:rsidR="00FE77F3" w:rsidRDefault="00E3448D">
      <w:pPr>
        <w:rPr>
          <w:sz w:val="20"/>
          <w:szCs w:val="20"/>
        </w:rPr>
      </w:pPr>
      <w:r>
        <w:rPr>
          <w:rFonts w:eastAsia="Times New Roman"/>
          <w:b/>
          <w:bCs/>
          <w:sz w:val="24"/>
          <w:szCs w:val="24"/>
        </w:rPr>
        <w:t>Abstract</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9" w:lineRule="auto"/>
        <w:ind w:right="60"/>
        <w:rPr>
          <w:sz w:val="20"/>
          <w:szCs w:val="20"/>
        </w:rPr>
      </w:pPr>
      <w:r>
        <w:rPr>
          <w:rFonts w:eastAsia="Times New Roman"/>
          <w:sz w:val="24"/>
          <w:szCs w:val="24"/>
        </w:rPr>
        <w:t>Researchers have typically observed the effects of co-witness influence on eyewitness pairs. However, research suggests that individuals are more likely to witness crimes in larger groups. Additionally, there is an abundance of evidence suggesting that social influence is heavily moderated by group size. Therefore, the present study aimed to gain a more accurate understanding of the risks of co-witness influence in relation to unanimity and group size effects. Participants (</w:t>
      </w:r>
      <w:r>
        <w:rPr>
          <w:rFonts w:eastAsia="Times New Roman"/>
          <w:i/>
          <w:iCs/>
          <w:sz w:val="24"/>
          <w:szCs w:val="24"/>
        </w:rPr>
        <w:t>N</w:t>
      </w:r>
      <w:r>
        <w:rPr>
          <w:rFonts w:eastAsia="Times New Roman"/>
          <w:sz w:val="24"/>
          <w:szCs w:val="24"/>
        </w:rPr>
        <w:t>=608) viewed and discussed a CCTV footage of a fight breaking out, with co-witnesses, before giving individual statements, where they were asked to identify which person had started the fight; confederates were used to suggest that the wrong man had started the fight. Results indicated that participants were vulnerable to co-witness influence, but only when exposed to misinformation from a majority of co-witnesses. Misinformation presented by an individual confederate did not have a significant influence over the participants’ responses. This study was the first to investigate the effects of group size on blame attribution. The findings suggest that the true risks of co-witness influence may not be as high as originally predicted from research on eyewitness pairs.</w:t>
      </w:r>
    </w:p>
    <w:p w:rsidR="00FE77F3" w:rsidRDefault="00FE77F3">
      <w:pPr>
        <w:spacing w:line="171" w:lineRule="exact"/>
        <w:rPr>
          <w:sz w:val="20"/>
          <w:szCs w:val="20"/>
        </w:rPr>
      </w:pPr>
    </w:p>
    <w:p w:rsidR="00FE77F3" w:rsidRDefault="00E3448D">
      <w:pPr>
        <w:rPr>
          <w:sz w:val="20"/>
          <w:szCs w:val="20"/>
        </w:rPr>
      </w:pPr>
      <w:r>
        <w:rPr>
          <w:rFonts w:eastAsia="Times New Roman"/>
          <w:b/>
          <w:bCs/>
          <w:sz w:val="24"/>
          <w:szCs w:val="24"/>
        </w:rPr>
        <w:t>Keywords</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69" w:lineRule="auto"/>
        <w:ind w:right="380"/>
        <w:rPr>
          <w:sz w:val="20"/>
          <w:szCs w:val="20"/>
        </w:rPr>
      </w:pPr>
      <w:r>
        <w:rPr>
          <w:rFonts w:eastAsia="Times New Roman"/>
          <w:sz w:val="24"/>
          <w:szCs w:val="24"/>
        </w:rPr>
        <w:t>Eyewitness; Social influence; Conformity; Group size; Misinformation effect; Eyewitness confidence.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97" w:lineRule="exact"/>
        <w:rPr>
          <w:sz w:val="20"/>
          <w:szCs w:val="20"/>
        </w:rPr>
      </w:pPr>
    </w:p>
    <w:p w:rsidR="00FE77F3" w:rsidRDefault="00E3448D">
      <w:pPr>
        <w:jc w:val="right"/>
        <w:rPr>
          <w:sz w:val="20"/>
          <w:szCs w:val="20"/>
        </w:rPr>
      </w:pPr>
      <w:r>
        <w:rPr>
          <w:rFonts w:ascii="Calibri" w:eastAsia="Calibri" w:hAnsi="Calibri" w:cs="Calibri"/>
        </w:rPr>
        <w:t>2</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3" w:name="page4"/>
      <w:bookmarkEnd w:id="3"/>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80" w:lineRule="exact"/>
        <w:rPr>
          <w:sz w:val="20"/>
          <w:szCs w:val="20"/>
        </w:rPr>
      </w:pPr>
    </w:p>
    <w:p w:rsidR="00FE77F3" w:rsidRDefault="00E3448D">
      <w:pPr>
        <w:rPr>
          <w:sz w:val="20"/>
          <w:szCs w:val="20"/>
        </w:rPr>
      </w:pPr>
      <w:r>
        <w:rPr>
          <w:rFonts w:eastAsia="Times New Roman"/>
          <w:b/>
          <w:bCs/>
          <w:sz w:val="24"/>
          <w:szCs w:val="24"/>
        </w:rPr>
        <w:t>Introduction</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9" w:lineRule="auto"/>
        <w:ind w:right="60" w:firstLine="720"/>
        <w:rPr>
          <w:sz w:val="20"/>
          <w:szCs w:val="20"/>
        </w:rPr>
      </w:pPr>
      <w:r>
        <w:rPr>
          <w:rFonts w:eastAsia="Times New Roman"/>
          <w:sz w:val="24"/>
          <w:szCs w:val="24"/>
        </w:rPr>
        <w:t>Many crime scenes will often lack DNA-rich biological traces, leaving investigators heavily reliant on eyewitnesses to help identify and convict the correct offender (Kebbell &amp; Milne, 1998; Wells &amp; Olson, 2003). Despite this heightened level of reliance, studies show that eyewitness evidence can be highly unreliable (Liebman et al., 2002; Morgan, Hazlett, Baranoski, Doran, Southwick, &amp; Loftus, 2007; Steblay, Dysart, Fulero, &amp; Lindsay, 2003), with reports suggesting that false eyewitness statements contribute to over 70% of false convictions (Cardozo, 2009; Scheck, Nuefeld, Dwyer, 2003). A large body of research has identified the malleability of human memory as a prominent cause for false eyewitness recollection (Frenda, Nichols, &amp; Loftus, 2001; Loftus, 2005; Skagerberg &amp; Wright, 2008a). Moreover, research has proposed that the suggestibility of eyewitnesses can leave them heavily vulnerable to having their statements contaminated with post-event information (PEI; Davis &amp; Loftus, 2007)</w:t>
      </w:r>
    </w:p>
    <w:p w:rsidR="00FE77F3" w:rsidRDefault="00FE77F3">
      <w:pPr>
        <w:spacing w:line="176" w:lineRule="exact"/>
        <w:rPr>
          <w:sz w:val="20"/>
          <w:szCs w:val="20"/>
        </w:rPr>
      </w:pPr>
    </w:p>
    <w:p w:rsidR="00FE77F3" w:rsidRDefault="00E3448D">
      <w:pPr>
        <w:spacing w:line="478" w:lineRule="auto"/>
        <w:ind w:right="80" w:firstLine="720"/>
        <w:rPr>
          <w:sz w:val="20"/>
          <w:szCs w:val="20"/>
        </w:rPr>
      </w:pPr>
      <w:r>
        <w:rPr>
          <w:rFonts w:eastAsia="Times New Roman"/>
          <w:sz w:val="24"/>
          <w:szCs w:val="24"/>
        </w:rPr>
        <w:t>One way in which eyewitnesses can encounter PEI is through discussing the event with other co-witnesses (Gabbert, Memon, &amp; Allan, 2003; Paterson &amp; Kemp, 2006a; Wright, Memon, Skagerberg, &amp; Gabbert, 2009). It is common for eyewitnesses to discuss the event with others around them. A recent survey completed by real eyewitnesses showed that 86% of respondents reported having discussed the event with co-witnesses (Paterson &amp; Kemp, 2006b). When faced with uncertainty, eyewitnesses will often engage in a post-event discussion with co-witnesses as a means of validating their own recollection (Blank, 2009; Williamson, Weber, &amp; Robertson, 2013). The decision to engage in a post-event discussion with co-witnesses can influence eyewitnesses into producing a false recollection of the event (Paterson &amp; Kemp, 2006a). More worryingly, Thorley and Rushton-Woods (2013)</w:t>
      </w:r>
    </w:p>
    <w:p w:rsidR="00FE77F3" w:rsidRDefault="00FE77F3">
      <w:pPr>
        <w:spacing w:line="200" w:lineRule="exact"/>
        <w:rPr>
          <w:sz w:val="20"/>
          <w:szCs w:val="20"/>
        </w:rPr>
      </w:pPr>
    </w:p>
    <w:p w:rsidR="00FE77F3" w:rsidRDefault="00FE77F3">
      <w:pPr>
        <w:spacing w:line="238" w:lineRule="exact"/>
        <w:rPr>
          <w:sz w:val="20"/>
          <w:szCs w:val="20"/>
        </w:rPr>
      </w:pPr>
    </w:p>
    <w:p w:rsidR="00FE77F3" w:rsidRDefault="00E3448D">
      <w:pPr>
        <w:jc w:val="right"/>
        <w:rPr>
          <w:sz w:val="20"/>
          <w:szCs w:val="20"/>
        </w:rPr>
      </w:pPr>
      <w:r>
        <w:rPr>
          <w:rFonts w:ascii="Calibri" w:eastAsia="Calibri" w:hAnsi="Calibri" w:cs="Calibri"/>
        </w:rPr>
        <w:t>3</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4" w:name="page5"/>
      <w:bookmarkEnd w:id="4"/>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8" w:lineRule="auto"/>
        <w:ind w:right="120"/>
        <w:rPr>
          <w:sz w:val="20"/>
          <w:szCs w:val="20"/>
        </w:rPr>
      </w:pPr>
      <w:r>
        <w:rPr>
          <w:rFonts w:eastAsia="Times New Roman"/>
          <w:sz w:val="24"/>
          <w:szCs w:val="24"/>
        </w:rPr>
        <w:t xml:space="preserve">demonstrated that exposure to post-event information (a written statement) from another co-witness could influence eyewitnesses into blaming an innocent bystander for committing the crime, a phenomenon referred to as </w:t>
      </w:r>
      <w:r>
        <w:rPr>
          <w:rFonts w:eastAsia="Times New Roman"/>
          <w:i/>
          <w:iCs/>
          <w:sz w:val="24"/>
          <w:szCs w:val="24"/>
        </w:rPr>
        <w:t>blame conformity</w:t>
      </w:r>
      <w:r>
        <w:rPr>
          <w:rFonts w:eastAsia="Times New Roman"/>
          <w:sz w:val="24"/>
          <w:szCs w:val="24"/>
        </w:rPr>
        <w:t xml:space="preserve"> (Mojtahedi, Ioannou, &amp; Hammond, 2017; Thorley, 2015). Co-witness discussions can also have a negative impact on eyewitness confidence. Exposure to disconfirmatory information from an interviewer or co-witness can significantly reduce an eyewitness’s confidence in their recollection (Allwood, Jonsson, &amp; Granhag, 2005; Luus &amp; Well, 1994; Wright &amp; Skagerberg, 2007), which can consequently weaken the validity of their statements to jurors (Skagerberg &amp; Wright, 2009). Conversely, exposure to confirmatory feedback can evoke overconfidence (Allwood, Knutsson, &amp; Granhad, 2006; Goodwin, Kukucka &amp; Hawks, 2012; Semmler, Brewer, &amp; Wells, 2004).</w:t>
      </w:r>
    </w:p>
    <w:p w:rsidR="00FE77F3" w:rsidRDefault="00FE77F3">
      <w:pPr>
        <w:spacing w:line="183" w:lineRule="exact"/>
        <w:rPr>
          <w:sz w:val="20"/>
          <w:szCs w:val="20"/>
        </w:rPr>
      </w:pPr>
    </w:p>
    <w:p w:rsidR="00FE77F3" w:rsidRDefault="00E3448D">
      <w:pPr>
        <w:spacing w:line="479" w:lineRule="auto"/>
        <w:ind w:right="60" w:firstLine="720"/>
        <w:rPr>
          <w:sz w:val="20"/>
          <w:szCs w:val="20"/>
        </w:rPr>
      </w:pPr>
      <w:r>
        <w:rPr>
          <w:rFonts w:eastAsia="Times New Roman"/>
          <w:sz w:val="24"/>
          <w:szCs w:val="24"/>
        </w:rPr>
        <w:t>The causes of co-witness influence can be attributed to two underlying processes. The first is memory distortion, eyewitnesses can misattribute post-event information as witnessed information through source monitoring errors (Cann &amp; Katz, 2005; Schacter, Guerin, &amp; Jacques, 2011; Tousignant, Hall, &amp; Loftus, 1986). Secondly, memory conformity can be induced through informational social influence (Gabbert, Memon, &amp; Allan, 2003; Schwarz &amp; Roebers, 2006), a cognitive process where the eyewitness would accept a co-witness’s recollection as reality if they perceived them as being more likely to be correct (French, Garry, &amp; Mori, 2011; Williamson, Weber, &amp; Robertson, 2013). Normative influence, the pressure to conform as a means for gaining approval and acceptance from others, can also be used to explain general memory conformity (Wright, London, &amp; Waechter, 2009). However, if police investigators are trained to collect statements privately (Williamson, Weber, &amp; Robertson, 2013), the level of normative influence amongst co-witnesses could be reduced (Deutsch and Gerard, 1955).</w:t>
      </w:r>
    </w:p>
    <w:p w:rsidR="00FE77F3" w:rsidRDefault="00FE77F3">
      <w:pPr>
        <w:spacing w:line="177" w:lineRule="exact"/>
        <w:rPr>
          <w:sz w:val="20"/>
          <w:szCs w:val="20"/>
        </w:rPr>
      </w:pPr>
    </w:p>
    <w:p w:rsidR="00FE77F3" w:rsidRDefault="00E3448D">
      <w:pPr>
        <w:spacing w:line="500" w:lineRule="auto"/>
        <w:ind w:right="180" w:firstLine="720"/>
        <w:rPr>
          <w:sz w:val="20"/>
          <w:szCs w:val="20"/>
        </w:rPr>
      </w:pPr>
      <w:r>
        <w:rPr>
          <w:rFonts w:eastAsia="Times New Roman"/>
          <w:sz w:val="23"/>
          <w:szCs w:val="23"/>
        </w:rPr>
        <w:t>The majority of the research on co-witness influence has typically studied the effects of post-event discussions on eyewitness pairs, where a participant would view and discuss a</w:t>
      </w:r>
    </w:p>
    <w:p w:rsidR="00FE77F3" w:rsidRDefault="00FE77F3">
      <w:pPr>
        <w:spacing w:line="25" w:lineRule="exact"/>
        <w:rPr>
          <w:sz w:val="20"/>
          <w:szCs w:val="20"/>
        </w:rPr>
      </w:pPr>
    </w:p>
    <w:p w:rsidR="00FE77F3" w:rsidRDefault="00E3448D">
      <w:pPr>
        <w:jc w:val="right"/>
        <w:rPr>
          <w:sz w:val="20"/>
          <w:szCs w:val="20"/>
        </w:rPr>
      </w:pPr>
      <w:r>
        <w:rPr>
          <w:rFonts w:ascii="Calibri" w:eastAsia="Calibri" w:hAnsi="Calibri" w:cs="Calibri"/>
        </w:rPr>
        <w:t>4</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5" w:name="page6"/>
      <w:bookmarkEnd w:id="5"/>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9" w:lineRule="auto"/>
        <w:ind w:right="40"/>
        <w:rPr>
          <w:sz w:val="20"/>
          <w:szCs w:val="20"/>
        </w:rPr>
      </w:pPr>
      <w:r>
        <w:rPr>
          <w:rFonts w:eastAsia="Times New Roman"/>
          <w:sz w:val="24"/>
          <w:szCs w:val="24"/>
        </w:rPr>
        <w:t>criminal event with another participant (usually a confederate who presents false information; e.g French, Garry, &amp; Mori, 2008; Hope, Ost, Gabbert, Healey, Lenton, 2008; Kieckhaefer &amp; Wright, 2014). However, during real criminal events, there will often be more than two eyewitnesses present (Memon, Dalton, Horry, Milne, Wright, 2016; Paterson &amp; Kemp, 2006b; Skagerberg &amp; Wright, 2008b). Failure to study co-witness influence in larger and more realistic group sizes could result in inaccurate inferences being made about the behaviour of real eyewitnesses. This is because traditional theories on social influence suggest that the size of an eyewitness group could have a mediating effect on the risks of co-witness influence. In particular, Bond (2005) highlighted the significance of the unanimity of misinformation and misinformation size in moderating the level of social influence an individual will be subjected to.</w:t>
      </w:r>
    </w:p>
    <w:p w:rsidR="00FE77F3" w:rsidRDefault="00FE77F3">
      <w:pPr>
        <w:spacing w:line="165" w:lineRule="exact"/>
        <w:rPr>
          <w:sz w:val="20"/>
          <w:szCs w:val="20"/>
        </w:rPr>
      </w:pPr>
    </w:p>
    <w:p w:rsidR="00FE77F3" w:rsidRDefault="00E3448D">
      <w:pPr>
        <w:rPr>
          <w:sz w:val="20"/>
          <w:szCs w:val="20"/>
        </w:rPr>
      </w:pPr>
      <w:r>
        <w:rPr>
          <w:rFonts w:eastAsia="Times New Roman"/>
          <w:b/>
          <w:bCs/>
          <w:i/>
          <w:iCs/>
          <w:sz w:val="24"/>
          <w:szCs w:val="24"/>
        </w:rPr>
        <w:t>Theoretical models of group size and social influence</w:t>
      </w:r>
    </w:p>
    <w:p w:rsidR="00FE77F3" w:rsidRDefault="00FE77F3">
      <w:pPr>
        <w:spacing w:line="200" w:lineRule="exact"/>
        <w:rPr>
          <w:sz w:val="20"/>
          <w:szCs w:val="20"/>
        </w:rPr>
      </w:pPr>
    </w:p>
    <w:p w:rsidR="00FE77F3" w:rsidRDefault="00FE77F3">
      <w:pPr>
        <w:spacing w:line="232" w:lineRule="exact"/>
        <w:rPr>
          <w:sz w:val="20"/>
          <w:szCs w:val="20"/>
        </w:rPr>
      </w:pPr>
    </w:p>
    <w:p w:rsidR="00FE77F3" w:rsidRDefault="00E3448D">
      <w:pPr>
        <w:rPr>
          <w:sz w:val="20"/>
          <w:szCs w:val="20"/>
        </w:rPr>
      </w:pPr>
      <w:r>
        <w:rPr>
          <w:rFonts w:eastAsia="Times New Roman"/>
          <w:i/>
          <w:iCs/>
          <w:sz w:val="24"/>
          <w:szCs w:val="24"/>
        </w:rPr>
        <w:t>Misinformation size.</w:t>
      </w:r>
    </w:p>
    <w:p w:rsidR="00FE77F3" w:rsidRDefault="00FE77F3">
      <w:pPr>
        <w:spacing w:line="200" w:lineRule="exact"/>
        <w:rPr>
          <w:sz w:val="20"/>
          <w:szCs w:val="20"/>
        </w:rPr>
      </w:pPr>
    </w:p>
    <w:p w:rsidR="00FE77F3" w:rsidRDefault="00FE77F3">
      <w:pPr>
        <w:spacing w:line="249" w:lineRule="exact"/>
        <w:rPr>
          <w:sz w:val="20"/>
          <w:szCs w:val="20"/>
        </w:rPr>
      </w:pPr>
    </w:p>
    <w:p w:rsidR="00FE77F3" w:rsidRDefault="00E3448D">
      <w:pPr>
        <w:spacing w:line="500" w:lineRule="auto"/>
        <w:ind w:right="100" w:firstLine="720"/>
        <w:rPr>
          <w:sz w:val="20"/>
          <w:szCs w:val="20"/>
        </w:rPr>
      </w:pPr>
      <w:r>
        <w:rPr>
          <w:rFonts w:eastAsia="Times New Roman"/>
          <w:sz w:val="23"/>
          <w:szCs w:val="23"/>
        </w:rPr>
        <w:t>The risk of informational influence has been shown to be positively correlated with the size of the information source (Bond, 2005; Gardikiotis, Martin, &amp; Hewstone, 2005; Mannes, 2009). Early research on social conformity demonstrated that social influence was significantly greater when participants were exposed to misinformation from three sources than from one (Asch, 1955; Campbell &amp; Fairey, 1989; Gerard, Wilhelmy, &amp; Conolley, 1968; Rosenberg, 1961; Stang, 1976). Later research suggested that the level of social influence would continue to increase when more than three sources of information were present (Gerard et al., 1968; Latané &amp; Wolf, 1981; Nordholm, 1975; Stang, 1976). However, such studies were based on simplistic tasks (i.e. line judgement; see Asch, 1955), where the task difficulty was very low and the level of informational influence would subsequently have been lower (Festinger, 1954). More relevant to co-witness influence, Walther et al., (2002)</w:t>
      </w:r>
    </w:p>
    <w:p w:rsidR="00FE77F3" w:rsidRDefault="00FE77F3">
      <w:pPr>
        <w:spacing w:line="200" w:lineRule="exact"/>
        <w:rPr>
          <w:sz w:val="20"/>
          <w:szCs w:val="20"/>
        </w:rPr>
      </w:pPr>
    </w:p>
    <w:p w:rsidR="00FE77F3" w:rsidRDefault="00FE77F3">
      <w:pPr>
        <w:spacing w:line="226" w:lineRule="exact"/>
        <w:rPr>
          <w:sz w:val="20"/>
          <w:szCs w:val="20"/>
        </w:rPr>
      </w:pPr>
    </w:p>
    <w:p w:rsidR="00FE77F3" w:rsidRDefault="00E3448D">
      <w:pPr>
        <w:jc w:val="right"/>
        <w:rPr>
          <w:sz w:val="20"/>
          <w:szCs w:val="20"/>
        </w:rPr>
      </w:pPr>
      <w:r>
        <w:rPr>
          <w:rFonts w:ascii="Calibri" w:eastAsia="Calibri" w:hAnsi="Calibri" w:cs="Calibri"/>
        </w:rPr>
        <w:t>5</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6" w:name="page7"/>
      <w:bookmarkEnd w:id="6"/>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7" w:lineRule="auto"/>
        <w:ind w:right="200"/>
        <w:rPr>
          <w:sz w:val="20"/>
          <w:szCs w:val="20"/>
        </w:rPr>
      </w:pPr>
      <w:r>
        <w:rPr>
          <w:rFonts w:eastAsia="Times New Roman"/>
          <w:sz w:val="24"/>
          <w:szCs w:val="24"/>
        </w:rPr>
        <w:t>investigated the relationship between group size (five versus ten) and memory conformity. Their results suggested that misinformation was more influential when presented by the larger groups (ten); however, this difference was only observed when the task difficulty was low. When the task difficulty was increased (consequently increasing uncertainty), both group sizes had the same level of influence on participants’ responses.</w:t>
      </w:r>
    </w:p>
    <w:p w:rsidR="00FE77F3" w:rsidRDefault="00FE77F3">
      <w:pPr>
        <w:spacing w:line="179" w:lineRule="exact"/>
        <w:rPr>
          <w:sz w:val="20"/>
          <w:szCs w:val="20"/>
        </w:rPr>
      </w:pPr>
    </w:p>
    <w:p w:rsidR="00FE77F3" w:rsidRDefault="00E3448D">
      <w:pPr>
        <w:spacing w:line="478" w:lineRule="auto"/>
        <w:ind w:right="40" w:firstLine="720"/>
        <w:rPr>
          <w:sz w:val="20"/>
          <w:szCs w:val="20"/>
        </w:rPr>
      </w:pPr>
      <w:r>
        <w:rPr>
          <w:rFonts w:eastAsia="Times New Roman"/>
          <w:sz w:val="24"/>
          <w:szCs w:val="24"/>
        </w:rPr>
        <w:t>Multiple psychological theories have been presented to explain the relationship between misinformation size and social influence. Asch (1955) suggested that an increase in misinformation size would mean that the targets would be less likely to perceive the misinformation as being an idiosyncratic judgement and would therefore be more likely to accept it as being correct information about reality. Mullen’s (1983) theory on self-attention and conformity can also be used to explain the relationship between group size and informational influence; self-attention theory is concerned with self-regulation processes that control the direction of an individual’s behaviour. When there is high self-focus, self-attention evokes a matching to standard process, where individuals will interpret the behaviour of the majority as the norm and attempt to conform to it (Carver &amp; Scheier, 1981); thus, larger groups will have more influence on individuals through eliciting a greater level of self-focus onto the target.</w:t>
      </w:r>
    </w:p>
    <w:p w:rsidR="00FE77F3" w:rsidRDefault="00FE77F3">
      <w:pPr>
        <w:spacing w:line="188" w:lineRule="exact"/>
        <w:rPr>
          <w:sz w:val="20"/>
          <w:szCs w:val="20"/>
        </w:rPr>
      </w:pPr>
    </w:p>
    <w:p w:rsidR="00FE77F3" w:rsidRDefault="00E3448D">
      <w:pPr>
        <w:spacing w:line="478" w:lineRule="auto"/>
        <w:ind w:right="80" w:firstLine="720"/>
        <w:rPr>
          <w:sz w:val="20"/>
          <w:szCs w:val="20"/>
        </w:rPr>
      </w:pPr>
      <w:r>
        <w:rPr>
          <w:rFonts w:eastAsia="Times New Roman"/>
          <w:sz w:val="24"/>
          <w:szCs w:val="24"/>
        </w:rPr>
        <w:t>An increase in group size can also influence an individual through increased memory distortion. The retrieval-strategy disruption (RTD) hypothesis (Basden &amp; Basden, 1995; Basden, Basden, Bryner, &amp; Thomas, 1997; Dahlström, Danielsson, Emilsson, &amp; Andersson, 2010) suggests that exposure to conflicting information during memory recall can disrupt the memory retrieval process and consequently result in poorer memory recall. With inter-group conflict being more prevalent in larger groups (Curral, Forrester, Dawson, &amp; West, 2010), it may be the case that eyewitnesses within larger groups could therefore face greater uncertainty when recalling the event - which may consequently increase their vulnerability to</w:t>
      </w:r>
    </w:p>
    <w:p w:rsidR="00FE77F3" w:rsidRDefault="00FE77F3">
      <w:pPr>
        <w:spacing w:line="42" w:lineRule="exact"/>
        <w:rPr>
          <w:sz w:val="20"/>
          <w:szCs w:val="20"/>
        </w:rPr>
      </w:pPr>
    </w:p>
    <w:p w:rsidR="00FE77F3" w:rsidRDefault="00E3448D">
      <w:pPr>
        <w:jc w:val="right"/>
        <w:rPr>
          <w:sz w:val="20"/>
          <w:szCs w:val="20"/>
        </w:rPr>
      </w:pPr>
      <w:r>
        <w:rPr>
          <w:rFonts w:ascii="Calibri" w:eastAsia="Calibri" w:hAnsi="Calibri" w:cs="Calibri"/>
        </w:rPr>
        <w:t>6</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7" w:name="page8"/>
      <w:bookmarkEnd w:id="7"/>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6" w:lineRule="auto"/>
        <w:ind w:right="20"/>
        <w:rPr>
          <w:sz w:val="20"/>
          <w:szCs w:val="20"/>
        </w:rPr>
      </w:pPr>
      <w:r>
        <w:rPr>
          <w:rFonts w:eastAsia="Times New Roman"/>
          <w:sz w:val="24"/>
          <w:szCs w:val="24"/>
        </w:rPr>
        <w:t>co-witness influence (Walther et al., 2002). In support of this proposition, Thorley and Dewhurst (2009) demonstrated that the error rates in collaborative memory recall were higher and more similar within groups of four participants, relative to individual or two-person groups.</w:t>
      </w:r>
    </w:p>
    <w:p w:rsidR="00FE77F3" w:rsidRDefault="00FE77F3">
      <w:pPr>
        <w:spacing w:line="168" w:lineRule="exact"/>
        <w:rPr>
          <w:sz w:val="20"/>
          <w:szCs w:val="20"/>
        </w:rPr>
      </w:pPr>
    </w:p>
    <w:p w:rsidR="00FE77F3" w:rsidRDefault="00E3448D">
      <w:pPr>
        <w:rPr>
          <w:sz w:val="20"/>
          <w:szCs w:val="20"/>
        </w:rPr>
      </w:pPr>
      <w:r>
        <w:rPr>
          <w:rFonts w:eastAsia="Times New Roman"/>
          <w:i/>
          <w:iCs/>
          <w:sz w:val="24"/>
          <w:szCs w:val="24"/>
        </w:rPr>
        <w:t>Unanimity of misinformation.</w:t>
      </w:r>
    </w:p>
    <w:p w:rsidR="00FE77F3" w:rsidRDefault="00FE77F3">
      <w:pPr>
        <w:spacing w:line="200" w:lineRule="exact"/>
        <w:rPr>
          <w:sz w:val="20"/>
          <w:szCs w:val="20"/>
        </w:rPr>
      </w:pPr>
    </w:p>
    <w:p w:rsidR="00FE77F3" w:rsidRDefault="00FE77F3">
      <w:pPr>
        <w:spacing w:line="247" w:lineRule="exact"/>
        <w:rPr>
          <w:sz w:val="20"/>
          <w:szCs w:val="20"/>
        </w:rPr>
      </w:pPr>
    </w:p>
    <w:p w:rsidR="00FE77F3" w:rsidRDefault="00E3448D">
      <w:pPr>
        <w:spacing w:line="479" w:lineRule="auto"/>
        <w:ind w:right="20" w:firstLine="720"/>
        <w:rPr>
          <w:sz w:val="20"/>
          <w:szCs w:val="20"/>
        </w:rPr>
      </w:pPr>
      <w:r>
        <w:rPr>
          <w:rFonts w:eastAsia="Times New Roman"/>
          <w:sz w:val="24"/>
          <w:szCs w:val="24"/>
        </w:rPr>
        <w:t>Theories on informational influence suggest that for misinformation to have a significant influence on the target, it must also be unanimously held by the group (Asch, 1955; Baron, Vandello &amp; Brunsman, 1996). If not, the presence of a dissenter will break the chain of consensus and consequently reduce the level of influence the majority group will have on the target (Asch, 1951; Morris &amp; Miller, 1975). Walther et al. (2002) demonstrated this effect in relation to memory recall, they found that misinformation presented by a majority group was significantly less influential on eyewitnesses when there were additional dissenters present. Mori and Mori (2008) produced similar findings: using the MORI technique, the researchers examined the effects of co-witness influence in one-versus-two situations - where a participant would discuss the event with two misleading co-witnesses, and in two-versus-two situations - where a participant would discuss the event with two misleading co-witnesses and one supporting co-witness. The study found that participants in the one-versus-two conditions were more likely to conform to the majority, whereas the participants in the two-versus-two conditions were more likely to stick to their own judgements. This is because for informational influence to be effective, the target must believe that the information source is more likely to be correct than them (French, Garry, &amp; Mori, 2011; Williamson, Weber, &amp; Robertson, 2013). Walther and colleagues suggested that a dissenter would provide the individual with an independent view of the event, which could resultantly increase the individual’s own confidence in their recollection and reduce their susceptibility to informational influence. Additionally, research suggests that individuals will</w:t>
      </w:r>
    </w:p>
    <w:p w:rsidR="00FE77F3" w:rsidRDefault="00FE77F3">
      <w:pPr>
        <w:spacing w:line="49" w:lineRule="exact"/>
        <w:rPr>
          <w:sz w:val="20"/>
          <w:szCs w:val="20"/>
        </w:rPr>
      </w:pPr>
    </w:p>
    <w:p w:rsidR="00FE77F3" w:rsidRDefault="00E3448D">
      <w:pPr>
        <w:jc w:val="right"/>
        <w:rPr>
          <w:sz w:val="20"/>
          <w:szCs w:val="20"/>
        </w:rPr>
      </w:pPr>
      <w:r>
        <w:rPr>
          <w:rFonts w:ascii="Calibri" w:eastAsia="Calibri" w:hAnsi="Calibri" w:cs="Calibri"/>
        </w:rPr>
        <w:t>7</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8" w:name="page9"/>
      <w:bookmarkEnd w:id="8"/>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3" w:lineRule="auto"/>
        <w:ind w:right="300"/>
        <w:rPr>
          <w:sz w:val="20"/>
          <w:szCs w:val="20"/>
        </w:rPr>
      </w:pPr>
      <w:r>
        <w:rPr>
          <w:rFonts w:eastAsia="Times New Roman"/>
          <w:sz w:val="24"/>
          <w:szCs w:val="24"/>
        </w:rPr>
        <w:t xml:space="preserve">favour supporting information from group members over contradicting information (Jonas, Schulz-Hardt, Frey, &amp; Thelen, 2001). Therefore, it can be suggested that exposure to confirmatory information from an individual source may have more influence on an eyewitness than exposure to contradicting information from multiple sources. </w:t>
      </w:r>
      <w:r>
        <w:rPr>
          <w:rFonts w:ascii="Calibri" w:eastAsia="Calibri" w:hAnsi="Calibri" w:cs="Calibri"/>
          <w:sz w:val="24"/>
          <w:szCs w:val="24"/>
        </w:rPr>
        <w:t>The</w:t>
      </w:r>
    </w:p>
    <w:p w:rsidR="00FE77F3" w:rsidRDefault="00FE77F3">
      <w:pPr>
        <w:spacing w:line="45" w:lineRule="exact"/>
        <w:rPr>
          <w:sz w:val="20"/>
          <w:szCs w:val="20"/>
        </w:rPr>
      </w:pPr>
    </w:p>
    <w:p w:rsidR="00FE77F3" w:rsidRDefault="00E3448D">
      <w:pPr>
        <w:spacing w:line="472" w:lineRule="auto"/>
        <w:ind w:right="20"/>
        <w:rPr>
          <w:sz w:val="20"/>
          <w:szCs w:val="20"/>
        </w:rPr>
      </w:pPr>
      <w:r>
        <w:rPr>
          <w:rFonts w:ascii="Calibri" w:eastAsia="Calibri" w:hAnsi="Calibri" w:cs="Calibri"/>
          <w:sz w:val="24"/>
          <w:szCs w:val="24"/>
        </w:rPr>
        <w:t>relationship between unanimity and group influence can also be explained by t</w:t>
      </w:r>
      <w:r>
        <w:rPr>
          <w:rFonts w:eastAsia="Times New Roman"/>
          <w:sz w:val="24"/>
          <w:szCs w:val="24"/>
        </w:rPr>
        <w:t>he frequency-validity principle, which submits that the consistent repetition of a statement can increase its perceived validity (Fiedler, 2000; Hertwig, Gigerenzer, &amp; Hoffrage, 1997). In relation to co-witness influence, the theory would suggest that eyewitnesses would be more likely to accept post-event information from a co-witness, if the information was consistently suggested by the group. In contrast, a break in the unanimity of the misinformation would evoke an increase in doubt over the reliability of the statement (Festinger, 1945), which may resultantly encourage the target to reject the misinformation.</w:t>
      </w:r>
    </w:p>
    <w:p w:rsidR="00FE77F3" w:rsidRDefault="00FE77F3">
      <w:pPr>
        <w:spacing w:line="183" w:lineRule="exact"/>
        <w:rPr>
          <w:sz w:val="20"/>
          <w:szCs w:val="20"/>
        </w:rPr>
      </w:pPr>
    </w:p>
    <w:p w:rsidR="00FE77F3" w:rsidRDefault="00E3448D">
      <w:pPr>
        <w:rPr>
          <w:sz w:val="20"/>
          <w:szCs w:val="20"/>
        </w:rPr>
      </w:pPr>
      <w:r>
        <w:rPr>
          <w:rFonts w:eastAsia="Times New Roman"/>
          <w:b/>
          <w:bCs/>
          <w:i/>
          <w:iCs/>
          <w:sz w:val="24"/>
          <w:szCs w:val="24"/>
        </w:rPr>
        <w:t>The Current Research</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7" w:lineRule="auto"/>
        <w:ind w:right="20" w:firstLine="720"/>
        <w:rPr>
          <w:sz w:val="20"/>
          <w:szCs w:val="20"/>
        </w:rPr>
      </w:pPr>
      <w:r>
        <w:rPr>
          <w:rFonts w:eastAsia="Times New Roman"/>
          <w:sz w:val="24"/>
          <w:szCs w:val="24"/>
        </w:rPr>
        <w:t>It is suggested that the prevalence of co-witness influence measured through traditional two-person paradigms may provide an unrealistic estimation of the true risk of co-witness influence within real-life criminal investigations. Research indicates that there are often more than two eyewitnesses present during a criminal event (Paterson &amp; Kemp, 2006b). Theories on social influence suggest that the risk of co-witness influence may be significantly greater when the misinformation is presented by such larger groups (Asch, 1955; Bond,</w:t>
      </w:r>
    </w:p>
    <w:p w:rsidR="00FE77F3" w:rsidRDefault="00FE77F3">
      <w:pPr>
        <w:spacing w:line="21" w:lineRule="exact"/>
        <w:rPr>
          <w:sz w:val="20"/>
          <w:szCs w:val="20"/>
        </w:rPr>
      </w:pPr>
    </w:p>
    <w:p w:rsidR="00FE77F3" w:rsidRDefault="00E3448D">
      <w:pPr>
        <w:spacing w:line="469" w:lineRule="auto"/>
        <w:ind w:right="140"/>
        <w:rPr>
          <w:sz w:val="20"/>
          <w:szCs w:val="20"/>
        </w:rPr>
      </w:pPr>
      <w:r>
        <w:rPr>
          <w:rFonts w:eastAsia="Times New Roman"/>
          <w:sz w:val="24"/>
          <w:szCs w:val="24"/>
        </w:rPr>
        <w:t>2005). Additionally, research indicates that if the misinformation is not unanimously held by all co-witnesses, the risk of co-witness influence is significantly reduced (Walther et al.,</w:t>
      </w:r>
    </w:p>
    <w:p w:rsidR="00FE77F3" w:rsidRDefault="00FE77F3">
      <w:pPr>
        <w:spacing w:line="26" w:lineRule="exact"/>
        <w:rPr>
          <w:sz w:val="20"/>
          <w:szCs w:val="20"/>
        </w:rPr>
      </w:pPr>
    </w:p>
    <w:p w:rsidR="00FE77F3" w:rsidRDefault="00E3448D">
      <w:pPr>
        <w:spacing w:line="500" w:lineRule="auto"/>
        <w:ind w:right="140"/>
        <w:rPr>
          <w:sz w:val="20"/>
          <w:szCs w:val="20"/>
        </w:rPr>
      </w:pPr>
      <w:r>
        <w:rPr>
          <w:rFonts w:eastAsia="Times New Roman"/>
          <w:sz w:val="23"/>
          <w:szCs w:val="23"/>
        </w:rPr>
        <w:t>2002). However, these inferences were based on general models of social psychology, more direct observation is needed to determine the impact that group characteristics have on co-witness influence. Despite more recent research investigating the relationship between group size and memory recall (see Thorley &amp; Dewhurst, 2009; Walther et al., 2002), no work has</w:t>
      </w:r>
    </w:p>
    <w:p w:rsidR="00FE77F3" w:rsidRDefault="00E3448D">
      <w:pPr>
        <w:spacing w:line="204" w:lineRule="auto"/>
        <w:jc w:val="right"/>
        <w:rPr>
          <w:sz w:val="20"/>
          <w:szCs w:val="20"/>
        </w:rPr>
      </w:pPr>
      <w:r>
        <w:rPr>
          <w:rFonts w:ascii="Calibri" w:eastAsia="Calibri" w:hAnsi="Calibri" w:cs="Calibri"/>
        </w:rPr>
        <w:t>8</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9" w:name="page10"/>
      <w:bookmarkEnd w:id="9"/>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4" w:lineRule="auto"/>
        <w:ind w:right="280"/>
        <w:rPr>
          <w:sz w:val="20"/>
          <w:szCs w:val="20"/>
        </w:rPr>
      </w:pPr>
      <w:r>
        <w:rPr>
          <w:rFonts w:eastAsia="Times New Roman"/>
          <w:sz w:val="24"/>
          <w:szCs w:val="24"/>
        </w:rPr>
        <w:t>attempted to directly measure the effects of group size on blame conformity. Therefore, the main aim of the present study was to identify if the risk of co-witness influence on blame attribution was significantly mediated by group size and group unanimity.</w:t>
      </w:r>
    </w:p>
    <w:p w:rsidR="00FE77F3" w:rsidRDefault="00FE77F3">
      <w:pPr>
        <w:spacing w:line="182" w:lineRule="exact"/>
        <w:rPr>
          <w:sz w:val="20"/>
          <w:szCs w:val="20"/>
        </w:rPr>
      </w:pPr>
    </w:p>
    <w:p w:rsidR="00FE77F3" w:rsidRDefault="00E3448D">
      <w:pPr>
        <w:spacing w:line="478" w:lineRule="auto"/>
        <w:ind w:right="20"/>
        <w:rPr>
          <w:sz w:val="20"/>
          <w:szCs w:val="20"/>
        </w:rPr>
      </w:pPr>
      <w:r>
        <w:rPr>
          <w:rFonts w:eastAsia="Times New Roman"/>
          <w:sz w:val="24"/>
          <w:szCs w:val="24"/>
        </w:rPr>
        <w:t>Another measure for co-witness influence, which has been neglected by the majority of previous research, is the confidence of eyewitnesses in their recollections. Despite suggestions that eyewitness confidence can be influenced through co-witness discussions (see Allwood et al., 2006), no existing research has investigated the relationship between group size and eyewitness confidence. Thus, the present study also focused on the confidence of eyewitnesses, as a second measure of co-witness influence.</w:t>
      </w:r>
    </w:p>
    <w:p w:rsidR="00FE77F3" w:rsidRDefault="00FE77F3">
      <w:pPr>
        <w:spacing w:line="161" w:lineRule="exact"/>
        <w:rPr>
          <w:sz w:val="20"/>
          <w:szCs w:val="20"/>
        </w:rPr>
      </w:pPr>
    </w:p>
    <w:p w:rsidR="00FE77F3" w:rsidRDefault="00E3448D">
      <w:pPr>
        <w:rPr>
          <w:sz w:val="20"/>
          <w:szCs w:val="20"/>
        </w:rPr>
      </w:pPr>
      <w:r>
        <w:rPr>
          <w:rFonts w:eastAsia="Times New Roman"/>
          <w:sz w:val="24"/>
          <w:szCs w:val="24"/>
        </w:rPr>
        <w:t>On the basis of the research findings discussed, it was hypothesised that:</w:t>
      </w:r>
    </w:p>
    <w:p w:rsidR="00FE77F3" w:rsidRDefault="00FE77F3">
      <w:pPr>
        <w:spacing w:line="200" w:lineRule="exact"/>
        <w:rPr>
          <w:sz w:val="20"/>
          <w:szCs w:val="20"/>
        </w:rPr>
      </w:pPr>
    </w:p>
    <w:p w:rsidR="00FE77F3" w:rsidRDefault="00FE77F3">
      <w:pPr>
        <w:spacing w:line="237" w:lineRule="exact"/>
        <w:rPr>
          <w:sz w:val="20"/>
          <w:szCs w:val="20"/>
        </w:rPr>
      </w:pPr>
    </w:p>
    <w:p w:rsidR="00FE77F3" w:rsidRDefault="00E3448D">
      <w:pPr>
        <w:rPr>
          <w:sz w:val="20"/>
          <w:szCs w:val="20"/>
        </w:rPr>
      </w:pPr>
      <w:r>
        <w:rPr>
          <w:rFonts w:eastAsia="Times New Roman"/>
          <w:sz w:val="24"/>
          <w:szCs w:val="24"/>
        </w:rPr>
        <w:t>(H1) An increase in misinformation size (0 to 5) would increase the risk of blame conformity.</w:t>
      </w:r>
    </w:p>
    <w:p w:rsidR="00FE77F3" w:rsidRDefault="00FE77F3">
      <w:pPr>
        <w:spacing w:line="200" w:lineRule="exact"/>
        <w:rPr>
          <w:sz w:val="20"/>
          <w:szCs w:val="20"/>
        </w:rPr>
      </w:pPr>
    </w:p>
    <w:p w:rsidR="00FE77F3" w:rsidRDefault="00FE77F3">
      <w:pPr>
        <w:spacing w:line="247" w:lineRule="exact"/>
        <w:rPr>
          <w:sz w:val="20"/>
          <w:szCs w:val="20"/>
        </w:rPr>
      </w:pPr>
    </w:p>
    <w:p w:rsidR="00FE77F3" w:rsidRDefault="00E3448D">
      <w:pPr>
        <w:spacing w:line="469" w:lineRule="auto"/>
        <w:ind w:right="520"/>
        <w:rPr>
          <w:sz w:val="20"/>
          <w:szCs w:val="20"/>
        </w:rPr>
      </w:pPr>
      <w:r>
        <w:rPr>
          <w:rFonts w:eastAsia="Times New Roman"/>
          <w:sz w:val="24"/>
          <w:szCs w:val="24"/>
        </w:rPr>
        <w:t>(H2) The absence of a unanimous majority would significantly reduce the rates of blame conformity.</w:t>
      </w:r>
    </w:p>
    <w:p w:rsidR="00FE77F3" w:rsidRDefault="00FE77F3">
      <w:pPr>
        <w:spacing w:line="187" w:lineRule="exact"/>
        <w:rPr>
          <w:sz w:val="20"/>
          <w:szCs w:val="20"/>
        </w:rPr>
      </w:pPr>
    </w:p>
    <w:p w:rsidR="00FE77F3" w:rsidRDefault="00E3448D">
      <w:pPr>
        <w:spacing w:line="469" w:lineRule="auto"/>
        <w:ind w:right="540"/>
        <w:rPr>
          <w:sz w:val="20"/>
          <w:szCs w:val="20"/>
        </w:rPr>
      </w:pPr>
      <w:r>
        <w:rPr>
          <w:rFonts w:eastAsia="Times New Roman"/>
          <w:sz w:val="24"/>
          <w:szCs w:val="24"/>
        </w:rPr>
        <w:t>(H3) There would be a negative correlation between misinformation size and eyewitness confidence in participants who produced correct responses.</w:t>
      </w:r>
    </w:p>
    <w:p w:rsidR="00FE77F3" w:rsidRDefault="00FE77F3">
      <w:pPr>
        <w:spacing w:line="186" w:lineRule="exact"/>
        <w:rPr>
          <w:sz w:val="20"/>
          <w:szCs w:val="20"/>
        </w:rPr>
      </w:pPr>
    </w:p>
    <w:p w:rsidR="00FE77F3" w:rsidRDefault="00E3448D">
      <w:pPr>
        <w:spacing w:line="469" w:lineRule="auto"/>
        <w:ind w:right="580"/>
        <w:rPr>
          <w:sz w:val="20"/>
          <w:szCs w:val="20"/>
        </w:rPr>
      </w:pPr>
      <w:r>
        <w:rPr>
          <w:rFonts w:eastAsia="Times New Roman"/>
          <w:sz w:val="24"/>
          <w:szCs w:val="24"/>
        </w:rPr>
        <w:t>(H4) There would be a positive correlation between misinformation size and eyewitness confidence in participants who produced an incorrect response.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89" w:lineRule="exact"/>
        <w:rPr>
          <w:sz w:val="20"/>
          <w:szCs w:val="20"/>
        </w:rPr>
      </w:pPr>
    </w:p>
    <w:p w:rsidR="00FE77F3" w:rsidRDefault="00E3448D">
      <w:pPr>
        <w:rPr>
          <w:sz w:val="20"/>
          <w:szCs w:val="20"/>
        </w:rPr>
      </w:pPr>
      <w:r>
        <w:rPr>
          <w:rFonts w:eastAsia="Times New Roman"/>
          <w:b/>
          <w:bCs/>
          <w:sz w:val="24"/>
          <w:szCs w:val="24"/>
        </w:rPr>
        <w:t>Methods</w:t>
      </w:r>
    </w:p>
    <w:p w:rsidR="00FE77F3" w:rsidRDefault="00FE77F3">
      <w:pPr>
        <w:spacing w:line="200" w:lineRule="exact"/>
        <w:rPr>
          <w:sz w:val="20"/>
          <w:szCs w:val="20"/>
        </w:rPr>
      </w:pPr>
    </w:p>
    <w:p w:rsidR="00FE77F3" w:rsidRDefault="00FE77F3">
      <w:pPr>
        <w:spacing w:line="237" w:lineRule="exact"/>
        <w:rPr>
          <w:sz w:val="20"/>
          <w:szCs w:val="20"/>
        </w:rPr>
      </w:pPr>
    </w:p>
    <w:p w:rsidR="00FE77F3" w:rsidRDefault="00E3448D">
      <w:pPr>
        <w:rPr>
          <w:sz w:val="20"/>
          <w:szCs w:val="20"/>
        </w:rPr>
      </w:pPr>
      <w:r>
        <w:rPr>
          <w:rFonts w:eastAsia="Times New Roman"/>
          <w:b/>
          <w:bCs/>
          <w:i/>
          <w:iCs/>
          <w:sz w:val="24"/>
          <w:szCs w:val="24"/>
        </w:rPr>
        <w:t>Participants</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69" w:lineRule="auto"/>
        <w:ind w:right="200" w:firstLine="720"/>
        <w:rPr>
          <w:sz w:val="20"/>
          <w:szCs w:val="20"/>
        </w:rPr>
      </w:pPr>
      <w:r>
        <w:rPr>
          <w:rFonts w:eastAsia="Times New Roman"/>
          <w:sz w:val="24"/>
          <w:szCs w:val="24"/>
        </w:rPr>
        <w:t xml:space="preserve">Eight hundred and sixty participants (409 males; 451 females) of mixed ages (18-82 years; </w:t>
      </w:r>
      <w:r>
        <w:rPr>
          <w:rFonts w:eastAsia="Times New Roman"/>
          <w:i/>
          <w:iCs/>
          <w:sz w:val="24"/>
          <w:szCs w:val="24"/>
        </w:rPr>
        <w:t>M</w:t>
      </w:r>
      <w:r>
        <w:rPr>
          <w:rFonts w:eastAsia="Times New Roman"/>
          <w:sz w:val="24"/>
          <w:szCs w:val="24"/>
        </w:rPr>
        <w:t xml:space="preserve"> = 28.33, </w:t>
      </w:r>
      <w:r>
        <w:rPr>
          <w:rFonts w:eastAsia="Times New Roman"/>
          <w:i/>
          <w:iCs/>
          <w:sz w:val="24"/>
          <w:szCs w:val="24"/>
        </w:rPr>
        <w:t>SD</w:t>
      </w:r>
      <w:r>
        <w:rPr>
          <w:rFonts w:eastAsia="Times New Roman"/>
          <w:sz w:val="24"/>
          <w:szCs w:val="24"/>
        </w:rPr>
        <w:t xml:space="preserve"> = 12.64) were recruited through opportunistic sampling. Of these, 252</w:t>
      </w:r>
    </w:p>
    <w:p w:rsidR="00FE77F3" w:rsidRDefault="00FE77F3">
      <w:pPr>
        <w:spacing w:line="200" w:lineRule="exact"/>
        <w:rPr>
          <w:sz w:val="20"/>
          <w:szCs w:val="20"/>
        </w:rPr>
      </w:pPr>
    </w:p>
    <w:p w:rsidR="00FE77F3" w:rsidRDefault="00FE77F3">
      <w:pPr>
        <w:spacing w:line="225" w:lineRule="exact"/>
        <w:rPr>
          <w:sz w:val="20"/>
          <w:szCs w:val="20"/>
        </w:rPr>
      </w:pPr>
    </w:p>
    <w:p w:rsidR="00FE77F3" w:rsidRDefault="00E3448D">
      <w:pPr>
        <w:jc w:val="right"/>
        <w:rPr>
          <w:sz w:val="20"/>
          <w:szCs w:val="20"/>
        </w:rPr>
      </w:pPr>
      <w:r>
        <w:rPr>
          <w:rFonts w:ascii="Calibri" w:eastAsia="Calibri" w:hAnsi="Calibri" w:cs="Calibri"/>
        </w:rPr>
        <w:t>9</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10" w:name="page11"/>
      <w:bookmarkEnd w:id="10"/>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9" w:lineRule="auto"/>
        <w:ind w:right="60"/>
        <w:rPr>
          <w:sz w:val="20"/>
          <w:szCs w:val="20"/>
        </w:rPr>
      </w:pPr>
      <w:r>
        <w:rPr>
          <w:rFonts w:eastAsia="Times New Roman"/>
          <w:sz w:val="24"/>
          <w:szCs w:val="24"/>
        </w:rPr>
        <w:t xml:space="preserve">participants (121 males; 131 females) were randomly selected to play the role of a confederate. As a result, their answers were not included in the data analysed; leaving an experimental sample of 608 true participants (288 males; 320 females) of mixed ages (18–82 years; </w:t>
      </w:r>
      <w:r>
        <w:rPr>
          <w:rFonts w:eastAsia="Times New Roman"/>
          <w:i/>
          <w:iCs/>
          <w:sz w:val="24"/>
          <w:szCs w:val="24"/>
        </w:rPr>
        <w:t>M</w:t>
      </w:r>
      <w:r>
        <w:rPr>
          <w:rFonts w:eastAsia="Times New Roman"/>
          <w:sz w:val="24"/>
          <w:szCs w:val="24"/>
        </w:rPr>
        <w:t xml:space="preserve"> = 28.95, </w:t>
      </w:r>
      <w:r>
        <w:rPr>
          <w:rFonts w:eastAsia="Times New Roman"/>
          <w:i/>
          <w:iCs/>
          <w:sz w:val="24"/>
          <w:szCs w:val="24"/>
        </w:rPr>
        <w:t>SD</w:t>
      </w:r>
      <w:r>
        <w:rPr>
          <w:rFonts w:eastAsia="Times New Roman"/>
          <w:sz w:val="24"/>
          <w:szCs w:val="24"/>
        </w:rPr>
        <w:t xml:space="preserve"> = 13.04). A request for participation was advertised through online media, as well as through the circulation of flyers and posters within multiple cities centres in the UK. Participation was voluntary and participants did not receive payment for their participation. Preliminary measures were undertaken to ensure that no participants had any serious visual impairments that might affect their ability to watch the crime footage on a screen. Participants were randomly assigned to one of six experimental conditions, with a relatively even distribution of male and female participants across the experimental groups. Additional descriptive tests were conducted to ensure that there was a relatively equal distribution of age within all conditions (See Table 1).</w:t>
      </w:r>
    </w:p>
    <w:p w:rsidR="00FE77F3" w:rsidRDefault="00FE77F3">
      <w:pPr>
        <w:spacing w:line="174" w:lineRule="exact"/>
        <w:rPr>
          <w:sz w:val="20"/>
          <w:szCs w:val="20"/>
        </w:rPr>
      </w:pPr>
    </w:p>
    <w:p w:rsidR="00FE77F3" w:rsidRDefault="00E3448D">
      <w:pPr>
        <w:spacing w:line="476" w:lineRule="auto"/>
        <w:ind w:right="100" w:firstLine="720"/>
        <w:rPr>
          <w:sz w:val="20"/>
          <w:szCs w:val="20"/>
        </w:rPr>
      </w:pPr>
      <w:r>
        <w:rPr>
          <w:rFonts w:eastAsia="Times New Roman"/>
          <w:sz w:val="24"/>
          <w:szCs w:val="24"/>
        </w:rPr>
        <w:t>Note: Efforts were made to ensure comparable sample sizes in each of the conditions. However, there were some disparities in sample sizes due to the time allocation of trials for some of the conditions. Despite this, all experimental groups were of a sufficient size for statistical comparisons to be made (in accordance with Stevens, 2009)</w:t>
      </w:r>
    </w:p>
    <w:p w:rsidR="00FE77F3" w:rsidRDefault="00FE77F3">
      <w:pPr>
        <w:spacing w:line="172" w:lineRule="exact"/>
        <w:rPr>
          <w:sz w:val="20"/>
          <w:szCs w:val="20"/>
        </w:rPr>
      </w:pPr>
    </w:p>
    <w:p w:rsidR="00FE77F3" w:rsidRDefault="00E3448D">
      <w:pPr>
        <w:rPr>
          <w:sz w:val="20"/>
          <w:szCs w:val="20"/>
        </w:rPr>
      </w:pPr>
      <w:r>
        <w:rPr>
          <w:rFonts w:eastAsia="Times New Roman"/>
          <w:b/>
          <w:bCs/>
          <w:i/>
          <w:iCs/>
          <w:sz w:val="24"/>
          <w:szCs w:val="24"/>
        </w:rPr>
        <w:t>Confederates</w:t>
      </w:r>
    </w:p>
    <w:p w:rsidR="00FE77F3" w:rsidRDefault="00FE77F3">
      <w:pPr>
        <w:spacing w:line="200" w:lineRule="exact"/>
        <w:rPr>
          <w:sz w:val="20"/>
          <w:szCs w:val="20"/>
        </w:rPr>
      </w:pPr>
    </w:p>
    <w:p w:rsidR="00FE77F3" w:rsidRDefault="00FE77F3">
      <w:pPr>
        <w:spacing w:line="244" w:lineRule="exact"/>
        <w:rPr>
          <w:sz w:val="20"/>
          <w:szCs w:val="20"/>
        </w:rPr>
      </w:pPr>
    </w:p>
    <w:p w:rsidR="00FE77F3" w:rsidRDefault="00E3448D">
      <w:pPr>
        <w:spacing w:line="478" w:lineRule="auto"/>
        <w:ind w:right="120" w:firstLine="720"/>
        <w:rPr>
          <w:sz w:val="20"/>
          <w:szCs w:val="20"/>
        </w:rPr>
      </w:pPr>
      <w:r>
        <w:rPr>
          <w:rFonts w:eastAsia="Times New Roman"/>
          <w:sz w:val="24"/>
          <w:szCs w:val="24"/>
        </w:rPr>
        <w:t>The study used confederates to expose the true participants to co-witness misinformation. Prior to starting the experiment, all participants within each eyewitness group were handed individual instruction sheets. Despite being told by the experimenter that the instruction sheets were identical, participants were handed one of two copies: The participants would either get a standard instruction sheet, which contained basic information about the researchers and the institution (given to true participants), or they would receive a confederate instruction sheet, which informed the participant that they had been chosen to be</w:t>
      </w:r>
    </w:p>
    <w:p w:rsidR="00FE77F3" w:rsidRDefault="00FE77F3">
      <w:pPr>
        <w:spacing w:line="200" w:lineRule="exact"/>
        <w:rPr>
          <w:sz w:val="20"/>
          <w:szCs w:val="20"/>
        </w:rPr>
      </w:pPr>
    </w:p>
    <w:p w:rsidR="00FE77F3" w:rsidRDefault="00FE77F3">
      <w:pPr>
        <w:spacing w:line="231" w:lineRule="exact"/>
        <w:rPr>
          <w:sz w:val="20"/>
          <w:szCs w:val="20"/>
        </w:rPr>
      </w:pPr>
    </w:p>
    <w:p w:rsidR="00FE77F3" w:rsidRDefault="00E3448D">
      <w:pPr>
        <w:jc w:val="right"/>
        <w:rPr>
          <w:sz w:val="20"/>
          <w:szCs w:val="20"/>
        </w:rPr>
      </w:pPr>
      <w:r>
        <w:rPr>
          <w:rFonts w:ascii="Calibri" w:eastAsia="Calibri" w:hAnsi="Calibri" w:cs="Calibri"/>
        </w:rPr>
        <w:t>10</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11" w:name="page12"/>
      <w:bookmarkEnd w:id="11"/>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7" w:lineRule="auto"/>
        <w:ind w:right="380"/>
        <w:rPr>
          <w:sz w:val="20"/>
          <w:szCs w:val="20"/>
        </w:rPr>
      </w:pPr>
      <w:r>
        <w:rPr>
          <w:rFonts w:eastAsia="Times New Roman"/>
          <w:sz w:val="24"/>
          <w:szCs w:val="24"/>
        </w:rPr>
        <w:t>a confederate and provided further instructions on their role. Due to the study including different confederates between each trial, confederates were given specific information to state during the experimental process (see below), to avoid any individual differences in responses from having an extraneous effect on the true participants. In order to generate a larger sample of true participants, some confederates were re-used in additional trials with new participants.</w:t>
      </w:r>
    </w:p>
    <w:p w:rsidR="00FE77F3" w:rsidRDefault="00FE77F3">
      <w:pPr>
        <w:spacing w:line="182" w:lineRule="exact"/>
        <w:rPr>
          <w:sz w:val="20"/>
          <w:szCs w:val="20"/>
        </w:rPr>
      </w:pPr>
    </w:p>
    <w:p w:rsidR="00FE77F3" w:rsidRDefault="00E3448D">
      <w:pPr>
        <w:spacing w:line="500" w:lineRule="auto"/>
        <w:ind w:right="40" w:firstLine="720"/>
        <w:rPr>
          <w:sz w:val="20"/>
          <w:szCs w:val="20"/>
        </w:rPr>
      </w:pPr>
      <w:r>
        <w:rPr>
          <w:rFonts w:eastAsia="Times New Roman"/>
          <w:sz w:val="23"/>
          <w:szCs w:val="23"/>
        </w:rPr>
        <w:t>All of the confederates were instructed to falsely suggest that the man in the yellow t-shirt had thrown the first hit during the discussion (when in reality, another man had thrown the first hit). They were given the option to provide the post-event information when they deemed it appropriate, to allow their responses to seem less pre-meditated. They were advised to either present it before the participants (i.e. ‘I remember seeing the man in the yellow top throw the first hit.’); after another participant had provided a correct report (i.e. ‘No, I remember the man in the yellow top throwing the first hit.’); or after another participant had also provided the same incorrect report (i.e. ‘Yes, I agree. I also remember seeing the man in the yellow top throwing the first hit.’). The latter was more frequently used by confederates in the conditions that contained a majority group of confederates. The confederates were explicitly instructed not to add any other details to the discussion. If they were questioned about their report, the confederates were instructed to say ‘well, that’s what I remember seeing from the video’. In conditions where multiple confederates were used within a trial they were instructed not to provide an identical response to the other group members (in order to prevent arousing the participant’s suspicions) and were permitted to adjust their response accordingly (i.e. ‘I remember seeing that from the video too’). The confederates were instructed to provide all of their statements in a confident manner, but were advised not to be assertive or to try to be purposefully persuasive. The discussion scripts</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53" w:lineRule="exact"/>
        <w:rPr>
          <w:sz w:val="20"/>
          <w:szCs w:val="20"/>
        </w:rPr>
      </w:pPr>
    </w:p>
    <w:p w:rsidR="00FE77F3" w:rsidRDefault="00E3448D">
      <w:pPr>
        <w:jc w:val="right"/>
        <w:rPr>
          <w:sz w:val="20"/>
          <w:szCs w:val="20"/>
        </w:rPr>
      </w:pPr>
      <w:r>
        <w:rPr>
          <w:rFonts w:ascii="Calibri" w:eastAsia="Calibri" w:hAnsi="Calibri" w:cs="Calibri"/>
        </w:rPr>
        <w:t>11</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12" w:name="page13"/>
      <w:bookmarkEnd w:id="12"/>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69" w:lineRule="auto"/>
        <w:ind w:right="780"/>
        <w:rPr>
          <w:sz w:val="20"/>
          <w:szCs w:val="20"/>
        </w:rPr>
      </w:pPr>
      <w:r>
        <w:rPr>
          <w:rFonts w:eastAsia="Times New Roman"/>
          <w:sz w:val="24"/>
          <w:szCs w:val="24"/>
        </w:rPr>
        <w:t>were designed in accordance with the scripts used by Paterson and Kemp (2006a) in a similarly designed study.</w:t>
      </w:r>
    </w:p>
    <w:p w:rsidR="00FE77F3" w:rsidRDefault="00FE77F3">
      <w:pPr>
        <w:spacing w:line="179" w:lineRule="exact"/>
        <w:rPr>
          <w:sz w:val="20"/>
          <w:szCs w:val="20"/>
        </w:rPr>
      </w:pPr>
    </w:p>
    <w:p w:rsidR="00FE77F3" w:rsidRDefault="00E3448D">
      <w:pPr>
        <w:rPr>
          <w:sz w:val="20"/>
          <w:szCs w:val="20"/>
        </w:rPr>
      </w:pPr>
      <w:r>
        <w:rPr>
          <w:rFonts w:eastAsia="Times New Roman"/>
          <w:b/>
          <w:bCs/>
          <w:i/>
          <w:iCs/>
          <w:sz w:val="24"/>
          <w:szCs w:val="24"/>
        </w:rPr>
        <w:t>Design</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9" w:lineRule="auto"/>
        <w:ind w:right="80" w:firstLine="720"/>
        <w:rPr>
          <w:sz w:val="20"/>
          <w:szCs w:val="20"/>
        </w:rPr>
      </w:pPr>
      <w:r>
        <w:rPr>
          <w:rFonts w:eastAsia="Times New Roman"/>
          <w:sz w:val="24"/>
          <w:szCs w:val="24"/>
        </w:rPr>
        <w:t xml:space="preserve">A between-subjects design was employed, with participants being randomly allocated to one of six independent conditions. The conditions varied in relation to the number of true participants and confederates included within each trial (see Table 1). The conditions were used to allow the researchers to assess the impact of the two independent variables, majority size and unanimity of misinformation. Majority size was assessed through manipulating the number of confederates present within conditions which had one true participant per group. The majority sizes used within the conditions were </w:t>
      </w:r>
      <w:r>
        <w:rPr>
          <w:rFonts w:eastAsia="Times New Roman"/>
          <w:i/>
          <w:iCs/>
          <w:sz w:val="24"/>
          <w:szCs w:val="24"/>
        </w:rPr>
        <w:t>none</w:t>
      </w:r>
      <w:r>
        <w:rPr>
          <w:rFonts w:eastAsia="Times New Roman"/>
          <w:sz w:val="24"/>
          <w:szCs w:val="24"/>
        </w:rPr>
        <w:t xml:space="preserve"> (control group/ 1-0 condition), </w:t>
      </w:r>
      <w:r>
        <w:rPr>
          <w:rFonts w:eastAsia="Times New Roman"/>
          <w:i/>
          <w:iCs/>
          <w:sz w:val="24"/>
          <w:szCs w:val="24"/>
        </w:rPr>
        <w:t>one</w:t>
      </w:r>
      <w:r>
        <w:rPr>
          <w:rFonts w:eastAsia="Times New Roman"/>
          <w:sz w:val="24"/>
          <w:szCs w:val="24"/>
        </w:rPr>
        <w:t xml:space="preserve"> (1-1 condition), </w:t>
      </w:r>
      <w:r>
        <w:rPr>
          <w:rFonts w:eastAsia="Times New Roman"/>
          <w:i/>
          <w:iCs/>
          <w:sz w:val="24"/>
          <w:szCs w:val="24"/>
        </w:rPr>
        <w:t>two</w:t>
      </w:r>
      <w:r>
        <w:rPr>
          <w:rFonts w:eastAsia="Times New Roman"/>
          <w:sz w:val="24"/>
          <w:szCs w:val="24"/>
        </w:rPr>
        <w:t xml:space="preserve"> (1-2 condition), and </w:t>
      </w:r>
      <w:r>
        <w:rPr>
          <w:rFonts w:eastAsia="Times New Roman"/>
          <w:i/>
          <w:iCs/>
          <w:sz w:val="24"/>
          <w:szCs w:val="24"/>
        </w:rPr>
        <w:t>five</w:t>
      </w:r>
      <w:r>
        <w:rPr>
          <w:rFonts w:eastAsia="Times New Roman"/>
          <w:sz w:val="24"/>
          <w:szCs w:val="24"/>
        </w:rPr>
        <w:t xml:space="preserve"> (1-5 condition). The second independent variable, unanimity of misinformation, was also manipulated between the experimental conditions. With the exception of the control group, participants were either exposed to misinformation from a unanimous majority group of confederates (1-2 condition and 1-5 condition); one confederate with multiple true participants present (2-1 condition and 5-1 condition); or from one confederate with no other participants present (1-1 condition). The variables of participant age and gender were also controlled for throughout the analysis.</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57" w:lineRule="exact"/>
        <w:rPr>
          <w:sz w:val="20"/>
          <w:szCs w:val="20"/>
        </w:rPr>
      </w:pPr>
    </w:p>
    <w:p w:rsidR="00FE77F3" w:rsidRDefault="00E3448D">
      <w:pPr>
        <w:jc w:val="right"/>
        <w:rPr>
          <w:sz w:val="20"/>
          <w:szCs w:val="20"/>
        </w:rPr>
      </w:pPr>
      <w:r>
        <w:rPr>
          <w:rFonts w:ascii="Calibri" w:eastAsia="Calibri" w:hAnsi="Calibri" w:cs="Calibri"/>
        </w:rPr>
        <w:t>12</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ind w:left="20"/>
        <w:rPr>
          <w:sz w:val="20"/>
          <w:szCs w:val="20"/>
        </w:rPr>
      </w:pPr>
      <w:bookmarkStart w:id="13" w:name="page14"/>
      <w:bookmarkEnd w:id="13"/>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31" w:lineRule="exact"/>
        <w:rPr>
          <w:sz w:val="20"/>
          <w:szCs w:val="20"/>
        </w:rPr>
      </w:pPr>
    </w:p>
    <w:p w:rsidR="00FE77F3" w:rsidRDefault="00E3448D">
      <w:pPr>
        <w:ind w:left="20"/>
        <w:rPr>
          <w:sz w:val="20"/>
          <w:szCs w:val="20"/>
        </w:rPr>
      </w:pPr>
      <w:r>
        <w:rPr>
          <w:rFonts w:eastAsia="Times New Roman"/>
          <w:b/>
          <w:bCs/>
          <w:sz w:val="16"/>
          <w:szCs w:val="16"/>
        </w:rPr>
        <w:t>Table 1.</w:t>
      </w:r>
    </w:p>
    <w:p w:rsidR="00FE77F3" w:rsidRDefault="00FE77F3">
      <w:pPr>
        <w:spacing w:line="344" w:lineRule="exact"/>
        <w:rPr>
          <w:sz w:val="20"/>
          <w:szCs w:val="20"/>
        </w:rPr>
      </w:pPr>
    </w:p>
    <w:p w:rsidR="00FE77F3" w:rsidRDefault="00E3448D">
      <w:pPr>
        <w:ind w:left="20"/>
        <w:rPr>
          <w:sz w:val="20"/>
          <w:szCs w:val="20"/>
        </w:rPr>
      </w:pPr>
      <w:r>
        <w:rPr>
          <w:rFonts w:eastAsia="Times New Roman"/>
          <w:b/>
          <w:bCs/>
          <w:sz w:val="16"/>
          <w:szCs w:val="16"/>
        </w:rPr>
        <w:t>Experimental conditions (</w:t>
      </w:r>
      <w:r>
        <w:rPr>
          <w:rFonts w:eastAsia="Times New Roman"/>
          <w:b/>
          <w:bCs/>
          <w:i/>
          <w:iCs/>
          <w:sz w:val="16"/>
          <w:szCs w:val="16"/>
        </w:rPr>
        <w:t>N</w:t>
      </w:r>
      <w:r>
        <w:rPr>
          <w:rFonts w:eastAsia="Times New Roman"/>
          <w:b/>
          <w:bCs/>
          <w:sz w:val="16"/>
          <w:szCs w:val="16"/>
        </w:rPr>
        <w:t>=608)</w:t>
      </w:r>
    </w:p>
    <w:p w:rsidR="00FE77F3" w:rsidRDefault="00FE77F3">
      <w:pPr>
        <w:spacing w:line="3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340"/>
        <w:gridCol w:w="1680"/>
        <w:gridCol w:w="2040"/>
        <w:gridCol w:w="1720"/>
        <w:gridCol w:w="1160"/>
        <w:gridCol w:w="740"/>
        <w:gridCol w:w="1340"/>
      </w:tblGrid>
      <w:tr w:rsidR="00FE77F3">
        <w:trPr>
          <w:trHeight w:val="190"/>
        </w:trPr>
        <w:tc>
          <w:tcPr>
            <w:tcW w:w="20" w:type="dxa"/>
            <w:vAlign w:val="bottom"/>
          </w:tcPr>
          <w:p w:rsidR="00FE77F3" w:rsidRDefault="00FE77F3">
            <w:pPr>
              <w:rPr>
                <w:sz w:val="16"/>
                <w:szCs w:val="16"/>
              </w:rPr>
            </w:pPr>
          </w:p>
        </w:tc>
        <w:tc>
          <w:tcPr>
            <w:tcW w:w="2020" w:type="dxa"/>
            <w:gridSpan w:val="2"/>
            <w:tcBorders>
              <w:top w:val="single" w:sz="8" w:space="0" w:color="auto"/>
            </w:tcBorders>
            <w:vAlign w:val="bottom"/>
          </w:tcPr>
          <w:p w:rsidR="00FE77F3" w:rsidRDefault="00E3448D">
            <w:pPr>
              <w:ind w:left="100"/>
              <w:rPr>
                <w:sz w:val="20"/>
                <w:szCs w:val="20"/>
              </w:rPr>
            </w:pPr>
            <w:r>
              <w:rPr>
                <w:rFonts w:eastAsia="Times New Roman"/>
                <w:sz w:val="16"/>
                <w:szCs w:val="16"/>
              </w:rPr>
              <w:t>Condition</w:t>
            </w:r>
          </w:p>
        </w:tc>
        <w:tc>
          <w:tcPr>
            <w:tcW w:w="2040" w:type="dxa"/>
            <w:tcBorders>
              <w:top w:val="single" w:sz="8" w:space="0" w:color="auto"/>
            </w:tcBorders>
            <w:vAlign w:val="bottom"/>
          </w:tcPr>
          <w:p w:rsidR="00FE77F3" w:rsidRDefault="00E3448D">
            <w:pPr>
              <w:ind w:left="460"/>
              <w:rPr>
                <w:sz w:val="20"/>
                <w:szCs w:val="20"/>
              </w:rPr>
            </w:pPr>
            <w:r>
              <w:rPr>
                <w:rFonts w:eastAsia="Times New Roman"/>
                <w:sz w:val="16"/>
                <w:szCs w:val="16"/>
              </w:rPr>
              <w:t>True participants</w:t>
            </w:r>
          </w:p>
        </w:tc>
        <w:tc>
          <w:tcPr>
            <w:tcW w:w="1720" w:type="dxa"/>
            <w:tcBorders>
              <w:top w:val="single" w:sz="8" w:space="0" w:color="auto"/>
            </w:tcBorders>
            <w:vAlign w:val="bottom"/>
          </w:tcPr>
          <w:p w:rsidR="00FE77F3" w:rsidRDefault="00E3448D">
            <w:pPr>
              <w:ind w:left="460"/>
              <w:rPr>
                <w:sz w:val="20"/>
                <w:szCs w:val="20"/>
              </w:rPr>
            </w:pPr>
            <w:r>
              <w:rPr>
                <w:rFonts w:eastAsia="Times New Roman"/>
                <w:sz w:val="16"/>
                <w:szCs w:val="16"/>
              </w:rPr>
              <w:t>Confederates</w:t>
            </w:r>
          </w:p>
        </w:tc>
        <w:tc>
          <w:tcPr>
            <w:tcW w:w="1160" w:type="dxa"/>
            <w:tcBorders>
              <w:top w:val="single" w:sz="8" w:space="0" w:color="auto"/>
            </w:tcBorders>
            <w:vAlign w:val="bottom"/>
          </w:tcPr>
          <w:p w:rsidR="00FE77F3" w:rsidRDefault="00E3448D">
            <w:pPr>
              <w:ind w:left="400"/>
              <w:rPr>
                <w:sz w:val="20"/>
                <w:szCs w:val="20"/>
              </w:rPr>
            </w:pPr>
            <w:r>
              <w:rPr>
                <w:rFonts w:eastAsia="Times New Roman"/>
                <w:sz w:val="16"/>
                <w:szCs w:val="16"/>
              </w:rPr>
              <w:t>Total</w:t>
            </w:r>
          </w:p>
        </w:tc>
        <w:tc>
          <w:tcPr>
            <w:tcW w:w="740" w:type="dxa"/>
            <w:tcBorders>
              <w:top w:val="single" w:sz="8" w:space="0" w:color="auto"/>
            </w:tcBorders>
            <w:vAlign w:val="bottom"/>
          </w:tcPr>
          <w:p w:rsidR="00FE77F3" w:rsidRDefault="00E3448D">
            <w:pPr>
              <w:ind w:left="120"/>
              <w:rPr>
                <w:sz w:val="20"/>
                <w:szCs w:val="20"/>
              </w:rPr>
            </w:pPr>
            <w:r>
              <w:rPr>
                <w:rFonts w:eastAsia="Times New Roman"/>
                <w:sz w:val="16"/>
                <w:szCs w:val="16"/>
              </w:rPr>
              <w:t>Age</w:t>
            </w:r>
          </w:p>
        </w:tc>
        <w:tc>
          <w:tcPr>
            <w:tcW w:w="1340" w:type="dxa"/>
            <w:tcBorders>
              <w:top w:val="single" w:sz="8" w:space="0" w:color="auto"/>
            </w:tcBorders>
            <w:vAlign w:val="bottom"/>
          </w:tcPr>
          <w:p w:rsidR="00FE77F3" w:rsidRDefault="00FE77F3">
            <w:pPr>
              <w:rPr>
                <w:sz w:val="16"/>
                <w:szCs w:val="16"/>
              </w:rPr>
            </w:pPr>
          </w:p>
        </w:tc>
      </w:tr>
      <w:tr w:rsidR="00FE77F3">
        <w:trPr>
          <w:trHeight w:val="189"/>
        </w:trPr>
        <w:tc>
          <w:tcPr>
            <w:tcW w:w="20" w:type="dxa"/>
            <w:vAlign w:val="bottom"/>
          </w:tcPr>
          <w:p w:rsidR="00FE77F3" w:rsidRDefault="00FE77F3">
            <w:pPr>
              <w:rPr>
                <w:sz w:val="16"/>
                <w:szCs w:val="16"/>
              </w:rPr>
            </w:pPr>
          </w:p>
        </w:tc>
        <w:tc>
          <w:tcPr>
            <w:tcW w:w="340" w:type="dxa"/>
            <w:vAlign w:val="bottom"/>
          </w:tcPr>
          <w:p w:rsidR="00FE77F3" w:rsidRDefault="00FE77F3">
            <w:pPr>
              <w:rPr>
                <w:sz w:val="16"/>
                <w:szCs w:val="16"/>
              </w:rPr>
            </w:pPr>
          </w:p>
        </w:tc>
        <w:tc>
          <w:tcPr>
            <w:tcW w:w="1680" w:type="dxa"/>
            <w:vAlign w:val="bottom"/>
          </w:tcPr>
          <w:p w:rsidR="00FE77F3" w:rsidRDefault="00FE77F3">
            <w:pPr>
              <w:rPr>
                <w:sz w:val="16"/>
                <w:szCs w:val="16"/>
              </w:rPr>
            </w:pPr>
          </w:p>
        </w:tc>
        <w:tc>
          <w:tcPr>
            <w:tcW w:w="2040" w:type="dxa"/>
            <w:vAlign w:val="bottom"/>
          </w:tcPr>
          <w:p w:rsidR="00FE77F3" w:rsidRDefault="00FE77F3">
            <w:pPr>
              <w:rPr>
                <w:sz w:val="16"/>
                <w:szCs w:val="16"/>
              </w:rPr>
            </w:pPr>
          </w:p>
        </w:tc>
        <w:tc>
          <w:tcPr>
            <w:tcW w:w="1720" w:type="dxa"/>
            <w:vAlign w:val="bottom"/>
          </w:tcPr>
          <w:p w:rsidR="00FE77F3" w:rsidRDefault="00FE77F3">
            <w:pPr>
              <w:rPr>
                <w:sz w:val="16"/>
                <w:szCs w:val="16"/>
              </w:rPr>
            </w:pPr>
          </w:p>
        </w:tc>
        <w:tc>
          <w:tcPr>
            <w:tcW w:w="1160" w:type="dxa"/>
            <w:vAlign w:val="bottom"/>
          </w:tcPr>
          <w:p w:rsidR="00FE77F3" w:rsidRDefault="00FE77F3">
            <w:pPr>
              <w:rPr>
                <w:sz w:val="16"/>
                <w:szCs w:val="16"/>
              </w:rPr>
            </w:pPr>
          </w:p>
        </w:tc>
        <w:tc>
          <w:tcPr>
            <w:tcW w:w="740" w:type="dxa"/>
            <w:tcBorders>
              <w:bottom w:val="single" w:sz="8" w:space="0" w:color="auto"/>
            </w:tcBorders>
            <w:vAlign w:val="bottom"/>
          </w:tcPr>
          <w:p w:rsidR="00FE77F3" w:rsidRDefault="00FE77F3">
            <w:pPr>
              <w:rPr>
                <w:sz w:val="16"/>
                <w:szCs w:val="16"/>
              </w:rPr>
            </w:pPr>
          </w:p>
        </w:tc>
        <w:tc>
          <w:tcPr>
            <w:tcW w:w="1340" w:type="dxa"/>
            <w:tcBorders>
              <w:bottom w:val="single" w:sz="8" w:space="0" w:color="auto"/>
            </w:tcBorders>
            <w:vAlign w:val="bottom"/>
          </w:tcPr>
          <w:p w:rsidR="00FE77F3" w:rsidRDefault="00FE77F3">
            <w:pPr>
              <w:rPr>
                <w:sz w:val="16"/>
                <w:szCs w:val="16"/>
              </w:rPr>
            </w:pPr>
          </w:p>
        </w:tc>
      </w:tr>
      <w:tr w:rsidR="00FE77F3">
        <w:trPr>
          <w:trHeight w:val="168"/>
        </w:trPr>
        <w:tc>
          <w:tcPr>
            <w:tcW w:w="20" w:type="dxa"/>
            <w:vAlign w:val="bottom"/>
          </w:tcPr>
          <w:p w:rsidR="00FE77F3" w:rsidRDefault="00FE77F3">
            <w:pPr>
              <w:rPr>
                <w:sz w:val="14"/>
                <w:szCs w:val="14"/>
              </w:rPr>
            </w:pPr>
          </w:p>
        </w:tc>
        <w:tc>
          <w:tcPr>
            <w:tcW w:w="340" w:type="dxa"/>
            <w:vAlign w:val="bottom"/>
          </w:tcPr>
          <w:p w:rsidR="00FE77F3" w:rsidRDefault="00FE77F3">
            <w:pPr>
              <w:rPr>
                <w:sz w:val="14"/>
                <w:szCs w:val="14"/>
              </w:rPr>
            </w:pPr>
          </w:p>
        </w:tc>
        <w:tc>
          <w:tcPr>
            <w:tcW w:w="1680" w:type="dxa"/>
            <w:vAlign w:val="bottom"/>
          </w:tcPr>
          <w:p w:rsidR="00FE77F3" w:rsidRDefault="00FE77F3">
            <w:pPr>
              <w:rPr>
                <w:sz w:val="14"/>
                <w:szCs w:val="14"/>
              </w:rPr>
            </w:pPr>
          </w:p>
        </w:tc>
        <w:tc>
          <w:tcPr>
            <w:tcW w:w="2040" w:type="dxa"/>
            <w:vAlign w:val="bottom"/>
          </w:tcPr>
          <w:p w:rsidR="00FE77F3" w:rsidRDefault="00FE77F3">
            <w:pPr>
              <w:rPr>
                <w:sz w:val="14"/>
                <w:szCs w:val="14"/>
              </w:rPr>
            </w:pPr>
          </w:p>
        </w:tc>
        <w:tc>
          <w:tcPr>
            <w:tcW w:w="1720" w:type="dxa"/>
            <w:vAlign w:val="bottom"/>
          </w:tcPr>
          <w:p w:rsidR="00FE77F3" w:rsidRDefault="00FE77F3">
            <w:pPr>
              <w:rPr>
                <w:sz w:val="14"/>
                <w:szCs w:val="14"/>
              </w:rPr>
            </w:pPr>
          </w:p>
        </w:tc>
        <w:tc>
          <w:tcPr>
            <w:tcW w:w="1160" w:type="dxa"/>
            <w:vAlign w:val="bottom"/>
          </w:tcPr>
          <w:p w:rsidR="00FE77F3" w:rsidRDefault="00FE77F3">
            <w:pPr>
              <w:rPr>
                <w:sz w:val="14"/>
                <w:szCs w:val="14"/>
              </w:rPr>
            </w:pPr>
          </w:p>
        </w:tc>
        <w:tc>
          <w:tcPr>
            <w:tcW w:w="740" w:type="dxa"/>
            <w:vAlign w:val="bottom"/>
          </w:tcPr>
          <w:p w:rsidR="00FE77F3" w:rsidRDefault="00E3448D">
            <w:pPr>
              <w:spacing w:line="168" w:lineRule="exact"/>
              <w:ind w:left="120"/>
              <w:rPr>
                <w:sz w:val="20"/>
                <w:szCs w:val="20"/>
              </w:rPr>
            </w:pPr>
            <w:r>
              <w:rPr>
                <w:rFonts w:eastAsia="Times New Roman"/>
                <w:i/>
                <w:iCs/>
                <w:sz w:val="16"/>
                <w:szCs w:val="16"/>
              </w:rPr>
              <w:t>M</w:t>
            </w:r>
          </w:p>
        </w:tc>
        <w:tc>
          <w:tcPr>
            <w:tcW w:w="1340" w:type="dxa"/>
            <w:vAlign w:val="bottom"/>
          </w:tcPr>
          <w:p w:rsidR="00FE77F3" w:rsidRDefault="00E3448D">
            <w:pPr>
              <w:spacing w:line="168" w:lineRule="exact"/>
              <w:ind w:left="280"/>
              <w:rPr>
                <w:sz w:val="20"/>
                <w:szCs w:val="20"/>
              </w:rPr>
            </w:pPr>
            <w:r>
              <w:rPr>
                <w:rFonts w:eastAsia="Times New Roman"/>
                <w:i/>
                <w:iCs/>
                <w:sz w:val="16"/>
                <w:szCs w:val="16"/>
              </w:rPr>
              <w:t>Std Dev.</w:t>
            </w:r>
          </w:p>
        </w:tc>
      </w:tr>
      <w:tr w:rsidR="00FE77F3">
        <w:trPr>
          <w:trHeight w:val="189"/>
        </w:trPr>
        <w:tc>
          <w:tcPr>
            <w:tcW w:w="20" w:type="dxa"/>
            <w:vAlign w:val="bottom"/>
          </w:tcPr>
          <w:p w:rsidR="00FE77F3" w:rsidRDefault="00FE77F3">
            <w:pPr>
              <w:rPr>
                <w:sz w:val="16"/>
                <w:szCs w:val="16"/>
              </w:rPr>
            </w:pPr>
          </w:p>
        </w:tc>
        <w:tc>
          <w:tcPr>
            <w:tcW w:w="2020" w:type="dxa"/>
            <w:gridSpan w:val="2"/>
            <w:tcBorders>
              <w:bottom w:val="single" w:sz="8" w:space="0" w:color="auto"/>
            </w:tcBorders>
            <w:vAlign w:val="bottom"/>
          </w:tcPr>
          <w:p w:rsidR="00FE77F3" w:rsidRDefault="00FE77F3">
            <w:pPr>
              <w:rPr>
                <w:sz w:val="16"/>
                <w:szCs w:val="16"/>
              </w:rPr>
            </w:pPr>
          </w:p>
        </w:tc>
        <w:tc>
          <w:tcPr>
            <w:tcW w:w="2040" w:type="dxa"/>
            <w:tcBorders>
              <w:bottom w:val="single" w:sz="8" w:space="0" w:color="auto"/>
            </w:tcBorders>
            <w:vAlign w:val="bottom"/>
          </w:tcPr>
          <w:p w:rsidR="00FE77F3" w:rsidRDefault="00FE77F3">
            <w:pPr>
              <w:rPr>
                <w:sz w:val="16"/>
                <w:szCs w:val="16"/>
              </w:rPr>
            </w:pPr>
          </w:p>
        </w:tc>
        <w:tc>
          <w:tcPr>
            <w:tcW w:w="1720" w:type="dxa"/>
            <w:tcBorders>
              <w:bottom w:val="single" w:sz="8" w:space="0" w:color="auto"/>
            </w:tcBorders>
            <w:vAlign w:val="bottom"/>
          </w:tcPr>
          <w:p w:rsidR="00FE77F3" w:rsidRDefault="00FE77F3">
            <w:pPr>
              <w:rPr>
                <w:sz w:val="16"/>
                <w:szCs w:val="16"/>
              </w:rPr>
            </w:pPr>
          </w:p>
        </w:tc>
        <w:tc>
          <w:tcPr>
            <w:tcW w:w="1160" w:type="dxa"/>
            <w:tcBorders>
              <w:bottom w:val="single" w:sz="8" w:space="0" w:color="auto"/>
            </w:tcBorders>
            <w:vAlign w:val="bottom"/>
          </w:tcPr>
          <w:p w:rsidR="00FE77F3" w:rsidRDefault="00FE77F3">
            <w:pPr>
              <w:rPr>
                <w:sz w:val="16"/>
                <w:szCs w:val="16"/>
              </w:rPr>
            </w:pPr>
          </w:p>
        </w:tc>
        <w:tc>
          <w:tcPr>
            <w:tcW w:w="740" w:type="dxa"/>
            <w:tcBorders>
              <w:bottom w:val="single" w:sz="8" w:space="0" w:color="auto"/>
            </w:tcBorders>
            <w:vAlign w:val="bottom"/>
          </w:tcPr>
          <w:p w:rsidR="00FE77F3" w:rsidRDefault="00FE77F3">
            <w:pPr>
              <w:rPr>
                <w:sz w:val="16"/>
                <w:szCs w:val="16"/>
              </w:rPr>
            </w:pPr>
          </w:p>
        </w:tc>
        <w:tc>
          <w:tcPr>
            <w:tcW w:w="1340" w:type="dxa"/>
            <w:tcBorders>
              <w:bottom w:val="single" w:sz="8" w:space="0" w:color="auto"/>
            </w:tcBorders>
            <w:vAlign w:val="bottom"/>
          </w:tcPr>
          <w:p w:rsidR="00FE77F3" w:rsidRDefault="00FE77F3">
            <w:pPr>
              <w:rPr>
                <w:sz w:val="16"/>
                <w:szCs w:val="16"/>
              </w:rPr>
            </w:pPr>
          </w:p>
        </w:tc>
      </w:tr>
      <w:tr w:rsidR="00FE77F3">
        <w:trPr>
          <w:trHeight w:val="170"/>
        </w:trPr>
        <w:tc>
          <w:tcPr>
            <w:tcW w:w="20" w:type="dxa"/>
            <w:vAlign w:val="bottom"/>
          </w:tcPr>
          <w:p w:rsidR="00FE77F3" w:rsidRDefault="00FE77F3">
            <w:pPr>
              <w:rPr>
                <w:sz w:val="14"/>
                <w:szCs w:val="14"/>
              </w:rPr>
            </w:pPr>
          </w:p>
        </w:tc>
        <w:tc>
          <w:tcPr>
            <w:tcW w:w="2020" w:type="dxa"/>
            <w:gridSpan w:val="2"/>
            <w:vAlign w:val="bottom"/>
          </w:tcPr>
          <w:p w:rsidR="00FE77F3" w:rsidRDefault="00E3448D">
            <w:pPr>
              <w:spacing w:line="170" w:lineRule="exact"/>
              <w:ind w:left="100"/>
              <w:rPr>
                <w:sz w:val="20"/>
                <w:szCs w:val="20"/>
              </w:rPr>
            </w:pPr>
            <w:r>
              <w:rPr>
                <w:rFonts w:eastAsia="Times New Roman"/>
                <w:sz w:val="16"/>
                <w:szCs w:val="16"/>
              </w:rPr>
              <w:t>1-0 (Control) (</w:t>
            </w:r>
            <w:r>
              <w:rPr>
                <w:rFonts w:eastAsia="Times New Roman"/>
                <w:i/>
                <w:iCs/>
                <w:sz w:val="16"/>
                <w:szCs w:val="16"/>
              </w:rPr>
              <w:t>N</w:t>
            </w:r>
            <w:r>
              <w:rPr>
                <w:rFonts w:eastAsia="Times New Roman"/>
                <w:sz w:val="16"/>
                <w:szCs w:val="16"/>
              </w:rPr>
              <w:t>=174)</w:t>
            </w:r>
          </w:p>
        </w:tc>
        <w:tc>
          <w:tcPr>
            <w:tcW w:w="2040" w:type="dxa"/>
            <w:vAlign w:val="bottom"/>
          </w:tcPr>
          <w:p w:rsidR="00FE77F3" w:rsidRDefault="00E3448D">
            <w:pPr>
              <w:spacing w:line="170" w:lineRule="exact"/>
              <w:ind w:left="460"/>
              <w:rPr>
                <w:sz w:val="20"/>
                <w:szCs w:val="20"/>
              </w:rPr>
            </w:pPr>
            <w:r>
              <w:rPr>
                <w:rFonts w:eastAsia="Times New Roman"/>
                <w:sz w:val="16"/>
                <w:szCs w:val="16"/>
              </w:rPr>
              <w:t>1</w:t>
            </w:r>
          </w:p>
        </w:tc>
        <w:tc>
          <w:tcPr>
            <w:tcW w:w="1720" w:type="dxa"/>
            <w:vAlign w:val="bottom"/>
          </w:tcPr>
          <w:p w:rsidR="00FE77F3" w:rsidRDefault="00E3448D">
            <w:pPr>
              <w:spacing w:line="170" w:lineRule="exact"/>
              <w:ind w:left="460"/>
              <w:rPr>
                <w:sz w:val="20"/>
                <w:szCs w:val="20"/>
              </w:rPr>
            </w:pPr>
            <w:r>
              <w:rPr>
                <w:rFonts w:eastAsia="Times New Roman"/>
                <w:sz w:val="16"/>
                <w:szCs w:val="16"/>
              </w:rPr>
              <w:t>0</w:t>
            </w:r>
          </w:p>
        </w:tc>
        <w:tc>
          <w:tcPr>
            <w:tcW w:w="1160" w:type="dxa"/>
            <w:vAlign w:val="bottom"/>
          </w:tcPr>
          <w:p w:rsidR="00FE77F3" w:rsidRDefault="00E3448D">
            <w:pPr>
              <w:spacing w:line="170" w:lineRule="exact"/>
              <w:ind w:left="400"/>
              <w:rPr>
                <w:sz w:val="20"/>
                <w:szCs w:val="20"/>
              </w:rPr>
            </w:pPr>
            <w:r>
              <w:rPr>
                <w:rFonts w:eastAsia="Times New Roman"/>
                <w:sz w:val="16"/>
                <w:szCs w:val="16"/>
              </w:rPr>
              <w:t>1</w:t>
            </w:r>
          </w:p>
        </w:tc>
        <w:tc>
          <w:tcPr>
            <w:tcW w:w="740" w:type="dxa"/>
            <w:vAlign w:val="bottom"/>
          </w:tcPr>
          <w:p w:rsidR="00FE77F3" w:rsidRDefault="00E3448D">
            <w:pPr>
              <w:spacing w:line="170" w:lineRule="exact"/>
              <w:ind w:left="120"/>
              <w:rPr>
                <w:sz w:val="20"/>
                <w:szCs w:val="20"/>
              </w:rPr>
            </w:pPr>
            <w:r>
              <w:rPr>
                <w:rFonts w:eastAsia="Times New Roman"/>
                <w:sz w:val="16"/>
                <w:szCs w:val="16"/>
              </w:rPr>
              <w:t>35.06</w:t>
            </w:r>
          </w:p>
        </w:tc>
        <w:tc>
          <w:tcPr>
            <w:tcW w:w="1340" w:type="dxa"/>
            <w:vAlign w:val="bottom"/>
          </w:tcPr>
          <w:p w:rsidR="00FE77F3" w:rsidRDefault="00E3448D">
            <w:pPr>
              <w:spacing w:line="170" w:lineRule="exact"/>
              <w:ind w:left="280"/>
              <w:rPr>
                <w:sz w:val="20"/>
                <w:szCs w:val="20"/>
              </w:rPr>
            </w:pPr>
            <w:r>
              <w:rPr>
                <w:rFonts w:eastAsia="Times New Roman"/>
                <w:sz w:val="16"/>
                <w:szCs w:val="16"/>
              </w:rPr>
              <w:t>17.58</w:t>
            </w:r>
          </w:p>
        </w:tc>
      </w:tr>
      <w:tr w:rsidR="00FE77F3">
        <w:trPr>
          <w:trHeight w:val="367"/>
        </w:trPr>
        <w:tc>
          <w:tcPr>
            <w:tcW w:w="20" w:type="dxa"/>
            <w:vAlign w:val="bottom"/>
          </w:tcPr>
          <w:p w:rsidR="00FE77F3" w:rsidRDefault="00FE77F3">
            <w:pPr>
              <w:rPr>
                <w:sz w:val="24"/>
                <w:szCs w:val="24"/>
              </w:rPr>
            </w:pPr>
          </w:p>
        </w:tc>
        <w:tc>
          <w:tcPr>
            <w:tcW w:w="2020" w:type="dxa"/>
            <w:gridSpan w:val="2"/>
            <w:vAlign w:val="bottom"/>
          </w:tcPr>
          <w:p w:rsidR="00FE77F3" w:rsidRDefault="00E3448D">
            <w:pPr>
              <w:ind w:left="100"/>
              <w:rPr>
                <w:sz w:val="20"/>
                <w:szCs w:val="20"/>
              </w:rPr>
            </w:pPr>
            <w:r>
              <w:rPr>
                <w:rFonts w:eastAsia="Times New Roman"/>
                <w:sz w:val="16"/>
                <w:szCs w:val="16"/>
              </w:rPr>
              <w:t>1-1 (</w:t>
            </w:r>
            <w:r>
              <w:rPr>
                <w:rFonts w:eastAsia="Times New Roman"/>
                <w:i/>
                <w:iCs/>
                <w:sz w:val="16"/>
                <w:szCs w:val="16"/>
              </w:rPr>
              <w:t>N</w:t>
            </w:r>
            <w:r>
              <w:rPr>
                <w:rFonts w:eastAsia="Times New Roman"/>
                <w:sz w:val="16"/>
                <w:szCs w:val="16"/>
              </w:rPr>
              <w:t>=38)</w:t>
            </w:r>
          </w:p>
        </w:tc>
        <w:tc>
          <w:tcPr>
            <w:tcW w:w="2040" w:type="dxa"/>
            <w:vAlign w:val="bottom"/>
          </w:tcPr>
          <w:p w:rsidR="00FE77F3" w:rsidRDefault="00E3448D">
            <w:pPr>
              <w:ind w:left="460"/>
              <w:rPr>
                <w:sz w:val="20"/>
                <w:szCs w:val="20"/>
              </w:rPr>
            </w:pPr>
            <w:r>
              <w:rPr>
                <w:rFonts w:eastAsia="Times New Roman"/>
                <w:sz w:val="16"/>
                <w:szCs w:val="16"/>
              </w:rPr>
              <w:t>1</w:t>
            </w:r>
          </w:p>
        </w:tc>
        <w:tc>
          <w:tcPr>
            <w:tcW w:w="1720" w:type="dxa"/>
            <w:vAlign w:val="bottom"/>
          </w:tcPr>
          <w:p w:rsidR="00FE77F3" w:rsidRDefault="00E3448D">
            <w:pPr>
              <w:ind w:left="460"/>
              <w:rPr>
                <w:sz w:val="20"/>
                <w:szCs w:val="20"/>
              </w:rPr>
            </w:pPr>
            <w:r>
              <w:rPr>
                <w:rFonts w:eastAsia="Times New Roman"/>
                <w:sz w:val="16"/>
                <w:szCs w:val="16"/>
              </w:rPr>
              <w:t>1</w:t>
            </w:r>
          </w:p>
        </w:tc>
        <w:tc>
          <w:tcPr>
            <w:tcW w:w="1160" w:type="dxa"/>
            <w:vAlign w:val="bottom"/>
          </w:tcPr>
          <w:p w:rsidR="00FE77F3" w:rsidRDefault="00E3448D">
            <w:pPr>
              <w:ind w:left="400"/>
              <w:rPr>
                <w:sz w:val="20"/>
                <w:szCs w:val="20"/>
              </w:rPr>
            </w:pPr>
            <w:r>
              <w:rPr>
                <w:rFonts w:eastAsia="Times New Roman"/>
                <w:sz w:val="16"/>
                <w:szCs w:val="16"/>
              </w:rPr>
              <w:t>2</w:t>
            </w:r>
          </w:p>
        </w:tc>
        <w:tc>
          <w:tcPr>
            <w:tcW w:w="740" w:type="dxa"/>
            <w:vAlign w:val="bottom"/>
          </w:tcPr>
          <w:p w:rsidR="00FE77F3" w:rsidRDefault="00E3448D">
            <w:pPr>
              <w:ind w:left="120"/>
              <w:rPr>
                <w:sz w:val="20"/>
                <w:szCs w:val="20"/>
              </w:rPr>
            </w:pPr>
            <w:r>
              <w:rPr>
                <w:rFonts w:eastAsia="Times New Roman"/>
                <w:sz w:val="16"/>
                <w:szCs w:val="16"/>
              </w:rPr>
              <w:t>20.92</w:t>
            </w:r>
          </w:p>
        </w:tc>
        <w:tc>
          <w:tcPr>
            <w:tcW w:w="1340" w:type="dxa"/>
            <w:vAlign w:val="bottom"/>
          </w:tcPr>
          <w:p w:rsidR="00FE77F3" w:rsidRDefault="00E3448D">
            <w:pPr>
              <w:ind w:left="280"/>
              <w:rPr>
                <w:sz w:val="20"/>
                <w:szCs w:val="20"/>
              </w:rPr>
            </w:pPr>
            <w:r>
              <w:rPr>
                <w:rFonts w:eastAsia="Times New Roman"/>
                <w:sz w:val="16"/>
                <w:szCs w:val="16"/>
              </w:rPr>
              <w:t>2.69</w:t>
            </w:r>
          </w:p>
        </w:tc>
      </w:tr>
      <w:tr w:rsidR="00FE77F3">
        <w:trPr>
          <w:trHeight w:val="367"/>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1-2</w:t>
            </w:r>
          </w:p>
        </w:tc>
        <w:tc>
          <w:tcPr>
            <w:tcW w:w="168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=94)</w:t>
            </w:r>
          </w:p>
        </w:tc>
        <w:tc>
          <w:tcPr>
            <w:tcW w:w="2040" w:type="dxa"/>
            <w:vAlign w:val="bottom"/>
          </w:tcPr>
          <w:p w:rsidR="00FE77F3" w:rsidRDefault="00E3448D">
            <w:pPr>
              <w:ind w:left="460"/>
              <w:rPr>
                <w:sz w:val="20"/>
                <w:szCs w:val="20"/>
              </w:rPr>
            </w:pPr>
            <w:r>
              <w:rPr>
                <w:rFonts w:eastAsia="Times New Roman"/>
                <w:sz w:val="16"/>
                <w:szCs w:val="16"/>
              </w:rPr>
              <w:t>1</w:t>
            </w:r>
          </w:p>
        </w:tc>
        <w:tc>
          <w:tcPr>
            <w:tcW w:w="1720" w:type="dxa"/>
            <w:vAlign w:val="bottom"/>
          </w:tcPr>
          <w:p w:rsidR="00FE77F3" w:rsidRDefault="00E3448D">
            <w:pPr>
              <w:ind w:left="460"/>
              <w:rPr>
                <w:sz w:val="20"/>
                <w:szCs w:val="20"/>
              </w:rPr>
            </w:pPr>
            <w:r>
              <w:rPr>
                <w:rFonts w:eastAsia="Times New Roman"/>
                <w:sz w:val="16"/>
                <w:szCs w:val="16"/>
              </w:rPr>
              <w:t>2</w:t>
            </w:r>
          </w:p>
        </w:tc>
        <w:tc>
          <w:tcPr>
            <w:tcW w:w="1160" w:type="dxa"/>
            <w:vAlign w:val="bottom"/>
          </w:tcPr>
          <w:p w:rsidR="00FE77F3" w:rsidRDefault="00E3448D">
            <w:pPr>
              <w:ind w:left="400"/>
              <w:rPr>
                <w:sz w:val="20"/>
                <w:szCs w:val="20"/>
              </w:rPr>
            </w:pPr>
            <w:r>
              <w:rPr>
                <w:rFonts w:eastAsia="Times New Roman"/>
                <w:sz w:val="16"/>
                <w:szCs w:val="16"/>
              </w:rPr>
              <w:t>3</w:t>
            </w:r>
          </w:p>
        </w:tc>
        <w:tc>
          <w:tcPr>
            <w:tcW w:w="740" w:type="dxa"/>
            <w:vAlign w:val="bottom"/>
          </w:tcPr>
          <w:p w:rsidR="00FE77F3" w:rsidRDefault="00E3448D">
            <w:pPr>
              <w:ind w:left="120"/>
              <w:rPr>
                <w:sz w:val="20"/>
                <w:szCs w:val="20"/>
              </w:rPr>
            </w:pPr>
            <w:r>
              <w:rPr>
                <w:rFonts w:eastAsia="Times New Roman"/>
                <w:sz w:val="16"/>
                <w:szCs w:val="16"/>
              </w:rPr>
              <w:t>24.66</w:t>
            </w:r>
          </w:p>
        </w:tc>
        <w:tc>
          <w:tcPr>
            <w:tcW w:w="1340" w:type="dxa"/>
            <w:vAlign w:val="bottom"/>
          </w:tcPr>
          <w:p w:rsidR="00FE77F3" w:rsidRDefault="00E3448D">
            <w:pPr>
              <w:ind w:left="280"/>
              <w:rPr>
                <w:sz w:val="20"/>
                <w:szCs w:val="20"/>
              </w:rPr>
            </w:pPr>
            <w:r>
              <w:rPr>
                <w:rFonts w:eastAsia="Times New Roman"/>
                <w:sz w:val="16"/>
                <w:szCs w:val="16"/>
              </w:rPr>
              <w:t>7.7</w:t>
            </w:r>
          </w:p>
        </w:tc>
      </w:tr>
      <w:tr w:rsidR="00FE77F3">
        <w:trPr>
          <w:trHeight w:val="370"/>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1-5</w:t>
            </w:r>
          </w:p>
        </w:tc>
        <w:tc>
          <w:tcPr>
            <w:tcW w:w="168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=76)</w:t>
            </w:r>
          </w:p>
        </w:tc>
        <w:tc>
          <w:tcPr>
            <w:tcW w:w="2040" w:type="dxa"/>
            <w:vAlign w:val="bottom"/>
          </w:tcPr>
          <w:p w:rsidR="00FE77F3" w:rsidRDefault="00E3448D">
            <w:pPr>
              <w:ind w:left="460"/>
              <w:rPr>
                <w:sz w:val="20"/>
                <w:szCs w:val="20"/>
              </w:rPr>
            </w:pPr>
            <w:r>
              <w:rPr>
                <w:rFonts w:eastAsia="Times New Roman"/>
                <w:sz w:val="16"/>
                <w:szCs w:val="16"/>
              </w:rPr>
              <w:t>1</w:t>
            </w:r>
          </w:p>
        </w:tc>
        <w:tc>
          <w:tcPr>
            <w:tcW w:w="1720" w:type="dxa"/>
            <w:vAlign w:val="bottom"/>
          </w:tcPr>
          <w:p w:rsidR="00FE77F3" w:rsidRDefault="00E3448D">
            <w:pPr>
              <w:ind w:left="460"/>
              <w:rPr>
                <w:sz w:val="20"/>
                <w:szCs w:val="20"/>
              </w:rPr>
            </w:pPr>
            <w:r>
              <w:rPr>
                <w:rFonts w:eastAsia="Times New Roman"/>
                <w:sz w:val="16"/>
                <w:szCs w:val="16"/>
              </w:rPr>
              <w:t>5</w:t>
            </w:r>
          </w:p>
        </w:tc>
        <w:tc>
          <w:tcPr>
            <w:tcW w:w="1160" w:type="dxa"/>
            <w:vAlign w:val="bottom"/>
          </w:tcPr>
          <w:p w:rsidR="00FE77F3" w:rsidRDefault="00E3448D">
            <w:pPr>
              <w:ind w:left="400"/>
              <w:rPr>
                <w:sz w:val="20"/>
                <w:szCs w:val="20"/>
              </w:rPr>
            </w:pPr>
            <w:r>
              <w:rPr>
                <w:rFonts w:eastAsia="Times New Roman"/>
                <w:sz w:val="16"/>
                <w:szCs w:val="16"/>
              </w:rPr>
              <w:t>6</w:t>
            </w:r>
          </w:p>
        </w:tc>
        <w:tc>
          <w:tcPr>
            <w:tcW w:w="740" w:type="dxa"/>
            <w:vAlign w:val="bottom"/>
          </w:tcPr>
          <w:p w:rsidR="00FE77F3" w:rsidRDefault="00E3448D">
            <w:pPr>
              <w:ind w:left="120"/>
              <w:rPr>
                <w:sz w:val="20"/>
                <w:szCs w:val="20"/>
              </w:rPr>
            </w:pPr>
            <w:r>
              <w:rPr>
                <w:rFonts w:eastAsia="Times New Roman"/>
                <w:sz w:val="16"/>
                <w:szCs w:val="16"/>
              </w:rPr>
              <w:t>26.91</w:t>
            </w:r>
          </w:p>
        </w:tc>
        <w:tc>
          <w:tcPr>
            <w:tcW w:w="1340" w:type="dxa"/>
            <w:vAlign w:val="bottom"/>
          </w:tcPr>
          <w:p w:rsidR="00FE77F3" w:rsidRDefault="00E3448D">
            <w:pPr>
              <w:ind w:left="280"/>
              <w:rPr>
                <w:sz w:val="20"/>
                <w:szCs w:val="20"/>
              </w:rPr>
            </w:pPr>
            <w:r>
              <w:rPr>
                <w:rFonts w:eastAsia="Times New Roman"/>
                <w:sz w:val="16"/>
                <w:szCs w:val="16"/>
              </w:rPr>
              <w:t>10.29</w:t>
            </w:r>
          </w:p>
        </w:tc>
      </w:tr>
      <w:tr w:rsidR="00FE77F3">
        <w:trPr>
          <w:trHeight w:val="367"/>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2-1</w:t>
            </w:r>
          </w:p>
        </w:tc>
        <w:tc>
          <w:tcPr>
            <w:tcW w:w="168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=56)</w:t>
            </w:r>
          </w:p>
        </w:tc>
        <w:tc>
          <w:tcPr>
            <w:tcW w:w="2040" w:type="dxa"/>
            <w:vAlign w:val="bottom"/>
          </w:tcPr>
          <w:p w:rsidR="00FE77F3" w:rsidRDefault="00E3448D">
            <w:pPr>
              <w:ind w:left="460"/>
              <w:rPr>
                <w:sz w:val="20"/>
                <w:szCs w:val="20"/>
              </w:rPr>
            </w:pPr>
            <w:r>
              <w:rPr>
                <w:rFonts w:eastAsia="Times New Roman"/>
                <w:sz w:val="16"/>
                <w:szCs w:val="16"/>
              </w:rPr>
              <w:t>2</w:t>
            </w:r>
          </w:p>
        </w:tc>
        <w:tc>
          <w:tcPr>
            <w:tcW w:w="1720" w:type="dxa"/>
            <w:vAlign w:val="bottom"/>
          </w:tcPr>
          <w:p w:rsidR="00FE77F3" w:rsidRDefault="00E3448D">
            <w:pPr>
              <w:ind w:left="460"/>
              <w:rPr>
                <w:sz w:val="20"/>
                <w:szCs w:val="20"/>
              </w:rPr>
            </w:pPr>
            <w:r>
              <w:rPr>
                <w:rFonts w:eastAsia="Times New Roman"/>
                <w:sz w:val="16"/>
                <w:szCs w:val="16"/>
              </w:rPr>
              <w:t>1</w:t>
            </w:r>
          </w:p>
        </w:tc>
        <w:tc>
          <w:tcPr>
            <w:tcW w:w="1160" w:type="dxa"/>
            <w:vAlign w:val="bottom"/>
          </w:tcPr>
          <w:p w:rsidR="00FE77F3" w:rsidRDefault="00E3448D">
            <w:pPr>
              <w:ind w:left="400"/>
              <w:rPr>
                <w:sz w:val="20"/>
                <w:szCs w:val="20"/>
              </w:rPr>
            </w:pPr>
            <w:r>
              <w:rPr>
                <w:rFonts w:eastAsia="Times New Roman"/>
                <w:sz w:val="16"/>
                <w:szCs w:val="16"/>
              </w:rPr>
              <w:t>3</w:t>
            </w:r>
          </w:p>
        </w:tc>
        <w:tc>
          <w:tcPr>
            <w:tcW w:w="740" w:type="dxa"/>
            <w:vAlign w:val="bottom"/>
          </w:tcPr>
          <w:p w:rsidR="00FE77F3" w:rsidRDefault="00E3448D">
            <w:pPr>
              <w:ind w:left="120"/>
              <w:rPr>
                <w:sz w:val="20"/>
                <w:szCs w:val="20"/>
              </w:rPr>
            </w:pPr>
            <w:r>
              <w:rPr>
                <w:rFonts w:eastAsia="Times New Roman"/>
                <w:sz w:val="16"/>
                <w:szCs w:val="16"/>
              </w:rPr>
              <w:t>26.64</w:t>
            </w:r>
          </w:p>
        </w:tc>
        <w:tc>
          <w:tcPr>
            <w:tcW w:w="1340" w:type="dxa"/>
            <w:vAlign w:val="bottom"/>
          </w:tcPr>
          <w:p w:rsidR="00FE77F3" w:rsidRDefault="00E3448D">
            <w:pPr>
              <w:ind w:left="280"/>
              <w:rPr>
                <w:sz w:val="20"/>
                <w:szCs w:val="20"/>
              </w:rPr>
            </w:pPr>
            <w:r>
              <w:rPr>
                <w:rFonts w:eastAsia="Times New Roman"/>
                <w:sz w:val="16"/>
                <w:szCs w:val="16"/>
              </w:rPr>
              <w:t>8.94</w:t>
            </w:r>
          </w:p>
        </w:tc>
      </w:tr>
      <w:tr w:rsidR="00FE77F3">
        <w:trPr>
          <w:trHeight w:val="368"/>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5-1</w:t>
            </w:r>
          </w:p>
        </w:tc>
        <w:tc>
          <w:tcPr>
            <w:tcW w:w="168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 170)</w:t>
            </w:r>
          </w:p>
        </w:tc>
        <w:tc>
          <w:tcPr>
            <w:tcW w:w="2040" w:type="dxa"/>
            <w:vAlign w:val="bottom"/>
          </w:tcPr>
          <w:p w:rsidR="00FE77F3" w:rsidRDefault="00E3448D">
            <w:pPr>
              <w:ind w:left="460"/>
              <w:rPr>
                <w:sz w:val="20"/>
                <w:szCs w:val="20"/>
              </w:rPr>
            </w:pPr>
            <w:r>
              <w:rPr>
                <w:rFonts w:eastAsia="Times New Roman"/>
                <w:sz w:val="16"/>
                <w:szCs w:val="16"/>
              </w:rPr>
              <w:t>5</w:t>
            </w:r>
          </w:p>
        </w:tc>
        <w:tc>
          <w:tcPr>
            <w:tcW w:w="1720" w:type="dxa"/>
            <w:vAlign w:val="bottom"/>
          </w:tcPr>
          <w:p w:rsidR="00FE77F3" w:rsidRDefault="00E3448D">
            <w:pPr>
              <w:ind w:left="460"/>
              <w:rPr>
                <w:sz w:val="20"/>
                <w:szCs w:val="20"/>
              </w:rPr>
            </w:pPr>
            <w:r>
              <w:rPr>
                <w:rFonts w:eastAsia="Times New Roman"/>
                <w:sz w:val="16"/>
                <w:szCs w:val="16"/>
              </w:rPr>
              <w:t>1</w:t>
            </w:r>
          </w:p>
        </w:tc>
        <w:tc>
          <w:tcPr>
            <w:tcW w:w="1160" w:type="dxa"/>
            <w:vAlign w:val="bottom"/>
          </w:tcPr>
          <w:p w:rsidR="00FE77F3" w:rsidRDefault="00E3448D">
            <w:pPr>
              <w:ind w:left="400"/>
              <w:rPr>
                <w:sz w:val="20"/>
                <w:szCs w:val="20"/>
              </w:rPr>
            </w:pPr>
            <w:r>
              <w:rPr>
                <w:rFonts w:eastAsia="Times New Roman"/>
                <w:sz w:val="16"/>
                <w:szCs w:val="16"/>
              </w:rPr>
              <w:t>6</w:t>
            </w:r>
          </w:p>
        </w:tc>
        <w:tc>
          <w:tcPr>
            <w:tcW w:w="740" w:type="dxa"/>
            <w:vAlign w:val="bottom"/>
          </w:tcPr>
          <w:p w:rsidR="00FE77F3" w:rsidRDefault="00E3448D">
            <w:pPr>
              <w:ind w:left="120"/>
              <w:rPr>
                <w:sz w:val="20"/>
                <w:szCs w:val="20"/>
              </w:rPr>
            </w:pPr>
            <w:r>
              <w:rPr>
                <w:rFonts w:eastAsia="Times New Roman"/>
                <w:sz w:val="16"/>
                <w:szCs w:val="16"/>
              </w:rPr>
              <w:t>28.52</w:t>
            </w:r>
          </w:p>
        </w:tc>
        <w:tc>
          <w:tcPr>
            <w:tcW w:w="1340" w:type="dxa"/>
            <w:vAlign w:val="bottom"/>
          </w:tcPr>
          <w:p w:rsidR="00FE77F3" w:rsidRDefault="00E3448D">
            <w:pPr>
              <w:ind w:left="280"/>
              <w:rPr>
                <w:sz w:val="20"/>
                <w:szCs w:val="20"/>
              </w:rPr>
            </w:pPr>
            <w:r>
              <w:rPr>
                <w:rFonts w:eastAsia="Times New Roman"/>
                <w:sz w:val="16"/>
                <w:szCs w:val="16"/>
              </w:rPr>
              <w:t>10.98</w:t>
            </w:r>
          </w:p>
        </w:tc>
      </w:tr>
      <w:tr w:rsidR="00FE77F3">
        <w:trPr>
          <w:trHeight w:val="192"/>
        </w:trPr>
        <w:tc>
          <w:tcPr>
            <w:tcW w:w="20" w:type="dxa"/>
            <w:tcBorders>
              <w:bottom w:val="single" w:sz="8" w:space="0" w:color="auto"/>
            </w:tcBorders>
            <w:vAlign w:val="bottom"/>
          </w:tcPr>
          <w:p w:rsidR="00FE77F3" w:rsidRDefault="00FE77F3">
            <w:pPr>
              <w:rPr>
                <w:sz w:val="16"/>
                <w:szCs w:val="16"/>
              </w:rPr>
            </w:pPr>
          </w:p>
        </w:tc>
        <w:tc>
          <w:tcPr>
            <w:tcW w:w="340" w:type="dxa"/>
            <w:tcBorders>
              <w:bottom w:val="single" w:sz="8" w:space="0" w:color="auto"/>
            </w:tcBorders>
            <w:vAlign w:val="bottom"/>
          </w:tcPr>
          <w:p w:rsidR="00FE77F3" w:rsidRDefault="00FE77F3">
            <w:pPr>
              <w:rPr>
                <w:sz w:val="16"/>
                <w:szCs w:val="16"/>
              </w:rPr>
            </w:pPr>
          </w:p>
        </w:tc>
        <w:tc>
          <w:tcPr>
            <w:tcW w:w="1680" w:type="dxa"/>
            <w:tcBorders>
              <w:bottom w:val="single" w:sz="8" w:space="0" w:color="auto"/>
            </w:tcBorders>
            <w:vAlign w:val="bottom"/>
          </w:tcPr>
          <w:p w:rsidR="00FE77F3" w:rsidRDefault="00FE77F3">
            <w:pPr>
              <w:rPr>
                <w:sz w:val="16"/>
                <w:szCs w:val="16"/>
              </w:rPr>
            </w:pPr>
          </w:p>
        </w:tc>
        <w:tc>
          <w:tcPr>
            <w:tcW w:w="2040" w:type="dxa"/>
            <w:tcBorders>
              <w:bottom w:val="single" w:sz="8" w:space="0" w:color="auto"/>
            </w:tcBorders>
            <w:vAlign w:val="bottom"/>
          </w:tcPr>
          <w:p w:rsidR="00FE77F3" w:rsidRDefault="00FE77F3">
            <w:pPr>
              <w:rPr>
                <w:sz w:val="16"/>
                <w:szCs w:val="16"/>
              </w:rPr>
            </w:pPr>
          </w:p>
        </w:tc>
        <w:tc>
          <w:tcPr>
            <w:tcW w:w="1720" w:type="dxa"/>
            <w:tcBorders>
              <w:bottom w:val="single" w:sz="8" w:space="0" w:color="auto"/>
            </w:tcBorders>
            <w:vAlign w:val="bottom"/>
          </w:tcPr>
          <w:p w:rsidR="00FE77F3" w:rsidRDefault="00FE77F3">
            <w:pPr>
              <w:rPr>
                <w:sz w:val="16"/>
                <w:szCs w:val="16"/>
              </w:rPr>
            </w:pPr>
          </w:p>
        </w:tc>
        <w:tc>
          <w:tcPr>
            <w:tcW w:w="1160" w:type="dxa"/>
            <w:tcBorders>
              <w:bottom w:val="single" w:sz="8" w:space="0" w:color="auto"/>
            </w:tcBorders>
            <w:vAlign w:val="bottom"/>
          </w:tcPr>
          <w:p w:rsidR="00FE77F3" w:rsidRDefault="00FE77F3">
            <w:pPr>
              <w:rPr>
                <w:sz w:val="16"/>
                <w:szCs w:val="16"/>
              </w:rPr>
            </w:pPr>
          </w:p>
        </w:tc>
        <w:tc>
          <w:tcPr>
            <w:tcW w:w="740" w:type="dxa"/>
            <w:tcBorders>
              <w:bottom w:val="single" w:sz="8" w:space="0" w:color="auto"/>
            </w:tcBorders>
            <w:vAlign w:val="bottom"/>
          </w:tcPr>
          <w:p w:rsidR="00FE77F3" w:rsidRDefault="00FE77F3">
            <w:pPr>
              <w:rPr>
                <w:sz w:val="16"/>
                <w:szCs w:val="16"/>
              </w:rPr>
            </w:pPr>
          </w:p>
        </w:tc>
        <w:tc>
          <w:tcPr>
            <w:tcW w:w="1340" w:type="dxa"/>
            <w:tcBorders>
              <w:bottom w:val="single" w:sz="8" w:space="0" w:color="auto"/>
            </w:tcBorders>
            <w:vAlign w:val="bottom"/>
          </w:tcPr>
          <w:p w:rsidR="00FE77F3" w:rsidRDefault="00FE77F3">
            <w:pPr>
              <w:rPr>
                <w:sz w:val="16"/>
                <w:szCs w:val="16"/>
              </w:rPr>
            </w:pPr>
          </w:p>
        </w:tc>
      </w:tr>
    </w:tbl>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67" w:lineRule="exact"/>
        <w:rPr>
          <w:sz w:val="20"/>
          <w:szCs w:val="20"/>
        </w:rPr>
      </w:pPr>
    </w:p>
    <w:p w:rsidR="00FE77F3" w:rsidRDefault="00E3448D">
      <w:pPr>
        <w:spacing w:line="477" w:lineRule="auto"/>
        <w:ind w:left="20" w:right="160" w:firstLine="720"/>
        <w:rPr>
          <w:sz w:val="20"/>
          <w:szCs w:val="20"/>
        </w:rPr>
      </w:pPr>
      <w:r>
        <w:rPr>
          <w:rFonts w:eastAsia="Times New Roman"/>
          <w:sz w:val="24"/>
          <w:szCs w:val="24"/>
        </w:rPr>
        <w:t>Two dependent variables were used to measure co-witness influence. The first dependent variable was the blame attribution of the participants: Participants were asked to identify which man had thrown the first hit within a witnessed crime, out of the two possible suspects; alternatively, participants were given the option to state that they were unsure. The second dependent variable used to measure co-witness influence was the confidence of participants in their responses.</w:t>
      </w:r>
    </w:p>
    <w:p w:rsidR="00FE77F3" w:rsidRDefault="00FE77F3">
      <w:pPr>
        <w:spacing w:line="175" w:lineRule="exact"/>
        <w:rPr>
          <w:sz w:val="20"/>
          <w:szCs w:val="20"/>
        </w:rPr>
      </w:pPr>
    </w:p>
    <w:p w:rsidR="00FE77F3" w:rsidRDefault="00E3448D">
      <w:pPr>
        <w:ind w:left="140"/>
        <w:rPr>
          <w:sz w:val="20"/>
          <w:szCs w:val="20"/>
        </w:rPr>
      </w:pPr>
      <w:r>
        <w:rPr>
          <w:rFonts w:eastAsia="Times New Roman"/>
          <w:b/>
          <w:bCs/>
          <w:i/>
          <w:iCs/>
          <w:sz w:val="24"/>
          <w:szCs w:val="24"/>
        </w:rPr>
        <w:t>Materials</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500" w:lineRule="auto"/>
        <w:ind w:left="20" w:right="260" w:firstLine="720"/>
        <w:rPr>
          <w:sz w:val="20"/>
          <w:szCs w:val="20"/>
        </w:rPr>
      </w:pPr>
      <w:r>
        <w:rPr>
          <w:rFonts w:eastAsia="Times New Roman"/>
          <w:sz w:val="23"/>
          <w:szCs w:val="23"/>
        </w:rPr>
        <w:t>The study used a real-life closed-circuit television (CCTV) footage of a bar fight erupting between two individuals. The footage lasted approximately one minute and thirty seconds and did not have an audio output. The footage depicted two men in distinctively different clothing (one wearing a yellow t-shirt, the other wearing a dark green t-shirt) engaging in a conversation within a bar. Shortly after, one of the men (dark green t-shirt) attacked the other (light yellow t-shirt), causing a fight to start between both men. The fighting lasted for forty seconds before the two men were separated by multiple bystanders. The participants would later be asked by the interviewer to identify which man had thrown</w:t>
      </w:r>
    </w:p>
    <w:p w:rsidR="00FE77F3" w:rsidRDefault="00FE77F3">
      <w:pPr>
        <w:spacing w:line="181" w:lineRule="exact"/>
        <w:rPr>
          <w:sz w:val="20"/>
          <w:szCs w:val="20"/>
        </w:rPr>
      </w:pPr>
    </w:p>
    <w:p w:rsidR="00FE77F3" w:rsidRDefault="00E3448D">
      <w:pPr>
        <w:jc w:val="right"/>
        <w:rPr>
          <w:sz w:val="20"/>
          <w:szCs w:val="20"/>
        </w:rPr>
      </w:pPr>
      <w:r>
        <w:rPr>
          <w:rFonts w:ascii="Calibri" w:eastAsia="Calibri" w:hAnsi="Calibri" w:cs="Calibri"/>
        </w:rPr>
        <w:t>13</w:t>
      </w:r>
    </w:p>
    <w:p w:rsidR="00FE77F3" w:rsidRDefault="00FE77F3">
      <w:pPr>
        <w:sectPr w:rsidR="00FE77F3">
          <w:pgSz w:w="11900" w:h="16838"/>
          <w:pgMar w:top="699" w:right="1426" w:bottom="419" w:left="1420" w:header="0" w:footer="0" w:gutter="0"/>
          <w:cols w:space="720" w:equalWidth="0">
            <w:col w:w="9060"/>
          </w:cols>
        </w:sectPr>
      </w:pPr>
    </w:p>
    <w:p w:rsidR="00FE77F3" w:rsidRDefault="00E3448D">
      <w:pPr>
        <w:rPr>
          <w:sz w:val="20"/>
          <w:szCs w:val="20"/>
        </w:rPr>
      </w:pPr>
      <w:bookmarkStart w:id="14" w:name="page15"/>
      <w:bookmarkEnd w:id="14"/>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6" w:lineRule="auto"/>
        <w:ind w:right="80"/>
        <w:rPr>
          <w:sz w:val="20"/>
          <w:szCs w:val="20"/>
        </w:rPr>
      </w:pPr>
      <w:r>
        <w:rPr>
          <w:rFonts w:eastAsia="Times New Roman"/>
          <w:sz w:val="24"/>
          <w:szCs w:val="24"/>
        </w:rPr>
        <w:t>the first hit. The footage was explicitly used due to it being ambiguous about who had started the fight; the heightened level of task difficulty would increase the participants need to validate their judgement; thus, encouraging them to interact with their co-witnesses (Blank, 2009; Williamson, Weber, &amp; Robertson, 2013).</w:t>
      </w:r>
    </w:p>
    <w:p w:rsidR="00FE77F3" w:rsidRDefault="00FE77F3">
      <w:pPr>
        <w:spacing w:line="172" w:lineRule="exact"/>
        <w:rPr>
          <w:sz w:val="20"/>
          <w:szCs w:val="20"/>
        </w:rPr>
      </w:pPr>
    </w:p>
    <w:p w:rsidR="00FE77F3" w:rsidRDefault="00E3448D">
      <w:pPr>
        <w:rPr>
          <w:sz w:val="20"/>
          <w:szCs w:val="20"/>
        </w:rPr>
      </w:pPr>
      <w:r>
        <w:rPr>
          <w:rFonts w:eastAsia="Times New Roman"/>
          <w:b/>
          <w:bCs/>
          <w:i/>
          <w:iCs/>
          <w:sz w:val="24"/>
          <w:szCs w:val="24"/>
        </w:rPr>
        <w:t>Procedure</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9" w:lineRule="auto"/>
        <w:ind w:right="20" w:firstLine="720"/>
        <w:rPr>
          <w:sz w:val="20"/>
          <w:szCs w:val="20"/>
        </w:rPr>
      </w:pPr>
      <w:r>
        <w:rPr>
          <w:rFonts w:eastAsia="Times New Roman"/>
          <w:sz w:val="24"/>
          <w:szCs w:val="24"/>
        </w:rPr>
        <w:t>Participants took part in the study either in groups or individually, depending on their experimental condition. Due to the ethical implications of exposing participants to violent footage, participants were informed that they would be viewing a CCTV footage that contained violence; however, details with regards to the aims of the experiment were kept to a minimum. Participants watched the footage simultaneously in their groups on a monitor screen. With the exception of condition 1-0 (control), participants were given one minute to discuss in their groups, who they believed had thrown the first hit. Confederates were used to expose the participants to co-witness misinformation by suggesting that the wrong man (in the yellow t-shirt) had started the fight. The experimenter left the room during the group discussion to prevent their presence from having an effect on the participant’s behaviour. Within condition 1-0, participants were not permitted to discuss the footage with co-witnesses; instead, they were asked to sit silently until they were called to for questioning. The final experimental phase was the eyewitness questioning process, participants were individually taken into a private room and asked to identify who they believed had thrown the first hit (or to state that they were unsure). The interviewer advised all participants to only report information that they remembered seeing. All participants produced one of three responses: Correct response (blamed the man in the dark top), incorrect response (blamed the man in the yellow top), or ‘unsure’ (they were unable to determine who had thrown the first hit). Participants were also asked to indicate how confident they were in their response on a five-point scale (with five meaning maximum confidence); participants who answered</w:t>
      </w:r>
    </w:p>
    <w:p w:rsidR="00FE77F3" w:rsidRDefault="00FE77F3">
      <w:pPr>
        <w:spacing w:line="49" w:lineRule="exact"/>
        <w:rPr>
          <w:sz w:val="20"/>
          <w:szCs w:val="20"/>
        </w:rPr>
      </w:pPr>
    </w:p>
    <w:p w:rsidR="00FE77F3" w:rsidRDefault="00E3448D">
      <w:pPr>
        <w:jc w:val="right"/>
        <w:rPr>
          <w:sz w:val="20"/>
          <w:szCs w:val="20"/>
        </w:rPr>
      </w:pPr>
      <w:r>
        <w:rPr>
          <w:rFonts w:ascii="Calibri" w:eastAsia="Calibri" w:hAnsi="Calibri" w:cs="Calibri"/>
        </w:rPr>
        <w:t>14</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15" w:name="page16"/>
      <w:bookmarkEnd w:id="15"/>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7" w:lineRule="auto"/>
        <w:ind w:right="60"/>
        <w:rPr>
          <w:sz w:val="20"/>
          <w:szCs w:val="20"/>
        </w:rPr>
      </w:pPr>
      <w:r>
        <w:rPr>
          <w:rFonts w:eastAsia="Times New Roman"/>
          <w:sz w:val="24"/>
          <w:szCs w:val="24"/>
        </w:rPr>
        <w:t>‘unsure’ were not asked to give a confidence rating due to their inability to identify an offender. After the experiment had finished, all participants were debriefed and thanked for their participation. In a post-test manipulation check, participants were asked if they had been suspicious as to the authenticity of their co-witnesses. None of the participants indicated that they had been aware of the confederates' roles.</w:t>
      </w:r>
    </w:p>
    <w:p w:rsidR="00FE77F3" w:rsidRDefault="00FE77F3">
      <w:pPr>
        <w:spacing w:line="179" w:lineRule="exact"/>
        <w:rPr>
          <w:sz w:val="20"/>
          <w:szCs w:val="20"/>
        </w:rPr>
      </w:pPr>
    </w:p>
    <w:p w:rsidR="00FE77F3" w:rsidRDefault="00E3448D">
      <w:pPr>
        <w:spacing w:line="478" w:lineRule="auto"/>
        <w:ind w:right="120" w:firstLine="720"/>
        <w:rPr>
          <w:sz w:val="20"/>
          <w:szCs w:val="20"/>
        </w:rPr>
      </w:pPr>
      <w:r>
        <w:rPr>
          <w:rFonts w:eastAsia="Times New Roman"/>
          <w:sz w:val="24"/>
          <w:szCs w:val="24"/>
        </w:rPr>
        <w:t>Confederates were also questioned after the experiment to determine whether they were able to correctly present the participants with misinformation — all confederates indicated that they had carried out their instructions correctly. A limitation of the procedure used in the present studies was that the group discussions of the participants were not recorded for inspection afterwards. This meant that the studies could not reliably guarantee that all confederates performed correctly and that all participants from the control conditions abstained from discussing the incident. However, the decision to not record the participant’s discussions can be justified. Due to the ethical implications of recording individuals without their consent, the experimenter will have had to inform participants that they would be getting recorded during the experiment. The participants’ awareness of being monitored may have influenced their behaviours and subsequent responses as a result.</w:t>
      </w:r>
    </w:p>
    <w:p w:rsidR="00FE77F3" w:rsidRDefault="00FE77F3">
      <w:pPr>
        <w:spacing w:line="178" w:lineRule="exact"/>
        <w:rPr>
          <w:sz w:val="20"/>
          <w:szCs w:val="20"/>
        </w:rPr>
      </w:pPr>
    </w:p>
    <w:p w:rsidR="00FE77F3" w:rsidRDefault="00E3448D">
      <w:pPr>
        <w:rPr>
          <w:sz w:val="20"/>
          <w:szCs w:val="20"/>
        </w:rPr>
      </w:pPr>
      <w:r>
        <w:rPr>
          <w:rFonts w:eastAsia="Times New Roman"/>
          <w:b/>
          <w:bCs/>
          <w:i/>
          <w:iCs/>
          <w:sz w:val="24"/>
          <w:szCs w:val="24"/>
        </w:rPr>
        <w:t>Analysis</w:t>
      </w:r>
    </w:p>
    <w:p w:rsidR="00FE77F3" w:rsidRDefault="00FE77F3">
      <w:pPr>
        <w:spacing w:line="200" w:lineRule="exact"/>
        <w:rPr>
          <w:sz w:val="20"/>
          <w:szCs w:val="20"/>
        </w:rPr>
      </w:pPr>
    </w:p>
    <w:p w:rsidR="00FE77F3" w:rsidRDefault="00FE77F3">
      <w:pPr>
        <w:spacing w:line="244" w:lineRule="exact"/>
        <w:rPr>
          <w:sz w:val="20"/>
          <w:szCs w:val="20"/>
        </w:rPr>
      </w:pPr>
    </w:p>
    <w:p w:rsidR="00FE77F3" w:rsidRDefault="00E3448D">
      <w:pPr>
        <w:spacing w:line="477" w:lineRule="auto"/>
        <w:ind w:right="280" w:firstLine="720"/>
        <w:rPr>
          <w:sz w:val="20"/>
          <w:szCs w:val="20"/>
        </w:rPr>
      </w:pPr>
      <w:r>
        <w:rPr>
          <w:rFonts w:eastAsia="Times New Roman"/>
          <w:sz w:val="24"/>
          <w:szCs w:val="24"/>
        </w:rPr>
        <w:t>A series of multinomial logistic regressions were performed to analyse the relationships between majority size and group unanimity with eyewitness blame attribution (whilst controlling for the age and gender of the participants). A two-way between groups analysis of variance was used to analyse the relationships between majority size and group unanimity with eyewitness confidence.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36" w:lineRule="exact"/>
        <w:rPr>
          <w:sz w:val="20"/>
          <w:szCs w:val="20"/>
        </w:rPr>
      </w:pPr>
    </w:p>
    <w:p w:rsidR="00FE77F3" w:rsidRDefault="00E3448D">
      <w:pPr>
        <w:jc w:val="right"/>
        <w:rPr>
          <w:sz w:val="20"/>
          <w:szCs w:val="20"/>
        </w:rPr>
      </w:pPr>
      <w:r>
        <w:rPr>
          <w:rFonts w:ascii="Calibri" w:eastAsia="Calibri" w:hAnsi="Calibri" w:cs="Calibri"/>
        </w:rPr>
        <w:t>15</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ind w:left="200"/>
        <w:rPr>
          <w:sz w:val="20"/>
          <w:szCs w:val="20"/>
        </w:rPr>
      </w:pPr>
      <w:bookmarkStart w:id="16" w:name="page17"/>
      <w:bookmarkEnd w:id="16"/>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66" w:lineRule="exact"/>
        <w:rPr>
          <w:sz w:val="20"/>
          <w:szCs w:val="20"/>
        </w:rPr>
      </w:pPr>
    </w:p>
    <w:p w:rsidR="00FE77F3" w:rsidRDefault="00E3448D">
      <w:pPr>
        <w:ind w:left="200"/>
        <w:rPr>
          <w:sz w:val="20"/>
          <w:szCs w:val="20"/>
        </w:rPr>
      </w:pPr>
      <w:r>
        <w:rPr>
          <w:rFonts w:eastAsia="Times New Roman"/>
          <w:b/>
          <w:bCs/>
          <w:sz w:val="24"/>
          <w:szCs w:val="24"/>
        </w:rPr>
        <w:t>Results</w:t>
      </w:r>
    </w:p>
    <w:p w:rsidR="00FE77F3" w:rsidRDefault="00FE77F3">
      <w:pPr>
        <w:spacing w:line="200" w:lineRule="exact"/>
        <w:rPr>
          <w:sz w:val="20"/>
          <w:szCs w:val="20"/>
        </w:rPr>
      </w:pPr>
    </w:p>
    <w:p w:rsidR="00FE77F3" w:rsidRDefault="00FE77F3">
      <w:pPr>
        <w:spacing w:line="237" w:lineRule="exact"/>
        <w:rPr>
          <w:sz w:val="20"/>
          <w:szCs w:val="20"/>
        </w:rPr>
      </w:pPr>
    </w:p>
    <w:p w:rsidR="00FE77F3" w:rsidRDefault="00E3448D">
      <w:pPr>
        <w:ind w:left="200"/>
        <w:rPr>
          <w:sz w:val="20"/>
          <w:szCs w:val="20"/>
        </w:rPr>
      </w:pPr>
      <w:r>
        <w:rPr>
          <w:rFonts w:eastAsia="Times New Roman"/>
          <w:b/>
          <w:bCs/>
          <w:i/>
          <w:iCs/>
          <w:sz w:val="24"/>
          <w:szCs w:val="24"/>
        </w:rPr>
        <w:t>General descriptive data</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8" w:lineRule="auto"/>
        <w:ind w:left="200" w:right="340" w:firstLine="720"/>
        <w:rPr>
          <w:sz w:val="20"/>
          <w:szCs w:val="20"/>
        </w:rPr>
      </w:pPr>
      <w:r>
        <w:rPr>
          <w:rFonts w:eastAsia="Times New Roman"/>
          <w:sz w:val="24"/>
          <w:szCs w:val="24"/>
        </w:rPr>
        <w:t>In the control group (1-0 condition) 44.8% of participants produced a correct response, 34.5% produced an incorrect response, and 20.7% were uncertain, with this variance in responses suggesting the experimental task to be ambiguous. The mean confidence scores across all conditions ranged from 2.98 to 3.5, suggesting that a large proportion of eyewitnesses faced some level of uncertainty when making their judgements. The high number of ‘unsure’ responses suggests that the participants will have been less likely to attribute blame through guessing. Means and standard deviations for all variables are presented in Table 2 and 3, and the correlations between continuous variables are presented in Table 4.</w:t>
      </w:r>
    </w:p>
    <w:p w:rsidR="00FE77F3" w:rsidRDefault="00FE77F3">
      <w:pPr>
        <w:spacing w:line="174" w:lineRule="exact"/>
        <w:rPr>
          <w:sz w:val="20"/>
          <w:szCs w:val="20"/>
        </w:rPr>
      </w:pPr>
    </w:p>
    <w:p w:rsidR="00FE77F3" w:rsidRDefault="00E3448D">
      <w:pPr>
        <w:ind w:left="200"/>
        <w:rPr>
          <w:sz w:val="20"/>
          <w:szCs w:val="20"/>
        </w:rPr>
      </w:pPr>
      <w:r>
        <w:rPr>
          <w:rFonts w:eastAsia="Times New Roman"/>
          <w:b/>
          <w:bCs/>
          <w:sz w:val="16"/>
          <w:szCs w:val="16"/>
        </w:rPr>
        <w:t>Table 2.</w:t>
      </w:r>
    </w:p>
    <w:p w:rsidR="00FE77F3" w:rsidRDefault="00FE77F3">
      <w:pPr>
        <w:spacing w:line="344" w:lineRule="exact"/>
        <w:rPr>
          <w:sz w:val="20"/>
          <w:szCs w:val="20"/>
        </w:rPr>
      </w:pPr>
    </w:p>
    <w:p w:rsidR="00FE77F3" w:rsidRDefault="00E3448D">
      <w:pPr>
        <w:ind w:left="200"/>
        <w:rPr>
          <w:sz w:val="20"/>
          <w:szCs w:val="20"/>
        </w:rPr>
      </w:pPr>
      <w:r>
        <w:rPr>
          <w:rFonts w:eastAsia="Times New Roman"/>
          <w:b/>
          <w:bCs/>
          <w:sz w:val="16"/>
          <w:szCs w:val="16"/>
        </w:rPr>
        <w:t>Descriptive statistics for participants (</w:t>
      </w:r>
      <w:r>
        <w:rPr>
          <w:rFonts w:eastAsia="Times New Roman"/>
          <w:b/>
          <w:bCs/>
          <w:i/>
          <w:iCs/>
          <w:sz w:val="16"/>
          <w:szCs w:val="16"/>
        </w:rPr>
        <w:t>N</w:t>
      </w:r>
      <w:r>
        <w:rPr>
          <w:rFonts w:eastAsia="Times New Roman"/>
          <w:b/>
          <w:bCs/>
          <w:sz w:val="16"/>
          <w:szCs w:val="16"/>
        </w:rPr>
        <w:t>=608)</w:t>
      </w:r>
    </w:p>
    <w:p w:rsidR="00FE77F3" w:rsidRDefault="00FE77F3">
      <w:pPr>
        <w:spacing w:line="3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340"/>
        <w:gridCol w:w="1360"/>
        <w:gridCol w:w="1020"/>
        <w:gridCol w:w="1060"/>
        <w:gridCol w:w="560"/>
        <w:gridCol w:w="960"/>
        <w:gridCol w:w="1080"/>
        <w:gridCol w:w="1000"/>
        <w:gridCol w:w="420"/>
        <w:gridCol w:w="500"/>
        <w:gridCol w:w="400"/>
        <w:gridCol w:w="840"/>
        <w:gridCol w:w="20"/>
      </w:tblGrid>
      <w:tr w:rsidR="00FE77F3">
        <w:trPr>
          <w:trHeight w:val="188"/>
        </w:trPr>
        <w:tc>
          <w:tcPr>
            <w:tcW w:w="20" w:type="dxa"/>
            <w:vAlign w:val="bottom"/>
          </w:tcPr>
          <w:p w:rsidR="00FE77F3" w:rsidRDefault="00FE77F3">
            <w:pPr>
              <w:rPr>
                <w:sz w:val="16"/>
                <w:szCs w:val="16"/>
              </w:rPr>
            </w:pPr>
          </w:p>
        </w:tc>
        <w:tc>
          <w:tcPr>
            <w:tcW w:w="1700" w:type="dxa"/>
            <w:gridSpan w:val="2"/>
            <w:tcBorders>
              <w:top w:val="single" w:sz="8" w:space="0" w:color="auto"/>
            </w:tcBorders>
            <w:vAlign w:val="bottom"/>
          </w:tcPr>
          <w:p w:rsidR="00FE77F3" w:rsidRDefault="00E3448D">
            <w:pPr>
              <w:ind w:left="100"/>
              <w:rPr>
                <w:sz w:val="20"/>
                <w:szCs w:val="20"/>
              </w:rPr>
            </w:pPr>
            <w:r>
              <w:rPr>
                <w:rFonts w:eastAsia="Times New Roman"/>
                <w:sz w:val="16"/>
                <w:szCs w:val="16"/>
              </w:rPr>
              <w:t>Condition</w:t>
            </w:r>
          </w:p>
        </w:tc>
        <w:tc>
          <w:tcPr>
            <w:tcW w:w="1020" w:type="dxa"/>
            <w:tcBorders>
              <w:top w:val="single" w:sz="8" w:space="0" w:color="auto"/>
            </w:tcBorders>
            <w:vAlign w:val="bottom"/>
          </w:tcPr>
          <w:p w:rsidR="00FE77F3" w:rsidRDefault="00E3448D">
            <w:pPr>
              <w:ind w:left="160"/>
              <w:rPr>
                <w:sz w:val="20"/>
                <w:szCs w:val="20"/>
              </w:rPr>
            </w:pPr>
            <w:r>
              <w:rPr>
                <w:rFonts w:eastAsia="Times New Roman"/>
                <w:sz w:val="16"/>
                <w:szCs w:val="16"/>
              </w:rPr>
              <w:t>True</w:t>
            </w:r>
          </w:p>
        </w:tc>
        <w:tc>
          <w:tcPr>
            <w:tcW w:w="1060" w:type="dxa"/>
            <w:tcBorders>
              <w:top w:val="single" w:sz="8" w:space="0" w:color="auto"/>
            </w:tcBorders>
            <w:vAlign w:val="bottom"/>
          </w:tcPr>
          <w:p w:rsidR="00FE77F3" w:rsidRDefault="00E3448D">
            <w:pPr>
              <w:ind w:left="100"/>
              <w:rPr>
                <w:sz w:val="20"/>
                <w:szCs w:val="20"/>
              </w:rPr>
            </w:pPr>
            <w:r>
              <w:rPr>
                <w:rFonts w:eastAsia="Times New Roman"/>
                <w:sz w:val="16"/>
                <w:szCs w:val="16"/>
              </w:rPr>
              <w:t>Confederates</w:t>
            </w:r>
          </w:p>
        </w:tc>
        <w:tc>
          <w:tcPr>
            <w:tcW w:w="560" w:type="dxa"/>
            <w:tcBorders>
              <w:top w:val="single" w:sz="8" w:space="0" w:color="auto"/>
            </w:tcBorders>
            <w:vAlign w:val="bottom"/>
          </w:tcPr>
          <w:p w:rsidR="00FE77F3" w:rsidRDefault="00E3448D">
            <w:pPr>
              <w:ind w:left="100"/>
              <w:rPr>
                <w:sz w:val="20"/>
                <w:szCs w:val="20"/>
              </w:rPr>
            </w:pPr>
            <w:r>
              <w:rPr>
                <w:rFonts w:eastAsia="Times New Roman"/>
                <w:sz w:val="16"/>
                <w:szCs w:val="16"/>
              </w:rPr>
              <w:t>Total</w:t>
            </w:r>
          </w:p>
        </w:tc>
        <w:tc>
          <w:tcPr>
            <w:tcW w:w="2040" w:type="dxa"/>
            <w:gridSpan w:val="2"/>
            <w:tcBorders>
              <w:top w:val="single" w:sz="8" w:space="0" w:color="auto"/>
            </w:tcBorders>
            <w:vAlign w:val="bottom"/>
          </w:tcPr>
          <w:p w:rsidR="00FE77F3" w:rsidRDefault="00E3448D">
            <w:pPr>
              <w:ind w:left="100"/>
              <w:rPr>
                <w:sz w:val="20"/>
                <w:szCs w:val="20"/>
              </w:rPr>
            </w:pPr>
            <w:r>
              <w:rPr>
                <w:rFonts w:eastAsia="Times New Roman"/>
                <w:sz w:val="16"/>
                <w:szCs w:val="16"/>
              </w:rPr>
              <w:t>Blame attribution</w:t>
            </w:r>
          </w:p>
        </w:tc>
        <w:tc>
          <w:tcPr>
            <w:tcW w:w="1000" w:type="dxa"/>
            <w:tcBorders>
              <w:top w:val="single" w:sz="8" w:space="0" w:color="auto"/>
            </w:tcBorders>
            <w:vAlign w:val="bottom"/>
          </w:tcPr>
          <w:p w:rsidR="00FE77F3" w:rsidRDefault="00FE77F3">
            <w:pPr>
              <w:rPr>
                <w:sz w:val="16"/>
                <w:szCs w:val="16"/>
              </w:rPr>
            </w:pPr>
          </w:p>
        </w:tc>
        <w:tc>
          <w:tcPr>
            <w:tcW w:w="2160" w:type="dxa"/>
            <w:gridSpan w:val="4"/>
            <w:tcBorders>
              <w:top w:val="single" w:sz="8" w:space="0" w:color="auto"/>
            </w:tcBorders>
            <w:vAlign w:val="bottom"/>
          </w:tcPr>
          <w:p w:rsidR="00FE77F3" w:rsidRDefault="00E3448D">
            <w:pPr>
              <w:ind w:left="120"/>
              <w:rPr>
                <w:sz w:val="20"/>
                <w:szCs w:val="20"/>
              </w:rPr>
            </w:pPr>
            <w:r>
              <w:rPr>
                <w:rFonts w:eastAsia="Times New Roman"/>
                <w:i/>
                <w:iCs/>
                <w:sz w:val="16"/>
                <w:szCs w:val="16"/>
              </w:rPr>
              <w:t xml:space="preserve">Mean Confidence </w:t>
            </w:r>
            <w:r>
              <w:rPr>
                <w:rFonts w:eastAsia="Times New Roman"/>
                <w:sz w:val="16"/>
                <w:szCs w:val="16"/>
              </w:rPr>
              <w:t>(</w:t>
            </w:r>
            <w:r>
              <w:rPr>
                <w:rFonts w:eastAsia="Times New Roman"/>
                <w:i/>
                <w:iCs/>
                <w:sz w:val="16"/>
                <w:szCs w:val="16"/>
              </w:rPr>
              <w:t>SD</w:t>
            </w:r>
            <w:r>
              <w:rPr>
                <w:rFonts w:eastAsia="Times New Roman"/>
                <w:sz w:val="16"/>
                <w:szCs w:val="16"/>
              </w:rPr>
              <w:t>)</w:t>
            </w:r>
          </w:p>
        </w:tc>
        <w:tc>
          <w:tcPr>
            <w:tcW w:w="0" w:type="dxa"/>
            <w:vAlign w:val="bottom"/>
          </w:tcPr>
          <w:p w:rsidR="00FE77F3" w:rsidRDefault="00FE77F3">
            <w:pPr>
              <w:rPr>
                <w:sz w:val="1"/>
                <w:szCs w:val="1"/>
              </w:rPr>
            </w:pPr>
          </w:p>
        </w:tc>
      </w:tr>
      <w:tr w:rsidR="00FE77F3">
        <w:trPr>
          <w:trHeight w:val="189"/>
        </w:trPr>
        <w:tc>
          <w:tcPr>
            <w:tcW w:w="20" w:type="dxa"/>
            <w:vAlign w:val="bottom"/>
          </w:tcPr>
          <w:p w:rsidR="00FE77F3" w:rsidRDefault="00FE77F3">
            <w:pPr>
              <w:rPr>
                <w:sz w:val="16"/>
                <w:szCs w:val="16"/>
              </w:rPr>
            </w:pPr>
          </w:p>
        </w:tc>
        <w:tc>
          <w:tcPr>
            <w:tcW w:w="340" w:type="dxa"/>
            <w:vAlign w:val="bottom"/>
          </w:tcPr>
          <w:p w:rsidR="00FE77F3" w:rsidRDefault="00FE77F3">
            <w:pPr>
              <w:rPr>
                <w:sz w:val="16"/>
                <w:szCs w:val="16"/>
              </w:rPr>
            </w:pPr>
          </w:p>
        </w:tc>
        <w:tc>
          <w:tcPr>
            <w:tcW w:w="1360" w:type="dxa"/>
            <w:vAlign w:val="bottom"/>
          </w:tcPr>
          <w:p w:rsidR="00FE77F3" w:rsidRDefault="00FE77F3">
            <w:pPr>
              <w:rPr>
                <w:sz w:val="16"/>
                <w:szCs w:val="16"/>
              </w:rPr>
            </w:pPr>
          </w:p>
        </w:tc>
        <w:tc>
          <w:tcPr>
            <w:tcW w:w="1020" w:type="dxa"/>
            <w:vMerge w:val="restart"/>
            <w:vAlign w:val="bottom"/>
          </w:tcPr>
          <w:p w:rsidR="00FE77F3" w:rsidRDefault="00E3448D">
            <w:pPr>
              <w:ind w:left="160"/>
              <w:rPr>
                <w:sz w:val="20"/>
                <w:szCs w:val="20"/>
              </w:rPr>
            </w:pPr>
            <w:r>
              <w:rPr>
                <w:rFonts w:eastAsia="Times New Roman"/>
                <w:sz w:val="16"/>
                <w:szCs w:val="16"/>
              </w:rPr>
              <w:t>participants</w:t>
            </w:r>
          </w:p>
        </w:tc>
        <w:tc>
          <w:tcPr>
            <w:tcW w:w="1060" w:type="dxa"/>
            <w:vAlign w:val="bottom"/>
          </w:tcPr>
          <w:p w:rsidR="00FE77F3" w:rsidRDefault="00FE77F3">
            <w:pPr>
              <w:rPr>
                <w:sz w:val="16"/>
                <w:szCs w:val="16"/>
              </w:rPr>
            </w:pPr>
          </w:p>
        </w:tc>
        <w:tc>
          <w:tcPr>
            <w:tcW w:w="560" w:type="dxa"/>
            <w:vAlign w:val="bottom"/>
          </w:tcPr>
          <w:p w:rsidR="00FE77F3" w:rsidRDefault="00FE77F3">
            <w:pPr>
              <w:rPr>
                <w:sz w:val="16"/>
                <w:szCs w:val="16"/>
              </w:rPr>
            </w:pPr>
          </w:p>
        </w:tc>
        <w:tc>
          <w:tcPr>
            <w:tcW w:w="960" w:type="dxa"/>
            <w:tcBorders>
              <w:bottom w:val="single" w:sz="8" w:space="0" w:color="auto"/>
            </w:tcBorders>
            <w:vAlign w:val="bottom"/>
          </w:tcPr>
          <w:p w:rsidR="00FE77F3" w:rsidRDefault="00FE77F3">
            <w:pPr>
              <w:rPr>
                <w:sz w:val="16"/>
                <w:szCs w:val="16"/>
              </w:rPr>
            </w:pPr>
          </w:p>
        </w:tc>
        <w:tc>
          <w:tcPr>
            <w:tcW w:w="1080" w:type="dxa"/>
            <w:tcBorders>
              <w:bottom w:val="single" w:sz="8" w:space="0" w:color="auto"/>
            </w:tcBorders>
            <w:vAlign w:val="bottom"/>
          </w:tcPr>
          <w:p w:rsidR="00FE77F3" w:rsidRDefault="00FE77F3">
            <w:pPr>
              <w:rPr>
                <w:sz w:val="16"/>
                <w:szCs w:val="16"/>
              </w:rPr>
            </w:pPr>
          </w:p>
        </w:tc>
        <w:tc>
          <w:tcPr>
            <w:tcW w:w="1000" w:type="dxa"/>
            <w:tcBorders>
              <w:bottom w:val="single" w:sz="8" w:space="0" w:color="auto"/>
            </w:tcBorders>
            <w:vAlign w:val="bottom"/>
          </w:tcPr>
          <w:p w:rsidR="00FE77F3" w:rsidRDefault="00FE77F3">
            <w:pPr>
              <w:rPr>
                <w:sz w:val="16"/>
                <w:szCs w:val="16"/>
              </w:rPr>
            </w:pPr>
          </w:p>
        </w:tc>
        <w:tc>
          <w:tcPr>
            <w:tcW w:w="920" w:type="dxa"/>
            <w:gridSpan w:val="2"/>
            <w:tcBorders>
              <w:bottom w:val="single" w:sz="8" w:space="0" w:color="auto"/>
            </w:tcBorders>
            <w:vAlign w:val="bottom"/>
          </w:tcPr>
          <w:p w:rsidR="00FE77F3" w:rsidRDefault="00FE77F3">
            <w:pPr>
              <w:rPr>
                <w:sz w:val="16"/>
                <w:szCs w:val="16"/>
              </w:rPr>
            </w:pPr>
          </w:p>
        </w:tc>
        <w:tc>
          <w:tcPr>
            <w:tcW w:w="1240" w:type="dxa"/>
            <w:gridSpan w:val="2"/>
            <w:tcBorders>
              <w:bottom w:val="single" w:sz="8" w:space="0" w:color="auto"/>
            </w:tcBorders>
            <w:vAlign w:val="bottom"/>
          </w:tcPr>
          <w:p w:rsidR="00FE77F3" w:rsidRDefault="00FE77F3">
            <w:pPr>
              <w:rPr>
                <w:sz w:val="16"/>
                <w:szCs w:val="16"/>
              </w:rPr>
            </w:pPr>
          </w:p>
        </w:tc>
        <w:tc>
          <w:tcPr>
            <w:tcW w:w="0" w:type="dxa"/>
            <w:vAlign w:val="bottom"/>
          </w:tcPr>
          <w:p w:rsidR="00FE77F3" w:rsidRDefault="00FE77F3">
            <w:pPr>
              <w:rPr>
                <w:sz w:val="1"/>
                <w:szCs w:val="1"/>
              </w:rPr>
            </w:pPr>
          </w:p>
        </w:tc>
      </w:tr>
      <w:tr w:rsidR="00FE77F3">
        <w:trPr>
          <w:trHeight w:val="168"/>
        </w:trPr>
        <w:tc>
          <w:tcPr>
            <w:tcW w:w="20" w:type="dxa"/>
            <w:vAlign w:val="bottom"/>
          </w:tcPr>
          <w:p w:rsidR="00FE77F3" w:rsidRDefault="00FE77F3">
            <w:pPr>
              <w:rPr>
                <w:sz w:val="14"/>
                <w:szCs w:val="14"/>
              </w:rPr>
            </w:pPr>
          </w:p>
        </w:tc>
        <w:tc>
          <w:tcPr>
            <w:tcW w:w="340" w:type="dxa"/>
            <w:vAlign w:val="bottom"/>
          </w:tcPr>
          <w:p w:rsidR="00FE77F3" w:rsidRDefault="00FE77F3">
            <w:pPr>
              <w:rPr>
                <w:sz w:val="14"/>
                <w:szCs w:val="14"/>
              </w:rPr>
            </w:pPr>
          </w:p>
        </w:tc>
        <w:tc>
          <w:tcPr>
            <w:tcW w:w="1360" w:type="dxa"/>
            <w:vAlign w:val="bottom"/>
          </w:tcPr>
          <w:p w:rsidR="00FE77F3" w:rsidRDefault="00FE77F3">
            <w:pPr>
              <w:rPr>
                <w:sz w:val="14"/>
                <w:szCs w:val="14"/>
              </w:rPr>
            </w:pPr>
          </w:p>
        </w:tc>
        <w:tc>
          <w:tcPr>
            <w:tcW w:w="1020" w:type="dxa"/>
            <w:vMerge/>
            <w:vAlign w:val="bottom"/>
          </w:tcPr>
          <w:p w:rsidR="00FE77F3" w:rsidRDefault="00FE77F3">
            <w:pPr>
              <w:rPr>
                <w:sz w:val="14"/>
                <w:szCs w:val="14"/>
              </w:rPr>
            </w:pPr>
          </w:p>
        </w:tc>
        <w:tc>
          <w:tcPr>
            <w:tcW w:w="1060" w:type="dxa"/>
            <w:vAlign w:val="bottom"/>
          </w:tcPr>
          <w:p w:rsidR="00FE77F3" w:rsidRDefault="00FE77F3">
            <w:pPr>
              <w:rPr>
                <w:sz w:val="14"/>
                <w:szCs w:val="14"/>
              </w:rPr>
            </w:pPr>
          </w:p>
        </w:tc>
        <w:tc>
          <w:tcPr>
            <w:tcW w:w="560" w:type="dxa"/>
            <w:vAlign w:val="bottom"/>
          </w:tcPr>
          <w:p w:rsidR="00FE77F3" w:rsidRDefault="00FE77F3">
            <w:pPr>
              <w:rPr>
                <w:sz w:val="14"/>
                <w:szCs w:val="14"/>
              </w:rPr>
            </w:pPr>
          </w:p>
        </w:tc>
        <w:tc>
          <w:tcPr>
            <w:tcW w:w="960" w:type="dxa"/>
            <w:vAlign w:val="bottom"/>
          </w:tcPr>
          <w:p w:rsidR="00FE77F3" w:rsidRDefault="00E3448D">
            <w:pPr>
              <w:spacing w:line="168" w:lineRule="exact"/>
              <w:ind w:left="100"/>
              <w:rPr>
                <w:sz w:val="20"/>
                <w:szCs w:val="20"/>
              </w:rPr>
            </w:pPr>
            <w:r>
              <w:rPr>
                <w:rFonts w:eastAsia="Times New Roman"/>
                <w:sz w:val="16"/>
                <w:szCs w:val="16"/>
              </w:rPr>
              <w:t>Dark Top</w:t>
            </w:r>
          </w:p>
        </w:tc>
        <w:tc>
          <w:tcPr>
            <w:tcW w:w="1080" w:type="dxa"/>
            <w:vAlign w:val="bottom"/>
          </w:tcPr>
          <w:p w:rsidR="00FE77F3" w:rsidRDefault="00E3448D">
            <w:pPr>
              <w:spacing w:line="168" w:lineRule="exact"/>
              <w:ind w:left="140"/>
              <w:rPr>
                <w:sz w:val="20"/>
                <w:szCs w:val="20"/>
              </w:rPr>
            </w:pPr>
            <w:r>
              <w:rPr>
                <w:rFonts w:eastAsia="Times New Roman"/>
                <w:sz w:val="16"/>
                <w:szCs w:val="16"/>
              </w:rPr>
              <w:t>Yellow Top</w:t>
            </w:r>
          </w:p>
        </w:tc>
        <w:tc>
          <w:tcPr>
            <w:tcW w:w="1000" w:type="dxa"/>
            <w:vAlign w:val="bottom"/>
          </w:tcPr>
          <w:p w:rsidR="00FE77F3" w:rsidRDefault="00E3448D">
            <w:pPr>
              <w:spacing w:line="168" w:lineRule="exact"/>
              <w:ind w:left="160"/>
              <w:rPr>
                <w:sz w:val="20"/>
                <w:szCs w:val="20"/>
              </w:rPr>
            </w:pPr>
            <w:r>
              <w:rPr>
                <w:rFonts w:eastAsia="Times New Roman"/>
                <w:sz w:val="16"/>
                <w:szCs w:val="16"/>
              </w:rPr>
              <w:t>Uncertain</w:t>
            </w:r>
          </w:p>
        </w:tc>
        <w:tc>
          <w:tcPr>
            <w:tcW w:w="920" w:type="dxa"/>
            <w:gridSpan w:val="2"/>
            <w:vAlign w:val="bottom"/>
          </w:tcPr>
          <w:p w:rsidR="00FE77F3" w:rsidRDefault="00E3448D">
            <w:pPr>
              <w:spacing w:line="168" w:lineRule="exact"/>
              <w:ind w:left="120"/>
              <w:rPr>
                <w:sz w:val="20"/>
                <w:szCs w:val="20"/>
              </w:rPr>
            </w:pPr>
            <w:r>
              <w:rPr>
                <w:rFonts w:eastAsia="Times New Roman"/>
                <w:sz w:val="16"/>
                <w:szCs w:val="16"/>
              </w:rPr>
              <w:t>Dark Top</w:t>
            </w:r>
          </w:p>
        </w:tc>
        <w:tc>
          <w:tcPr>
            <w:tcW w:w="1240" w:type="dxa"/>
            <w:gridSpan w:val="2"/>
            <w:vAlign w:val="bottom"/>
          </w:tcPr>
          <w:p w:rsidR="00FE77F3" w:rsidRDefault="00E3448D">
            <w:pPr>
              <w:spacing w:line="168" w:lineRule="exact"/>
              <w:ind w:left="100"/>
              <w:rPr>
                <w:sz w:val="20"/>
                <w:szCs w:val="20"/>
              </w:rPr>
            </w:pPr>
            <w:r>
              <w:rPr>
                <w:rFonts w:eastAsia="Times New Roman"/>
                <w:sz w:val="16"/>
                <w:szCs w:val="16"/>
              </w:rPr>
              <w:t>Yellow Top</w:t>
            </w:r>
          </w:p>
        </w:tc>
        <w:tc>
          <w:tcPr>
            <w:tcW w:w="0" w:type="dxa"/>
            <w:vAlign w:val="bottom"/>
          </w:tcPr>
          <w:p w:rsidR="00FE77F3" w:rsidRDefault="00FE77F3">
            <w:pPr>
              <w:rPr>
                <w:sz w:val="1"/>
                <w:szCs w:val="1"/>
              </w:rPr>
            </w:pPr>
          </w:p>
        </w:tc>
      </w:tr>
      <w:tr w:rsidR="00FE77F3">
        <w:trPr>
          <w:trHeight w:val="192"/>
        </w:trPr>
        <w:tc>
          <w:tcPr>
            <w:tcW w:w="20" w:type="dxa"/>
            <w:vAlign w:val="bottom"/>
          </w:tcPr>
          <w:p w:rsidR="00FE77F3" w:rsidRDefault="00FE77F3">
            <w:pPr>
              <w:rPr>
                <w:sz w:val="16"/>
                <w:szCs w:val="16"/>
              </w:rPr>
            </w:pPr>
          </w:p>
        </w:tc>
        <w:tc>
          <w:tcPr>
            <w:tcW w:w="1700" w:type="dxa"/>
            <w:gridSpan w:val="2"/>
            <w:tcBorders>
              <w:bottom w:val="single" w:sz="8" w:space="0" w:color="auto"/>
            </w:tcBorders>
            <w:vAlign w:val="bottom"/>
          </w:tcPr>
          <w:p w:rsidR="00FE77F3" w:rsidRDefault="00FE77F3">
            <w:pPr>
              <w:rPr>
                <w:sz w:val="16"/>
                <w:szCs w:val="16"/>
              </w:rPr>
            </w:pPr>
          </w:p>
        </w:tc>
        <w:tc>
          <w:tcPr>
            <w:tcW w:w="1020" w:type="dxa"/>
            <w:tcBorders>
              <w:bottom w:val="single" w:sz="8" w:space="0" w:color="auto"/>
            </w:tcBorders>
            <w:vAlign w:val="bottom"/>
          </w:tcPr>
          <w:p w:rsidR="00FE77F3" w:rsidRDefault="00FE77F3">
            <w:pPr>
              <w:rPr>
                <w:sz w:val="16"/>
                <w:szCs w:val="16"/>
              </w:rPr>
            </w:pPr>
          </w:p>
        </w:tc>
        <w:tc>
          <w:tcPr>
            <w:tcW w:w="1060" w:type="dxa"/>
            <w:tcBorders>
              <w:bottom w:val="single" w:sz="8" w:space="0" w:color="auto"/>
            </w:tcBorders>
            <w:vAlign w:val="bottom"/>
          </w:tcPr>
          <w:p w:rsidR="00FE77F3" w:rsidRDefault="00FE77F3">
            <w:pPr>
              <w:rPr>
                <w:sz w:val="16"/>
                <w:szCs w:val="16"/>
              </w:rPr>
            </w:pPr>
          </w:p>
        </w:tc>
        <w:tc>
          <w:tcPr>
            <w:tcW w:w="560" w:type="dxa"/>
            <w:tcBorders>
              <w:bottom w:val="single" w:sz="8" w:space="0" w:color="auto"/>
            </w:tcBorders>
            <w:vAlign w:val="bottom"/>
          </w:tcPr>
          <w:p w:rsidR="00FE77F3" w:rsidRDefault="00FE77F3">
            <w:pPr>
              <w:rPr>
                <w:sz w:val="16"/>
                <w:szCs w:val="16"/>
              </w:rPr>
            </w:pPr>
          </w:p>
        </w:tc>
        <w:tc>
          <w:tcPr>
            <w:tcW w:w="960" w:type="dxa"/>
            <w:tcBorders>
              <w:bottom w:val="single" w:sz="8" w:space="0" w:color="auto"/>
            </w:tcBorders>
            <w:vAlign w:val="bottom"/>
          </w:tcPr>
          <w:p w:rsidR="00FE77F3" w:rsidRDefault="00FE77F3">
            <w:pPr>
              <w:rPr>
                <w:sz w:val="16"/>
                <w:szCs w:val="16"/>
              </w:rPr>
            </w:pPr>
          </w:p>
        </w:tc>
        <w:tc>
          <w:tcPr>
            <w:tcW w:w="1080" w:type="dxa"/>
            <w:tcBorders>
              <w:bottom w:val="single" w:sz="8" w:space="0" w:color="auto"/>
            </w:tcBorders>
            <w:vAlign w:val="bottom"/>
          </w:tcPr>
          <w:p w:rsidR="00FE77F3" w:rsidRDefault="00FE77F3">
            <w:pPr>
              <w:rPr>
                <w:sz w:val="16"/>
                <w:szCs w:val="16"/>
              </w:rPr>
            </w:pPr>
          </w:p>
        </w:tc>
        <w:tc>
          <w:tcPr>
            <w:tcW w:w="1000" w:type="dxa"/>
            <w:tcBorders>
              <w:bottom w:val="single" w:sz="8" w:space="0" w:color="auto"/>
            </w:tcBorders>
            <w:vAlign w:val="bottom"/>
          </w:tcPr>
          <w:p w:rsidR="00FE77F3" w:rsidRDefault="00FE77F3">
            <w:pPr>
              <w:rPr>
                <w:sz w:val="16"/>
                <w:szCs w:val="16"/>
              </w:rPr>
            </w:pPr>
          </w:p>
        </w:tc>
        <w:tc>
          <w:tcPr>
            <w:tcW w:w="420" w:type="dxa"/>
            <w:tcBorders>
              <w:bottom w:val="single" w:sz="8" w:space="0" w:color="auto"/>
            </w:tcBorders>
            <w:vAlign w:val="bottom"/>
          </w:tcPr>
          <w:p w:rsidR="00FE77F3" w:rsidRDefault="00FE77F3">
            <w:pPr>
              <w:rPr>
                <w:sz w:val="16"/>
                <w:szCs w:val="16"/>
              </w:rPr>
            </w:pPr>
          </w:p>
        </w:tc>
        <w:tc>
          <w:tcPr>
            <w:tcW w:w="500" w:type="dxa"/>
            <w:tcBorders>
              <w:bottom w:val="single" w:sz="8" w:space="0" w:color="auto"/>
            </w:tcBorders>
            <w:vAlign w:val="bottom"/>
          </w:tcPr>
          <w:p w:rsidR="00FE77F3" w:rsidRDefault="00FE77F3">
            <w:pPr>
              <w:rPr>
                <w:sz w:val="16"/>
                <w:szCs w:val="16"/>
              </w:rPr>
            </w:pPr>
          </w:p>
        </w:tc>
        <w:tc>
          <w:tcPr>
            <w:tcW w:w="1240" w:type="dxa"/>
            <w:gridSpan w:val="2"/>
            <w:tcBorders>
              <w:bottom w:val="single" w:sz="8" w:space="0" w:color="auto"/>
            </w:tcBorders>
            <w:vAlign w:val="bottom"/>
          </w:tcPr>
          <w:p w:rsidR="00FE77F3" w:rsidRDefault="00FE77F3">
            <w:pPr>
              <w:rPr>
                <w:sz w:val="16"/>
                <w:szCs w:val="16"/>
              </w:rPr>
            </w:pPr>
          </w:p>
        </w:tc>
        <w:tc>
          <w:tcPr>
            <w:tcW w:w="0" w:type="dxa"/>
            <w:vAlign w:val="bottom"/>
          </w:tcPr>
          <w:p w:rsidR="00FE77F3" w:rsidRDefault="00FE77F3">
            <w:pPr>
              <w:rPr>
                <w:sz w:val="1"/>
                <w:szCs w:val="1"/>
              </w:rPr>
            </w:pPr>
          </w:p>
        </w:tc>
      </w:tr>
      <w:tr w:rsidR="00FE77F3">
        <w:trPr>
          <w:trHeight w:val="168"/>
        </w:trPr>
        <w:tc>
          <w:tcPr>
            <w:tcW w:w="20" w:type="dxa"/>
            <w:vAlign w:val="bottom"/>
          </w:tcPr>
          <w:p w:rsidR="00FE77F3" w:rsidRDefault="00FE77F3">
            <w:pPr>
              <w:rPr>
                <w:sz w:val="14"/>
                <w:szCs w:val="14"/>
              </w:rPr>
            </w:pPr>
          </w:p>
        </w:tc>
        <w:tc>
          <w:tcPr>
            <w:tcW w:w="1700" w:type="dxa"/>
            <w:gridSpan w:val="2"/>
            <w:vAlign w:val="bottom"/>
          </w:tcPr>
          <w:p w:rsidR="00FE77F3" w:rsidRDefault="00E3448D">
            <w:pPr>
              <w:spacing w:line="168" w:lineRule="exact"/>
              <w:ind w:left="100"/>
              <w:rPr>
                <w:sz w:val="20"/>
                <w:szCs w:val="20"/>
              </w:rPr>
            </w:pPr>
            <w:r>
              <w:rPr>
                <w:rFonts w:eastAsia="Times New Roman"/>
                <w:sz w:val="16"/>
                <w:szCs w:val="16"/>
              </w:rPr>
              <w:t>1-0 (Control) (</w:t>
            </w:r>
            <w:r>
              <w:rPr>
                <w:rFonts w:eastAsia="Times New Roman"/>
                <w:i/>
                <w:iCs/>
                <w:sz w:val="16"/>
                <w:szCs w:val="16"/>
              </w:rPr>
              <w:t>N</w:t>
            </w:r>
            <w:r>
              <w:rPr>
                <w:rFonts w:eastAsia="Times New Roman"/>
                <w:sz w:val="16"/>
                <w:szCs w:val="16"/>
              </w:rPr>
              <w:t>=174)</w:t>
            </w:r>
          </w:p>
        </w:tc>
        <w:tc>
          <w:tcPr>
            <w:tcW w:w="1020" w:type="dxa"/>
            <w:vAlign w:val="bottom"/>
          </w:tcPr>
          <w:p w:rsidR="00FE77F3" w:rsidRDefault="00E3448D">
            <w:pPr>
              <w:spacing w:line="168" w:lineRule="exact"/>
              <w:ind w:left="160"/>
              <w:rPr>
                <w:sz w:val="20"/>
                <w:szCs w:val="20"/>
              </w:rPr>
            </w:pPr>
            <w:r>
              <w:rPr>
                <w:rFonts w:eastAsia="Times New Roman"/>
                <w:sz w:val="16"/>
                <w:szCs w:val="16"/>
              </w:rPr>
              <w:t>1</w:t>
            </w:r>
          </w:p>
        </w:tc>
        <w:tc>
          <w:tcPr>
            <w:tcW w:w="1060" w:type="dxa"/>
            <w:vAlign w:val="bottom"/>
          </w:tcPr>
          <w:p w:rsidR="00FE77F3" w:rsidRDefault="00E3448D">
            <w:pPr>
              <w:spacing w:line="168" w:lineRule="exact"/>
              <w:ind w:left="100"/>
              <w:rPr>
                <w:sz w:val="20"/>
                <w:szCs w:val="20"/>
              </w:rPr>
            </w:pPr>
            <w:r>
              <w:rPr>
                <w:rFonts w:eastAsia="Times New Roman"/>
                <w:sz w:val="16"/>
                <w:szCs w:val="16"/>
              </w:rPr>
              <w:t>0</w:t>
            </w:r>
          </w:p>
        </w:tc>
        <w:tc>
          <w:tcPr>
            <w:tcW w:w="560" w:type="dxa"/>
            <w:vAlign w:val="bottom"/>
          </w:tcPr>
          <w:p w:rsidR="00FE77F3" w:rsidRDefault="00E3448D">
            <w:pPr>
              <w:spacing w:line="168" w:lineRule="exact"/>
              <w:ind w:left="100"/>
              <w:rPr>
                <w:sz w:val="20"/>
                <w:szCs w:val="20"/>
              </w:rPr>
            </w:pPr>
            <w:r>
              <w:rPr>
                <w:rFonts w:eastAsia="Times New Roman"/>
                <w:sz w:val="16"/>
                <w:szCs w:val="16"/>
              </w:rPr>
              <w:t>1</w:t>
            </w:r>
          </w:p>
        </w:tc>
        <w:tc>
          <w:tcPr>
            <w:tcW w:w="960" w:type="dxa"/>
            <w:vAlign w:val="bottom"/>
          </w:tcPr>
          <w:p w:rsidR="00FE77F3" w:rsidRDefault="00E3448D">
            <w:pPr>
              <w:spacing w:line="168" w:lineRule="exact"/>
              <w:ind w:left="100"/>
              <w:rPr>
                <w:sz w:val="20"/>
                <w:szCs w:val="20"/>
              </w:rPr>
            </w:pPr>
            <w:r>
              <w:rPr>
                <w:rFonts w:eastAsia="Times New Roman"/>
                <w:sz w:val="16"/>
                <w:szCs w:val="16"/>
              </w:rPr>
              <w:t>78 (44.8%)</w:t>
            </w:r>
          </w:p>
        </w:tc>
        <w:tc>
          <w:tcPr>
            <w:tcW w:w="1080" w:type="dxa"/>
            <w:vAlign w:val="bottom"/>
          </w:tcPr>
          <w:p w:rsidR="00FE77F3" w:rsidRDefault="00E3448D">
            <w:pPr>
              <w:spacing w:line="168" w:lineRule="exact"/>
              <w:ind w:left="140"/>
              <w:rPr>
                <w:sz w:val="20"/>
                <w:szCs w:val="20"/>
              </w:rPr>
            </w:pPr>
            <w:r>
              <w:rPr>
                <w:rFonts w:eastAsia="Times New Roman"/>
                <w:sz w:val="16"/>
                <w:szCs w:val="16"/>
              </w:rPr>
              <w:t>60 (34.5%)</w:t>
            </w:r>
          </w:p>
        </w:tc>
        <w:tc>
          <w:tcPr>
            <w:tcW w:w="1000" w:type="dxa"/>
            <w:vAlign w:val="bottom"/>
          </w:tcPr>
          <w:p w:rsidR="00FE77F3" w:rsidRDefault="00E3448D">
            <w:pPr>
              <w:spacing w:line="168" w:lineRule="exact"/>
              <w:ind w:left="160"/>
              <w:rPr>
                <w:sz w:val="20"/>
                <w:szCs w:val="20"/>
              </w:rPr>
            </w:pPr>
            <w:r>
              <w:rPr>
                <w:rFonts w:eastAsia="Times New Roman"/>
                <w:sz w:val="16"/>
                <w:szCs w:val="16"/>
              </w:rPr>
              <w:t>36 (20.7%)</w:t>
            </w:r>
          </w:p>
        </w:tc>
        <w:tc>
          <w:tcPr>
            <w:tcW w:w="420" w:type="dxa"/>
            <w:vAlign w:val="bottom"/>
          </w:tcPr>
          <w:p w:rsidR="00FE77F3" w:rsidRDefault="00E3448D">
            <w:pPr>
              <w:spacing w:line="168" w:lineRule="exact"/>
              <w:ind w:left="120"/>
              <w:rPr>
                <w:sz w:val="20"/>
                <w:szCs w:val="20"/>
              </w:rPr>
            </w:pPr>
            <w:r>
              <w:rPr>
                <w:rFonts w:eastAsia="Times New Roman"/>
                <w:w w:val="99"/>
                <w:sz w:val="16"/>
                <w:szCs w:val="16"/>
              </w:rPr>
              <w:t>3.01</w:t>
            </w:r>
          </w:p>
        </w:tc>
        <w:tc>
          <w:tcPr>
            <w:tcW w:w="500" w:type="dxa"/>
            <w:vAlign w:val="bottom"/>
          </w:tcPr>
          <w:p w:rsidR="00FE77F3" w:rsidRDefault="00E3448D">
            <w:pPr>
              <w:spacing w:line="168" w:lineRule="exact"/>
              <w:ind w:left="20"/>
              <w:rPr>
                <w:sz w:val="20"/>
                <w:szCs w:val="20"/>
              </w:rPr>
            </w:pPr>
            <w:r>
              <w:rPr>
                <w:rFonts w:eastAsia="Times New Roman"/>
                <w:sz w:val="16"/>
                <w:szCs w:val="16"/>
              </w:rPr>
              <w:t>(1.12)</w:t>
            </w:r>
          </w:p>
        </w:tc>
        <w:tc>
          <w:tcPr>
            <w:tcW w:w="1240" w:type="dxa"/>
            <w:gridSpan w:val="2"/>
            <w:vAlign w:val="bottom"/>
          </w:tcPr>
          <w:p w:rsidR="00FE77F3" w:rsidRDefault="00E3448D">
            <w:pPr>
              <w:spacing w:line="168" w:lineRule="exact"/>
              <w:ind w:left="180"/>
              <w:rPr>
                <w:sz w:val="20"/>
                <w:szCs w:val="20"/>
              </w:rPr>
            </w:pPr>
            <w:r>
              <w:rPr>
                <w:rFonts w:eastAsia="Times New Roman"/>
                <w:sz w:val="16"/>
                <w:szCs w:val="16"/>
              </w:rPr>
              <w:t>2.98 (1.07)</w:t>
            </w:r>
          </w:p>
        </w:tc>
        <w:tc>
          <w:tcPr>
            <w:tcW w:w="0" w:type="dxa"/>
            <w:vAlign w:val="bottom"/>
          </w:tcPr>
          <w:p w:rsidR="00FE77F3" w:rsidRDefault="00FE77F3">
            <w:pPr>
              <w:rPr>
                <w:sz w:val="1"/>
                <w:szCs w:val="1"/>
              </w:rPr>
            </w:pPr>
          </w:p>
        </w:tc>
      </w:tr>
      <w:tr w:rsidR="00FE77F3">
        <w:trPr>
          <w:trHeight w:val="367"/>
        </w:trPr>
        <w:tc>
          <w:tcPr>
            <w:tcW w:w="20" w:type="dxa"/>
            <w:vAlign w:val="bottom"/>
          </w:tcPr>
          <w:p w:rsidR="00FE77F3" w:rsidRDefault="00FE77F3">
            <w:pPr>
              <w:rPr>
                <w:sz w:val="24"/>
                <w:szCs w:val="24"/>
              </w:rPr>
            </w:pPr>
          </w:p>
        </w:tc>
        <w:tc>
          <w:tcPr>
            <w:tcW w:w="1700" w:type="dxa"/>
            <w:gridSpan w:val="2"/>
            <w:vAlign w:val="bottom"/>
          </w:tcPr>
          <w:p w:rsidR="00FE77F3" w:rsidRDefault="00E3448D">
            <w:pPr>
              <w:ind w:left="100"/>
              <w:rPr>
                <w:sz w:val="20"/>
                <w:szCs w:val="20"/>
              </w:rPr>
            </w:pPr>
            <w:r>
              <w:rPr>
                <w:rFonts w:eastAsia="Times New Roman"/>
                <w:sz w:val="16"/>
                <w:szCs w:val="16"/>
              </w:rPr>
              <w:t>1-1 (</w:t>
            </w:r>
            <w:r>
              <w:rPr>
                <w:rFonts w:eastAsia="Times New Roman"/>
                <w:i/>
                <w:iCs/>
                <w:sz w:val="16"/>
                <w:szCs w:val="16"/>
              </w:rPr>
              <w:t>N</w:t>
            </w:r>
            <w:r>
              <w:rPr>
                <w:rFonts w:eastAsia="Times New Roman"/>
                <w:sz w:val="16"/>
                <w:szCs w:val="16"/>
              </w:rPr>
              <w:t>=38)</w:t>
            </w:r>
          </w:p>
        </w:tc>
        <w:tc>
          <w:tcPr>
            <w:tcW w:w="1020" w:type="dxa"/>
            <w:vAlign w:val="bottom"/>
          </w:tcPr>
          <w:p w:rsidR="00FE77F3" w:rsidRDefault="00E3448D">
            <w:pPr>
              <w:ind w:left="160"/>
              <w:rPr>
                <w:sz w:val="20"/>
                <w:szCs w:val="20"/>
              </w:rPr>
            </w:pPr>
            <w:r>
              <w:rPr>
                <w:rFonts w:eastAsia="Times New Roman"/>
                <w:sz w:val="16"/>
                <w:szCs w:val="16"/>
              </w:rPr>
              <w:t>1</w:t>
            </w:r>
          </w:p>
        </w:tc>
        <w:tc>
          <w:tcPr>
            <w:tcW w:w="1060" w:type="dxa"/>
            <w:vAlign w:val="bottom"/>
          </w:tcPr>
          <w:p w:rsidR="00FE77F3" w:rsidRDefault="00E3448D">
            <w:pPr>
              <w:ind w:left="100"/>
              <w:rPr>
                <w:sz w:val="20"/>
                <w:szCs w:val="20"/>
              </w:rPr>
            </w:pPr>
            <w:r>
              <w:rPr>
                <w:rFonts w:eastAsia="Times New Roman"/>
                <w:sz w:val="16"/>
                <w:szCs w:val="16"/>
              </w:rPr>
              <w:t>1</w:t>
            </w:r>
          </w:p>
        </w:tc>
        <w:tc>
          <w:tcPr>
            <w:tcW w:w="560" w:type="dxa"/>
            <w:vAlign w:val="bottom"/>
          </w:tcPr>
          <w:p w:rsidR="00FE77F3" w:rsidRDefault="00E3448D">
            <w:pPr>
              <w:ind w:left="100"/>
              <w:rPr>
                <w:sz w:val="20"/>
                <w:szCs w:val="20"/>
              </w:rPr>
            </w:pPr>
            <w:r>
              <w:rPr>
                <w:rFonts w:eastAsia="Times New Roman"/>
                <w:sz w:val="16"/>
                <w:szCs w:val="16"/>
              </w:rPr>
              <w:t>2</w:t>
            </w:r>
          </w:p>
        </w:tc>
        <w:tc>
          <w:tcPr>
            <w:tcW w:w="960" w:type="dxa"/>
            <w:vAlign w:val="bottom"/>
          </w:tcPr>
          <w:p w:rsidR="00FE77F3" w:rsidRDefault="00E3448D">
            <w:pPr>
              <w:ind w:left="100"/>
              <w:rPr>
                <w:sz w:val="20"/>
                <w:szCs w:val="20"/>
              </w:rPr>
            </w:pPr>
            <w:r>
              <w:rPr>
                <w:rFonts w:eastAsia="Times New Roman"/>
                <w:sz w:val="16"/>
                <w:szCs w:val="16"/>
              </w:rPr>
              <w:t>14 (36.8%)</w:t>
            </w:r>
          </w:p>
        </w:tc>
        <w:tc>
          <w:tcPr>
            <w:tcW w:w="1080" w:type="dxa"/>
            <w:vAlign w:val="bottom"/>
          </w:tcPr>
          <w:p w:rsidR="00FE77F3" w:rsidRDefault="00E3448D">
            <w:pPr>
              <w:ind w:left="140"/>
              <w:rPr>
                <w:sz w:val="20"/>
                <w:szCs w:val="20"/>
              </w:rPr>
            </w:pPr>
            <w:r>
              <w:rPr>
                <w:rFonts w:eastAsia="Times New Roman"/>
                <w:sz w:val="16"/>
                <w:szCs w:val="16"/>
              </w:rPr>
              <w:t>16 (42.1%)</w:t>
            </w:r>
          </w:p>
        </w:tc>
        <w:tc>
          <w:tcPr>
            <w:tcW w:w="1000" w:type="dxa"/>
            <w:vAlign w:val="bottom"/>
          </w:tcPr>
          <w:p w:rsidR="00FE77F3" w:rsidRDefault="00E3448D">
            <w:pPr>
              <w:ind w:left="160"/>
              <w:rPr>
                <w:sz w:val="20"/>
                <w:szCs w:val="20"/>
              </w:rPr>
            </w:pPr>
            <w:r>
              <w:rPr>
                <w:rFonts w:eastAsia="Times New Roman"/>
                <w:sz w:val="16"/>
                <w:szCs w:val="16"/>
              </w:rPr>
              <w:t>8 (21.1%)</w:t>
            </w:r>
          </w:p>
        </w:tc>
        <w:tc>
          <w:tcPr>
            <w:tcW w:w="920" w:type="dxa"/>
            <w:gridSpan w:val="2"/>
            <w:vAlign w:val="bottom"/>
          </w:tcPr>
          <w:p w:rsidR="00FE77F3" w:rsidRDefault="00E3448D">
            <w:pPr>
              <w:ind w:left="120"/>
              <w:rPr>
                <w:sz w:val="20"/>
                <w:szCs w:val="20"/>
              </w:rPr>
            </w:pPr>
            <w:r>
              <w:rPr>
                <w:rFonts w:eastAsia="Times New Roman"/>
                <w:sz w:val="16"/>
                <w:szCs w:val="16"/>
              </w:rPr>
              <w:t>3.43(.94)</w:t>
            </w:r>
          </w:p>
        </w:tc>
        <w:tc>
          <w:tcPr>
            <w:tcW w:w="400" w:type="dxa"/>
            <w:vAlign w:val="bottom"/>
          </w:tcPr>
          <w:p w:rsidR="00FE77F3" w:rsidRDefault="00E3448D">
            <w:pPr>
              <w:ind w:left="100"/>
              <w:rPr>
                <w:sz w:val="20"/>
                <w:szCs w:val="20"/>
              </w:rPr>
            </w:pPr>
            <w:r>
              <w:rPr>
                <w:rFonts w:eastAsia="Times New Roman"/>
                <w:w w:val="99"/>
                <w:sz w:val="16"/>
                <w:szCs w:val="16"/>
              </w:rPr>
              <w:t>3.31</w:t>
            </w:r>
          </w:p>
        </w:tc>
        <w:tc>
          <w:tcPr>
            <w:tcW w:w="840" w:type="dxa"/>
            <w:vAlign w:val="bottom"/>
          </w:tcPr>
          <w:p w:rsidR="00FE77F3" w:rsidRDefault="00E3448D">
            <w:pPr>
              <w:ind w:left="20"/>
              <w:rPr>
                <w:sz w:val="20"/>
                <w:szCs w:val="20"/>
              </w:rPr>
            </w:pPr>
            <w:r>
              <w:rPr>
                <w:rFonts w:eastAsia="Times New Roman"/>
                <w:sz w:val="16"/>
                <w:szCs w:val="16"/>
              </w:rPr>
              <w:t>(1.08)</w:t>
            </w:r>
          </w:p>
        </w:tc>
        <w:tc>
          <w:tcPr>
            <w:tcW w:w="0" w:type="dxa"/>
            <w:vAlign w:val="bottom"/>
          </w:tcPr>
          <w:p w:rsidR="00FE77F3" w:rsidRDefault="00FE77F3">
            <w:pPr>
              <w:rPr>
                <w:sz w:val="1"/>
                <w:szCs w:val="1"/>
              </w:rPr>
            </w:pPr>
          </w:p>
        </w:tc>
      </w:tr>
      <w:tr w:rsidR="00FE77F3">
        <w:trPr>
          <w:trHeight w:val="370"/>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1-2</w:t>
            </w:r>
          </w:p>
        </w:tc>
        <w:tc>
          <w:tcPr>
            <w:tcW w:w="136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=94)</w:t>
            </w:r>
          </w:p>
        </w:tc>
        <w:tc>
          <w:tcPr>
            <w:tcW w:w="1020" w:type="dxa"/>
            <w:vAlign w:val="bottom"/>
          </w:tcPr>
          <w:p w:rsidR="00FE77F3" w:rsidRDefault="00E3448D">
            <w:pPr>
              <w:ind w:left="160"/>
              <w:rPr>
                <w:sz w:val="20"/>
                <w:szCs w:val="20"/>
              </w:rPr>
            </w:pPr>
            <w:r>
              <w:rPr>
                <w:rFonts w:eastAsia="Times New Roman"/>
                <w:sz w:val="16"/>
                <w:szCs w:val="16"/>
              </w:rPr>
              <w:t>1</w:t>
            </w:r>
          </w:p>
        </w:tc>
        <w:tc>
          <w:tcPr>
            <w:tcW w:w="1060" w:type="dxa"/>
            <w:vAlign w:val="bottom"/>
          </w:tcPr>
          <w:p w:rsidR="00FE77F3" w:rsidRDefault="00E3448D">
            <w:pPr>
              <w:ind w:left="100"/>
              <w:rPr>
                <w:sz w:val="20"/>
                <w:szCs w:val="20"/>
              </w:rPr>
            </w:pPr>
            <w:r>
              <w:rPr>
                <w:rFonts w:eastAsia="Times New Roman"/>
                <w:sz w:val="16"/>
                <w:szCs w:val="16"/>
              </w:rPr>
              <w:t>2</w:t>
            </w:r>
          </w:p>
        </w:tc>
        <w:tc>
          <w:tcPr>
            <w:tcW w:w="560" w:type="dxa"/>
            <w:vAlign w:val="bottom"/>
          </w:tcPr>
          <w:p w:rsidR="00FE77F3" w:rsidRDefault="00E3448D">
            <w:pPr>
              <w:ind w:left="100"/>
              <w:rPr>
                <w:sz w:val="20"/>
                <w:szCs w:val="20"/>
              </w:rPr>
            </w:pPr>
            <w:r>
              <w:rPr>
                <w:rFonts w:eastAsia="Times New Roman"/>
                <w:sz w:val="16"/>
                <w:szCs w:val="16"/>
              </w:rPr>
              <w:t>3</w:t>
            </w:r>
          </w:p>
        </w:tc>
        <w:tc>
          <w:tcPr>
            <w:tcW w:w="960" w:type="dxa"/>
            <w:vAlign w:val="bottom"/>
          </w:tcPr>
          <w:p w:rsidR="00FE77F3" w:rsidRDefault="00E3448D">
            <w:pPr>
              <w:ind w:left="100"/>
              <w:rPr>
                <w:sz w:val="20"/>
                <w:szCs w:val="20"/>
              </w:rPr>
            </w:pPr>
            <w:r>
              <w:rPr>
                <w:rFonts w:eastAsia="Times New Roman"/>
                <w:sz w:val="16"/>
                <w:szCs w:val="16"/>
              </w:rPr>
              <w:t>19 (20.2%)</w:t>
            </w:r>
          </w:p>
        </w:tc>
        <w:tc>
          <w:tcPr>
            <w:tcW w:w="1080" w:type="dxa"/>
            <w:vAlign w:val="bottom"/>
          </w:tcPr>
          <w:p w:rsidR="00FE77F3" w:rsidRDefault="00E3448D">
            <w:pPr>
              <w:ind w:left="140"/>
              <w:rPr>
                <w:sz w:val="20"/>
                <w:szCs w:val="20"/>
              </w:rPr>
            </w:pPr>
            <w:r>
              <w:rPr>
                <w:rFonts w:eastAsia="Times New Roman"/>
                <w:sz w:val="16"/>
                <w:szCs w:val="16"/>
              </w:rPr>
              <w:t>61 (64.9%)</w:t>
            </w:r>
          </w:p>
        </w:tc>
        <w:tc>
          <w:tcPr>
            <w:tcW w:w="1000" w:type="dxa"/>
            <w:vAlign w:val="bottom"/>
          </w:tcPr>
          <w:p w:rsidR="00FE77F3" w:rsidRDefault="00E3448D">
            <w:pPr>
              <w:ind w:left="160"/>
              <w:rPr>
                <w:sz w:val="20"/>
                <w:szCs w:val="20"/>
              </w:rPr>
            </w:pPr>
            <w:r>
              <w:rPr>
                <w:rFonts w:eastAsia="Times New Roman"/>
                <w:sz w:val="16"/>
                <w:szCs w:val="16"/>
              </w:rPr>
              <w:t>14 (14.9%)</w:t>
            </w:r>
          </w:p>
        </w:tc>
        <w:tc>
          <w:tcPr>
            <w:tcW w:w="420" w:type="dxa"/>
            <w:vAlign w:val="bottom"/>
          </w:tcPr>
          <w:p w:rsidR="00FE77F3" w:rsidRDefault="00E3448D">
            <w:pPr>
              <w:ind w:left="120"/>
              <w:rPr>
                <w:sz w:val="20"/>
                <w:szCs w:val="20"/>
              </w:rPr>
            </w:pPr>
            <w:r>
              <w:rPr>
                <w:rFonts w:eastAsia="Times New Roman"/>
                <w:w w:val="99"/>
                <w:sz w:val="16"/>
                <w:szCs w:val="16"/>
              </w:rPr>
              <w:t>3.47</w:t>
            </w:r>
          </w:p>
        </w:tc>
        <w:tc>
          <w:tcPr>
            <w:tcW w:w="500" w:type="dxa"/>
            <w:vAlign w:val="bottom"/>
          </w:tcPr>
          <w:p w:rsidR="00FE77F3" w:rsidRDefault="00E3448D">
            <w:pPr>
              <w:ind w:left="20"/>
              <w:rPr>
                <w:sz w:val="20"/>
                <w:szCs w:val="20"/>
              </w:rPr>
            </w:pPr>
            <w:r>
              <w:rPr>
                <w:rFonts w:eastAsia="Times New Roman"/>
                <w:sz w:val="16"/>
                <w:szCs w:val="16"/>
              </w:rPr>
              <w:t>(.97)</w:t>
            </w:r>
          </w:p>
        </w:tc>
        <w:tc>
          <w:tcPr>
            <w:tcW w:w="400" w:type="dxa"/>
            <w:vAlign w:val="bottom"/>
          </w:tcPr>
          <w:p w:rsidR="00FE77F3" w:rsidRDefault="00E3448D">
            <w:pPr>
              <w:ind w:left="100"/>
              <w:rPr>
                <w:sz w:val="20"/>
                <w:szCs w:val="20"/>
              </w:rPr>
            </w:pPr>
            <w:r>
              <w:rPr>
                <w:rFonts w:eastAsia="Times New Roman"/>
                <w:w w:val="99"/>
                <w:sz w:val="16"/>
                <w:szCs w:val="16"/>
              </w:rPr>
              <w:t>3.37</w:t>
            </w:r>
          </w:p>
        </w:tc>
        <w:tc>
          <w:tcPr>
            <w:tcW w:w="840" w:type="dxa"/>
            <w:vAlign w:val="bottom"/>
          </w:tcPr>
          <w:p w:rsidR="00FE77F3" w:rsidRDefault="00E3448D">
            <w:pPr>
              <w:ind w:left="20"/>
              <w:rPr>
                <w:sz w:val="20"/>
                <w:szCs w:val="20"/>
              </w:rPr>
            </w:pPr>
            <w:r>
              <w:rPr>
                <w:rFonts w:eastAsia="Times New Roman"/>
                <w:sz w:val="16"/>
                <w:szCs w:val="16"/>
              </w:rPr>
              <w:t>(.97)</w:t>
            </w:r>
          </w:p>
        </w:tc>
        <w:tc>
          <w:tcPr>
            <w:tcW w:w="0" w:type="dxa"/>
            <w:vAlign w:val="bottom"/>
          </w:tcPr>
          <w:p w:rsidR="00FE77F3" w:rsidRDefault="00FE77F3">
            <w:pPr>
              <w:rPr>
                <w:sz w:val="1"/>
                <w:szCs w:val="1"/>
              </w:rPr>
            </w:pPr>
          </w:p>
        </w:tc>
      </w:tr>
      <w:tr w:rsidR="00FE77F3">
        <w:trPr>
          <w:trHeight w:val="367"/>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1-5</w:t>
            </w:r>
          </w:p>
        </w:tc>
        <w:tc>
          <w:tcPr>
            <w:tcW w:w="136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=76)</w:t>
            </w:r>
          </w:p>
        </w:tc>
        <w:tc>
          <w:tcPr>
            <w:tcW w:w="1020" w:type="dxa"/>
            <w:vAlign w:val="bottom"/>
          </w:tcPr>
          <w:p w:rsidR="00FE77F3" w:rsidRDefault="00E3448D">
            <w:pPr>
              <w:ind w:left="160"/>
              <w:rPr>
                <w:sz w:val="20"/>
                <w:szCs w:val="20"/>
              </w:rPr>
            </w:pPr>
            <w:r>
              <w:rPr>
                <w:rFonts w:eastAsia="Times New Roman"/>
                <w:sz w:val="16"/>
                <w:szCs w:val="16"/>
              </w:rPr>
              <w:t>1</w:t>
            </w:r>
          </w:p>
        </w:tc>
        <w:tc>
          <w:tcPr>
            <w:tcW w:w="1060" w:type="dxa"/>
            <w:vAlign w:val="bottom"/>
          </w:tcPr>
          <w:p w:rsidR="00FE77F3" w:rsidRDefault="00E3448D">
            <w:pPr>
              <w:ind w:left="100"/>
              <w:rPr>
                <w:sz w:val="20"/>
                <w:szCs w:val="20"/>
              </w:rPr>
            </w:pPr>
            <w:r>
              <w:rPr>
                <w:rFonts w:eastAsia="Times New Roman"/>
                <w:sz w:val="16"/>
                <w:szCs w:val="16"/>
              </w:rPr>
              <w:t>5</w:t>
            </w:r>
          </w:p>
        </w:tc>
        <w:tc>
          <w:tcPr>
            <w:tcW w:w="560" w:type="dxa"/>
            <w:vAlign w:val="bottom"/>
          </w:tcPr>
          <w:p w:rsidR="00FE77F3" w:rsidRDefault="00E3448D">
            <w:pPr>
              <w:ind w:left="100"/>
              <w:rPr>
                <w:sz w:val="20"/>
                <w:szCs w:val="20"/>
              </w:rPr>
            </w:pPr>
            <w:r>
              <w:rPr>
                <w:rFonts w:eastAsia="Times New Roman"/>
                <w:sz w:val="16"/>
                <w:szCs w:val="16"/>
              </w:rPr>
              <w:t>6</w:t>
            </w:r>
          </w:p>
        </w:tc>
        <w:tc>
          <w:tcPr>
            <w:tcW w:w="960" w:type="dxa"/>
            <w:vAlign w:val="bottom"/>
          </w:tcPr>
          <w:p w:rsidR="00FE77F3" w:rsidRDefault="00E3448D">
            <w:pPr>
              <w:ind w:left="100"/>
              <w:rPr>
                <w:sz w:val="20"/>
                <w:szCs w:val="20"/>
              </w:rPr>
            </w:pPr>
            <w:r>
              <w:rPr>
                <w:rFonts w:eastAsia="Times New Roman"/>
                <w:sz w:val="16"/>
                <w:szCs w:val="16"/>
              </w:rPr>
              <w:t>6 (7.9%)</w:t>
            </w:r>
          </w:p>
        </w:tc>
        <w:tc>
          <w:tcPr>
            <w:tcW w:w="1080" w:type="dxa"/>
            <w:vAlign w:val="bottom"/>
          </w:tcPr>
          <w:p w:rsidR="00FE77F3" w:rsidRDefault="00E3448D">
            <w:pPr>
              <w:ind w:left="140"/>
              <w:rPr>
                <w:sz w:val="20"/>
                <w:szCs w:val="20"/>
              </w:rPr>
            </w:pPr>
            <w:r>
              <w:rPr>
                <w:rFonts w:eastAsia="Times New Roman"/>
                <w:sz w:val="16"/>
                <w:szCs w:val="16"/>
              </w:rPr>
              <w:t>61 (80.3%)</w:t>
            </w:r>
          </w:p>
        </w:tc>
        <w:tc>
          <w:tcPr>
            <w:tcW w:w="1000" w:type="dxa"/>
            <w:vAlign w:val="bottom"/>
          </w:tcPr>
          <w:p w:rsidR="00FE77F3" w:rsidRDefault="00E3448D">
            <w:pPr>
              <w:ind w:left="160"/>
              <w:rPr>
                <w:sz w:val="20"/>
                <w:szCs w:val="20"/>
              </w:rPr>
            </w:pPr>
            <w:r>
              <w:rPr>
                <w:rFonts w:eastAsia="Times New Roman"/>
                <w:sz w:val="16"/>
                <w:szCs w:val="16"/>
              </w:rPr>
              <w:t>9 (11.8%)</w:t>
            </w:r>
          </w:p>
        </w:tc>
        <w:tc>
          <w:tcPr>
            <w:tcW w:w="420" w:type="dxa"/>
            <w:vAlign w:val="bottom"/>
          </w:tcPr>
          <w:p w:rsidR="00FE77F3" w:rsidRDefault="00E3448D">
            <w:pPr>
              <w:ind w:left="120"/>
              <w:rPr>
                <w:sz w:val="20"/>
                <w:szCs w:val="20"/>
              </w:rPr>
            </w:pPr>
            <w:r>
              <w:rPr>
                <w:rFonts w:eastAsia="Times New Roman"/>
                <w:w w:val="99"/>
                <w:sz w:val="16"/>
                <w:szCs w:val="16"/>
              </w:rPr>
              <w:t>3.17</w:t>
            </w:r>
          </w:p>
        </w:tc>
        <w:tc>
          <w:tcPr>
            <w:tcW w:w="500" w:type="dxa"/>
            <w:vAlign w:val="bottom"/>
          </w:tcPr>
          <w:p w:rsidR="00FE77F3" w:rsidRDefault="00E3448D">
            <w:pPr>
              <w:ind w:left="20"/>
              <w:rPr>
                <w:sz w:val="20"/>
                <w:szCs w:val="20"/>
              </w:rPr>
            </w:pPr>
            <w:r>
              <w:rPr>
                <w:rFonts w:eastAsia="Times New Roman"/>
                <w:sz w:val="16"/>
                <w:szCs w:val="16"/>
              </w:rPr>
              <w:t>(.75)</w:t>
            </w:r>
          </w:p>
        </w:tc>
        <w:tc>
          <w:tcPr>
            <w:tcW w:w="400" w:type="dxa"/>
            <w:vAlign w:val="bottom"/>
          </w:tcPr>
          <w:p w:rsidR="00FE77F3" w:rsidRDefault="00E3448D">
            <w:pPr>
              <w:ind w:left="100"/>
              <w:rPr>
                <w:sz w:val="20"/>
                <w:szCs w:val="20"/>
              </w:rPr>
            </w:pPr>
            <w:r>
              <w:rPr>
                <w:rFonts w:eastAsia="Times New Roman"/>
                <w:w w:val="99"/>
                <w:sz w:val="16"/>
                <w:szCs w:val="16"/>
              </w:rPr>
              <w:t>3.41</w:t>
            </w:r>
          </w:p>
        </w:tc>
        <w:tc>
          <w:tcPr>
            <w:tcW w:w="840" w:type="dxa"/>
            <w:vAlign w:val="bottom"/>
          </w:tcPr>
          <w:p w:rsidR="00FE77F3" w:rsidRDefault="00E3448D">
            <w:pPr>
              <w:ind w:left="20"/>
              <w:rPr>
                <w:sz w:val="20"/>
                <w:szCs w:val="20"/>
              </w:rPr>
            </w:pPr>
            <w:r>
              <w:rPr>
                <w:rFonts w:eastAsia="Times New Roman"/>
                <w:sz w:val="16"/>
                <w:szCs w:val="16"/>
              </w:rPr>
              <w:t>(.96)</w:t>
            </w:r>
          </w:p>
        </w:tc>
        <w:tc>
          <w:tcPr>
            <w:tcW w:w="0" w:type="dxa"/>
            <w:vAlign w:val="bottom"/>
          </w:tcPr>
          <w:p w:rsidR="00FE77F3" w:rsidRDefault="00FE77F3">
            <w:pPr>
              <w:rPr>
                <w:sz w:val="1"/>
                <w:szCs w:val="1"/>
              </w:rPr>
            </w:pPr>
          </w:p>
        </w:tc>
      </w:tr>
      <w:tr w:rsidR="00FE77F3">
        <w:trPr>
          <w:trHeight w:val="367"/>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2-1</w:t>
            </w:r>
          </w:p>
        </w:tc>
        <w:tc>
          <w:tcPr>
            <w:tcW w:w="136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=56)</w:t>
            </w:r>
          </w:p>
        </w:tc>
        <w:tc>
          <w:tcPr>
            <w:tcW w:w="1020" w:type="dxa"/>
            <w:vAlign w:val="bottom"/>
          </w:tcPr>
          <w:p w:rsidR="00FE77F3" w:rsidRDefault="00E3448D">
            <w:pPr>
              <w:ind w:left="160"/>
              <w:rPr>
                <w:sz w:val="20"/>
                <w:szCs w:val="20"/>
              </w:rPr>
            </w:pPr>
            <w:r>
              <w:rPr>
                <w:rFonts w:eastAsia="Times New Roman"/>
                <w:sz w:val="16"/>
                <w:szCs w:val="16"/>
              </w:rPr>
              <w:t>2</w:t>
            </w:r>
          </w:p>
        </w:tc>
        <w:tc>
          <w:tcPr>
            <w:tcW w:w="1060" w:type="dxa"/>
            <w:vAlign w:val="bottom"/>
          </w:tcPr>
          <w:p w:rsidR="00FE77F3" w:rsidRDefault="00E3448D">
            <w:pPr>
              <w:ind w:left="100"/>
              <w:rPr>
                <w:sz w:val="20"/>
                <w:szCs w:val="20"/>
              </w:rPr>
            </w:pPr>
            <w:r>
              <w:rPr>
                <w:rFonts w:eastAsia="Times New Roman"/>
                <w:sz w:val="16"/>
                <w:szCs w:val="16"/>
              </w:rPr>
              <w:t>1</w:t>
            </w:r>
          </w:p>
        </w:tc>
        <w:tc>
          <w:tcPr>
            <w:tcW w:w="560" w:type="dxa"/>
            <w:vAlign w:val="bottom"/>
          </w:tcPr>
          <w:p w:rsidR="00FE77F3" w:rsidRDefault="00E3448D">
            <w:pPr>
              <w:ind w:left="100"/>
              <w:rPr>
                <w:sz w:val="20"/>
                <w:szCs w:val="20"/>
              </w:rPr>
            </w:pPr>
            <w:r>
              <w:rPr>
                <w:rFonts w:eastAsia="Times New Roman"/>
                <w:sz w:val="16"/>
                <w:szCs w:val="16"/>
              </w:rPr>
              <w:t>3</w:t>
            </w:r>
          </w:p>
        </w:tc>
        <w:tc>
          <w:tcPr>
            <w:tcW w:w="960" w:type="dxa"/>
            <w:vAlign w:val="bottom"/>
          </w:tcPr>
          <w:p w:rsidR="00FE77F3" w:rsidRDefault="00E3448D">
            <w:pPr>
              <w:ind w:left="100"/>
              <w:rPr>
                <w:sz w:val="20"/>
                <w:szCs w:val="20"/>
              </w:rPr>
            </w:pPr>
            <w:r>
              <w:rPr>
                <w:rFonts w:eastAsia="Times New Roman"/>
                <w:sz w:val="16"/>
                <w:szCs w:val="16"/>
              </w:rPr>
              <w:t>26 (46.4%)</w:t>
            </w:r>
          </w:p>
        </w:tc>
        <w:tc>
          <w:tcPr>
            <w:tcW w:w="1080" w:type="dxa"/>
            <w:vAlign w:val="bottom"/>
          </w:tcPr>
          <w:p w:rsidR="00FE77F3" w:rsidRDefault="00E3448D">
            <w:pPr>
              <w:ind w:left="140"/>
              <w:rPr>
                <w:sz w:val="20"/>
                <w:szCs w:val="20"/>
              </w:rPr>
            </w:pPr>
            <w:r>
              <w:rPr>
                <w:rFonts w:eastAsia="Times New Roman"/>
                <w:sz w:val="16"/>
                <w:szCs w:val="16"/>
              </w:rPr>
              <w:t>20 (35.7%)</w:t>
            </w:r>
          </w:p>
        </w:tc>
        <w:tc>
          <w:tcPr>
            <w:tcW w:w="1000" w:type="dxa"/>
            <w:vAlign w:val="bottom"/>
          </w:tcPr>
          <w:p w:rsidR="00FE77F3" w:rsidRDefault="00E3448D">
            <w:pPr>
              <w:ind w:left="160"/>
              <w:rPr>
                <w:sz w:val="20"/>
                <w:szCs w:val="20"/>
              </w:rPr>
            </w:pPr>
            <w:r>
              <w:rPr>
                <w:rFonts w:eastAsia="Times New Roman"/>
                <w:sz w:val="16"/>
                <w:szCs w:val="16"/>
              </w:rPr>
              <w:t>10 (17.9%)</w:t>
            </w:r>
          </w:p>
        </w:tc>
        <w:tc>
          <w:tcPr>
            <w:tcW w:w="920" w:type="dxa"/>
            <w:gridSpan w:val="2"/>
            <w:vAlign w:val="bottom"/>
          </w:tcPr>
          <w:p w:rsidR="00FE77F3" w:rsidRDefault="00E3448D">
            <w:pPr>
              <w:ind w:left="120"/>
              <w:rPr>
                <w:sz w:val="20"/>
                <w:szCs w:val="20"/>
              </w:rPr>
            </w:pPr>
            <w:r>
              <w:rPr>
                <w:rFonts w:eastAsia="Times New Roman"/>
                <w:sz w:val="16"/>
                <w:szCs w:val="16"/>
              </w:rPr>
              <w:t>3.5 (1.03)</w:t>
            </w:r>
          </w:p>
        </w:tc>
        <w:tc>
          <w:tcPr>
            <w:tcW w:w="400" w:type="dxa"/>
            <w:vAlign w:val="bottom"/>
          </w:tcPr>
          <w:p w:rsidR="00FE77F3" w:rsidRDefault="00E3448D">
            <w:pPr>
              <w:ind w:left="100"/>
              <w:rPr>
                <w:sz w:val="20"/>
                <w:szCs w:val="20"/>
              </w:rPr>
            </w:pPr>
            <w:r>
              <w:rPr>
                <w:rFonts w:eastAsia="Times New Roman"/>
                <w:w w:val="99"/>
                <w:sz w:val="16"/>
                <w:szCs w:val="16"/>
              </w:rPr>
              <w:t>3.05</w:t>
            </w:r>
          </w:p>
        </w:tc>
        <w:tc>
          <w:tcPr>
            <w:tcW w:w="840" w:type="dxa"/>
            <w:vAlign w:val="bottom"/>
          </w:tcPr>
          <w:p w:rsidR="00FE77F3" w:rsidRDefault="00E3448D">
            <w:pPr>
              <w:ind w:left="20"/>
              <w:rPr>
                <w:sz w:val="20"/>
                <w:szCs w:val="20"/>
              </w:rPr>
            </w:pPr>
            <w:r>
              <w:rPr>
                <w:rFonts w:eastAsia="Times New Roman"/>
                <w:sz w:val="16"/>
                <w:szCs w:val="16"/>
              </w:rPr>
              <w:t>(1)</w:t>
            </w:r>
          </w:p>
        </w:tc>
        <w:tc>
          <w:tcPr>
            <w:tcW w:w="0" w:type="dxa"/>
            <w:vAlign w:val="bottom"/>
          </w:tcPr>
          <w:p w:rsidR="00FE77F3" w:rsidRDefault="00FE77F3">
            <w:pPr>
              <w:rPr>
                <w:sz w:val="1"/>
                <w:szCs w:val="1"/>
              </w:rPr>
            </w:pPr>
          </w:p>
        </w:tc>
      </w:tr>
      <w:tr w:rsidR="00FE77F3">
        <w:trPr>
          <w:trHeight w:val="370"/>
        </w:trPr>
        <w:tc>
          <w:tcPr>
            <w:tcW w:w="20" w:type="dxa"/>
            <w:vAlign w:val="bottom"/>
          </w:tcPr>
          <w:p w:rsidR="00FE77F3" w:rsidRDefault="00FE77F3">
            <w:pPr>
              <w:rPr>
                <w:sz w:val="24"/>
                <w:szCs w:val="24"/>
              </w:rPr>
            </w:pPr>
          </w:p>
        </w:tc>
        <w:tc>
          <w:tcPr>
            <w:tcW w:w="340" w:type="dxa"/>
            <w:vAlign w:val="bottom"/>
          </w:tcPr>
          <w:p w:rsidR="00FE77F3" w:rsidRDefault="00E3448D">
            <w:pPr>
              <w:ind w:left="100"/>
              <w:rPr>
                <w:sz w:val="20"/>
                <w:szCs w:val="20"/>
              </w:rPr>
            </w:pPr>
            <w:r>
              <w:rPr>
                <w:rFonts w:eastAsia="Times New Roman"/>
                <w:sz w:val="16"/>
                <w:szCs w:val="16"/>
              </w:rPr>
              <w:t>5-1</w:t>
            </w:r>
          </w:p>
        </w:tc>
        <w:tc>
          <w:tcPr>
            <w:tcW w:w="1360" w:type="dxa"/>
            <w:vAlign w:val="bottom"/>
          </w:tcPr>
          <w:p w:rsidR="00FE77F3" w:rsidRDefault="00E3448D">
            <w:pPr>
              <w:ind w:left="20"/>
              <w:rPr>
                <w:sz w:val="20"/>
                <w:szCs w:val="20"/>
              </w:rPr>
            </w:pPr>
            <w:r>
              <w:rPr>
                <w:rFonts w:eastAsia="Times New Roman"/>
                <w:sz w:val="16"/>
                <w:szCs w:val="16"/>
              </w:rPr>
              <w:t>(</w:t>
            </w:r>
            <w:r>
              <w:rPr>
                <w:rFonts w:eastAsia="Times New Roman"/>
                <w:i/>
                <w:iCs/>
                <w:sz w:val="16"/>
                <w:szCs w:val="16"/>
              </w:rPr>
              <w:t>N</w:t>
            </w:r>
            <w:r>
              <w:rPr>
                <w:rFonts w:eastAsia="Times New Roman"/>
                <w:sz w:val="16"/>
                <w:szCs w:val="16"/>
              </w:rPr>
              <w:t>= 170)</w:t>
            </w:r>
          </w:p>
        </w:tc>
        <w:tc>
          <w:tcPr>
            <w:tcW w:w="1020" w:type="dxa"/>
            <w:vAlign w:val="bottom"/>
          </w:tcPr>
          <w:p w:rsidR="00FE77F3" w:rsidRDefault="00E3448D">
            <w:pPr>
              <w:ind w:left="160"/>
              <w:rPr>
                <w:sz w:val="20"/>
                <w:szCs w:val="20"/>
              </w:rPr>
            </w:pPr>
            <w:r>
              <w:rPr>
                <w:rFonts w:eastAsia="Times New Roman"/>
                <w:sz w:val="16"/>
                <w:szCs w:val="16"/>
              </w:rPr>
              <w:t>5</w:t>
            </w:r>
          </w:p>
        </w:tc>
        <w:tc>
          <w:tcPr>
            <w:tcW w:w="1060" w:type="dxa"/>
            <w:vAlign w:val="bottom"/>
          </w:tcPr>
          <w:p w:rsidR="00FE77F3" w:rsidRDefault="00E3448D">
            <w:pPr>
              <w:ind w:left="100"/>
              <w:rPr>
                <w:sz w:val="20"/>
                <w:szCs w:val="20"/>
              </w:rPr>
            </w:pPr>
            <w:r>
              <w:rPr>
                <w:rFonts w:eastAsia="Times New Roman"/>
                <w:sz w:val="16"/>
                <w:szCs w:val="16"/>
              </w:rPr>
              <w:t>1</w:t>
            </w:r>
          </w:p>
        </w:tc>
        <w:tc>
          <w:tcPr>
            <w:tcW w:w="560" w:type="dxa"/>
            <w:vAlign w:val="bottom"/>
          </w:tcPr>
          <w:p w:rsidR="00FE77F3" w:rsidRDefault="00E3448D">
            <w:pPr>
              <w:ind w:left="100"/>
              <w:rPr>
                <w:sz w:val="20"/>
                <w:szCs w:val="20"/>
              </w:rPr>
            </w:pPr>
            <w:r>
              <w:rPr>
                <w:rFonts w:eastAsia="Times New Roman"/>
                <w:sz w:val="16"/>
                <w:szCs w:val="16"/>
              </w:rPr>
              <w:t>6</w:t>
            </w:r>
          </w:p>
        </w:tc>
        <w:tc>
          <w:tcPr>
            <w:tcW w:w="960" w:type="dxa"/>
            <w:vAlign w:val="bottom"/>
          </w:tcPr>
          <w:p w:rsidR="00FE77F3" w:rsidRDefault="00E3448D">
            <w:pPr>
              <w:ind w:left="100"/>
              <w:rPr>
                <w:sz w:val="20"/>
                <w:szCs w:val="20"/>
              </w:rPr>
            </w:pPr>
            <w:r>
              <w:rPr>
                <w:rFonts w:eastAsia="Times New Roman"/>
                <w:sz w:val="16"/>
                <w:szCs w:val="16"/>
              </w:rPr>
              <w:t>80 (47.1%)</w:t>
            </w:r>
          </w:p>
        </w:tc>
        <w:tc>
          <w:tcPr>
            <w:tcW w:w="1080" w:type="dxa"/>
            <w:vAlign w:val="bottom"/>
          </w:tcPr>
          <w:p w:rsidR="00FE77F3" w:rsidRDefault="00E3448D">
            <w:pPr>
              <w:ind w:left="140"/>
              <w:rPr>
                <w:sz w:val="20"/>
                <w:szCs w:val="20"/>
              </w:rPr>
            </w:pPr>
            <w:r>
              <w:rPr>
                <w:rFonts w:eastAsia="Times New Roman"/>
                <w:sz w:val="16"/>
                <w:szCs w:val="16"/>
              </w:rPr>
              <w:t>61 (35.9%)</w:t>
            </w:r>
          </w:p>
        </w:tc>
        <w:tc>
          <w:tcPr>
            <w:tcW w:w="1000" w:type="dxa"/>
            <w:vAlign w:val="bottom"/>
          </w:tcPr>
          <w:p w:rsidR="00FE77F3" w:rsidRDefault="00E3448D">
            <w:pPr>
              <w:ind w:left="160"/>
              <w:rPr>
                <w:sz w:val="20"/>
                <w:szCs w:val="20"/>
              </w:rPr>
            </w:pPr>
            <w:r>
              <w:rPr>
                <w:rFonts w:eastAsia="Times New Roman"/>
                <w:sz w:val="16"/>
                <w:szCs w:val="16"/>
              </w:rPr>
              <w:t>29 (17.1%)</w:t>
            </w:r>
          </w:p>
        </w:tc>
        <w:tc>
          <w:tcPr>
            <w:tcW w:w="920" w:type="dxa"/>
            <w:gridSpan w:val="2"/>
            <w:vAlign w:val="bottom"/>
          </w:tcPr>
          <w:p w:rsidR="00FE77F3" w:rsidRDefault="00E3448D">
            <w:pPr>
              <w:ind w:left="120"/>
              <w:rPr>
                <w:sz w:val="20"/>
                <w:szCs w:val="20"/>
              </w:rPr>
            </w:pPr>
            <w:r>
              <w:rPr>
                <w:rFonts w:eastAsia="Times New Roman"/>
                <w:sz w:val="16"/>
                <w:szCs w:val="16"/>
              </w:rPr>
              <w:t>3.4 (1.11)</w:t>
            </w:r>
          </w:p>
        </w:tc>
        <w:tc>
          <w:tcPr>
            <w:tcW w:w="400" w:type="dxa"/>
            <w:vAlign w:val="bottom"/>
          </w:tcPr>
          <w:p w:rsidR="00FE77F3" w:rsidRDefault="00E3448D">
            <w:pPr>
              <w:ind w:left="100"/>
              <w:rPr>
                <w:sz w:val="20"/>
                <w:szCs w:val="20"/>
              </w:rPr>
            </w:pPr>
            <w:r>
              <w:rPr>
                <w:rFonts w:eastAsia="Times New Roman"/>
                <w:w w:val="99"/>
                <w:sz w:val="16"/>
                <w:szCs w:val="16"/>
              </w:rPr>
              <w:t>2.92</w:t>
            </w:r>
          </w:p>
        </w:tc>
        <w:tc>
          <w:tcPr>
            <w:tcW w:w="840" w:type="dxa"/>
            <w:vAlign w:val="bottom"/>
          </w:tcPr>
          <w:p w:rsidR="00FE77F3" w:rsidRDefault="00E3448D">
            <w:pPr>
              <w:ind w:left="20"/>
              <w:rPr>
                <w:sz w:val="20"/>
                <w:szCs w:val="20"/>
              </w:rPr>
            </w:pPr>
            <w:r>
              <w:rPr>
                <w:rFonts w:eastAsia="Times New Roman"/>
                <w:sz w:val="16"/>
                <w:szCs w:val="16"/>
              </w:rPr>
              <w:t>(1.11)</w:t>
            </w:r>
          </w:p>
        </w:tc>
        <w:tc>
          <w:tcPr>
            <w:tcW w:w="0" w:type="dxa"/>
            <w:vAlign w:val="bottom"/>
          </w:tcPr>
          <w:p w:rsidR="00FE77F3" w:rsidRDefault="00FE77F3">
            <w:pPr>
              <w:rPr>
                <w:sz w:val="1"/>
                <w:szCs w:val="1"/>
              </w:rPr>
            </w:pPr>
          </w:p>
        </w:tc>
      </w:tr>
      <w:tr w:rsidR="00FE77F3">
        <w:trPr>
          <w:trHeight w:val="189"/>
        </w:trPr>
        <w:tc>
          <w:tcPr>
            <w:tcW w:w="20" w:type="dxa"/>
            <w:tcBorders>
              <w:bottom w:val="single" w:sz="8" w:space="0" w:color="auto"/>
            </w:tcBorders>
            <w:vAlign w:val="bottom"/>
          </w:tcPr>
          <w:p w:rsidR="00FE77F3" w:rsidRDefault="00FE77F3">
            <w:pPr>
              <w:rPr>
                <w:sz w:val="16"/>
                <w:szCs w:val="16"/>
              </w:rPr>
            </w:pPr>
          </w:p>
        </w:tc>
        <w:tc>
          <w:tcPr>
            <w:tcW w:w="340" w:type="dxa"/>
            <w:tcBorders>
              <w:bottom w:val="single" w:sz="8" w:space="0" w:color="auto"/>
            </w:tcBorders>
            <w:vAlign w:val="bottom"/>
          </w:tcPr>
          <w:p w:rsidR="00FE77F3" w:rsidRDefault="00FE77F3">
            <w:pPr>
              <w:rPr>
                <w:sz w:val="16"/>
                <w:szCs w:val="16"/>
              </w:rPr>
            </w:pPr>
          </w:p>
        </w:tc>
        <w:tc>
          <w:tcPr>
            <w:tcW w:w="1360" w:type="dxa"/>
            <w:tcBorders>
              <w:bottom w:val="single" w:sz="8" w:space="0" w:color="auto"/>
            </w:tcBorders>
            <w:vAlign w:val="bottom"/>
          </w:tcPr>
          <w:p w:rsidR="00FE77F3" w:rsidRDefault="00FE77F3">
            <w:pPr>
              <w:rPr>
                <w:sz w:val="16"/>
                <w:szCs w:val="16"/>
              </w:rPr>
            </w:pPr>
          </w:p>
        </w:tc>
        <w:tc>
          <w:tcPr>
            <w:tcW w:w="1020" w:type="dxa"/>
            <w:tcBorders>
              <w:bottom w:val="single" w:sz="8" w:space="0" w:color="auto"/>
            </w:tcBorders>
            <w:vAlign w:val="bottom"/>
          </w:tcPr>
          <w:p w:rsidR="00FE77F3" w:rsidRDefault="00FE77F3">
            <w:pPr>
              <w:rPr>
                <w:sz w:val="16"/>
                <w:szCs w:val="16"/>
              </w:rPr>
            </w:pPr>
          </w:p>
        </w:tc>
        <w:tc>
          <w:tcPr>
            <w:tcW w:w="1060" w:type="dxa"/>
            <w:tcBorders>
              <w:bottom w:val="single" w:sz="8" w:space="0" w:color="auto"/>
            </w:tcBorders>
            <w:vAlign w:val="bottom"/>
          </w:tcPr>
          <w:p w:rsidR="00FE77F3" w:rsidRDefault="00FE77F3">
            <w:pPr>
              <w:rPr>
                <w:sz w:val="16"/>
                <w:szCs w:val="16"/>
              </w:rPr>
            </w:pPr>
          </w:p>
        </w:tc>
        <w:tc>
          <w:tcPr>
            <w:tcW w:w="560" w:type="dxa"/>
            <w:tcBorders>
              <w:bottom w:val="single" w:sz="8" w:space="0" w:color="auto"/>
            </w:tcBorders>
            <w:vAlign w:val="bottom"/>
          </w:tcPr>
          <w:p w:rsidR="00FE77F3" w:rsidRDefault="00FE77F3">
            <w:pPr>
              <w:rPr>
                <w:sz w:val="16"/>
                <w:szCs w:val="16"/>
              </w:rPr>
            </w:pPr>
          </w:p>
        </w:tc>
        <w:tc>
          <w:tcPr>
            <w:tcW w:w="960" w:type="dxa"/>
            <w:tcBorders>
              <w:bottom w:val="single" w:sz="8" w:space="0" w:color="auto"/>
            </w:tcBorders>
            <w:vAlign w:val="bottom"/>
          </w:tcPr>
          <w:p w:rsidR="00FE77F3" w:rsidRDefault="00FE77F3">
            <w:pPr>
              <w:rPr>
                <w:sz w:val="16"/>
                <w:szCs w:val="16"/>
              </w:rPr>
            </w:pPr>
          </w:p>
        </w:tc>
        <w:tc>
          <w:tcPr>
            <w:tcW w:w="1080" w:type="dxa"/>
            <w:tcBorders>
              <w:bottom w:val="single" w:sz="8" w:space="0" w:color="auto"/>
            </w:tcBorders>
            <w:vAlign w:val="bottom"/>
          </w:tcPr>
          <w:p w:rsidR="00FE77F3" w:rsidRDefault="00FE77F3">
            <w:pPr>
              <w:rPr>
                <w:sz w:val="16"/>
                <w:szCs w:val="16"/>
              </w:rPr>
            </w:pPr>
          </w:p>
        </w:tc>
        <w:tc>
          <w:tcPr>
            <w:tcW w:w="1000" w:type="dxa"/>
            <w:tcBorders>
              <w:bottom w:val="single" w:sz="8" w:space="0" w:color="auto"/>
            </w:tcBorders>
            <w:vAlign w:val="bottom"/>
          </w:tcPr>
          <w:p w:rsidR="00FE77F3" w:rsidRDefault="00FE77F3">
            <w:pPr>
              <w:rPr>
                <w:sz w:val="16"/>
                <w:szCs w:val="16"/>
              </w:rPr>
            </w:pPr>
          </w:p>
        </w:tc>
        <w:tc>
          <w:tcPr>
            <w:tcW w:w="420" w:type="dxa"/>
            <w:tcBorders>
              <w:bottom w:val="single" w:sz="8" w:space="0" w:color="auto"/>
            </w:tcBorders>
            <w:vAlign w:val="bottom"/>
          </w:tcPr>
          <w:p w:rsidR="00FE77F3" w:rsidRDefault="00FE77F3">
            <w:pPr>
              <w:rPr>
                <w:sz w:val="16"/>
                <w:szCs w:val="16"/>
              </w:rPr>
            </w:pPr>
          </w:p>
        </w:tc>
        <w:tc>
          <w:tcPr>
            <w:tcW w:w="500" w:type="dxa"/>
            <w:tcBorders>
              <w:bottom w:val="single" w:sz="8" w:space="0" w:color="auto"/>
            </w:tcBorders>
            <w:vAlign w:val="bottom"/>
          </w:tcPr>
          <w:p w:rsidR="00FE77F3" w:rsidRDefault="00FE77F3">
            <w:pPr>
              <w:rPr>
                <w:sz w:val="16"/>
                <w:szCs w:val="16"/>
              </w:rPr>
            </w:pPr>
          </w:p>
        </w:tc>
        <w:tc>
          <w:tcPr>
            <w:tcW w:w="400" w:type="dxa"/>
            <w:tcBorders>
              <w:bottom w:val="single" w:sz="8" w:space="0" w:color="auto"/>
            </w:tcBorders>
            <w:vAlign w:val="bottom"/>
          </w:tcPr>
          <w:p w:rsidR="00FE77F3" w:rsidRDefault="00FE77F3">
            <w:pPr>
              <w:rPr>
                <w:sz w:val="16"/>
                <w:szCs w:val="16"/>
              </w:rPr>
            </w:pPr>
          </w:p>
        </w:tc>
        <w:tc>
          <w:tcPr>
            <w:tcW w:w="840" w:type="dxa"/>
            <w:tcBorders>
              <w:bottom w:val="single" w:sz="8" w:space="0" w:color="auto"/>
            </w:tcBorders>
            <w:vAlign w:val="bottom"/>
          </w:tcPr>
          <w:p w:rsidR="00FE77F3" w:rsidRDefault="00FE77F3">
            <w:pPr>
              <w:rPr>
                <w:sz w:val="16"/>
                <w:szCs w:val="16"/>
              </w:rPr>
            </w:pPr>
          </w:p>
        </w:tc>
        <w:tc>
          <w:tcPr>
            <w:tcW w:w="0" w:type="dxa"/>
            <w:vAlign w:val="bottom"/>
          </w:tcPr>
          <w:p w:rsidR="00FE77F3" w:rsidRDefault="00FE77F3">
            <w:pPr>
              <w:rPr>
                <w:sz w:val="1"/>
                <w:szCs w:val="1"/>
              </w:rPr>
            </w:pPr>
          </w:p>
        </w:tc>
      </w:tr>
    </w:tbl>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54" w:lineRule="exact"/>
        <w:rPr>
          <w:sz w:val="20"/>
          <w:szCs w:val="20"/>
        </w:rPr>
      </w:pPr>
    </w:p>
    <w:p w:rsidR="00FE77F3" w:rsidRDefault="00E3448D">
      <w:pPr>
        <w:ind w:right="320"/>
        <w:jc w:val="right"/>
        <w:rPr>
          <w:sz w:val="20"/>
          <w:szCs w:val="20"/>
        </w:rPr>
      </w:pPr>
      <w:r>
        <w:rPr>
          <w:rFonts w:ascii="Calibri" w:eastAsia="Calibri" w:hAnsi="Calibri" w:cs="Calibri"/>
        </w:rPr>
        <w:t>16</w:t>
      </w:r>
    </w:p>
    <w:p w:rsidR="00FE77F3" w:rsidRDefault="00FE77F3">
      <w:pPr>
        <w:sectPr w:rsidR="00FE77F3">
          <w:pgSz w:w="11900" w:h="16838"/>
          <w:pgMar w:top="699" w:right="1106" w:bottom="419" w:left="1240" w:header="0" w:footer="0" w:gutter="0"/>
          <w:cols w:space="720" w:equalWidth="0">
            <w:col w:w="9560"/>
          </w:cols>
        </w:sectPr>
      </w:pPr>
    </w:p>
    <w:p w:rsidR="00FE77F3" w:rsidRDefault="00E3448D">
      <w:pPr>
        <w:ind w:left="20"/>
        <w:rPr>
          <w:sz w:val="20"/>
          <w:szCs w:val="20"/>
        </w:rPr>
      </w:pPr>
      <w:bookmarkStart w:id="17" w:name="page18"/>
      <w:bookmarkEnd w:id="17"/>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66" w:lineRule="exact"/>
        <w:rPr>
          <w:sz w:val="20"/>
          <w:szCs w:val="20"/>
        </w:rPr>
      </w:pPr>
    </w:p>
    <w:p w:rsidR="00FE77F3" w:rsidRDefault="00E3448D">
      <w:pPr>
        <w:ind w:left="20"/>
        <w:rPr>
          <w:sz w:val="20"/>
          <w:szCs w:val="20"/>
        </w:rPr>
      </w:pPr>
      <w:r>
        <w:rPr>
          <w:rFonts w:eastAsia="Times New Roman"/>
          <w:b/>
          <w:bCs/>
          <w:sz w:val="16"/>
          <w:szCs w:val="16"/>
        </w:rPr>
        <w:t>Table 3.</w:t>
      </w:r>
    </w:p>
    <w:p w:rsidR="00FE77F3" w:rsidRDefault="00FE77F3">
      <w:pPr>
        <w:spacing w:line="344" w:lineRule="exact"/>
        <w:rPr>
          <w:sz w:val="20"/>
          <w:szCs w:val="20"/>
        </w:rPr>
      </w:pPr>
    </w:p>
    <w:p w:rsidR="00FE77F3" w:rsidRDefault="00E3448D">
      <w:pPr>
        <w:ind w:left="20"/>
        <w:rPr>
          <w:sz w:val="20"/>
          <w:szCs w:val="20"/>
        </w:rPr>
      </w:pPr>
      <w:r>
        <w:rPr>
          <w:rFonts w:eastAsia="Times New Roman"/>
          <w:b/>
          <w:bCs/>
          <w:sz w:val="16"/>
          <w:szCs w:val="16"/>
        </w:rPr>
        <w:t>Descriptive statistics for participants in relation to the number of confederates present during the trial (</w:t>
      </w:r>
      <w:r>
        <w:rPr>
          <w:rFonts w:eastAsia="Times New Roman"/>
          <w:b/>
          <w:bCs/>
          <w:i/>
          <w:iCs/>
          <w:sz w:val="16"/>
          <w:szCs w:val="16"/>
        </w:rPr>
        <w:t>N</w:t>
      </w:r>
      <w:r>
        <w:rPr>
          <w:rFonts w:eastAsia="Times New Roman"/>
          <w:b/>
          <w:bCs/>
          <w:sz w:val="16"/>
          <w:szCs w:val="16"/>
        </w:rPr>
        <w:t>=608).</w:t>
      </w:r>
    </w:p>
    <w:p w:rsidR="00FE77F3" w:rsidRDefault="00FE77F3">
      <w:pPr>
        <w:spacing w:line="3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960"/>
        <w:gridCol w:w="1360"/>
        <w:gridCol w:w="1240"/>
        <w:gridCol w:w="1400"/>
        <w:gridCol w:w="640"/>
        <w:gridCol w:w="740"/>
        <w:gridCol w:w="640"/>
        <w:gridCol w:w="1040"/>
      </w:tblGrid>
      <w:tr w:rsidR="00FE77F3">
        <w:trPr>
          <w:trHeight w:val="188"/>
        </w:trPr>
        <w:tc>
          <w:tcPr>
            <w:tcW w:w="20" w:type="dxa"/>
            <w:vAlign w:val="bottom"/>
          </w:tcPr>
          <w:p w:rsidR="00FE77F3" w:rsidRDefault="00FE77F3">
            <w:pPr>
              <w:rPr>
                <w:sz w:val="16"/>
                <w:szCs w:val="16"/>
              </w:rPr>
            </w:pPr>
          </w:p>
        </w:tc>
        <w:tc>
          <w:tcPr>
            <w:tcW w:w="1960" w:type="dxa"/>
            <w:tcBorders>
              <w:top w:val="single" w:sz="8" w:space="0" w:color="auto"/>
            </w:tcBorders>
            <w:vAlign w:val="bottom"/>
          </w:tcPr>
          <w:p w:rsidR="00FE77F3" w:rsidRDefault="00E3448D">
            <w:pPr>
              <w:ind w:left="100"/>
              <w:rPr>
                <w:sz w:val="20"/>
                <w:szCs w:val="20"/>
              </w:rPr>
            </w:pPr>
            <w:r>
              <w:rPr>
                <w:rFonts w:eastAsia="Times New Roman"/>
                <w:sz w:val="16"/>
                <w:szCs w:val="16"/>
              </w:rPr>
              <w:t>Confederate Size</w:t>
            </w:r>
          </w:p>
        </w:tc>
        <w:tc>
          <w:tcPr>
            <w:tcW w:w="1360" w:type="dxa"/>
            <w:tcBorders>
              <w:top w:val="single" w:sz="8" w:space="0" w:color="auto"/>
            </w:tcBorders>
            <w:vAlign w:val="bottom"/>
          </w:tcPr>
          <w:p w:rsidR="00FE77F3" w:rsidRDefault="00E3448D">
            <w:pPr>
              <w:ind w:left="100"/>
              <w:rPr>
                <w:sz w:val="20"/>
                <w:szCs w:val="20"/>
              </w:rPr>
            </w:pPr>
            <w:r>
              <w:rPr>
                <w:rFonts w:eastAsia="Times New Roman"/>
                <w:sz w:val="16"/>
                <w:szCs w:val="16"/>
              </w:rPr>
              <w:t>Blame attribution</w:t>
            </w:r>
          </w:p>
        </w:tc>
        <w:tc>
          <w:tcPr>
            <w:tcW w:w="1240" w:type="dxa"/>
            <w:tcBorders>
              <w:top w:val="single" w:sz="8" w:space="0" w:color="auto"/>
            </w:tcBorders>
            <w:vAlign w:val="bottom"/>
          </w:tcPr>
          <w:p w:rsidR="00FE77F3" w:rsidRDefault="00FE77F3">
            <w:pPr>
              <w:rPr>
                <w:sz w:val="16"/>
                <w:szCs w:val="16"/>
              </w:rPr>
            </w:pPr>
          </w:p>
        </w:tc>
        <w:tc>
          <w:tcPr>
            <w:tcW w:w="1400" w:type="dxa"/>
            <w:tcBorders>
              <w:top w:val="single" w:sz="8" w:space="0" w:color="auto"/>
            </w:tcBorders>
            <w:vAlign w:val="bottom"/>
          </w:tcPr>
          <w:p w:rsidR="00FE77F3" w:rsidRDefault="00FE77F3">
            <w:pPr>
              <w:rPr>
                <w:sz w:val="16"/>
                <w:szCs w:val="16"/>
              </w:rPr>
            </w:pPr>
          </w:p>
        </w:tc>
        <w:tc>
          <w:tcPr>
            <w:tcW w:w="2020" w:type="dxa"/>
            <w:gridSpan w:val="3"/>
            <w:tcBorders>
              <w:top w:val="single" w:sz="8" w:space="0" w:color="auto"/>
            </w:tcBorders>
            <w:vAlign w:val="bottom"/>
          </w:tcPr>
          <w:p w:rsidR="00FE77F3" w:rsidRDefault="00E3448D">
            <w:pPr>
              <w:ind w:left="340"/>
              <w:rPr>
                <w:sz w:val="20"/>
                <w:szCs w:val="20"/>
              </w:rPr>
            </w:pPr>
            <w:r>
              <w:rPr>
                <w:rFonts w:eastAsia="Times New Roman"/>
                <w:i/>
                <w:iCs/>
                <w:sz w:val="16"/>
                <w:szCs w:val="16"/>
              </w:rPr>
              <w:t xml:space="preserve">Mean Confidence </w:t>
            </w:r>
            <w:r>
              <w:rPr>
                <w:rFonts w:eastAsia="Times New Roman"/>
                <w:sz w:val="16"/>
                <w:szCs w:val="16"/>
              </w:rPr>
              <w:t>(</w:t>
            </w:r>
            <w:r>
              <w:rPr>
                <w:rFonts w:eastAsia="Times New Roman"/>
                <w:i/>
                <w:iCs/>
                <w:sz w:val="16"/>
                <w:szCs w:val="16"/>
              </w:rPr>
              <w:t>SD</w:t>
            </w:r>
            <w:r>
              <w:rPr>
                <w:rFonts w:eastAsia="Times New Roman"/>
                <w:sz w:val="16"/>
                <w:szCs w:val="16"/>
              </w:rPr>
              <w:t>)</w:t>
            </w:r>
          </w:p>
        </w:tc>
        <w:tc>
          <w:tcPr>
            <w:tcW w:w="1040" w:type="dxa"/>
            <w:tcBorders>
              <w:top w:val="single" w:sz="8" w:space="0" w:color="auto"/>
            </w:tcBorders>
            <w:vAlign w:val="bottom"/>
          </w:tcPr>
          <w:p w:rsidR="00FE77F3" w:rsidRDefault="00FE77F3">
            <w:pPr>
              <w:rPr>
                <w:sz w:val="16"/>
                <w:szCs w:val="16"/>
              </w:rPr>
            </w:pPr>
          </w:p>
        </w:tc>
      </w:tr>
      <w:tr w:rsidR="00FE77F3">
        <w:trPr>
          <w:trHeight w:val="189"/>
        </w:trPr>
        <w:tc>
          <w:tcPr>
            <w:tcW w:w="20" w:type="dxa"/>
            <w:vAlign w:val="bottom"/>
          </w:tcPr>
          <w:p w:rsidR="00FE77F3" w:rsidRDefault="00FE77F3">
            <w:pPr>
              <w:rPr>
                <w:sz w:val="16"/>
                <w:szCs w:val="16"/>
              </w:rPr>
            </w:pPr>
          </w:p>
        </w:tc>
        <w:tc>
          <w:tcPr>
            <w:tcW w:w="1960" w:type="dxa"/>
            <w:vAlign w:val="bottom"/>
          </w:tcPr>
          <w:p w:rsidR="00FE77F3" w:rsidRDefault="00FE77F3">
            <w:pPr>
              <w:rPr>
                <w:sz w:val="16"/>
                <w:szCs w:val="16"/>
              </w:rPr>
            </w:pPr>
          </w:p>
        </w:tc>
        <w:tc>
          <w:tcPr>
            <w:tcW w:w="1360" w:type="dxa"/>
            <w:tcBorders>
              <w:bottom w:val="single" w:sz="8" w:space="0" w:color="auto"/>
            </w:tcBorders>
            <w:vAlign w:val="bottom"/>
          </w:tcPr>
          <w:p w:rsidR="00FE77F3" w:rsidRDefault="00FE77F3">
            <w:pPr>
              <w:rPr>
                <w:sz w:val="16"/>
                <w:szCs w:val="16"/>
              </w:rPr>
            </w:pPr>
          </w:p>
        </w:tc>
        <w:tc>
          <w:tcPr>
            <w:tcW w:w="1240" w:type="dxa"/>
            <w:tcBorders>
              <w:bottom w:val="single" w:sz="8" w:space="0" w:color="auto"/>
            </w:tcBorders>
            <w:vAlign w:val="bottom"/>
          </w:tcPr>
          <w:p w:rsidR="00FE77F3" w:rsidRDefault="00FE77F3">
            <w:pPr>
              <w:rPr>
                <w:sz w:val="16"/>
                <w:szCs w:val="16"/>
              </w:rPr>
            </w:pPr>
          </w:p>
        </w:tc>
        <w:tc>
          <w:tcPr>
            <w:tcW w:w="1400" w:type="dxa"/>
            <w:tcBorders>
              <w:bottom w:val="single" w:sz="8" w:space="0" w:color="auto"/>
            </w:tcBorders>
            <w:vAlign w:val="bottom"/>
          </w:tcPr>
          <w:p w:rsidR="00FE77F3" w:rsidRDefault="00FE77F3">
            <w:pPr>
              <w:rPr>
                <w:sz w:val="16"/>
                <w:szCs w:val="16"/>
              </w:rPr>
            </w:pPr>
          </w:p>
        </w:tc>
        <w:tc>
          <w:tcPr>
            <w:tcW w:w="1380" w:type="dxa"/>
            <w:gridSpan w:val="2"/>
            <w:tcBorders>
              <w:bottom w:val="single" w:sz="8" w:space="0" w:color="auto"/>
            </w:tcBorders>
            <w:vAlign w:val="bottom"/>
          </w:tcPr>
          <w:p w:rsidR="00FE77F3" w:rsidRDefault="00FE77F3">
            <w:pPr>
              <w:rPr>
                <w:sz w:val="16"/>
                <w:szCs w:val="16"/>
              </w:rPr>
            </w:pPr>
          </w:p>
        </w:tc>
        <w:tc>
          <w:tcPr>
            <w:tcW w:w="1680" w:type="dxa"/>
            <w:gridSpan w:val="2"/>
            <w:tcBorders>
              <w:bottom w:val="single" w:sz="8" w:space="0" w:color="auto"/>
            </w:tcBorders>
            <w:vAlign w:val="bottom"/>
          </w:tcPr>
          <w:p w:rsidR="00FE77F3" w:rsidRDefault="00FE77F3">
            <w:pPr>
              <w:rPr>
                <w:sz w:val="16"/>
                <w:szCs w:val="16"/>
              </w:rPr>
            </w:pPr>
          </w:p>
        </w:tc>
      </w:tr>
      <w:tr w:rsidR="00FE77F3">
        <w:trPr>
          <w:trHeight w:val="170"/>
        </w:trPr>
        <w:tc>
          <w:tcPr>
            <w:tcW w:w="20" w:type="dxa"/>
            <w:vAlign w:val="bottom"/>
          </w:tcPr>
          <w:p w:rsidR="00FE77F3" w:rsidRDefault="00FE77F3">
            <w:pPr>
              <w:rPr>
                <w:sz w:val="14"/>
                <w:szCs w:val="14"/>
              </w:rPr>
            </w:pPr>
          </w:p>
        </w:tc>
        <w:tc>
          <w:tcPr>
            <w:tcW w:w="1960" w:type="dxa"/>
            <w:vAlign w:val="bottom"/>
          </w:tcPr>
          <w:p w:rsidR="00FE77F3" w:rsidRDefault="00FE77F3">
            <w:pPr>
              <w:rPr>
                <w:sz w:val="14"/>
                <w:szCs w:val="14"/>
              </w:rPr>
            </w:pPr>
          </w:p>
        </w:tc>
        <w:tc>
          <w:tcPr>
            <w:tcW w:w="1360" w:type="dxa"/>
            <w:vAlign w:val="bottom"/>
          </w:tcPr>
          <w:p w:rsidR="00FE77F3" w:rsidRDefault="00E3448D">
            <w:pPr>
              <w:spacing w:line="170" w:lineRule="exact"/>
              <w:ind w:left="100"/>
              <w:rPr>
                <w:sz w:val="20"/>
                <w:szCs w:val="20"/>
              </w:rPr>
            </w:pPr>
            <w:r>
              <w:rPr>
                <w:rFonts w:eastAsia="Times New Roman"/>
                <w:sz w:val="16"/>
                <w:szCs w:val="16"/>
              </w:rPr>
              <w:t>Dark Top</w:t>
            </w:r>
          </w:p>
        </w:tc>
        <w:tc>
          <w:tcPr>
            <w:tcW w:w="1240" w:type="dxa"/>
            <w:vAlign w:val="bottom"/>
          </w:tcPr>
          <w:p w:rsidR="00FE77F3" w:rsidRDefault="00E3448D">
            <w:pPr>
              <w:spacing w:line="170" w:lineRule="exact"/>
              <w:ind w:left="140"/>
              <w:rPr>
                <w:sz w:val="20"/>
                <w:szCs w:val="20"/>
              </w:rPr>
            </w:pPr>
            <w:r>
              <w:rPr>
                <w:rFonts w:eastAsia="Times New Roman"/>
                <w:sz w:val="16"/>
                <w:szCs w:val="16"/>
              </w:rPr>
              <w:t>Yellow Top</w:t>
            </w:r>
          </w:p>
        </w:tc>
        <w:tc>
          <w:tcPr>
            <w:tcW w:w="1400" w:type="dxa"/>
            <w:vAlign w:val="bottom"/>
          </w:tcPr>
          <w:p w:rsidR="00FE77F3" w:rsidRDefault="00E3448D">
            <w:pPr>
              <w:spacing w:line="170" w:lineRule="exact"/>
              <w:ind w:left="360"/>
              <w:rPr>
                <w:sz w:val="20"/>
                <w:szCs w:val="20"/>
              </w:rPr>
            </w:pPr>
            <w:r>
              <w:rPr>
                <w:rFonts w:eastAsia="Times New Roman"/>
                <w:sz w:val="16"/>
                <w:szCs w:val="16"/>
              </w:rPr>
              <w:t>Uncertain</w:t>
            </w:r>
          </w:p>
        </w:tc>
        <w:tc>
          <w:tcPr>
            <w:tcW w:w="1380" w:type="dxa"/>
            <w:gridSpan w:val="2"/>
            <w:vAlign w:val="bottom"/>
          </w:tcPr>
          <w:p w:rsidR="00FE77F3" w:rsidRDefault="00E3448D">
            <w:pPr>
              <w:spacing w:line="170" w:lineRule="exact"/>
              <w:ind w:left="340"/>
              <w:rPr>
                <w:sz w:val="20"/>
                <w:szCs w:val="20"/>
              </w:rPr>
            </w:pPr>
            <w:r>
              <w:rPr>
                <w:rFonts w:eastAsia="Times New Roman"/>
                <w:sz w:val="16"/>
                <w:szCs w:val="16"/>
              </w:rPr>
              <w:t>Dark Top</w:t>
            </w:r>
          </w:p>
        </w:tc>
        <w:tc>
          <w:tcPr>
            <w:tcW w:w="1680" w:type="dxa"/>
            <w:gridSpan w:val="2"/>
            <w:vAlign w:val="bottom"/>
          </w:tcPr>
          <w:p w:rsidR="00FE77F3" w:rsidRDefault="00E3448D">
            <w:pPr>
              <w:spacing w:line="170" w:lineRule="exact"/>
              <w:ind w:left="340"/>
              <w:rPr>
                <w:sz w:val="20"/>
                <w:szCs w:val="20"/>
              </w:rPr>
            </w:pPr>
            <w:r>
              <w:rPr>
                <w:rFonts w:eastAsia="Times New Roman"/>
                <w:sz w:val="16"/>
                <w:szCs w:val="16"/>
              </w:rPr>
              <w:t>Yellow Top</w:t>
            </w:r>
          </w:p>
        </w:tc>
      </w:tr>
      <w:tr w:rsidR="00FE77F3">
        <w:trPr>
          <w:trHeight w:val="189"/>
        </w:trPr>
        <w:tc>
          <w:tcPr>
            <w:tcW w:w="20" w:type="dxa"/>
            <w:vAlign w:val="bottom"/>
          </w:tcPr>
          <w:p w:rsidR="00FE77F3" w:rsidRDefault="00FE77F3">
            <w:pPr>
              <w:rPr>
                <w:sz w:val="16"/>
                <w:szCs w:val="16"/>
              </w:rPr>
            </w:pPr>
          </w:p>
        </w:tc>
        <w:tc>
          <w:tcPr>
            <w:tcW w:w="1960" w:type="dxa"/>
            <w:tcBorders>
              <w:bottom w:val="single" w:sz="8" w:space="0" w:color="auto"/>
            </w:tcBorders>
            <w:vAlign w:val="bottom"/>
          </w:tcPr>
          <w:p w:rsidR="00FE77F3" w:rsidRDefault="00FE77F3">
            <w:pPr>
              <w:rPr>
                <w:sz w:val="16"/>
                <w:szCs w:val="16"/>
              </w:rPr>
            </w:pPr>
          </w:p>
        </w:tc>
        <w:tc>
          <w:tcPr>
            <w:tcW w:w="1360" w:type="dxa"/>
            <w:tcBorders>
              <w:bottom w:val="single" w:sz="8" w:space="0" w:color="auto"/>
            </w:tcBorders>
            <w:vAlign w:val="bottom"/>
          </w:tcPr>
          <w:p w:rsidR="00FE77F3" w:rsidRDefault="00FE77F3">
            <w:pPr>
              <w:rPr>
                <w:sz w:val="16"/>
                <w:szCs w:val="16"/>
              </w:rPr>
            </w:pPr>
          </w:p>
        </w:tc>
        <w:tc>
          <w:tcPr>
            <w:tcW w:w="1240" w:type="dxa"/>
            <w:tcBorders>
              <w:bottom w:val="single" w:sz="8" w:space="0" w:color="auto"/>
            </w:tcBorders>
            <w:vAlign w:val="bottom"/>
          </w:tcPr>
          <w:p w:rsidR="00FE77F3" w:rsidRDefault="00FE77F3">
            <w:pPr>
              <w:rPr>
                <w:sz w:val="16"/>
                <w:szCs w:val="16"/>
              </w:rPr>
            </w:pPr>
          </w:p>
        </w:tc>
        <w:tc>
          <w:tcPr>
            <w:tcW w:w="1400" w:type="dxa"/>
            <w:tcBorders>
              <w:bottom w:val="single" w:sz="8" w:space="0" w:color="auto"/>
            </w:tcBorders>
            <w:vAlign w:val="bottom"/>
          </w:tcPr>
          <w:p w:rsidR="00FE77F3" w:rsidRDefault="00FE77F3">
            <w:pPr>
              <w:rPr>
                <w:sz w:val="16"/>
                <w:szCs w:val="16"/>
              </w:rPr>
            </w:pPr>
          </w:p>
        </w:tc>
        <w:tc>
          <w:tcPr>
            <w:tcW w:w="640" w:type="dxa"/>
            <w:tcBorders>
              <w:bottom w:val="single" w:sz="8" w:space="0" w:color="auto"/>
            </w:tcBorders>
            <w:vAlign w:val="bottom"/>
          </w:tcPr>
          <w:p w:rsidR="00FE77F3" w:rsidRDefault="00FE77F3">
            <w:pPr>
              <w:rPr>
                <w:sz w:val="16"/>
                <w:szCs w:val="16"/>
              </w:rPr>
            </w:pPr>
          </w:p>
        </w:tc>
        <w:tc>
          <w:tcPr>
            <w:tcW w:w="740" w:type="dxa"/>
            <w:tcBorders>
              <w:bottom w:val="single" w:sz="8" w:space="0" w:color="auto"/>
            </w:tcBorders>
            <w:vAlign w:val="bottom"/>
          </w:tcPr>
          <w:p w:rsidR="00FE77F3" w:rsidRDefault="00FE77F3">
            <w:pPr>
              <w:rPr>
                <w:sz w:val="16"/>
                <w:szCs w:val="16"/>
              </w:rPr>
            </w:pPr>
          </w:p>
        </w:tc>
        <w:tc>
          <w:tcPr>
            <w:tcW w:w="640" w:type="dxa"/>
            <w:tcBorders>
              <w:bottom w:val="single" w:sz="8" w:space="0" w:color="auto"/>
            </w:tcBorders>
            <w:vAlign w:val="bottom"/>
          </w:tcPr>
          <w:p w:rsidR="00FE77F3" w:rsidRDefault="00FE77F3">
            <w:pPr>
              <w:rPr>
                <w:sz w:val="16"/>
                <w:szCs w:val="16"/>
              </w:rPr>
            </w:pPr>
          </w:p>
        </w:tc>
        <w:tc>
          <w:tcPr>
            <w:tcW w:w="1040" w:type="dxa"/>
            <w:tcBorders>
              <w:bottom w:val="single" w:sz="8" w:space="0" w:color="auto"/>
            </w:tcBorders>
            <w:vAlign w:val="bottom"/>
          </w:tcPr>
          <w:p w:rsidR="00FE77F3" w:rsidRDefault="00FE77F3">
            <w:pPr>
              <w:rPr>
                <w:sz w:val="16"/>
                <w:szCs w:val="16"/>
              </w:rPr>
            </w:pPr>
          </w:p>
        </w:tc>
      </w:tr>
      <w:tr w:rsidR="00FE77F3">
        <w:trPr>
          <w:trHeight w:val="168"/>
        </w:trPr>
        <w:tc>
          <w:tcPr>
            <w:tcW w:w="20" w:type="dxa"/>
            <w:vAlign w:val="bottom"/>
          </w:tcPr>
          <w:p w:rsidR="00FE77F3" w:rsidRDefault="00FE77F3">
            <w:pPr>
              <w:rPr>
                <w:sz w:val="14"/>
                <w:szCs w:val="14"/>
              </w:rPr>
            </w:pPr>
          </w:p>
        </w:tc>
        <w:tc>
          <w:tcPr>
            <w:tcW w:w="1960" w:type="dxa"/>
            <w:vAlign w:val="bottom"/>
          </w:tcPr>
          <w:p w:rsidR="00FE77F3" w:rsidRDefault="00E3448D">
            <w:pPr>
              <w:spacing w:line="168" w:lineRule="exact"/>
              <w:ind w:left="100"/>
              <w:rPr>
                <w:sz w:val="20"/>
                <w:szCs w:val="20"/>
              </w:rPr>
            </w:pPr>
            <w:r>
              <w:rPr>
                <w:rFonts w:eastAsia="Times New Roman"/>
                <w:sz w:val="16"/>
                <w:szCs w:val="16"/>
              </w:rPr>
              <w:t>0</w:t>
            </w:r>
          </w:p>
        </w:tc>
        <w:tc>
          <w:tcPr>
            <w:tcW w:w="1360" w:type="dxa"/>
            <w:vAlign w:val="bottom"/>
          </w:tcPr>
          <w:p w:rsidR="00FE77F3" w:rsidRDefault="00E3448D">
            <w:pPr>
              <w:spacing w:line="168" w:lineRule="exact"/>
              <w:ind w:left="100"/>
              <w:rPr>
                <w:sz w:val="20"/>
                <w:szCs w:val="20"/>
              </w:rPr>
            </w:pPr>
            <w:r>
              <w:rPr>
                <w:rFonts w:eastAsia="Times New Roman"/>
                <w:sz w:val="16"/>
                <w:szCs w:val="16"/>
              </w:rPr>
              <w:t>78 (44.8%)</w:t>
            </w:r>
          </w:p>
        </w:tc>
        <w:tc>
          <w:tcPr>
            <w:tcW w:w="1240" w:type="dxa"/>
            <w:vAlign w:val="bottom"/>
          </w:tcPr>
          <w:p w:rsidR="00FE77F3" w:rsidRDefault="00E3448D">
            <w:pPr>
              <w:spacing w:line="168" w:lineRule="exact"/>
              <w:ind w:left="140"/>
              <w:rPr>
                <w:sz w:val="20"/>
                <w:szCs w:val="20"/>
              </w:rPr>
            </w:pPr>
            <w:r>
              <w:rPr>
                <w:rFonts w:eastAsia="Times New Roman"/>
                <w:sz w:val="16"/>
                <w:szCs w:val="16"/>
              </w:rPr>
              <w:t>60 (34.5%)</w:t>
            </w:r>
          </w:p>
        </w:tc>
        <w:tc>
          <w:tcPr>
            <w:tcW w:w="1400" w:type="dxa"/>
            <w:vAlign w:val="bottom"/>
          </w:tcPr>
          <w:p w:rsidR="00FE77F3" w:rsidRDefault="00E3448D">
            <w:pPr>
              <w:spacing w:line="168" w:lineRule="exact"/>
              <w:ind w:left="360"/>
              <w:rPr>
                <w:sz w:val="20"/>
                <w:szCs w:val="20"/>
              </w:rPr>
            </w:pPr>
            <w:r>
              <w:rPr>
                <w:rFonts w:eastAsia="Times New Roman"/>
                <w:sz w:val="16"/>
                <w:szCs w:val="16"/>
              </w:rPr>
              <w:t>36 (20.7%)</w:t>
            </w:r>
          </w:p>
        </w:tc>
        <w:tc>
          <w:tcPr>
            <w:tcW w:w="640" w:type="dxa"/>
            <w:vAlign w:val="bottom"/>
          </w:tcPr>
          <w:p w:rsidR="00FE77F3" w:rsidRDefault="00E3448D">
            <w:pPr>
              <w:spacing w:line="168" w:lineRule="exact"/>
              <w:ind w:left="340"/>
              <w:rPr>
                <w:sz w:val="20"/>
                <w:szCs w:val="20"/>
              </w:rPr>
            </w:pPr>
            <w:r>
              <w:rPr>
                <w:rFonts w:eastAsia="Times New Roman"/>
                <w:w w:val="99"/>
                <w:sz w:val="16"/>
                <w:szCs w:val="16"/>
              </w:rPr>
              <w:t>3.03</w:t>
            </w:r>
          </w:p>
        </w:tc>
        <w:tc>
          <w:tcPr>
            <w:tcW w:w="740" w:type="dxa"/>
            <w:vAlign w:val="bottom"/>
          </w:tcPr>
          <w:p w:rsidR="00FE77F3" w:rsidRDefault="00E3448D">
            <w:pPr>
              <w:spacing w:line="168" w:lineRule="exact"/>
              <w:ind w:left="20"/>
              <w:rPr>
                <w:sz w:val="20"/>
                <w:szCs w:val="20"/>
              </w:rPr>
            </w:pPr>
            <w:r>
              <w:rPr>
                <w:rFonts w:eastAsia="Times New Roman"/>
                <w:sz w:val="16"/>
                <w:szCs w:val="16"/>
              </w:rPr>
              <w:t>(1.11)</w:t>
            </w:r>
          </w:p>
        </w:tc>
        <w:tc>
          <w:tcPr>
            <w:tcW w:w="640" w:type="dxa"/>
            <w:vAlign w:val="bottom"/>
          </w:tcPr>
          <w:p w:rsidR="00FE77F3" w:rsidRDefault="00E3448D">
            <w:pPr>
              <w:spacing w:line="168" w:lineRule="exact"/>
              <w:ind w:left="340"/>
              <w:rPr>
                <w:sz w:val="20"/>
                <w:szCs w:val="20"/>
              </w:rPr>
            </w:pPr>
            <w:r>
              <w:rPr>
                <w:rFonts w:eastAsia="Times New Roman"/>
                <w:w w:val="99"/>
                <w:sz w:val="16"/>
                <w:szCs w:val="16"/>
              </w:rPr>
              <w:t>2.98</w:t>
            </w:r>
          </w:p>
        </w:tc>
        <w:tc>
          <w:tcPr>
            <w:tcW w:w="1040" w:type="dxa"/>
            <w:vAlign w:val="bottom"/>
          </w:tcPr>
          <w:p w:rsidR="00FE77F3" w:rsidRDefault="00E3448D">
            <w:pPr>
              <w:spacing w:line="168" w:lineRule="exact"/>
              <w:ind w:left="20"/>
              <w:rPr>
                <w:sz w:val="20"/>
                <w:szCs w:val="20"/>
              </w:rPr>
            </w:pPr>
            <w:r>
              <w:rPr>
                <w:rFonts w:eastAsia="Times New Roman"/>
                <w:sz w:val="16"/>
                <w:szCs w:val="16"/>
              </w:rPr>
              <w:t>(1.07)</w:t>
            </w:r>
          </w:p>
        </w:tc>
      </w:tr>
      <w:tr w:rsidR="00FE77F3">
        <w:trPr>
          <w:trHeight w:val="367"/>
        </w:trPr>
        <w:tc>
          <w:tcPr>
            <w:tcW w:w="20" w:type="dxa"/>
            <w:vAlign w:val="bottom"/>
          </w:tcPr>
          <w:p w:rsidR="00FE77F3" w:rsidRDefault="00FE77F3">
            <w:pPr>
              <w:rPr>
                <w:sz w:val="24"/>
                <w:szCs w:val="24"/>
              </w:rPr>
            </w:pPr>
          </w:p>
        </w:tc>
        <w:tc>
          <w:tcPr>
            <w:tcW w:w="1960" w:type="dxa"/>
            <w:vAlign w:val="bottom"/>
          </w:tcPr>
          <w:p w:rsidR="00FE77F3" w:rsidRDefault="00E3448D">
            <w:pPr>
              <w:ind w:left="100"/>
              <w:rPr>
                <w:sz w:val="20"/>
                <w:szCs w:val="20"/>
              </w:rPr>
            </w:pPr>
            <w:r>
              <w:rPr>
                <w:rFonts w:eastAsia="Times New Roman"/>
                <w:sz w:val="16"/>
                <w:szCs w:val="16"/>
              </w:rPr>
              <w:t>1</w:t>
            </w:r>
          </w:p>
        </w:tc>
        <w:tc>
          <w:tcPr>
            <w:tcW w:w="1360" w:type="dxa"/>
            <w:vAlign w:val="bottom"/>
          </w:tcPr>
          <w:p w:rsidR="00FE77F3" w:rsidRDefault="00E3448D">
            <w:pPr>
              <w:ind w:left="100"/>
              <w:rPr>
                <w:sz w:val="20"/>
                <w:szCs w:val="20"/>
              </w:rPr>
            </w:pPr>
            <w:r>
              <w:rPr>
                <w:rFonts w:eastAsia="Times New Roman"/>
                <w:sz w:val="16"/>
                <w:szCs w:val="16"/>
              </w:rPr>
              <w:t>14 (36.8%)</w:t>
            </w:r>
          </w:p>
        </w:tc>
        <w:tc>
          <w:tcPr>
            <w:tcW w:w="1240" w:type="dxa"/>
            <w:vAlign w:val="bottom"/>
          </w:tcPr>
          <w:p w:rsidR="00FE77F3" w:rsidRDefault="00E3448D">
            <w:pPr>
              <w:ind w:left="140"/>
              <w:rPr>
                <w:sz w:val="20"/>
                <w:szCs w:val="20"/>
              </w:rPr>
            </w:pPr>
            <w:r>
              <w:rPr>
                <w:rFonts w:eastAsia="Times New Roman"/>
                <w:sz w:val="16"/>
                <w:szCs w:val="16"/>
              </w:rPr>
              <w:t>16 (42.1%)</w:t>
            </w:r>
          </w:p>
        </w:tc>
        <w:tc>
          <w:tcPr>
            <w:tcW w:w="1400" w:type="dxa"/>
            <w:vAlign w:val="bottom"/>
          </w:tcPr>
          <w:p w:rsidR="00FE77F3" w:rsidRDefault="00E3448D">
            <w:pPr>
              <w:ind w:left="360"/>
              <w:rPr>
                <w:sz w:val="20"/>
                <w:szCs w:val="20"/>
              </w:rPr>
            </w:pPr>
            <w:r>
              <w:rPr>
                <w:rFonts w:eastAsia="Times New Roman"/>
                <w:sz w:val="16"/>
                <w:szCs w:val="16"/>
              </w:rPr>
              <w:t>8 (21.1%)</w:t>
            </w:r>
          </w:p>
        </w:tc>
        <w:tc>
          <w:tcPr>
            <w:tcW w:w="640" w:type="dxa"/>
            <w:vAlign w:val="bottom"/>
          </w:tcPr>
          <w:p w:rsidR="00FE77F3" w:rsidRDefault="00E3448D">
            <w:pPr>
              <w:ind w:left="340"/>
              <w:rPr>
                <w:sz w:val="20"/>
                <w:szCs w:val="20"/>
              </w:rPr>
            </w:pPr>
            <w:r>
              <w:rPr>
                <w:rFonts w:eastAsia="Times New Roman"/>
                <w:w w:val="99"/>
                <w:sz w:val="16"/>
                <w:szCs w:val="16"/>
              </w:rPr>
              <w:t>3.43</w:t>
            </w:r>
          </w:p>
        </w:tc>
        <w:tc>
          <w:tcPr>
            <w:tcW w:w="740" w:type="dxa"/>
            <w:vAlign w:val="bottom"/>
          </w:tcPr>
          <w:p w:rsidR="00FE77F3" w:rsidRDefault="00E3448D">
            <w:pPr>
              <w:ind w:left="20"/>
              <w:rPr>
                <w:sz w:val="20"/>
                <w:szCs w:val="20"/>
              </w:rPr>
            </w:pPr>
            <w:r>
              <w:rPr>
                <w:rFonts w:eastAsia="Times New Roman"/>
                <w:sz w:val="16"/>
                <w:szCs w:val="16"/>
              </w:rPr>
              <w:t>(.94)</w:t>
            </w:r>
          </w:p>
        </w:tc>
        <w:tc>
          <w:tcPr>
            <w:tcW w:w="640" w:type="dxa"/>
            <w:vAlign w:val="bottom"/>
          </w:tcPr>
          <w:p w:rsidR="00FE77F3" w:rsidRDefault="00E3448D">
            <w:pPr>
              <w:ind w:left="340"/>
              <w:rPr>
                <w:sz w:val="20"/>
                <w:szCs w:val="20"/>
              </w:rPr>
            </w:pPr>
            <w:r>
              <w:rPr>
                <w:rFonts w:eastAsia="Times New Roman"/>
                <w:w w:val="99"/>
                <w:sz w:val="16"/>
                <w:szCs w:val="16"/>
              </w:rPr>
              <w:t>3.31</w:t>
            </w:r>
          </w:p>
        </w:tc>
        <w:tc>
          <w:tcPr>
            <w:tcW w:w="1040" w:type="dxa"/>
            <w:vAlign w:val="bottom"/>
          </w:tcPr>
          <w:p w:rsidR="00FE77F3" w:rsidRDefault="00E3448D">
            <w:pPr>
              <w:ind w:left="20"/>
              <w:rPr>
                <w:sz w:val="20"/>
                <w:szCs w:val="20"/>
              </w:rPr>
            </w:pPr>
            <w:r>
              <w:rPr>
                <w:rFonts w:eastAsia="Times New Roman"/>
                <w:sz w:val="16"/>
                <w:szCs w:val="16"/>
              </w:rPr>
              <w:t>(1.08)</w:t>
            </w:r>
          </w:p>
        </w:tc>
      </w:tr>
      <w:tr w:rsidR="00FE77F3">
        <w:trPr>
          <w:trHeight w:val="370"/>
        </w:trPr>
        <w:tc>
          <w:tcPr>
            <w:tcW w:w="20" w:type="dxa"/>
            <w:vAlign w:val="bottom"/>
          </w:tcPr>
          <w:p w:rsidR="00FE77F3" w:rsidRDefault="00FE77F3">
            <w:pPr>
              <w:rPr>
                <w:sz w:val="24"/>
                <w:szCs w:val="24"/>
              </w:rPr>
            </w:pPr>
          </w:p>
        </w:tc>
        <w:tc>
          <w:tcPr>
            <w:tcW w:w="1960" w:type="dxa"/>
            <w:vAlign w:val="bottom"/>
          </w:tcPr>
          <w:p w:rsidR="00FE77F3" w:rsidRDefault="00E3448D">
            <w:pPr>
              <w:ind w:left="100"/>
              <w:rPr>
                <w:sz w:val="20"/>
                <w:szCs w:val="20"/>
              </w:rPr>
            </w:pPr>
            <w:r>
              <w:rPr>
                <w:rFonts w:eastAsia="Times New Roman"/>
                <w:sz w:val="16"/>
                <w:szCs w:val="16"/>
              </w:rPr>
              <w:t>2</w:t>
            </w:r>
          </w:p>
        </w:tc>
        <w:tc>
          <w:tcPr>
            <w:tcW w:w="1360" w:type="dxa"/>
            <w:vAlign w:val="bottom"/>
          </w:tcPr>
          <w:p w:rsidR="00FE77F3" w:rsidRDefault="00E3448D">
            <w:pPr>
              <w:ind w:left="100"/>
              <w:rPr>
                <w:sz w:val="20"/>
                <w:szCs w:val="20"/>
              </w:rPr>
            </w:pPr>
            <w:r>
              <w:rPr>
                <w:rFonts w:eastAsia="Times New Roman"/>
                <w:sz w:val="16"/>
                <w:szCs w:val="16"/>
              </w:rPr>
              <w:t>19 (20.2%)</w:t>
            </w:r>
          </w:p>
        </w:tc>
        <w:tc>
          <w:tcPr>
            <w:tcW w:w="1240" w:type="dxa"/>
            <w:vAlign w:val="bottom"/>
          </w:tcPr>
          <w:p w:rsidR="00FE77F3" w:rsidRDefault="00E3448D">
            <w:pPr>
              <w:ind w:left="140"/>
              <w:rPr>
                <w:sz w:val="20"/>
                <w:szCs w:val="20"/>
              </w:rPr>
            </w:pPr>
            <w:r>
              <w:rPr>
                <w:rFonts w:eastAsia="Times New Roman"/>
                <w:sz w:val="16"/>
                <w:szCs w:val="16"/>
              </w:rPr>
              <w:t>61 (64.9%)</w:t>
            </w:r>
          </w:p>
        </w:tc>
        <w:tc>
          <w:tcPr>
            <w:tcW w:w="1400" w:type="dxa"/>
            <w:vAlign w:val="bottom"/>
          </w:tcPr>
          <w:p w:rsidR="00FE77F3" w:rsidRDefault="00E3448D">
            <w:pPr>
              <w:ind w:left="360"/>
              <w:rPr>
                <w:sz w:val="20"/>
                <w:szCs w:val="20"/>
              </w:rPr>
            </w:pPr>
            <w:r>
              <w:rPr>
                <w:rFonts w:eastAsia="Times New Roman"/>
                <w:sz w:val="16"/>
                <w:szCs w:val="16"/>
              </w:rPr>
              <w:t>14 (14.9%)</w:t>
            </w:r>
          </w:p>
        </w:tc>
        <w:tc>
          <w:tcPr>
            <w:tcW w:w="640" w:type="dxa"/>
            <w:vAlign w:val="bottom"/>
          </w:tcPr>
          <w:p w:rsidR="00FE77F3" w:rsidRDefault="00E3448D">
            <w:pPr>
              <w:ind w:left="340"/>
              <w:rPr>
                <w:sz w:val="20"/>
                <w:szCs w:val="20"/>
              </w:rPr>
            </w:pPr>
            <w:r>
              <w:rPr>
                <w:rFonts w:eastAsia="Times New Roman"/>
                <w:w w:val="99"/>
                <w:sz w:val="16"/>
                <w:szCs w:val="16"/>
              </w:rPr>
              <w:t>3.47</w:t>
            </w:r>
          </w:p>
        </w:tc>
        <w:tc>
          <w:tcPr>
            <w:tcW w:w="740" w:type="dxa"/>
            <w:vAlign w:val="bottom"/>
          </w:tcPr>
          <w:p w:rsidR="00FE77F3" w:rsidRDefault="00E3448D">
            <w:pPr>
              <w:ind w:left="20"/>
              <w:rPr>
                <w:sz w:val="20"/>
                <w:szCs w:val="20"/>
              </w:rPr>
            </w:pPr>
            <w:r>
              <w:rPr>
                <w:rFonts w:eastAsia="Times New Roman"/>
                <w:sz w:val="16"/>
                <w:szCs w:val="16"/>
              </w:rPr>
              <w:t>(.97)</w:t>
            </w:r>
          </w:p>
        </w:tc>
        <w:tc>
          <w:tcPr>
            <w:tcW w:w="640" w:type="dxa"/>
            <w:vAlign w:val="bottom"/>
          </w:tcPr>
          <w:p w:rsidR="00FE77F3" w:rsidRDefault="00E3448D">
            <w:pPr>
              <w:ind w:left="340"/>
              <w:rPr>
                <w:sz w:val="20"/>
                <w:szCs w:val="20"/>
              </w:rPr>
            </w:pPr>
            <w:r>
              <w:rPr>
                <w:rFonts w:eastAsia="Times New Roman"/>
                <w:w w:val="99"/>
                <w:sz w:val="16"/>
                <w:szCs w:val="16"/>
              </w:rPr>
              <w:t>3.24</w:t>
            </w:r>
          </w:p>
        </w:tc>
        <w:tc>
          <w:tcPr>
            <w:tcW w:w="1040" w:type="dxa"/>
            <w:vAlign w:val="bottom"/>
          </w:tcPr>
          <w:p w:rsidR="00FE77F3" w:rsidRDefault="00E3448D">
            <w:pPr>
              <w:ind w:left="20"/>
              <w:rPr>
                <w:sz w:val="20"/>
                <w:szCs w:val="20"/>
              </w:rPr>
            </w:pPr>
            <w:r>
              <w:rPr>
                <w:rFonts w:eastAsia="Times New Roman"/>
                <w:sz w:val="16"/>
                <w:szCs w:val="16"/>
              </w:rPr>
              <w:t>(.92)</w:t>
            </w:r>
          </w:p>
        </w:tc>
      </w:tr>
      <w:tr w:rsidR="00FE77F3">
        <w:trPr>
          <w:trHeight w:val="367"/>
        </w:trPr>
        <w:tc>
          <w:tcPr>
            <w:tcW w:w="20" w:type="dxa"/>
            <w:vAlign w:val="bottom"/>
          </w:tcPr>
          <w:p w:rsidR="00FE77F3" w:rsidRDefault="00FE77F3">
            <w:pPr>
              <w:rPr>
                <w:sz w:val="24"/>
                <w:szCs w:val="24"/>
              </w:rPr>
            </w:pPr>
          </w:p>
        </w:tc>
        <w:tc>
          <w:tcPr>
            <w:tcW w:w="1960" w:type="dxa"/>
            <w:vAlign w:val="bottom"/>
          </w:tcPr>
          <w:p w:rsidR="00FE77F3" w:rsidRDefault="00E3448D">
            <w:pPr>
              <w:ind w:left="100"/>
              <w:rPr>
                <w:sz w:val="20"/>
                <w:szCs w:val="20"/>
              </w:rPr>
            </w:pPr>
            <w:r>
              <w:rPr>
                <w:rFonts w:eastAsia="Times New Roman"/>
                <w:sz w:val="16"/>
                <w:szCs w:val="16"/>
              </w:rPr>
              <w:t>5</w:t>
            </w:r>
          </w:p>
        </w:tc>
        <w:tc>
          <w:tcPr>
            <w:tcW w:w="1360" w:type="dxa"/>
            <w:vAlign w:val="bottom"/>
          </w:tcPr>
          <w:p w:rsidR="00FE77F3" w:rsidRDefault="00E3448D">
            <w:pPr>
              <w:ind w:left="100"/>
              <w:rPr>
                <w:sz w:val="20"/>
                <w:szCs w:val="20"/>
              </w:rPr>
            </w:pPr>
            <w:r>
              <w:rPr>
                <w:rFonts w:eastAsia="Times New Roman"/>
                <w:sz w:val="16"/>
                <w:szCs w:val="16"/>
              </w:rPr>
              <w:t>6 (7.9%)</w:t>
            </w:r>
          </w:p>
        </w:tc>
        <w:tc>
          <w:tcPr>
            <w:tcW w:w="1240" w:type="dxa"/>
            <w:vAlign w:val="bottom"/>
          </w:tcPr>
          <w:p w:rsidR="00FE77F3" w:rsidRDefault="00E3448D">
            <w:pPr>
              <w:ind w:left="140"/>
              <w:rPr>
                <w:sz w:val="20"/>
                <w:szCs w:val="20"/>
              </w:rPr>
            </w:pPr>
            <w:r>
              <w:rPr>
                <w:rFonts w:eastAsia="Times New Roman"/>
                <w:sz w:val="16"/>
                <w:szCs w:val="16"/>
              </w:rPr>
              <w:t>61 (80.3%)</w:t>
            </w:r>
          </w:p>
        </w:tc>
        <w:tc>
          <w:tcPr>
            <w:tcW w:w="1400" w:type="dxa"/>
            <w:vAlign w:val="bottom"/>
          </w:tcPr>
          <w:p w:rsidR="00FE77F3" w:rsidRDefault="00E3448D">
            <w:pPr>
              <w:ind w:left="360"/>
              <w:rPr>
                <w:sz w:val="20"/>
                <w:szCs w:val="20"/>
              </w:rPr>
            </w:pPr>
            <w:r>
              <w:rPr>
                <w:rFonts w:eastAsia="Times New Roman"/>
                <w:sz w:val="16"/>
                <w:szCs w:val="16"/>
              </w:rPr>
              <w:t>9 (11.8%)</w:t>
            </w:r>
          </w:p>
        </w:tc>
        <w:tc>
          <w:tcPr>
            <w:tcW w:w="640" w:type="dxa"/>
            <w:vAlign w:val="bottom"/>
          </w:tcPr>
          <w:p w:rsidR="00FE77F3" w:rsidRDefault="00E3448D">
            <w:pPr>
              <w:ind w:left="340"/>
              <w:rPr>
                <w:sz w:val="20"/>
                <w:szCs w:val="20"/>
              </w:rPr>
            </w:pPr>
            <w:r>
              <w:rPr>
                <w:rFonts w:eastAsia="Times New Roman"/>
                <w:w w:val="99"/>
                <w:sz w:val="16"/>
                <w:szCs w:val="16"/>
              </w:rPr>
              <w:t>3.17</w:t>
            </w:r>
          </w:p>
        </w:tc>
        <w:tc>
          <w:tcPr>
            <w:tcW w:w="740" w:type="dxa"/>
            <w:vAlign w:val="bottom"/>
          </w:tcPr>
          <w:p w:rsidR="00FE77F3" w:rsidRDefault="00E3448D">
            <w:pPr>
              <w:ind w:left="20"/>
              <w:rPr>
                <w:sz w:val="20"/>
                <w:szCs w:val="20"/>
              </w:rPr>
            </w:pPr>
            <w:r>
              <w:rPr>
                <w:rFonts w:eastAsia="Times New Roman"/>
                <w:sz w:val="16"/>
                <w:szCs w:val="16"/>
              </w:rPr>
              <w:t>(.75)</w:t>
            </w:r>
          </w:p>
        </w:tc>
        <w:tc>
          <w:tcPr>
            <w:tcW w:w="640" w:type="dxa"/>
            <w:vAlign w:val="bottom"/>
          </w:tcPr>
          <w:p w:rsidR="00FE77F3" w:rsidRDefault="00E3448D">
            <w:pPr>
              <w:ind w:left="340"/>
              <w:rPr>
                <w:sz w:val="20"/>
                <w:szCs w:val="20"/>
              </w:rPr>
            </w:pPr>
            <w:r>
              <w:rPr>
                <w:rFonts w:eastAsia="Times New Roman"/>
                <w:w w:val="99"/>
                <w:sz w:val="16"/>
                <w:szCs w:val="16"/>
              </w:rPr>
              <w:t>3.41</w:t>
            </w:r>
          </w:p>
        </w:tc>
        <w:tc>
          <w:tcPr>
            <w:tcW w:w="1040" w:type="dxa"/>
            <w:vAlign w:val="bottom"/>
          </w:tcPr>
          <w:p w:rsidR="00FE77F3" w:rsidRDefault="00E3448D">
            <w:pPr>
              <w:ind w:left="20"/>
              <w:rPr>
                <w:sz w:val="20"/>
                <w:szCs w:val="20"/>
              </w:rPr>
            </w:pPr>
            <w:r>
              <w:rPr>
                <w:rFonts w:eastAsia="Times New Roman"/>
                <w:sz w:val="16"/>
                <w:szCs w:val="16"/>
              </w:rPr>
              <w:t>(.96)</w:t>
            </w:r>
          </w:p>
        </w:tc>
      </w:tr>
      <w:tr w:rsidR="00FE77F3">
        <w:trPr>
          <w:trHeight w:val="192"/>
        </w:trPr>
        <w:tc>
          <w:tcPr>
            <w:tcW w:w="20" w:type="dxa"/>
            <w:tcBorders>
              <w:bottom w:val="single" w:sz="8" w:space="0" w:color="auto"/>
            </w:tcBorders>
            <w:vAlign w:val="bottom"/>
          </w:tcPr>
          <w:p w:rsidR="00FE77F3" w:rsidRDefault="00FE77F3">
            <w:pPr>
              <w:rPr>
                <w:sz w:val="16"/>
                <w:szCs w:val="16"/>
              </w:rPr>
            </w:pPr>
          </w:p>
        </w:tc>
        <w:tc>
          <w:tcPr>
            <w:tcW w:w="1960" w:type="dxa"/>
            <w:tcBorders>
              <w:bottom w:val="single" w:sz="8" w:space="0" w:color="auto"/>
            </w:tcBorders>
            <w:vAlign w:val="bottom"/>
          </w:tcPr>
          <w:p w:rsidR="00FE77F3" w:rsidRDefault="00FE77F3">
            <w:pPr>
              <w:rPr>
                <w:sz w:val="16"/>
                <w:szCs w:val="16"/>
              </w:rPr>
            </w:pPr>
          </w:p>
        </w:tc>
        <w:tc>
          <w:tcPr>
            <w:tcW w:w="1360" w:type="dxa"/>
            <w:tcBorders>
              <w:bottom w:val="single" w:sz="8" w:space="0" w:color="auto"/>
            </w:tcBorders>
            <w:vAlign w:val="bottom"/>
          </w:tcPr>
          <w:p w:rsidR="00FE77F3" w:rsidRDefault="00FE77F3">
            <w:pPr>
              <w:rPr>
                <w:sz w:val="16"/>
                <w:szCs w:val="16"/>
              </w:rPr>
            </w:pPr>
          </w:p>
        </w:tc>
        <w:tc>
          <w:tcPr>
            <w:tcW w:w="1240" w:type="dxa"/>
            <w:tcBorders>
              <w:bottom w:val="single" w:sz="8" w:space="0" w:color="auto"/>
            </w:tcBorders>
            <w:vAlign w:val="bottom"/>
          </w:tcPr>
          <w:p w:rsidR="00FE77F3" w:rsidRDefault="00FE77F3">
            <w:pPr>
              <w:rPr>
                <w:sz w:val="16"/>
                <w:szCs w:val="16"/>
              </w:rPr>
            </w:pPr>
          </w:p>
        </w:tc>
        <w:tc>
          <w:tcPr>
            <w:tcW w:w="1400" w:type="dxa"/>
            <w:tcBorders>
              <w:bottom w:val="single" w:sz="8" w:space="0" w:color="auto"/>
            </w:tcBorders>
            <w:vAlign w:val="bottom"/>
          </w:tcPr>
          <w:p w:rsidR="00FE77F3" w:rsidRDefault="00FE77F3">
            <w:pPr>
              <w:rPr>
                <w:sz w:val="16"/>
                <w:szCs w:val="16"/>
              </w:rPr>
            </w:pPr>
          </w:p>
        </w:tc>
        <w:tc>
          <w:tcPr>
            <w:tcW w:w="640" w:type="dxa"/>
            <w:tcBorders>
              <w:bottom w:val="single" w:sz="8" w:space="0" w:color="auto"/>
            </w:tcBorders>
            <w:vAlign w:val="bottom"/>
          </w:tcPr>
          <w:p w:rsidR="00FE77F3" w:rsidRDefault="00FE77F3">
            <w:pPr>
              <w:rPr>
                <w:sz w:val="16"/>
                <w:szCs w:val="16"/>
              </w:rPr>
            </w:pPr>
          </w:p>
        </w:tc>
        <w:tc>
          <w:tcPr>
            <w:tcW w:w="740" w:type="dxa"/>
            <w:tcBorders>
              <w:bottom w:val="single" w:sz="8" w:space="0" w:color="auto"/>
            </w:tcBorders>
            <w:vAlign w:val="bottom"/>
          </w:tcPr>
          <w:p w:rsidR="00FE77F3" w:rsidRDefault="00FE77F3">
            <w:pPr>
              <w:rPr>
                <w:sz w:val="16"/>
                <w:szCs w:val="16"/>
              </w:rPr>
            </w:pPr>
          </w:p>
        </w:tc>
        <w:tc>
          <w:tcPr>
            <w:tcW w:w="640" w:type="dxa"/>
            <w:tcBorders>
              <w:bottom w:val="single" w:sz="8" w:space="0" w:color="auto"/>
            </w:tcBorders>
            <w:vAlign w:val="bottom"/>
          </w:tcPr>
          <w:p w:rsidR="00FE77F3" w:rsidRDefault="00FE77F3">
            <w:pPr>
              <w:rPr>
                <w:sz w:val="16"/>
                <w:szCs w:val="16"/>
              </w:rPr>
            </w:pPr>
          </w:p>
        </w:tc>
        <w:tc>
          <w:tcPr>
            <w:tcW w:w="1040" w:type="dxa"/>
            <w:tcBorders>
              <w:bottom w:val="single" w:sz="8" w:space="0" w:color="auto"/>
            </w:tcBorders>
            <w:vAlign w:val="bottom"/>
          </w:tcPr>
          <w:p w:rsidR="00FE77F3" w:rsidRDefault="00FE77F3">
            <w:pPr>
              <w:rPr>
                <w:sz w:val="16"/>
                <w:szCs w:val="16"/>
              </w:rPr>
            </w:pPr>
          </w:p>
        </w:tc>
      </w:tr>
    </w:tbl>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59" w:lineRule="exact"/>
        <w:rPr>
          <w:sz w:val="20"/>
          <w:szCs w:val="20"/>
        </w:rPr>
      </w:pPr>
    </w:p>
    <w:p w:rsidR="00FE77F3" w:rsidRDefault="00E3448D">
      <w:pPr>
        <w:ind w:left="20"/>
        <w:rPr>
          <w:sz w:val="20"/>
          <w:szCs w:val="20"/>
        </w:rPr>
      </w:pPr>
      <w:r>
        <w:rPr>
          <w:rFonts w:eastAsia="Times New Roman"/>
          <w:b/>
          <w:bCs/>
          <w:sz w:val="16"/>
          <w:szCs w:val="16"/>
        </w:rPr>
        <w:t>Table 4</w:t>
      </w:r>
    </w:p>
    <w:p w:rsidR="00FE77F3" w:rsidRDefault="00FE77F3">
      <w:pPr>
        <w:spacing w:line="345" w:lineRule="exact"/>
        <w:rPr>
          <w:sz w:val="20"/>
          <w:szCs w:val="20"/>
        </w:rPr>
      </w:pPr>
    </w:p>
    <w:p w:rsidR="00FE77F3" w:rsidRDefault="00E3448D">
      <w:pPr>
        <w:ind w:left="20"/>
        <w:rPr>
          <w:sz w:val="20"/>
          <w:szCs w:val="20"/>
        </w:rPr>
      </w:pPr>
      <w:r>
        <w:rPr>
          <w:rFonts w:eastAsia="Times New Roman"/>
          <w:b/>
          <w:bCs/>
          <w:sz w:val="16"/>
          <w:szCs w:val="16"/>
        </w:rPr>
        <w:t>Descriptive statistics, reliability, and correlations for all continuous variables (N =608)</w:t>
      </w:r>
    </w:p>
    <w:p w:rsidR="00FE77F3" w:rsidRDefault="00E3448D">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12700</wp:posOffset>
                </wp:positionH>
                <wp:positionV relativeFrom="paragraph">
                  <wp:posOffset>224790</wp:posOffset>
                </wp:positionV>
                <wp:extent cx="573278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2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0D7D1C" id="Shape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17.7pt" to="452.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" o:allowincell="f" filled="t" strokeweight=".48pt">
                <v:stroke joinstyle="miter"/>
                <o:lock v:ext="edit" shapetype="f"/>
              </v:line>
            </w:pict>
          </mc:Fallback>
        </mc:AlternateContent>
      </w:r>
    </w:p>
    <w:p w:rsidR="00FE77F3" w:rsidRDefault="00FE77F3">
      <w:pPr>
        <w:spacing w:line="200" w:lineRule="exact"/>
        <w:rPr>
          <w:sz w:val="20"/>
          <w:szCs w:val="20"/>
        </w:rPr>
      </w:pPr>
    </w:p>
    <w:p w:rsidR="00FE77F3" w:rsidRDefault="00FE77F3">
      <w:pPr>
        <w:spacing w:line="371"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3020"/>
        <w:gridCol w:w="2700"/>
        <w:gridCol w:w="1720"/>
        <w:gridCol w:w="1580"/>
      </w:tblGrid>
      <w:tr w:rsidR="00FE77F3">
        <w:trPr>
          <w:trHeight w:val="238"/>
        </w:trPr>
        <w:tc>
          <w:tcPr>
            <w:tcW w:w="3020" w:type="dxa"/>
            <w:vAlign w:val="bottom"/>
          </w:tcPr>
          <w:p w:rsidR="00FE77F3" w:rsidRDefault="00E3448D">
            <w:pPr>
              <w:ind w:left="100"/>
              <w:rPr>
                <w:sz w:val="20"/>
                <w:szCs w:val="20"/>
              </w:rPr>
            </w:pPr>
            <w:r>
              <w:rPr>
                <w:rFonts w:eastAsia="Times New Roman"/>
                <w:sz w:val="16"/>
                <w:szCs w:val="16"/>
              </w:rPr>
              <w:t>Variables</w:t>
            </w:r>
          </w:p>
        </w:tc>
        <w:tc>
          <w:tcPr>
            <w:tcW w:w="2700" w:type="dxa"/>
            <w:vAlign w:val="bottom"/>
          </w:tcPr>
          <w:p w:rsidR="00FE77F3" w:rsidRDefault="00E3448D">
            <w:pPr>
              <w:ind w:left="1480"/>
              <w:rPr>
                <w:sz w:val="20"/>
                <w:szCs w:val="20"/>
              </w:rPr>
            </w:pPr>
            <w:r>
              <w:rPr>
                <w:rFonts w:eastAsia="Times New Roman"/>
                <w:sz w:val="16"/>
                <w:szCs w:val="16"/>
              </w:rPr>
              <w:t xml:space="preserve">Confidence </w:t>
            </w:r>
            <w:r>
              <w:rPr>
                <w:rFonts w:eastAsia="Times New Roman"/>
                <w:sz w:val="20"/>
                <w:szCs w:val="20"/>
                <w:vertAlign w:val="superscript"/>
              </w:rPr>
              <w:t>a</w:t>
            </w:r>
          </w:p>
        </w:tc>
        <w:tc>
          <w:tcPr>
            <w:tcW w:w="1720" w:type="dxa"/>
            <w:vAlign w:val="bottom"/>
          </w:tcPr>
          <w:p w:rsidR="00FE77F3" w:rsidRDefault="00E3448D">
            <w:pPr>
              <w:ind w:left="400"/>
              <w:rPr>
                <w:sz w:val="20"/>
                <w:szCs w:val="20"/>
              </w:rPr>
            </w:pPr>
            <w:r>
              <w:rPr>
                <w:rFonts w:eastAsia="Times New Roman"/>
                <w:sz w:val="16"/>
                <w:szCs w:val="16"/>
              </w:rPr>
              <w:t>Confederate Size</w:t>
            </w:r>
          </w:p>
        </w:tc>
        <w:tc>
          <w:tcPr>
            <w:tcW w:w="1580" w:type="dxa"/>
            <w:vAlign w:val="bottom"/>
          </w:tcPr>
          <w:p w:rsidR="00FE77F3" w:rsidRDefault="00E3448D">
            <w:pPr>
              <w:ind w:left="220"/>
              <w:rPr>
                <w:sz w:val="20"/>
                <w:szCs w:val="20"/>
              </w:rPr>
            </w:pPr>
            <w:r>
              <w:rPr>
                <w:rFonts w:eastAsia="Times New Roman"/>
                <w:sz w:val="16"/>
                <w:szCs w:val="16"/>
              </w:rPr>
              <w:t>Age</w:t>
            </w:r>
          </w:p>
        </w:tc>
      </w:tr>
      <w:tr w:rsidR="00FE77F3">
        <w:trPr>
          <w:trHeight w:val="298"/>
        </w:trPr>
        <w:tc>
          <w:tcPr>
            <w:tcW w:w="3020" w:type="dxa"/>
            <w:tcBorders>
              <w:bottom w:val="single" w:sz="8" w:space="0" w:color="auto"/>
            </w:tcBorders>
            <w:vAlign w:val="bottom"/>
          </w:tcPr>
          <w:p w:rsidR="00FE77F3" w:rsidRDefault="00FE77F3">
            <w:pPr>
              <w:rPr>
                <w:sz w:val="24"/>
                <w:szCs w:val="24"/>
              </w:rPr>
            </w:pPr>
          </w:p>
        </w:tc>
        <w:tc>
          <w:tcPr>
            <w:tcW w:w="2700" w:type="dxa"/>
            <w:tcBorders>
              <w:bottom w:val="single" w:sz="8" w:space="0" w:color="auto"/>
            </w:tcBorders>
            <w:vAlign w:val="bottom"/>
          </w:tcPr>
          <w:p w:rsidR="00FE77F3" w:rsidRDefault="00FE77F3">
            <w:pPr>
              <w:rPr>
                <w:sz w:val="24"/>
                <w:szCs w:val="24"/>
              </w:rPr>
            </w:pPr>
          </w:p>
        </w:tc>
        <w:tc>
          <w:tcPr>
            <w:tcW w:w="1720" w:type="dxa"/>
            <w:tcBorders>
              <w:bottom w:val="single" w:sz="8" w:space="0" w:color="auto"/>
            </w:tcBorders>
            <w:vAlign w:val="bottom"/>
          </w:tcPr>
          <w:p w:rsidR="00FE77F3" w:rsidRDefault="00FE77F3">
            <w:pPr>
              <w:rPr>
                <w:sz w:val="24"/>
                <w:szCs w:val="24"/>
              </w:rPr>
            </w:pPr>
          </w:p>
        </w:tc>
        <w:tc>
          <w:tcPr>
            <w:tcW w:w="1580" w:type="dxa"/>
            <w:tcBorders>
              <w:bottom w:val="single" w:sz="8" w:space="0" w:color="auto"/>
            </w:tcBorders>
            <w:vAlign w:val="bottom"/>
          </w:tcPr>
          <w:p w:rsidR="00FE77F3" w:rsidRDefault="00FE77F3">
            <w:pPr>
              <w:rPr>
                <w:sz w:val="24"/>
                <w:szCs w:val="24"/>
              </w:rPr>
            </w:pPr>
          </w:p>
        </w:tc>
      </w:tr>
      <w:tr w:rsidR="00FE77F3">
        <w:trPr>
          <w:trHeight w:val="460"/>
        </w:trPr>
        <w:tc>
          <w:tcPr>
            <w:tcW w:w="3020" w:type="dxa"/>
            <w:vAlign w:val="bottom"/>
          </w:tcPr>
          <w:p w:rsidR="00FE77F3" w:rsidRDefault="00E3448D">
            <w:pPr>
              <w:ind w:left="100"/>
              <w:rPr>
                <w:sz w:val="20"/>
                <w:szCs w:val="20"/>
              </w:rPr>
            </w:pPr>
            <w:r>
              <w:rPr>
                <w:rFonts w:eastAsia="Times New Roman"/>
                <w:sz w:val="16"/>
                <w:szCs w:val="16"/>
              </w:rPr>
              <w:t xml:space="preserve">Confidence </w:t>
            </w:r>
            <w:r>
              <w:rPr>
                <w:rFonts w:eastAsia="Times New Roman"/>
                <w:sz w:val="20"/>
                <w:szCs w:val="20"/>
                <w:vertAlign w:val="superscript"/>
              </w:rPr>
              <w:t>a</w:t>
            </w:r>
          </w:p>
        </w:tc>
        <w:tc>
          <w:tcPr>
            <w:tcW w:w="2700" w:type="dxa"/>
            <w:vAlign w:val="bottom"/>
          </w:tcPr>
          <w:p w:rsidR="00FE77F3" w:rsidRDefault="00E3448D">
            <w:pPr>
              <w:ind w:left="1480"/>
              <w:rPr>
                <w:sz w:val="20"/>
                <w:szCs w:val="20"/>
              </w:rPr>
            </w:pPr>
            <w:r>
              <w:rPr>
                <w:rFonts w:eastAsia="Times New Roman"/>
                <w:sz w:val="16"/>
                <w:szCs w:val="16"/>
              </w:rPr>
              <w:t>1</w:t>
            </w:r>
          </w:p>
        </w:tc>
        <w:tc>
          <w:tcPr>
            <w:tcW w:w="1720" w:type="dxa"/>
            <w:vAlign w:val="bottom"/>
          </w:tcPr>
          <w:p w:rsidR="00FE77F3" w:rsidRDefault="00E3448D">
            <w:pPr>
              <w:ind w:left="400"/>
              <w:rPr>
                <w:sz w:val="20"/>
                <w:szCs w:val="20"/>
              </w:rPr>
            </w:pPr>
            <w:r>
              <w:rPr>
                <w:rFonts w:eastAsia="Times New Roman"/>
                <w:sz w:val="16"/>
                <w:szCs w:val="16"/>
              </w:rPr>
              <w:t>.09</w:t>
            </w:r>
          </w:p>
        </w:tc>
        <w:tc>
          <w:tcPr>
            <w:tcW w:w="1580" w:type="dxa"/>
            <w:vAlign w:val="bottom"/>
          </w:tcPr>
          <w:p w:rsidR="00FE77F3" w:rsidRDefault="00E3448D">
            <w:pPr>
              <w:ind w:left="220"/>
              <w:rPr>
                <w:sz w:val="20"/>
                <w:szCs w:val="20"/>
              </w:rPr>
            </w:pPr>
            <w:r>
              <w:rPr>
                <w:rFonts w:eastAsia="Times New Roman"/>
                <w:sz w:val="16"/>
                <w:szCs w:val="16"/>
              </w:rPr>
              <w:t>.04</w:t>
            </w:r>
          </w:p>
        </w:tc>
      </w:tr>
      <w:tr w:rsidR="00FE77F3">
        <w:trPr>
          <w:trHeight w:val="474"/>
        </w:trPr>
        <w:tc>
          <w:tcPr>
            <w:tcW w:w="3020" w:type="dxa"/>
            <w:vAlign w:val="bottom"/>
          </w:tcPr>
          <w:p w:rsidR="00FE77F3" w:rsidRDefault="00E3448D">
            <w:pPr>
              <w:ind w:left="100"/>
              <w:rPr>
                <w:sz w:val="20"/>
                <w:szCs w:val="20"/>
              </w:rPr>
            </w:pPr>
            <w:r>
              <w:rPr>
                <w:rFonts w:eastAsia="Times New Roman"/>
                <w:sz w:val="16"/>
                <w:szCs w:val="16"/>
              </w:rPr>
              <w:t>Confederate size (CS)</w:t>
            </w:r>
          </w:p>
        </w:tc>
        <w:tc>
          <w:tcPr>
            <w:tcW w:w="2700" w:type="dxa"/>
            <w:vAlign w:val="bottom"/>
          </w:tcPr>
          <w:p w:rsidR="00FE77F3" w:rsidRDefault="00E3448D">
            <w:pPr>
              <w:ind w:left="1480"/>
              <w:rPr>
                <w:sz w:val="20"/>
                <w:szCs w:val="20"/>
              </w:rPr>
            </w:pPr>
            <w:r>
              <w:rPr>
                <w:rFonts w:eastAsia="Times New Roman"/>
                <w:sz w:val="16"/>
                <w:szCs w:val="16"/>
              </w:rPr>
              <w:t>.09</w:t>
            </w:r>
          </w:p>
        </w:tc>
        <w:tc>
          <w:tcPr>
            <w:tcW w:w="1720" w:type="dxa"/>
            <w:vAlign w:val="bottom"/>
          </w:tcPr>
          <w:p w:rsidR="00FE77F3" w:rsidRDefault="00E3448D">
            <w:pPr>
              <w:ind w:left="400"/>
              <w:rPr>
                <w:sz w:val="20"/>
                <w:szCs w:val="20"/>
              </w:rPr>
            </w:pPr>
            <w:r>
              <w:rPr>
                <w:rFonts w:eastAsia="Times New Roman"/>
                <w:sz w:val="16"/>
                <w:szCs w:val="16"/>
              </w:rPr>
              <w:t>1</w:t>
            </w:r>
          </w:p>
        </w:tc>
        <w:tc>
          <w:tcPr>
            <w:tcW w:w="1580" w:type="dxa"/>
            <w:vAlign w:val="bottom"/>
          </w:tcPr>
          <w:p w:rsidR="00FE77F3" w:rsidRDefault="00E3448D">
            <w:pPr>
              <w:ind w:left="220"/>
              <w:rPr>
                <w:sz w:val="20"/>
                <w:szCs w:val="20"/>
              </w:rPr>
            </w:pPr>
            <w:r>
              <w:rPr>
                <w:rFonts w:eastAsia="Times New Roman"/>
                <w:sz w:val="16"/>
                <w:szCs w:val="16"/>
              </w:rPr>
              <w:t>-.17***</w:t>
            </w:r>
          </w:p>
        </w:tc>
      </w:tr>
      <w:tr w:rsidR="00FE77F3">
        <w:trPr>
          <w:trHeight w:val="528"/>
        </w:trPr>
        <w:tc>
          <w:tcPr>
            <w:tcW w:w="3020" w:type="dxa"/>
            <w:vAlign w:val="bottom"/>
          </w:tcPr>
          <w:p w:rsidR="00FE77F3" w:rsidRDefault="00E3448D">
            <w:pPr>
              <w:ind w:left="100"/>
              <w:rPr>
                <w:sz w:val="20"/>
                <w:szCs w:val="20"/>
              </w:rPr>
            </w:pPr>
            <w:r>
              <w:rPr>
                <w:rFonts w:eastAsia="Times New Roman"/>
                <w:sz w:val="16"/>
                <w:szCs w:val="16"/>
              </w:rPr>
              <w:t>Age</w:t>
            </w:r>
          </w:p>
        </w:tc>
        <w:tc>
          <w:tcPr>
            <w:tcW w:w="2700" w:type="dxa"/>
            <w:vAlign w:val="bottom"/>
          </w:tcPr>
          <w:p w:rsidR="00FE77F3" w:rsidRDefault="00E3448D">
            <w:pPr>
              <w:ind w:left="1480"/>
              <w:rPr>
                <w:sz w:val="20"/>
                <w:szCs w:val="20"/>
              </w:rPr>
            </w:pPr>
            <w:r>
              <w:rPr>
                <w:rFonts w:eastAsia="Times New Roman"/>
                <w:sz w:val="16"/>
                <w:szCs w:val="16"/>
              </w:rPr>
              <w:t>.05</w:t>
            </w:r>
          </w:p>
        </w:tc>
        <w:tc>
          <w:tcPr>
            <w:tcW w:w="1720" w:type="dxa"/>
            <w:vAlign w:val="bottom"/>
          </w:tcPr>
          <w:p w:rsidR="00FE77F3" w:rsidRDefault="00E3448D">
            <w:pPr>
              <w:ind w:left="400"/>
              <w:rPr>
                <w:sz w:val="20"/>
                <w:szCs w:val="20"/>
              </w:rPr>
            </w:pPr>
            <w:r>
              <w:rPr>
                <w:rFonts w:eastAsia="Times New Roman"/>
                <w:sz w:val="16"/>
                <w:szCs w:val="16"/>
              </w:rPr>
              <w:t>-.17***</w:t>
            </w:r>
          </w:p>
        </w:tc>
        <w:tc>
          <w:tcPr>
            <w:tcW w:w="1580" w:type="dxa"/>
            <w:vAlign w:val="bottom"/>
          </w:tcPr>
          <w:p w:rsidR="00FE77F3" w:rsidRDefault="00E3448D">
            <w:pPr>
              <w:ind w:left="220"/>
              <w:rPr>
                <w:sz w:val="20"/>
                <w:szCs w:val="20"/>
              </w:rPr>
            </w:pPr>
            <w:r>
              <w:rPr>
                <w:rFonts w:eastAsia="Times New Roman"/>
                <w:sz w:val="16"/>
                <w:szCs w:val="16"/>
              </w:rPr>
              <w:t>1</w:t>
            </w:r>
          </w:p>
        </w:tc>
      </w:tr>
      <w:tr w:rsidR="00FE77F3">
        <w:trPr>
          <w:trHeight w:val="528"/>
        </w:trPr>
        <w:tc>
          <w:tcPr>
            <w:tcW w:w="3020" w:type="dxa"/>
            <w:vAlign w:val="bottom"/>
          </w:tcPr>
          <w:p w:rsidR="00FE77F3" w:rsidRDefault="00E3448D">
            <w:pPr>
              <w:ind w:left="100"/>
              <w:rPr>
                <w:sz w:val="20"/>
                <w:szCs w:val="20"/>
              </w:rPr>
            </w:pPr>
            <w:r>
              <w:rPr>
                <w:rFonts w:eastAsia="Times New Roman"/>
                <w:i/>
                <w:iCs/>
                <w:sz w:val="16"/>
                <w:szCs w:val="16"/>
              </w:rPr>
              <w:t>Means</w:t>
            </w:r>
          </w:p>
        </w:tc>
        <w:tc>
          <w:tcPr>
            <w:tcW w:w="2700" w:type="dxa"/>
            <w:vAlign w:val="bottom"/>
          </w:tcPr>
          <w:p w:rsidR="00FE77F3" w:rsidRDefault="00E3448D">
            <w:pPr>
              <w:ind w:left="1480"/>
              <w:rPr>
                <w:sz w:val="20"/>
                <w:szCs w:val="20"/>
              </w:rPr>
            </w:pPr>
            <w:r>
              <w:rPr>
                <w:rFonts w:eastAsia="Times New Roman"/>
                <w:sz w:val="16"/>
                <w:szCs w:val="16"/>
              </w:rPr>
              <w:t>3.22</w:t>
            </w:r>
          </w:p>
        </w:tc>
        <w:tc>
          <w:tcPr>
            <w:tcW w:w="1720" w:type="dxa"/>
            <w:vAlign w:val="bottom"/>
          </w:tcPr>
          <w:p w:rsidR="00FE77F3" w:rsidRDefault="00E3448D">
            <w:pPr>
              <w:ind w:left="400"/>
              <w:rPr>
                <w:sz w:val="20"/>
                <w:szCs w:val="20"/>
              </w:rPr>
            </w:pPr>
            <w:r>
              <w:rPr>
                <w:rFonts w:eastAsia="Times New Roman"/>
                <w:sz w:val="16"/>
                <w:szCs w:val="16"/>
              </w:rPr>
              <w:t>1.37</w:t>
            </w:r>
          </w:p>
        </w:tc>
        <w:tc>
          <w:tcPr>
            <w:tcW w:w="1580" w:type="dxa"/>
            <w:vAlign w:val="bottom"/>
          </w:tcPr>
          <w:p w:rsidR="00FE77F3" w:rsidRDefault="00E3448D">
            <w:pPr>
              <w:ind w:left="220"/>
              <w:rPr>
                <w:sz w:val="20"/>
                <w:szCs w:val="20"/>
              </w:rPr>
            </w:pPr>
            <w:r>
              <w:rPr>
                <w:rFonts w:eastAsia="Times New Roman"/>
                <w:sz w:val="16"/>
                <w:szCs w:val="16"/>
              </w:rPr>
              <w:t>28.95</w:t>
            </w:r>
          </w:p>
        </w:tc>
      </w:tr>
      <w:tr w:rsidR="00FE77F3">
        <w:trPr>
          <w:trHeight w:val="528"/>
        </w:trPr>
        <w:tc>
          <w:tcPr>
            <w:tcW w:w="3020" w:type="dxa"/>
            <w:vAlign w:val="bottom"/>
          </w:tcPr>
          <w:p w:rsidR="00FE77F3" w:rsidRDefault="00E3448D">
            <w:pPr>
              <w:ind w:left="100"/>
              <w:rPr>
                <w:sz w:val="20"/>
                <w:szCs w:val="20"/>
              </w:rPr>
            </w:pPr>
            <w:r>
              <w:rPr>
                <w:rFonts w:eastAsia="Times New Roman"/>
                <w:i/>
                <w:iCs/>
                <w:sz w:val="16"/>
                <w:szCs w:val="16"/>
              </w:rPr>
              <w:t>Standard Deviations</w:t>
            </w:r>
          </w:p>
        </w:tc>
        <w:tc>
          <w:tcPr>
            <w:tcW w:w="2700" w:type="dxa"/>
            <w:vAlign w:val="bottom"/>
          </w:tcPr>
          <w:p w:rsidR="00FE77F3" w:rsidRDefault="00E3448D">
            <w:pPr>
              <w:ind w:left="1480"/>
              <w:rPr>
                <w:sz w:val="20"/>
                <w:szCs w:val="20"/>
              </w:rPr>
            </w:pPr>
            <w:r>
              <w:rPr>
                <w:rFonts w:eastAsia="Times New Roman"/>
                <w:sz w:val="16"/>
                <w:szCs w:val="16"/>
              </w:rPr>
              <w:t>.96</w:t>
            </w:r>
          </w:p>
        </w:tc>
        <w:tc>
          <w:tcPr>
            <w:tcW w:w="1720" w:type="dxa"/>
            <w:vAlign w:val="bottom"/>
          </w:tcPr>
          <w:p w:rsidR="00FE77F3" w:rsidRDefault="00E3448D">
            <w:pPr>
              <w:ind w:left="400"/>
              <w:rPr>
                <w:sz w:val="20"/>
                <w:szCs w:val="20"/>
              </w:rPr>
            </w:pPr>
            <w:r>
              <w:rPr>
                <w:rFonts w:eastAsia="Times New Roman"/>
                <w:sz w:val="16"/>
                <w:szCs w:val="16"/>
              </w:rPr>
              <w:t>1.52</w:t>
            </w:r>
          </w:p>
        </w:tc>
        <w:tc>
          <w:tcPr>
            <w:tcW w:w="1580" w:type="dxa"/>
            <w:vAlign w:val="bottom"/>
          </w:tcPr>
          <w:p w:rsidR="00FE77F3" w:rsidRDefault="00E3448D">
            <w:pPr>
              <w:ind w:left="220"/>
              <w:rPr>
                <w:sz w:val="20"/>
                <w:szCs w:val="20"/>
              </w:rPr>
            </w:pPr>
            <w:r>
              <w:rPr>
                <w:rFonts w:eastAsia="Times New Roman"/>
                <w:sz w:val="16"/>
                <w:szCs w:val="16"/>
              </w:rPr>
              <w:t>13.04</w:t>
            </w:r>
          </w:p>
        </w:tc>
      </w:tr>
      <w:tr w:rsidR="00FE77F3">
        <w:trPr>
          <w:trHeight w:val="528"/>
        </w:trPr>
        <w:tc>
          <w:tcPr>
            <w:tcW w:w="3020" w:type="dxa"/>
            <w:vAlign w:val="bottom"/>
          </w:tcPr>
          <w:p w:rsidR="00FE77F3" w:rsidRDefault="00E3448D">
            <w:pPr>
              <w:ind w:left="100"/>
              <w:rPr>
                <w:sz w:val="20"/>
                <w:szCs w:val="20"/>
              </w:rPr>
            </w:pPr>
            <w:r>
              <w:rPr>
                <w:rFonts w:eastAsia="Times New Roman"/>
                <w:i/>
                <w:iCs/>
                <w:sz w:val="16"/>
                <w:szCs w:val="16"/>
              </w:rPr>
              <w:t>Range</w:t>
            </w:r>
          </w:p>
        </w:tc>
        <w:tc>
          <w:tcPr>
            <w:tcW w:w="2700" w:type="dxa"/>
            <w:vAlign w:val="bottom"/>
          </w:tcPr>
          <w:p w:rsidR="00FE77F3" w:rsidRDefault="00E3448D">
            <w:pPr>
              <w:ind w:left="1480"/>
              <w:rPr>
                <w:sz w:val="20"/>
                <w:szCs w:val="20"/>
              </w:rPr>
            </w:pPr>
            <w:r>
              <w:rPr>
                <w:rFonts w:eastAsia="Times New Roman"/>
                <w:sz w:val="16"/>
                <w:szCs w:val="16"/>
              </w:rPr>
              <w:t>1-5</w:t>
            </w:r>
          </w:p>
        </w:tc>
        <w:tc>
          <w:tcPr>
            <w:tcW w:w="1720" w:type="dxa"/>
            <w:vAlign w:val="bottom"/>
          </w:tcPr>
          <w:p w:rsidR="00FE77F3" w:rsidRDefault="00E3448D">
            <w:pPr>
              <w:ind w:left="400"/>
              <w:rPr>
                <w:sz w:val="20"/>
                <w:szCs w:val="20"/>
              </w:rPr>
            </w:pPr>
            <w:r>
              <w:rPr>
                <w:rFonts w:eastAsia="Times New Roman"/>
                <w:sz w:val="16"/>
                <w:szCs w:val="16"/>
              </w:rPr>
              <w:t>0-5</w:t>
            </w:r>
          </w:p>
        </w:tc>
        <w:tc>
          <w:tcPr>
            <w:tcW w:w="1580" w:type="dxa"/>
            <w:vAlign w:val="bottom"/>
          </w:tcPr>
          <w:p w:rsidR="00FE77F3" w:rsidRDefault="00E3448D">
            <w:pPr>
              <w:ind w:left="220"/>
              <w:rPr>
                <w:sz w:val="20"/>
                <w:szCs w:val="20"/>
              </w:rPr>
            </w:pPr>
            <w:r>
              <w:rPr>
                <w:rFonts w:eastAsia="Times New Roman"/>
                <w:sz w:val="16"/>
                <w:szCs w:val="16"/>
              </w:rPr>
              <w:t>18-82</w:t>
            </w:r>
          </w:p>
        </w:tc>
      </w:tr>
    </w:tbl>
    <w:p w:rsidR="00FE77F3" w:rsidRDefault="00E3448D">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3810</wp:posOffset>
                </wp:positionH>
                <wp:positionV relativeFrom="paragraph">
                  <wp:posOffset>226695</wp:posOffset>
                </wp:positionV>
                <wp:extent cx="57416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6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74D3C5" id="Shape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pt,17.85pt" to="452.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" o:allowincell="f" filled="t" strokeweight=".16931mm">
                <v:stroke joinstyle="miter"/>
                <o:lock v:ext="edit" shapetype="f"/>
              </v:line>
            </w:pict>
          </mc:Fallback>
        </mc:AlternateContent>
      </w:r>
    </w:p>
    <w:p w:rsidR="00FE77F3" w:rsidRDefault="00FE77F3">
      <w:pPr>
        <w:spacing w:line="336" w:lineRule="exact"/>
        <w:rPr>
          <w:sz w:val="20"/>
          <w:szCs w:val="20"/>
        </w:rPr>
      </w:pPr>
    </w:p>
    <w:p w:rsidR="00FE77F3" w:rsidRDefault="00E3448D">
      <w:pPr>
        <w:ind w:left="20"/>
        <w:rPr>
          <w:sz w:val="20"/>
          <w:szCs w:val="20"/>
        </w:rPr>
      </w:pPr>
      <w:r>
        <w:rPr>
          <w:rFonts w:eastAsia="Times New Roman"/>
          <w:sz w:val="16"/>
          <w:szCs w:val="16"/>
        </w:rPr>
        <w:t>Note. . a= missing data for ‘unsure’ participants were replaced by confidence average score. Statistical significance: *p &lt; .05; **p &lt; .01;</w:t>
      </w:r>
    </w:p>
    <w:p w:rsidR="00FE77F3" w:rsidRDefault="00FE77F3">
      <w:pPr>
        <w:spacing w:line="183" w:lineRule="exact"/>
        <w:rPr>
          <w:sz w:val="20"/>
          <w:szCs w:val="20"/>
        </w:rPr>
      </w:pPr>
    </w:p>
    <w:p w:rsidR="00FE77F3" w:rsidRDefault="00E3448D">
      <w:pPr>
        <w:ind w:left="20"/>
        <w:rPr>
          <w:sz w:val="20"/>
          <w:szCs w:val="20"/>
        </w:rPr>
      </w:pPr>
      <w:r>
        <w:rPr>
          <w:rFonts w:eastAsia="Times New Roman"/>
          <w:sz w:val="16"/>
          <w:szCs w:val="16"/>
        </w:rPr>
        <w:t>***p &lt; .001</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75" w:lineRule="exact"/>
        <w:rPr>
          <w:sz w:val="20"/>
          <w:szCs w:val="20"/>
        </w:rPr>
      </w:pPr>
    </w:p>
    <w:p w:rsidR="00FE77F3" w:rsidRDefault="00E3448D">
      <w:pPr>
        <w:ind w:left="20"/>
        <w:rPr>
          <w:sz w:val="20"/>
          <w:szCs w:val="20"/>
        </w:rPr>
      </w:pPr>
      <w:r>
        <w:rPr>
          <w:rFonts w:eastAsia="Times New Roman"/>
          <w:b/>
          <w:bCs/>
          <w:sz w:val="24"/>
          <w:szCs w:val="24"/>
        </w:rPr>
        <w:t>The effects of confederate size and unanimity on blame conformity.</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6" w:lineRule="auto"/>
        <w:ind w:left="20" w:right="140" w:firstLine="720"/>
        <w:rPr>
          <w:sz w:val="20"/>
          <w:szCs w:val="20"/>
        </w:rPr>
      </w:pPr>
      <w:r>
        <w:rPr>
          <w:rFonts w:eastAsia="Times New Roman"/>
          <w:sz w:val="24"/>
          <w:szCs w:val="24"/>
        </w:rPr>
        <w:t>A Multinomial Logistic Regression was used to analyse predictors for an unordered group classification of eyewitness responses: a correct response, an incorrect response, and a response of ‘unsure’. Due to the dependent variable consisting of three outcomes, two regressions were conducted: one with incorrect response as the reference category, and one</w:t>
      </w:r>
    </w:p>
    <w:p w:rsidR="00FE77F3" w:rsidRDefault="00FE77F3">
      <w:pPr>
        <w:spacing w:line="200" w:lineRule="exact"/>
        <w:rPr>
          <w:sz w:val="20"/>
          <w:szCs w:val="20"/>
        </w:rPr>
      </w:pPr>
    </w:p>
    <w:p w:rsidR="00FE77F3" w:rsidRDefault="00FE77F3">
      <w:pPr>
        <w:spacing w:line="387" w:lineRule="exact"/>
        <w:rPr>
          <w:sz w:val="20"/>
          <w:szCs w:val="20"/>
        </w:rPr>
      </w:pPr>
    </w:p>
    <w:p w:rsidR="00FE77F3" w:rsidRDefault="00E3448D">
      <w:pPr>
        <w:jc w:val="right"/>
        <w:rPr>
          <w:sz w:val="20"/>
          <w:szCs w:val="20"/>
        </w:rPr>
      </w:pPr>
      <w:r>
        <w:rPr>
          <w:rFonts w:ascii="Calibri" w:eastAsia="Calibri" w:hAnsi="Calibri" w:cs="Calibri"/>
        </w:rPr>
        <w:t>17</w:t>
      </w:r>
    </w:p>
    <w:p w:rsidR="00FE77F3" w:rsidRDefault="00FE77F3">
      <w:pPr>
        <w:sectPr w:rsidR="00FE77F3">
          <w:pgSz w:w="11900" w:h="16838"/>
          <w:pgMar w:top="699" w:right="1426" w:bottom="419" w:left="1420" w:header="0" w:footer="0" w:gutter="0"/>
          <w:cols w:space="720" w:equalWidth="0">
            <w:col w:w="9060"/>
          </w:cols>
        </w:sectPr>
      </w:pPr>
    </w:p>
    <w:p w:rsidR="00FE77F3" w:rsidRDefault="00E3448D">
      <w:pPr>
        <w:rPr>
          <w:sz w:val="20"/>
          <w:szCs w:val="20"/>
        </w:rPr>
      </w:pPr>
      <w:bookmarkStart w:id="18" w:name="page19"/>
      <w:bookmarkEnd w:id="18"/>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69" w:lineRule="auto"/>
        <w:ind w:right="240"/>
        <w:rPr>
          <w:sz w:val="20"/>
          <w:szCs w:val="20"/>
        </w:rPr>
      </w:pPr>
      <w:r>
        <w:rPr>
          <w:rFonts w:eastAsia="Times New Roman"/>
          <w:sz w:val="24"/>
          <w:szCs w:val="24"/>
        </w:rPr>
        <w:t>with the correct response as the reference category. Preliminary analyses were conducted to ensure no violation of the assumptions of normality, linearity, and homoscedasticity.</w:t>
      </w:r>
    </w:p>
    <w:p w:rsidR="00FE77F3" w:rsidRDefault="00FE77F3">
      <w:pPr>
        <w:spacing w:line="187" w:lineRule="exact"/>
        <w:rPr>
          <w:sz w:val="20"/>
          <w:szCs w:val="20"/>
        </w:rPr>
      </w:pPr>
    </w:p>
    <w:p w:rsidR="00FE77F3" w:rsidRDefault="00E3448D">
      <w:pPr>
        <w:spacing w:line="474" w:lineRule="auto"/>
        <w:ind w:right="100" w:firstLine="720"/>
        <w:rPr>
          <w:sz w:val="20"/>
          <w:szCs w:val="20"/>
        </w:rPr>
      </w:pPr>
      <w:r>
        <w:rPr>
          <w:rFonts w:eastAsia="Times New Roman"/>
          <w:sz w:val="24"/>
          <w:szCs w:val="24"/>
        </w:rPr>
        <w:t xml:space="preserve">The analysis shows that the model fit is significant, </w:t>
      </w:r>
      <w:r>
        <w:rPr>
          <w:rFonts w:eastAsia="Times New Roman"/>
          <w:i/>
          <w:iCs/>
          <w:sz w:val="24"/>
          <w:szCs w:val="24"/>
        </w:rPr>
        <w:t>χ²</w:t>
      </w:r>
      <w:r>
        <w:rPr>
          <w:rFonts w:eastAsia="Times New Roman"/>
          <w:sz w:val="24"/>
          <w:szCs w:val="24"/>
        </w:rPr>
        <w:t xml:space="preserve"> (14) = 82.59, </w:t>
      </w:r>
      <w:r>
        <w:rPr>
          <w:rFonts w:eastAsia="Times New Roman"/>
          <w:i/>
          <w:iCs/>
          <w:sz w:val="24"/>
          <w:szCs w:val="24"/>
        </w:rPr>
        <w:t>p</w:t>
      </w:r>
      <w:r>
        <w:rPr>
          <w:rFonts w:eastAsia="Times New Roman"/>
          <w:sz w:val="24"/>
          <w:szCs w:val="24"/>
        </w:rPr>
        <w:t xml:space="preserve"> &lt; .001, indicating that the full models predicted significantly better, or more accurately, than the null model.</w:t>
      </w:r>
    </w:p>
    <w:p w:rsidR="00FE77F3" w:rsidRDefault="00FE77F3">
      <w:pPr>
        <w:spacing w:line="179" w:lineRule="exact"/>
        <w:rPr>
          <w:sz w:val="20"/>
          <w:szCs w:val="20"/>
        </w:rPr>
      </w:pPr>
    </w:p>
    <w:p w:rsidR="00FE77F3" w:rsidRDefault="00E3448D">
      <w:pPr>
        <w:spacing w:line="478" w:lineRule="auto"/>
        <w:ind w:right="80" w:firstLine="720"/>
        <w:rPr>
          <w:sz w:val="20"/>
          <w:szCs w:val="20"/>
        </w:rPr>
      </w:pPr>
      <w:r>
        <w:rPr>
          <w:rFonts w:eastAsia="Times New Roman"/>
          <w:sz w:val="24"/>
          <w:szCs w:val="24"/>
        </w:rPr>
        <w:t>The first column in Table 5 has the outcome of ‘correct response’ compared to ‘incorrect response’ (reference category). The results suggest that the age and gender of the participants had no significant effect on their response. With respect to the group conditions; participants from the 1-2 condition (</w:t>
      </w:r>
      <w:r>
        <w:rPr>
          <w:rFonts w:eastAsia="Times New Roman"/>
          <w:i/>
          <w:iCs/>
          <w:sz w:val="24"/>
          <w:szCs w:val="24"/>
        </w:rPr>
        <w:t>OR</w:t>
      </w:r>
      <w:r>
        <w:rPr>
          <w:rFonts w:eastAsia="Times New Roman"/>
          <w:sz w:val="24"/>
          <w:szCs w:val="24"/>
        </w:rPr>
        <w:t>=.24) and 1-5 condition (</w:t>
      </w:r>
      <w:r>
        <w:rPr>
          <w:rFonts w:eastAsia="Times New Roman"/>
          <w:i/>
          <w:iCs/>
          <w:sz w:val="24"/>
          <w:szCs w:val="24"/>
        </w:rPr>
        <w:t>OR</w:t>
      </w:r>
      <w:r>
        <w:rPr>
          <w:rFonts w:eastAsia="Times New Roman"/>
          <w:sz w:val="24"/>
          <w:szCs w:val="24"/>
        </w:rPr>
        <w:t xml:space="preserve">=.08), compared to participants in the 1-0 condition (control), were significantly more likely to produce an incorrect response than a correct response. The measures of association were medium to very large, in accordance with Cohen (1988). The effect sizes, calculated using Cohen’s </w:t>
      </w:r>
      <w:r>
        <w:rPr>
          <w:rFonts w:eastAsia="Times New Roman"/>
          <w:i/>
          <w:iCs/>
          <w:sz w:val="24"/>
          <w:szCs w:val="24"/>
        </w:rPr>
        <w:t>d</w:t>
      </w:r>
      <w:r>
        <w:rPr>
          <w:rFonts w:eastAsia="Times New Roman"/>
          <w:sz w:val="24"/>
          <w:szCs w:val="24"/>
        </w:rPr>
        <w:t>, were - .79 and -1.39, respectively.</w:t>
      </w:r>
    </w:p>
    <w:p w:rsidR="00FE77F3" w:rsidRDefault="00FE77F3">
      <w:pPr>
        <w:spacing w:line="180" w:lineRule="exact"/>
        <w:rPr>
          <w:sz w:val="20"/>
          <w:szCs w:val="20"/>
        </w:rPr>
      </w:pPr>
    </w:p>
    <w:p w:rsidR="00FE77F3" w:rsidRDefault="00E3448D">
      <w:pPr>
        <w:spacing w:line="478" w:lineRule="auto"/>
        <w:ind w:right="80" w:firstLine="720"/>
        <w:rPr>
          <w:sz w:val="20"/>
          <w:szCs w:val="20"/>
        </w:rPr>
      </w:pPr>
      <w:r>
        <w:rPr>
          <w:rFonts w:eastAsia="Times New Roman"/>
          <w:sz w:val="24"/>
          <w:szCs w:val="24"/>
        </w:rPr>
        <w:t>The second column in Table 5 has the outcome of ‘unsure’ compared to ‘incorrect response’ (reference category). The results suggest that the age and gender of the participants had no significant effect on their response. With respect to the group conditions, participants from the 1-2 condition (</w:t>
      </w:r>
      <w:r>
        <w:rPr>
          <w:rFonts w:eastAsia="Times New Roman"/>
          <w:i/>
          <w:iCs/>
          <w:sz w:val="24"/>
          <w:szCs w:val="24"/>
        </w:rPr>
        <w:t>OR</w:t>
      </w:r>
      <w:r>
        <w:rPr>
          <w:rFonts w:eastAsia="Times New Roman"/>
          <w:sz w:val="24"/>
          <w:szCs w:val="24"/>
        </w:rPr>
        <w:t>=.45) and 1-5 condition (</w:t>
      </w:r>
      <w:r>
        <w:rPr>
          <w:rFonts w:eastAsia="Times New Roman"/>
          <w:i/>
          <w:iCs/>
          <w:sz w:val="24"/>
          <w:szCs w:val="24"/>
        </w:rPr>
        <w:t>OR</w:t>
      </w:r>
      <w:r>
        <w:rPr>
          <w:rFonts w:eastAsia="Times New Roman"/>
          <w:sz w:val="24"/>
          <w:szCs w:val="24"/>
        </w:rPr>
        <w:t xml:space="preserve">=.28), compared to participants in the 1-0 condition (control), were significantly more likely to produce an incorrect response than an ‘uncertain’ response. The measures of association were small to medium, in accordance with Cohen (1988). The effect sizes, calculated using Cohen’s </w:t>
      </w:r>
      <w:r>
        <w:rPr>
          <w:rFonts w:eastAsia="Times New Roman"/>
          <w:i/>
          <w:iCs/>
          <w:sz w:val="24"/>
          <w:szCs w:val="24"/>
        </w:rPr>
        <w:t>d</w:t>
      </w:r>
      <w:r>
        <w:rPr>
          <w:rFonts w:eastAsia="Times New Roman"/>
          <w:sz w:val="24"/>
          <w:szCs w:val="24"/>
        </w:rPr>
        <w:t>, were -.44 and -.7, respectively.</w:t>
      </w:r>
    </w:p>
    <w:p w:rsidR="00FE77F3" w:rsidRDefault="00FE77F3">
      <w:pPr>
        <w:spacing w:line="178" w:lineRule="exact"/>
        <w:rPr>
          <w:sz w:val="20"/>
          <w:szCs w:val="20"/>
        </w:rPr>
      </w:pPr>
    </w:p>
    <w:p w:rsidR="00FE77F3" w:rsidRDefault="00E3448D">
      <w:pPr>
        <w:spacing w:line="500" w:lineRule="auto"/>
        <w:ind w:right="100" w:firstLine="720"/>
        <w:rPr>
          <w:sz w:val="20"/>
          <w:szCs w:val="20"/>
        </w:rPr>
      </w:pPr>
      <w:r>
        <w:rPr>
          <w:rFonts w:eastAsia="Times New Roman"/>
          <w:sz w:val="23"/>
          <w:szCs w:val="23"/>
        </w:rPr>
        <w:t>The third column in Table 5 has the outcome of ‘unsure’ compared to ‘correct response’ (reference category). The results suggest that the age and gender of the participants had no significant effect on their statements. With respect to the group conditions,</w:t>
      </w:r>
    </w:p>
    <w:p w:rsidR="00FE77F3" w:rsidRDefault="00FE77F3">
      <w:pPr>
        <w:spacing w:line="259" w:lineRule="exact"/>
        <w:rPr>
          <w:sz w:val="20"/>
          <w:szCs w:val="20"/>
        </w:rPr>
      </w:pPr>
    </w:p>
    <w:p w:rsidR="00FE77F3" w:rsidRDefault="00E3448D">
      <w:pPr>
        <w:jc w:val="right"/>
        <w:rPr>
          <w:sz w:val="20"/>
          <w:szCs w:val="20"/>
        </w:rPr>
      </w:pPr>
      <w:r>
        <w:rPr>
          <w:rFonts w:ascii="Calibri" w:eastAsia="Calibri" w:hAnsi="Calibri" w:cs="Calibri"/>
        </w:rPr>
        <w:t>18</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ind w:left="20"/>
        <w:rPr>
          <w:sz w:val="20"/>
          <w:szCs w:val="20"/>
        </w:rPr>
      </w:pPr>
      <w:bookmarkStart w:id="19" w:name="page20"/>
      <w:bookmarkEnd w:id="19"/>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7" w:lineRule="auto"/>
        <w:ind w:left="20" w:right="20"/>
        <w:rPr>
          <w:sz w:val="20"/>
          <w:szCs w:val="20"/>
        </w:rPr>
      </w:pPr>
      <w:r>
        <w:rPr>
          <w:rFonts w:eastAsia="Times New Roman"/>
          <w:sz w:val="24"/>
          <w:szCs w:val="24"/>
        </w:rPr>
        <w:t>participants from the 1-5 condition (</w:t>
      </w:r>
      <w:r>
        <w:rPr>
          <w:rFonts w:eastAsia="Times New Roman"/>
          <w:i/>
          <w:iCs/>
          <w:sz w:val="24"/>
          <w:szCs w:val="24"/>
        </w:rPr>
        <w:t>OR</w:t>
      </w:r>
      <w:r>
        <w:rPr>
          <w:rFonts w:eastAsia="Times New Roman"/>
          <w:sz w:val="24"/>
          <w:szCs w:val="24"/>
        </w:rPr>
        <w:t xml:space="preserve">=3.75), compared to participants in the 1-0 condition (control), were over three times more likely produce an ‘uncertain’ response than a correct response. The measure of association was medium, in accordance with Cohen (1988). The effect size, calculated using Cohen’s </w:t>
      </w:r>
      <w:r>
        <w:rPr>
          <w:rFonts w:eastAsia="Times New Roman"/>
          <w:i/>
          <w:iCs/>
          <w:sz w:val="24"/>
          <w:szCs w:val="24"/>
        </w:rPr>
        <w:t>d</w:t>
      </w:r>
      <w:r>
        <w:rPr>
          <w:rFonts w:eastAsia="Times New Roman"/>
          <w:sz w:val="24"/>
          <w:szCs w:val="24"/>
        </w:rPr>
        <w:t>, was .73. Fig.1 illustrates the distribution in participant responses in relation to the number of confederates present.</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81" w:lineRule="exact"/>
        <w:rPr>
          <w:sz w:val="20"/>
          <w:szCs w:val="20"/>
        </w:rPr>
      </w:pPr>
    </w:p>
    <w:p w:rsidR="00FE77F3" w:rsidRDefault="00E3448D">
      <w:pPr>
        <w:ind w:left="20"/>
        <w:rPr>
          <w:sz w:val="20"/>
          <w:szCs w:val="20"/>
        </w:rPr>
      </w:pPr>
      <w:r>
        <w:rPr>
          <w:rFonts w:eastAsia="Times New Roman"/>
          <w:b/>
          <w:bCs/>
          <w:sz w:val="16"/>
          <w:szCs w:val="16"/>
        </w:rPr>
        <w:t>Table 5.</w:t>
      </w:r>
    </w:p>
    <w:p w:rsidR="00FE77F3" w:rsidRDefault="00FE77F3">
      <w:pPr>
        <w:spacing w:line="345" w:lineRule="exact"/>
        <w:rPr>
          <w:sz w:val="20"/>
          <w:szCs w:val="20"/>
        </w:rPr>
      </w:pPr>
    </w:p>
    <w:p w:rsidR="00FE77F3" w:rsidRDefault="00E3448D">
      <w:pPr>
        <w:ind w:left="60"/>
        <w:rPr>
          <w:sz w:val="20"/>
          <w:szCs w:val="20"/>
        </w:rPr>
      </w:pPr>
      <w:r>
        <w:rPr>
          <w:rFonts w:eastAsia="Times New Roman"/>
          <w:b/>
          <w:bCs/>
          <w:sz w:val="16"/>
          <w:szCs w:val="16"/>
        </w:rPr>
        <w:t>Multinomial logistic regression predicting eyewitness response accuracy.</w:t>
      </w:r>
    </w:p>
    <w:p w:rsidR="00FE77F3" w:rsidRDefault="00FE77F3">
      <w:pPr>
        <w:spacing w:line="200" w:lineRule="exact"/>
        <w:rPr>
          <w:sz w:val="20"/>
          <w:szCs w:val="20"/>
        </w:rPr>
      </w:pPr>
    </w:p>
    <w:p w:rsidR="00FE77F3" w:rsidRDefault="00FE77F3">
      <w:pPr>
        <w:spacing w:line="28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660"/>
        <w:gridCol w:w="420"/>
        <w:gridCol w:w="1740"/>
        <w:gridCol w:w="440"/>
        <w:gridCol w:w="440"/>
        <w:gridCol w:w="1540"/>
        <w:gridCol w:w="580"/>
        <w:gridCol w:w="200"/>
        <w:gridCol w:w="1500"/>
        <w:gridCol w:w="500"/>
      </w:tblGrid>
      <w:tr w:rsidR="00FE77F3">
        <w:trPr>
          <w:trHeight w:val="242"/>
        </w:trPr>
        <w:tc>
          <w:tcPr>
            <w:tcW w:w="20" w:type="dxa"/>
            <w:vAlign w:val="bottom"/>
          </w:tcPr>
          <w:p w:rsidR="00FE77F3" w:rsidRDefault="00FE77F3">
            <w:pPr>
              <w:rPr>
                <w:sz w:val="21"/>
                <w:szCs w:val="21"/>
              </w:rPr>
            </w:pPr>
          </w:p>
        </w:tc>
        <w:tc>
          <w:tcPr>
            <w:tcW w:w="1660" w:type="dxa"/>
            <w:tcBorders>
              <w:top w:val="single" w:sz="8" w:space="0" w:color="auto"/>
            </w:tcBorders>
            <w:vAlign w:val="bottom"/>
          </w:tcPr>
          <w:p w:rsidR="00FE77F3" w:rsidRDefault="00FE77F3">
            <w:pPr>
              <w:rPr>
                <w:sz w:val="21"/>
                <w:szCs w:val="21"/>
              </w:rPr>
            </w:pPr>
          </w:p>
        </w:tc>
        <w:tc>
          <w:tcPr>
            <w:tcW w:w="2160" w:type="dxa"/>
            <w:gridSpan w:val="2"/>
            <w:tcBorders>
              <w:top w:val="single" w:sz="8" w:space="0" w:color="auto"/>
            </w:tcBorders>
            <w:vAlign w:val="bottom"/>
          </w:tcPr>
          <w:p w:rsidR="00FE77F3" w:rsidRDefault="00E3448D">
            <w:pPr>
              <w:ind w:right="180"/>
              <w:jc w:val="center"/>
              <w:rPr>
                <w:sz w:val="20"/>
                <w:szCs w:val="20"/>
              </w:rPr>
            </w:pPr>
            <w:r>
              <w:rPr>
                <w:rFonts w:eastAsia="Times New Roman"/>
                <w:w w:val="98"/>
                <w:sz w:val="16"/>
                <w:szCs w:val="16"/>
              </w:rPr>
              <w:t xml:space="preserve">Correct response </w:t>
            </w:r>
            <w:r>
              <w:rPr>
                <w:rFonts w:eastAsia="Times New Roman"/>
                <w:w w:val="98"/>
                <w:sz w:val="20"/>
                <w:szCs w:val="20"/>
                <w:vertAlign w:val="superscript"/>
              </w:rPr>
              <w:t>a</w:t>
            </w:r>
            <w:r>
              <w:rPr>
                <w:rFonts w:eastAsia="Times New Roman"/>
                <w:w w:val="98"/>
                <w:sz w:val="16"/>
                <w:szCs w:val="16"/>
              </w:rPr>
              <w:t xml:space="preserve"> (</w:t>
            </w:r>
            <w:r>
              <w:rPr>
                <w:rFonts w:eastAsia="Times New Roman"/>
                <w:i/>
                <w:iCs/>
                <w:w w:val="98"/>
                <w:sz w:val="16"/>
                <w:szCs w:val="16"/>
              </w:rPr>
              <w:t>N</w:t>
            </w:r>
            <w:r>
              <w:rPr>
                <w:rFonts w:eastAsia="Times New Roman"/>
                <w:w w:val="98"/>
                <w:sz w:val="16"/>
                <w:szCs w:val="16"/>
              </w:rPr>
              <w:t>=223)</w:t>
            </w:r>
          </w:p>
        </w:tc>
        <w:tc>
          <w:tcPr>
            <w:tcW w:w="440" w:type="dxa"/>
            <w:tcBorders>
              <w:top w:val="single" w:sz="8" w:space="0" w:color="auto"/>
            </w:tcBorders>
            <w:vAlign w:val="bottom"/>
          </w:tcPr>
          <w:p w:rsidR="00FE77F3" w:rsidRDefault="00FE77F3">
            <w:pPr>
              <w:rPr>
                <w:sz w:val="21"/>
                <w:szCs w:val="21"/>
              </w:rPr>
            </w:pPr>
          </w:p>
        </w:tc>
        <w:tc>
          <w:tcPr>
            <w:tcW w:w="2560" w:type="dxa"/>
            <w:gridSpan w:val="3"/>
            <w:tcBorders>
              <w:top w:val="single" w:sz="8" w:space="0" w:color="auto"/>
            </w:tcBorders>
            <w:vAlign w:val="bottom"/>
          </w:tcPr>
          <w:p w:rsidR="00FE77F3" w:rsidRDefault="00E3448D">
            <w:pPr>
              <w:ind w:left="80"/>
              <w:rPr>
                <w:sz w:val="20"/>
                <w:szCs w:val="20"/>
              </w:rPr>
            </w:pPr>
            <w:r>
              <w:rPr>
                <w:rFonts w:eastAsia="Times New Roman"/>
                <w:sz w:val="16"/>
                <w:szCs w:val="16"/>
              </w:rPr>
              <w:t xml:space="preserve">Unsure </w:t>
            </w:r>
            <w:r>
              <w:rPr>
                <w:rFonts w:eastAsia="Times New Roman"/>
                <w:sz w:val="20"/>
                <w:szCs w:val="20"/>
                <w:vertAlign w:val="superscript"/>
              </w:rPr>
              <w:t>a</w:t>
            </w:r>
            <w:r>
              <w:rPr>
                <w:rFonts w:eastAsia="Times New Roman"/>
                <w:sz w:val="16"/>
                <w:szCs w:val="16"/>
              </w:rPr>
              <w:t xml:space="preserve"> (</w:t>
            </w:r>
            <w:r>
              <w:rPr>
                <w:rFonts w:eastAsia="Times New Roman"/>
                <w:i/>
                <w:iCs/>
                <w:sz w:val="16"/>
                <w:szCs w:val="16"/>
              </w:rPr>
              <w:t>N</w:t>
            </w:r>
            <w:r>
              <w:rPr>
                <w:rFonts w:eastAsia="Times New Roman"/>
                <w:sz w:val="16"/>
                <w:szCs w:val="16"/>
              </w:rPr>
              <w:t>=106)</w:t>
            </w:r>
          </w:p>
        </w:tc>
        <w:tc>
          <w:tcPr>
            <w:tcW w:w="2200" w:type="dxa"/>
            <w:gridSpan w:val="3"/>
            <w:tcBorders>
              <w:top w:val="single" w:sz="8" w:space="0" w:color="auto"/>
            </w:tcBorders>
            <w:vAlign w:val="bottom"/>
          </w:tcPr>
          <w:p w:rsidR="00FE77F3" w:rsidRDefault="00E3448D">
            <w:pPr>
              <w:rPr>
                <w:sz w:val="20"/>
                <w:szCs w:val="20"/>
              </w:rPr>
            </w:pPr>
            <w:r>
              <w:rPr>
                <w:rFonts w:eastAsia="Times New Roman"/>
                <w:sz w:val="16"/>
                <w:szCs w:val="16"/>
              </w:rPr>
              <w:t xml:space="preserve">Unsure </w:t>
            </w:r>
            <w:r>
              <w:rPr>
                <w:rFonts w:eastAsia="Times New Roman"/>
                <w:sz w:val="20"/>
                <w:szCs w:val="20"/>
                <w:vertAlign w:val="superscript"/>
              </w:rPr>
              <w:t>b</w:t>
            </w:r>
            <w:r>
              <w:rPr>
                <w:rFonts w:eastAsia="Times New Roman"/>
                <w:sz w:val="16"/>
                <w:szCs w:val="16"/>
              </w:rPr>
              <w:t xml:space="preserve"> (</w:t>
            </w:r>
            <w:r>
              <w:rPr>
                <w:rFonts w:eastAsia="Times New Roman"/>
                <w:i/>
                <w:iCs/>
                <w:sz w:val="16"/>
                <w:szCs w:val="16"/>
              </w:rPr>
              <w:t>N</w:t>
            </w:r>
            <w:r>
              <w:rPr>
                <w:rFonts w:eastAsia="Times New Roman"/>
                <w:sz w:val="16"/>
                <w:szCs w:val="16"/>
              </w:rPr>
              <w:t>=106)</w:t>
            </w:r>
          </w:p>
        </w:tc>
      </w:tr>
      <w:tr w:rsidR="00FE77F3">
        <w:trPr>
          <w:trHeight w:val="296"/>
        </w:trPr>
        <w:tc>
          <w:tcPr>
            <w:tcW w:w="20" w:type="dxa"/>
            <w:vAlign w:val="bottom"/>
          </w:tcPr>
          <w:p w:rsidR="00FE77F3" w:rsidRDefault="00FE77F3">
            <w:pPr>
              <w:rPr>
                <w:sz w:val="24"/>
                <w:szCs w:val="24"/>
              </w:rPr>
            </w:pPr>
          </w:p>
        </w:tc>
        <w:tc>
          <w:tcPr>
            <w:tcW w:w="1660" w:type="dxa"/>
            <w:vAlign w:val="bottom"/>
          </w:tcPr>
          <w:p w:rsidR="00FE77F3" w:rsidRDefault="00FE77F3">
            <w:pPr>
              <w:rPr>
                <w:sz w:val="24"/>
                <w:szCs w:val="24"/>
              </w:rPr>
            </w:pPr>
          </w:p>
        </w:tc>
        <w:tc>
          <w:tcPr>
            <w:tcW w:w="420" w:type="dxa"/>
            <w:tcBorders>
              <w:bottom w:val="single" w:sz="8" w:space="0" w:color="auto"/>
            </w:tcBorders>
            <w:vAlign w:val="bottom"/>
          </w:tcPr>
          <w:p w:rsidR="00FE77F3" w:rsidRDefault="00FE77F3">
            <w:pPr>
              <w:rPr>
                <w:sz w:val="24"/>
                <w:szCs w:val="24"/>
              </w:rPr>
            </w:pPr>
          </w:p>
        </w:tc>
        <w:tc>
          <w:tcPr>
            <w:tcW w:w="1740" w:type="dxa"/>
            <w:tcBorders>
              <w:bottom w:val="single" w:sz="8" w:space="0" w:color="auto"/>
            </w:tcBorders>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440" w:type="dxa"/>
            <w:tcBorders>
              <w:bottom w:val="single" w:sz="8" w:space="0" w:color="auto"/>
            </w:tcBorders>
            <w:vAlign w:val="bottom"/>
          </w:tcPr>
          <w:p w:rsidR="00FE77F3" w:rsidRDefault="00FE77F3">
            <w:pPr>
              <w:rPr>
                <w:sz w:val="24"/>
                <w:szCs w:val="24"/>
              </w:rPr>
            </w:pPr>
          </w:p>
        </w:tc>
        <w:tc>
          <w:tcPr>
            <w:tcW w:w="1540" w:type="dxa"/>
            <w:tcBorders>
              <w:bottom w:val="single" w:sz="8" w:space="0" w:color="auto"/>
            </w:tcBorders>
            <w:vAlign w:val="bottom"/>
          </w:tcPr>
          <w:p w:rsidR="00FE77F3" w:rsidRDefault="00FE77F3">
            <w:pPr>
              <w:rPr>
                <w:sz w:val="24"/>
                <w:szCs w:val="24"/>
              </w:rPr>
            </w:pPr>
          </w:p>
        </w:tc>
        <w:tc>
          <w:tcPr>
            <w:tcW w:w="580" w:type="dxa"/>
            <w:vAlign w:val="bottom"/>
          </w:tcPr>
          <w:p w:rsidR="00FE77F3" w:rsidRDefault="00FE77F3">
            <w:pPr>
              <w:rPr>
                <w:sz w:val="24"/>
                <w:szCs w:val="24"/>
              </w:rPr>
            </w:pPr>
          </w:p>
        </w:tc>
        <w:tc>
          <w:tcPr>
            <w:tcW w:w="200" w:type="dxa"/>
            <w:tcBorders>
              <w:bottom w:val="single" w:sz="8" w:space="0" w:color="auto"/>
            </w:tcBorders>
            <w:vAlign w:val="bottom"/>
          </w:tcPr>
          <w:p w:rsidR="00FE77F3" w:rsidRDefault="00FE77F3">
            <w:pPr>
              <w:rPr>
                <w:sz w:val="24"/>
                <w:szCs w:val="24"/>
              </w:rPr>
            </w:pPr>
          </w:p>
        </w:tc>
        <w:tc>
          <w:tcPr>
            <w:tcW w:w="1500" w:type="dxa"/>
            <w:tcBorders>
              <w:bottom w:val="single" w:sz="8" w:space="0" w:color="auto"/>
            </w:tcBorders>
            <w:vAlign w:val="bottom"/>
          </w:tcPr>
          <w:p w:rsidR="00FE77F3" w:rsidRDefault="00FE77F3">
            <w:pPr>
              <w:rPr>
                <w:sz w:val="24"/>
                <w:szCs w:val="24"/>
              </w:rPr>
            </w:pPr>
          </w:p>
        </w:tc>
        <w:tc>
          <w:tcPr>
            <w:tcW w:w="500" w:type="dxa"/>
            <w:vAlign w:val="bottom"/>
          </w:tcPr>
          <w:p w:rsidR="00FE77F3" w:rsidRDefault="00FE77F3">
            <w:pPr>
              <w:rPr>
                <w:sz w:val="24"/>
                <w:szCs w:val="24"/>
              </w:rPr>
            </w:pPr>
          </w:p>
        </w:tc>
      </w:tr>
      <w:tr w:rsidR="00FE77F3">
        <w:trPr>
          <w:trHeight w:val="182"/>
        </w:trPr>
        <w:tc>
          <w:tcPr>
            <w:tcW w:w="20" w:type="dxa"/>
            <w:vAlign w:val="bottom"/>
          </w:tcPr>
          <w:p w:rsidR="00FE77F3" w:rsidRDefault="00FE77F3">
            <w:pPr>
              <w:rPr>
                <w:sz w:val="15"/>
                <w:szCs w:val="15"/>
              </w:rPr>
            </w:pPr>
          </w:p>
        </w:tc>
        <w:tc>
          <w:tcPr>
            <w:tcW w:w="1660" w:type="dxa"/>
            <w:vAlign w:val="bottom"/>
          </w:tcPr>
          <w:p w:rsidR="00FE77F3" w:rsidRDefault="00E3448D">
            <w:pPr>
              <w:spacing w:line="182" w:lineRule="exact"/>
              <w:ind w:left="100"/>
              <w:rPr>
                <w:sz w:val="20"/>
                <w:szCs w:val="20"/>
              </w:rPr>
            </w:pPr>
            <w:r>
              <w:rPr>
                <w:rFonts w:eastAsia="Times New Roman"/>
                <w:sz w:val="16"/>
                <w:szCs w:val="16"/>
              </w:rPr>
              <w:t>Variable</w:t>
            </w:r>
          </w:p>
        </w:tc>
        <w:tc>
          <w:tcPr>
            <w:tcW w:w="420" w:type="dxa"/>
            <w:vAlign w:val="bottom"/>
          </w:tcPr>
          <w:p w:rsidR="00FE77F3" w:rsidRDefault="00E3448D">
            <w:pPr>
              <w:spacing w:line="182" w:lineRule="exact"/>
              <w:ind w:left="100"/>
              <w:rPr>
                <w:sz w:val="20"/>
                <w:szCs w:val="20"/>
              </w:rPr>
            </w:pPr>
            <w:r>
              <w:rPr>
                <w:rFonts w:eastAsia="Times New Roman"/>
                <w:i/>
                <w:iCs/>
                <w:sz w:val="16"/>
                <w:szCs w:val="16"/>
              </w:rPr>
              <w:t>SE</w:t>
            </w:r>
          </w:p>
        </w:tc>
        <w:tc>
          <w:tcPr>
            <w:tcW w:w="1740" w:type="dxa"/>
            <w:vAlign w:val="bottom"/>
          </w:tcPr>
          <w:p w:rsidR="00FE77F3" w:rsidRDefault="00E3448D">
            <w:pPr>
              <w:spacing w:line="182" w:lineRule="exact"/>
              <w:ind w:right="540"/>
              <w:jc w:val="center"/>
              <w:rPr>
                <w:sz w:val="20"/>
                <w:szCs w:val="20"/>
              </w:rPr>
            </w:pPr>
            <w:r>
              <w:rPr>
                <w:rFonts w:eastAsia="Times New Roman"/>
                <w:i/>
                <w:iCs/>
                <w:w w:val="98"/>
                <w:sz w:val="16"/>
                <w:szCs w:val="16"/>
              </w:rPr>
              <w:t>OR (95% CI)</w:t>
            </w:r>
          </w:p>
        </w:tc>
        <w:tc>
          <w:tcPr>
            <w:tcW w:w="440" w:type="dxa"/>
            <w:vAlign w:val="bottom"/>
          </w:tcPr>
          <w:p w:rsidR="00FE77F3" w:rsidRDefault="00FE77F3">
            <w:pPr>
              <w:rPr>
                <w:sz w:val="15"/>
                <w:szCs w:val="15"/>
              </w:rPr>
            </w:pPr>
          </w:p>
        </w:tc>
        <w:tc>
          <w:tcPr>
            <w:tcW w:w="440" w:type="dxa"/>
            <w:vAlign w:val="bottom"/>
          </w:tcPr>
          <w:p w:rsidR="00FE77F3" w:rsidRDefault="00E3448D">
            <w:pPr>
              <w:spacing w:line="182" w:lineRule="exact"/>
              <w:ind w:left="100"/>
              <w:rPr>
                <w:sz w:val="20"/>
                <w:szCs w:val="20"/>
              </w:rPr>
            </w:pPr>
            <w:r>
              <w:rPr>
                <w:rFonts w:eastAsia="Times New Roman"/>
                <w:i/>
                <w:iCs/>
                <w:sz w:val="16"/>
                <w:szCs w:val="16"/>
              </w:rPr>
              <w:t>SE</w:t>
            </w:r>
          </w:p>
        </w:tc>
        <w:tc>
          <w:tcPr>
            <w:tcW w:w="2120" w:type="dxa"/>
            <w:gridSpan w:val="2"/>
            <w:vAlign w:val="bottom"/>
          </w:tcPr>
          <w:p w:rsidR="00FE77F3" w:rsidRDefault="00E3448D">
            <w:pPr>
              <w:spacing w:line="182" w:lineRule="exact"/>
              <w:ind w:left="120"/>
              <w:rPr>
                <w:sz w:val="20"/>
                <w:szCs w:val="20"/>
              </w:rPr>
            </w:pPr>
            <w:r>
              <w:rPr>
                <w:rFonts w:eastAsia="Times New Roman"/>
                <w:i/>
                <w:iCs/>
                <w:sz w:val="16"/>
                <w:szCs w:val="16"/>
              </w:rPr>
              <w:t>OR (95% CI)</w:t>
            </w:r>
          </w:p>
        </w:tc>
        <w:tc>
          <w:tcPr>
            <w:tcW w:w="200" w:type="dxa"/>
            <w:vAlign w:val="bottom"/>
          </w:tcPr>
          <w:p w:rsidR="00FE77F3" w:rsidRDefault="00E3448D">
            <w:pPr>
              <w:spacing w:line="182" w:lineRule="exact"/>
              <w:rPr>
                <w:sz w:val="20"/>
                <w:szCs w:val="20"/>
              </w:rPr>
            </w:pPr>
            <w:r>
              <w:rPr>
                <w:rFonts w:eastAsia="Times New Roman"/>
                <w:i/>
                <w:iCs/>
                <w:sz w:val="16"/>
                <w:szCs w:val="16"/>
              </w:rPr>
              <w:t>SE</w:t>
            </w:r>
          </w:p>
        </w:tc>
        <w:tc>
          <w:tcPr>
            <w:tcW w:w="2000" w:type="dxa"/>
            <w:gridSpan w:val="2"/>
            <w:vAlign w:val="bottom"/>
          </w:tcPr>
          <w:p w:rsidR="00FE77F3" w:rsidRDefault="00E3448D">
            <w:pPr>
              <w:spacing w:line="182" w:lineRule="exact"/>
              <w:ind w:left="360"/>
              <w:rPr>
                <w:sz w:val="20"/>
                <w:szCs w:val="20"/>
              </w:rPr>
            </w:pPr>
            <w:r>
              <w:rPr>
                <w:rFonts w:eastAsia="Times New Roman"/>
                <w:i/>
                <w:iCs/>
                <w:sz w:val="16"/>
                <w:szCs w:val="16"/>
              </w:rPr>
              <w:t>OR (95% CI)</w:t>
            </w:r>
          </w:p>
        </w:tc>
      </w:tr>
      <w:tr w:rsidR="00FE77F3">
        <w:trPr>
          <w:trHeight w:val="352"/>
        </w:trPr>
        <w:tc>
          <w:tcPr>
            <w:tcW w:w="20" w:type="dxa"/>
            <w:vAlign w:val="bottom"/>
          </w:tcPr>
          <w:p w:rsidR="00FE77F3" w:rsidRDefault="00FE77F3">
            <w:pPr>
              <w:rPr>
                <w:sz w:val="24"/>
                <w:szCs w:val="24"/>
              </w:rPr>
            </w:pPr>
          </w:p>
        </w:tc>
        <w:tc>
          <w:tcPr>
            <w:tcW w:w="1660" w:type="dxa"/>
            <w:tcBorders>
              <w:bottom w:val="single" w:sz="8" w:space="0" w:color="auto"/>
            </w:tcBorders>
            <w:vAlign w:val="bottom"/>
          </w:tcPr>
          <w:p w:rsidR="00FE77F3" w:rsidRDefault="00FE77F3">
            <w:pPr>
              <w:rPr>
                <w:sz w:val="24"/>
                <w:szCs w:val="24"/>
              </w:rPr>
            </w:pPr>
          </w:p>
        </w:tc>
        <w:tc>
          <w:tcPr>
            <w:tcW w:w="420" w:type="dxa"/>
            <w:tcBorders>
              <w:bottom w:val="single" w:sz="8" w:space="0" w:color="auto"/>
            </w:tcBorders>
            <w:vAlign w:val="bottom"/>
          </w:tcPr>
          <w:p w:rsidR="00FE77F3" w:rsidRDefault="00FE77F3">
            <w:pPr>
              <w:rPr>
                <w:sz w:val="24"/>
                <w:szCs w:val="24"/>
              </w:rPr>
            </w:pPr>
          </w:p>
        </w:tc>
        <w:tc>
          <w:tcPr>
            <w:tcW w:w="1740" w:type="dxa"/>
            <w:tcBorders>
              <w:bottom w:val="single" w:sz="8" w:space="0" w:color="auto"/>
            </w:tcBorders>
            <w:vAlign w:val="bottom"/>
          </w:tcPr>
          <w:p w:rsidR="00FE77F3" w:rsidRDefault="00FE77F3">
            <w:pPr>
              <w:rPr>
                <w:sz w:val="24"/>
                <w:szCs w:val="24"/>
              </w:rPr>
            </w:pPr>
          </w:p>
        </w:tc>
        <w:tc>
          <w:tcPr>
            <w:tcW w:w="880" w:type="dxa"/>
            <w:gridSpan w:val="2"/>
            <w:tcBorders>
              <w:bottom w:val="single" w:sz="8" w:space="0" w:color="auto"/>
            </w:tcBorders>
            <w:vAlign w:val="bottom"/>
          </w:tcPr>
          <w:p w:rsidR="00FE77F3" w:rsidRDefault="00FE77F3">
            <w:pPr>
              <w:rPr>
                <w:sz w:val="24"/>
                <w:szCs w:val="24"/>
              </w:rPr>
            </w:pPr>
          </w:p>
        </w:tc>
        <w:tc>
          <w:tcPr>
            <w:tcW w:w="1540" w:type="dxa"/>
            <w:tcBorders>
              <w:bottom w:val="single" w:sz="8" w:space="0" w:color="auto"/>
            </w:tcBorders>
            <w:vAlign w:val="bottom"/>
          </w:tcPr>
          <w:p w:rsidR="00FE77F3" w:rsidRDefault="00FE77F3">
            <w:pPr>
              <w:rPr>
                <w:sz w:val="24"/>
                <w:szCs w:val="24"/>
              </w:rPr>
            </w:pPr>
          </w:p>
        </w:tc>
        <w:tc>
          <w:tcPr>
            <w:tcW w:w="580" w:type="dxa"/>
            <w:tcBorders>
              <w:bottom w:val="single" w:sz="8" w:space="0" w:color="auto"/>
            </w:tcBorders>
            <w:vAlign w:val="bottom"/>
          </w:tcPr>
          <w:p w:rsidR="00FE77F3" w:rsidRDefault="00FE77F3">
            <w:pPr>
              <w:rPr>
                <w:sz w:val="24"/>
                <w:szCs w:val="24"/>
              </w:rPr>
            </w:pPr>
          </w:p>
        </w:tc>
        <w:tc>
          <w:tcPr>
            <w:tcW w:w="200" w:type="dxa"/>
            <w:tcBorders>
              <w:bottom w:val="single" w:sz="8" w:space="0" w:color="auto"/>
            </w:tcBorders>
            <w:vAlign w:val="bottom"/>
          </w:tcPr>
          <w:p w:rsidR="00FE77F3" w:rsidRDefault="00FE77F3">
            <w:pPr>
              <w:rPr>
                <w:sz w:val="24"/>
                <w:szCs w:val="24"/>
              </w:rPr>
            </w:pPr>
          </w:p>
        </w:tc>
        <w:tc>
          <w:tcPr>
            <w:tcW w:w="1500" w:type="dxa"/>
            <w:tcBorders>
              <w:bottom w:val="single" w:sz="8" w:space="0" w:color="auto"/>
            </w:tcBorders>
            <w:vAlign w:val="bottom"/>
          </w:tcPr>
          <w:p w:rsidR="00FE77F3" w:rsidRDefault="00FE77F3">
            <w:pPr>
              <w:rPr>
                <w:sz w:val="24"/>
                <w:szCs w:val="24"/>
              </w:rPr>
            </w:pPr>
          </w:p>
        </w:tc>
        <w:tc>
          <w:tcPr>
            <w:tcW w:w="500" w:type="dxa"/>
            <w:tcBorders>
              <w:bottom w:val="single" w:sz="8" w:space="0" w:color="auto"/>
            </w:tcBorders>
            <w:vAlign w:val="bottom"/>
          </w:tcPr>
          <w:p w:rsidR="00FE77F3" w:rsidRDefault="00FE77F3">
            <w:pPr>
              <w:rPr>
                <w:sz w:val="24"/>
                <w:szCs w:val="24"/>
              </w:rPr>
            </w:pPr>
          </w:p>
        </w:tc>
      </w:tr>
      <w:tr w:rsidR="00FE77F3">
        <w:trPr>
          <w:trHeight w:val="180"/>
        </w:trPr>
        <w:tc>
          <w:tcPr>
            <w:tcW w:w="20" w:type="dxa"/>
            <w:vAlign w:val="bottom"/>
          </w:tcPr>
          <w:p w:rsidR="00FE77F3" w:rsidRDefault="00FE77F3">
            <w:pPr>
              <w:rPr>
                <w:sz w:val="15"/>
                <w:szCs w:val="15"/>
              </w:rPr>
            </w:pPr>
          </w:p>
        </w:tc>
        <w:tc>
          <w:tcPr>
            <w:tcW w:w="1660" w:type="dxa"/>
            <w:vAlign w:val="bottom"/>
          </w:tcPr>
          <w:p w:rsidR="00FE77F3" w:rsidRDefault="00E3448D">
            <w:pPr>
              <w:spacing w:line="180" w:lineRule="exact"/>
              <w:ind w:left="100"/>
              <w:rPr>
                <w:sz w:val="20"/>
                <w:szCs w:val="20"/>
              </w:rPr>
            </w:pPr>
            <w:r>
              <w:rPr>
                <w:rFonts w:eastAsia="Times New Roman"/>
                <w:sz w:val="16"/>
                <w:szCs w:val="16"/>
              </w:rPr>
              <w:t>Age</w:t>
            </w:r>
          </w:p>
        </w:tc>
        <w:tc>
          <w:tcPr>
            <w:tcW w:w="420" w:type="dxa"/>
            <w:vAlign w:val="bottom"/>
          </w:tcPr>
          <w:p w:rsidR="00FE77F3" w:rsidRDefault="00E3448D">
            <w:pPr>
              <w:spacing w:line="180" w:lineRule="exact"/>
              <w:ind w:left="100"/>
              <w:rPr>
                <w:sz w:val="20"/>
                <w:szCs w:val="20"/>
              </w:rPr>
            </w:pPr>
            <w:r>
              <w:rPr>
                <w:rFonts w:eastAsia="Times New Roman"/>
                <w:sz w:val="16"/>
                <w:szCs w:val="16"/>
              </w:rPr>
              <w:t>.01</w:t>
            </w:r>
          </w:p>
        </w:tc>
        <w:tc>
          <w:tcPr>
            <w:tcW w:w="1740" w:type="dxa"/>
            <w:vAlign w:val="bottom"/>
          </w:tcPr>
          <w:p w:rsidR="00FE77F3" w:rsidRDefault="00E3448D">
            <w:pPr>
              <w:spacing w:line="180" w:lineRule="exact"/>
              <w:ind w:left="140"/>
              <w:rPr>
                <w:sz w:val="20"/>
                <w:szCs w:val="20"/>
              </w:rPr>
            </w:pPr>
            <w:r>
              <w:rPr>
                <w:rFonts w:eastAsia="Times New Roman"/>
                <w:sz w:val="16"/>
                <w:szCs w:val="16"/>
              </w:rPr>
              <w:t>1 (.98/1.01)</w:t>
            </w:r>
          </w:p>
        </w:tc>
        <w:tc>
          <w:tcPr>
            <w:tcW w:w="880" w:type="dxa"/>
            <w:gridSpan w:val="2"/>
            <w:vAlign w:val="bottom"/>
          </w:tcPr>
          <w:p w:rsidR="00FE77F3" w:rsidRDefault="00E3448D">
            <w:pPr>
              <w:spacing w:line="180" w:lineRule="exact"/>
              <w:ind w:left="540"/>
              <w:rPr>
                <w:sz w:val="20"/>
                <w:szCs w:val="20"/>
              </w:rPr>
            </w:pPr>
            <w:r>
              <w:rPr>
                <w:rFonts w:eastAsia="Times New Roman"/>
                <w:sz w:val="16"/>
                <w:szCs w:val="16"/>
              </w:rPr>
              <w:t>.01</w:t>
            </w:r>
          </w:p>
        </w:tc>
        <w:tc>
          <w:tcPr>
            <w:tcW w:w="1540" w:type="dxa"/>
            <w:vAlign w:val="bottom"/>
          </w:tcPr>
          <w:p w:rsidR="00FE77F3" w:rsidRDefault="00E3448D">
            <w:pPr>
              <w:spacing w:line="180" w:lineRule="exact"/>
              <w:ind w:left="120"/>
              <w:rPr>
                <w:sz w:val="20"/>
                <w:szCs w:val="20"/>
              </w:rPr>
            </w:pPr>
            <w:r>
              <w:rPr>
                <w:rFonts w:eastAsia="Times New Roman"/>
                <w:sz w:val="16"/>
                <w:szCs w:val="16"/>
              </w:rPr>
              <w:t>1.01(.99/1.03)</w:t>
            </w:r>
          </w:p>
        </w:tc>
        <w:tc>
          <w:tcPr>
            <w:tcW w:w="580" w:type="dxa"/>
            <w:vAlign w:val="bottom"/>
          </w:tcPr>
          <w:p w:rsidR="00FE77F3" w:rsidRDefault="00FE77F3">
            <w:pPr>
              <w:rPr>
                <w:sz w:val="15"/>
                <w:szCs w:val="15"/>
              </w:rPr>
            </w:pPr>
          </w:p>
        </w:tc>
        <w:tc>
          <w:tcPr>
            <w:tcW w:w="200" w:type="dxa"/>
            <w:vAlign w:val="bottom"/>
          </w:tcPr>
          <w:p w:rsidR="00FE77F3" w:rsidRDefault="00E3448D">
            <w:pPr>
              <w:spacing w:line="180" w:lineRule="exact"/>
              <w:rPr>
                <w:sz w:val="20"/>
                <w:szCs w:val="20"/>
              </w:rPr>
            </w:pPr>
            <w:r>
              <w:rPr>
                <w:rFonts w:eastAsia="Times New Roman"/>
                <w:w w:val="89"/>
                <w:sz w:val="16"/>
                <w:szCs w:val="16"/>
              </w:rPr>
              <w:t>.02</w:t>
            </w:r>
          </w:p>
        </w:tc>
        <w:tc>
          <w:tcPr>
            <w:tcW w:w="1500" w:type="dxa"/>
            <w:vAlign w:val="bottom"/>
          </w:tcPr>
          <w:p w:rsidR="00FE77F3" w:rsidRDefault="00E3448D">
            <w:pPr>
              <w:spacing w:line="180" w:lineRule="exact"/>
              <w:ind w:left="360"/>
              <w:rPr>
                <w:sz w:val="20"/>
                <w:szCs w:val="20"/>
              </w:rPr>
            </w:pPr>
            <w:r>
              <w:rPr>
                <w:rFonts w:eastAsia="Times New Roman"/>
                <w:sz w:val="16"/>
                <w:szCs w:val="16"/>
              </w:rPr>
              <w:t>1.02(1/1.03)</w:t>
            </w:r>
          </w:p>
        </w:tc>
        <w:tc>
          <w:tcPr>
            <w:tcW w:w="500" w:type="dxa"/>
            <w:vAlign w:val="bottom"/>
          </w:tcPr>
          <w:p w:rsidR="00FE77F3" w:rsidRDefault="00FE77F3">
            <w:pPr>
              <w:rPr>
                <w:sz w:val="15"/>
                <w:szCs w:val="15"/>
              </w:rPr>
            </w:pPr>
          </w:p>
        </w:tc>
      </w:tr>
      <w:tr w:rsidR="00FE77F3">
        <w:trPr>
          <w:trHeight w:val="542"/>
        </w:trPr>
        <w:tc>
          <w:tcPr>
            <w:tcW w:w="20" w:type="dxa"/>
            <w:vAlign w:val="bottom"/>
          </w:tcPr>
          <w:p w:rsidR="00FE77F3" w:rsidRDefault="00FE77F3">
            <w:pPr>
              <w:rPr>
                <w:sz w:val="24"/>
                <w:szCs w:val="24"/>
              </w:rPr>
            </w:pPr>
          </w:p>
        </w:tc>
        <w:tc>
          <w:tcPr>
            <w:tcW w:w="1660" w:type="dxa"/>
            <w:vAlign w:val="bottom"/>
          </w:tcPr>
          <w:p w:rsidR="00FE77F3" w:rsidRDefault="00E3448D">
            <w:pPr>
              <w:ind w:left="100"/>
              <w:rPr>
                <w:sz w:val="20"/>
                <w:szCs w:val="20"/>
              </w:rPr>
            </w:pPr>
            <w:r>
              <w:rPr>
                <w:rFonts w:eastAsia="Times New Roman"/>
                <w:sz w:val="16"/>
                <w:szCs w:val="16"/>
              </w:rPr>
              <w:t>Gender</w:t>
            </w:r>
          </w:p>
        </w:tc>
        <w:tc>
          <w:tcPr>
            <w:tcW w:w="420" w:type="dxa"/>
            <w:vAlign w:val="bottom"/>
          </w:tcPr>
          <w:p w:rsidR="00FE77F3" w:rsidRDefault="00FE77F3">
            <w:pPr>
              <w:rPr>
                <w:sz w:val="24"/>
                <w:szCs w:val="24"/>
              </w:rPr>
            </w:pPr>
          </w:p>
        </w:tc>
        <w:tc>
          <w:tcPr>
            <w:tcW w:w="1740" w:type="dxa"/>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1540" w:type="dxa"/>
            <w:vAlign w:val="bottom"/>
          </w:tcPr>
          <w:p w:rsidR="00FE77F3" w:rsidRDefault="00FE77F3">
            <w:pPr>
              <w:rPr>
                <w:sz w:val="24"/>
                <w:szCs w:val="24"/>
              </w:rPr>
            </w:pPr>
          </w:p>
        </w:tc>
        <w:tc>
          <w:tcPr>
            <w:tcW w:w="580" w:type="dxa"/>
            <w:vAlign w:val="bottom"/>
          </w:tcPr>
          <w:p w:rsidR="00FE77F3" w:rsidRDefault="00FE77F3">
            <w:pPr>
              <w:rPr>
                <w:sz w:val="24"/>
                <w:szCs w:val="24"/>
              </w:rPr>
            </w:pPr>
          </w:p>
        </w:tc>
        <w:tc>
          <w:tcPr>
            <w:tcW w:w="200" w:type="dxa"/>
            <w:vAlign w:val="bottom"/>
          </w:tcPr>
          <w:p w:rsidR="00FE77F3" w:rsidRDefault="00FE77F3">
            <w:pPr>
              <w:rPr>
                <w:sz w:val="24"/>
                <w:szCs w:val="24"/>
              </w:rPr>
            </w:pPr>
          </w:p>
        </w:tc>
        <w:tc>
          <w:tcPr>
            <w:tcW w:w="1500" w:type="dxa"/>
            <w:vAlign w:val="bottom"/>
          </w:tcPr>
          <w:p w:rsidR="00FE77F3" w:rsidRDefault="00FE77F3">
            <w:pPr>
              <w:rPr>
                <w:sz w:val="24"/>
                <w:szCs w:val="24"/>
              </w:rPr>
            </w:pPr>
          </w:p>
        </w:tc>
        <w:tc>
          <w:tcPr>
            <w:tcW w:w="500" w:type="dxa"/>
            <w:vAlign w:val="bottom"/>
          </w:tcPr>
          <w:p w:rsidR="00FE77F3" w:rsidRDefault="00FE77F3">
            <w:pPr>
              <w:rPr>
                <w:sz w:val="24"/>
                <w:szCs w:val="24"/>
              </w:rPr>
            </w:pPr>
          </w:p>
        </w:tc>
      </w:tr>
      <w:tr w:rsidR="00FE77F3">
        <w:trPr>
          <w:trHeight w:val="545"/>
        </w:trPr>
        <w:tc>
          <w:tcPr>
            <w:tcW w:w="20" w:type="dxa"/>
            <w:vAlign w:val="bottom"/>
          </w:tcPr>
          <w:p w:rsidR="00FE77F3" w:rsidRDefault="00FE77F3">
            <w:pPr>
              <w:rPr>
                <w:sz w:val="24"/>
                <w:szCs w:val="24"/>
              </w:rPr>
            </w:pPr>
          </w:p>
        </w:tc>
        <w:tc>
          <w:tcPr>
            <w:tcW w:w="1660" w:type="dxa"/>
            <w:vAlign w:val="bottom"/>
          </w:tcPr>
          <w:p w:rsidR="00FE77F3" w:rsidRDefault="00E3448D">
            <w:pPr>
              <w:ind w:left="320"/>
              <w:rPr>
                <w:sz w:val="20"/>
                <w:szCs w:val="20"/>
              </w:rPr>
            </w:pPr>
            <w:r>
              <w:rPr>
                <w:rFonts w:eastAsia="Times New Roman"/>
                <w:sz w:val="16"/>
                <w:szCs w:val="16"/>
              </w:rPr>
              <w:t>Female</w:t>
            </w:r>
          </w:p>
        </w:tc>
        <w:tc>
          <w:tcPr>
            <w:tcW w:w="420" w:type="dxa"/>
            <w:vAlign w:val="bottom"/>
          </w:tcPr>
          <w:p w:rsidR="00FE77F3" w:rsidRDefault="00FE77F3">
            <w:pPr>
              <w:rPr>
                <w:sz w:val="24"/>
                <w:szCs w:val="24"/>
              </w:rPr>
            </w:pPr>
          </w:p>
        </w:tc>
        <w:tc>
          <w:tcPr>
            <w:tcW w:w="1740" w:type="dxa"/>
            <w:vAlign w:val="bottom"/>
          </w:tcPr>
          <w:p w:rsidR="00FE77F3" w:rsidRDefault="00E3448D">
            <w:pPr>
              <w:ind w:left="140"/>
              <w:rPr>
                <w:sz w:val="20"/>
                <w:szCs w:val="20"/>
              </w:rPr>
            </w:pPr>
            <w:r>
              <w:rPr>
                <w:rFonts w:eastAsia="Times New Roman"/>
                <w:sz w:val="16"/>
                <w:szCs w:val="16"/>
              </w:rPr>
              <w:t>1</w:t>
            </w:r>
          </w:p>
        </w:tc>
        <w:tc>
          <w:tcPr>
            <w:tcW w:w="440" w:type="dxa"/>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1540" w:type="dxa"/>
            <w:vAlign w:val="bottom"/>
          </w:tcPr>
          <w:p w:rsidR="00FE77F3" w:rsidRDefault="00E3448D">
            <w:pPr>
              <w:ind w:left="120"/>
              <w:rPr>
                <w:sz w:val="20"/>
                <w:szCs w:val="20"/>
              </w:rPr>
            </w:pPr>
            <w:r>
              <w:rPr>
                <w:rFonts w:eastAsia="Times New Roman"/>
                <w:sz w:val="16"/>
                <w:szCs w:val="16"/>
              </w:rPr>
              <w:t>1</w:t>
            </w:r>
          </w:p>
        </w:tc>
        <w:tc>
          <w:tcPr>
            <w:tcW w:w="580" w:type="dxa"/>
            <w:vAlign w:val="bottom"/>
          </w:tcPr>
          <w:p w:rsidR="00FE77F3" w:rsidRDefault="00FE77F3">
            <w:pPr>
              <w:rPr>
                <w:sz w:val="24"/>
                <w:szCs w:val="24"/>
              </w:rPr>
            </w:pPr>
          </w:p>
        </w:tc>
        <w:tc>
          <w:tcPr>
            <w:tcW w:w="200" w:type="dxa"/>
            <w:vAlign w:val="bottom"/>
          </w:tcPr>
          <w:p w:rsidR="00FE77F3" w:rsidRDefault="00FE77F3">
            <w:pPr>
              <w:rPr>
                <w:sz w:val="24"/>
                <w:szCs w:val="24"/>
              </w:rPr>
            </w:pPr>
          </w:p>
        </w:tc>
        <w:tc>
          <w:tcPr>
            <w:tcW w:w="1500" w:type="dxa"/>
            <w:vAlign w:val="bottom"/>
          </w:tcPr>
          <w:p w:rsidR="00FE77F3" w:rsidRDefault="00E3448D">
            <w:pPr>
              <w:ind w:left="360"/>
              <w:rPr>
                <w:sz w:val="20"/>
                <w:szCs w:val="20"/>
              </w:rPr>
            </w:pPr>
            <w:r>
              <w:rPr>
                <w:rFonts w:eastAsia="Times New Roman"/>
                <w:sz w:val="16"/>
                <w:szCs w:val="16"/>
              </w:rPr>
              <w:t>1</w:t>
            </w:r>
          </w:p>
        </w:tc>
        <w:tc>
          <w:tcPr>
            <w:tcW w:w="500" w:type="dxa"/>
            <w:vAlign w:val="bottom"/>
          </w:tcPr>
          <w:p w:rsidR="00FE77F3" w:rsidRDefault="00FE77F3">
            <w:pPr>
              <w:rPr>
                <w:sz w:val="24"/>
                <w:szCs w:val="24"/>
              </w:rPr>
            </w:pPr>
          </w:p>
        </w:tc>
      </w:tr>
      <w:tr w:rsidR="00FE77F3">
        <w:trPr>
          <w:trHeight w:val="542"/>
        </w:trPr>
        <w:tc>
          <w:tcPr>
            <w:tcW w:w="20" w:type="dxa"/>
            <w:vAlign w:val="bottom"/>
          </w:tcPr>
          <w:p w:rsidR="00FE77F3" w:rsidRDefault="00FE77F3">
            <w:pPr>
              <w:rPr>
                <w:sz w:val="24"/>
                <w:szCs w:val="24"/>
              </w:rPr>
            </w:pPr>
          </w:p>
        </w:tc>
        <w:tc>
          <w:tcPr>
            <w:tcW w:w="1660" w:type="dxa"/>
            <w:vAlign w:val="bottom"/>
          </w:tcPr>
          <w:p w:rsidR="00FE77F3" w:rsidRDefault="00E3448D">
            <w:pPr>
              <w:ind w:left="320"/>
              <w:rPr>
                <w:sz w:val="20"/>
                <w:szCs w:val="20"/>
              </w:rPr>
            </w:pPr>
            <w:r>
              <w:rPr>
                <w:rFonts w:eastAsia="Times New Roman"/>
                <w:sz w:val="16"/>
                <w:szCs w:val="16"/>
              </w:rPr>
              <w:t>Male</w:t>
            </w:r>
          </w:p>
        </w:tc>
        <w:tc>
          <w:tcPr>
            <w:tcW w:w="420" w:type="dxa"/>
            <w:vAlign w:val="bottom"/>
          </w:tcPr>
          <w:p w:rsidR="00FE77F3" w:rsidRDefault="00E3448D">
            <w:pPr>
              <w:ind w:left="100"/>
              <w:rPr>
                <w:sz w:val="20"/>
                <w:szCs w:val="20"/>
              </w:rPr>
            </w:pPr>
            <w:r>
              <w:rPr>
                <w:rFonts w:eastAsia="Times New Roman"/>
                <w:sz w:val="16"/>
                <w:szCs w:val="16"/>
              </w:rPr>
              <w:t>.19</w:t>
            </w:r>
          </w:p>
        </w:tc>
        <w:tc>
          <w:tcPr>
            <w:tcW w:w="1740" w:type="dxa"/>
            <w:vAlign w:val="bottom"/>
          </w:tcPr>
          <w:p w:rsidR="00FE77F3" w:rsidRDefault="00E3448D">
            <w:pPr>
              <w:ind w:left="140"/>
              <w:rPr>
                <w:sz w:val="20"/>
                <w:szCs w:val="20"/>
              </w:rPr>
            </w:pPr>
            <w:r>
              <w:rPr>
                <w:rFonts w:eastAsia="Times New Roman"/>
                <w:sz w:val="16"/>
                <w:szCs w:val="16"/>
              </w:rPr>
              <w:t>1.01 (.7/1.47)</w:t>
            </w:r>
          </w:p>
        </w:tc>
        <w:tc>
          <w:tcPr>
            <w:tcW w:w="880" w:type="dxa"/>
            <w:gridSpan w:val="2"/>
            <w:vAlign w:val="bottom"/>
          </w:tcPr>
          <w:p w:rsidR="00FE77F3" w:rsidRDefault="00E3448D">
            <w:pPr>
              <w:ind w:left="540"/>
              <w:rPr>
                <w:sz w:val="20"/>
                <w:szCs w:val="20"/>
              </w:rPr>
            </w:pPr>
            <w:r>
              <w:rPr>
                <w:rFonts w:eastAsia="Times New Roman"/>
                <w:sz w:val="16"/>
                <w:szCs w:val="16"/>
              </w:rPr>
              <w:t>.27</w:t>
            </w:r>
          </w:p>
        </w:tc>
        <w:tc>
          <w:tcPr>
            <w:tcW w:w="1540" w:type="dxa"/>
            <w:vAlign w:val="bottom"/>
          </w:tcPr>
          <w:p w:rsidR="00FE77F3" w:rsidRDefault="00E3448D">
            <w:pPr>
              <w:ind w:left="120"/>
              <w:rPr>
                <w:sz w:val="20"/>
                <w:szCs w:val="20"/>
              </w:rPr>
            </w:pPr>
            <w:r>
              <w:rPr>
                <w:rFonts w:eastAsia="Times New Roman"/>
                <w:sz w:val="16"/>
                <w:szCs w:val="16"/>
              </w:rPr>
              <w:t>1.33 (.78/2.27)</w:t>
            </w:r>
          </w:p>
        </w:tc>
        <w:tc>
          <w:tcPr>
            <w:tcW w:w="580" w:type="dxa"/>
            <w:vAlign w:val="bottom"/>
          </w:tcPr>
          <w:p w:rsidR="00FE77F3" w:rsidRDefault="00FE77F3">
            <w:pPr>
              <w:rPr>
                <w:sz w:val="24"/>
                <w:szCs w:val="24"/>
              </w:rPr>
            </w:pPr>
          </w:p>
        </w:tc>
        <w:tc>
          <w:tcPr>
            <w:tcW w:w="200" w:type="dxa"/>
            <w:vAlign w:val="bottom"/>
          </w:tcPr>
          <w:p w:rsidR="00FE77F3" w:rsidRDefault="00E3448D">
            <w:pPr>
              <w:rPr>
                <w:sz w:val="20"/>
                <w:szCs w:val="20"/>
              </w:rPr>
            </w:pPr>
            <w:r>
              <w:rPr>
                <w:rFonts w:eastAsia="Times New Roman"/>
                <w:w w:val="89"/>
                <w:sz w:val="16"/>
                <w:szCs w:val="16"/>
              </w:rPr>
              <w:t>.24</w:t>
            </w:r>
          </w:p>
        </w:tc>
        <w:tc>
          <w:tcPr>
            <w:tcW w:w="1500" w:type="dxa"/>
            <w:vAlign w:val="bottom"/>
          </w:tcPr>
          <w:p w:rsidR="00FE77F3" w:rsidRDefault="00E3448D">
            <w:pPr>
              <w:ind w:left="360"/>
              <w:rPr>
                <w:sz w:val="20"/>
                <w:szCs w:val="20"/>
              </w:rPr>
            </w:pPr>
            <w:r>
              <w:rPr>
                <w:rFonts w:eastAsia="Times New Roman"/>
                <w:sz w:val="16"/>
                <w:szCs w:val="16"/>
              </w:rPr>
              <w:t>1 (.63/1.6)</w:t>
            </w:r>
          </w:p>
        </w:tc>
        <w:tc>
          <w:tcPr>
            <w:tcW w:w="500" w:type="dxa"/>
            <w:vAlign w:val="bottom"/>
          </w:tcPr>
          <w:p w:rsidR="00FE77F3" w:rsidRDefault="00FE77F3">
            <w:pPr>
              <w:rPr>
                <w:sz w:val="24"/>
                <w:szCs w:val="24"/>
              </w:rPr>
            </w:pPr>
          </w:p>
        </w:tc>
      </w:tr>
      <w:tr w:rsidR="00FE77F3">
        <w:trPr>
          <w:trHeight w:val="543"/>
        </w:trPr>
        <w:tc>
          <w:tcPr>
            <w:tcW w:w="20" w:type="dxa"/>
            <w:vAlign w:val="bottom"/>
          </w:tcPr>
          <w:p w:rsidR="00FE77F3" w:rsidRDefault="00FE77F3">
            <w:pPr>
              <w:rPr>
                <w:sz w:val="24"/>
                <w:szCs w:val="24"/>
              </w:rPr>
            </w:pPr>
          </w:p>
        </w:tc>
        <w:tc>
          <w:tcPr>
            <w:tcW w:w="1660" w:type="dxa"/>
            <w:vAlign w:val="bottom"/>
          </w:tcPr>
          <w:p w:rsidR="00FE77F3" w:rsidRDefault="00E3448D">
            <w:pPr>
              <w:ind w:left="100"/>
              <w:rPr>
                <w:sz w:val="20"/>
                <w:szCs w:val="20"/>
              </w:rPr>
            </w:pPr>
            <w:r>
              <w:rPr>
                <w:rFonts w:eastAsia="Times New Roman"/>
                <w:sz w:val="16"/>
                <w:szCs w:val="16"/>
              </w:rPr>
              <w:t>Condition</w:t>
            </w:r>
          </w:p>
        </w:tc>
        <w:tc>
          <w:tcPr>
            <w:tcW w:w="420" w:type="dxa"/>
            <w:vAlign w:val="bottom"/>
          </w:tcPr>
          <w:p w:rsidR="00FE77F3" w:rsidRDefault="00FE77F3">
            <w:pPr>
              <w:rPr>
                <w:sz w:val="24"/>
                <w:szCs w:val="24"/>
              </w:rPr>
            </w:pPr>
          </w:p>
        </w:tc>
        <w:tc>
          <w:tcPr>
            <w:tcW w:w="1740" w:type="dxa"/>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1540" w:type="dxa"/>
            <w:vAlign w:val="bottom"/>
          </w:tcPr>
          <w:p w:rsidR="00FE77F3" w:rsidRDefault="00FE77F3">
            <w:pPr>
              <w:rPr>
                <w:sz w:val="24"/>
                <w:szCs w:val="24"/>
              </w:rPr>
            </w:pPr>
          </w:p>
        </w:tc>
        <w:tc>
          <w:tcPr>
            <w:tcW w:w="580" w:type="dxa"/>
            <w:vAlign w:val="bottom"/>
          </w:tcPr>
          <w:p w:rsidR="00FE77F3" w:rsidRDefault="00FE77F3">
            <w:pPr>
              <w:rPr>
                <w:sz w:val="24"/>
                <w:szCs w:val="24"/>
              </w:rPr>
            </w:pPr>
          </w:p>
        </w:tc>
        <w:tc>
          <w:tcPr>
            <w:tcW w:w="200" w:type="dxa"/>
            <w:vAlign w:val="bottom"/>
          </w:tcPr>
          <w:p w:rsidR="00FE77F3" w:rsidRDefault="00FE77F3">
            <w:pPr>
              <w:rPr>
                <w:sz w:val="24"/>
                <w:szCs w:val="24"/>
              </w:rPr>
            </w:pPr>
          </w:p>
        </w:tc>
        <w:tc>
          <w:tcPr>
            <w:tcW w:w="1500" w:type="dxa"/>
            <w:vAlign w:val="bottom"/>
          </w:tcPr>
          <w:p w:rsidR="00FE77F3" w:rsidRDefault="00FE77F3">
            <w:pPr>
              <w:rPr>
                <w:sz w:val="24"/>
                <w:szCs w:val="24"/>
              </w:rPr>
            </w:pPr>
          </w:p>
        </w:tc>
        <w:tc>
          <w:tcPr>
            <w:tcW w:w="500" w:type="dxa"/>
            <w:vAlign w:val="bottom"/>
          </w:tcPr>
          <w:p w:rsidR="00FE77F3" w:rsidRDefault="00FE77F3">
            <w:pPr>
              <w:rPr>
                <w:sz w:val="24"/>
                <w:szCs w:val="24"/>
              </w:rPr>
            </w:pPr>
          </w:p>
        </w:tc>
      </w:tr>
      <w:tr w:rsidR="00FE77F3">
        <w:trPr>
          <w:trHeight w:val="542"/>
        </w:trPr>
        <w:tc>
          <w:tcPr>
            <w:tcW w:w="20" w:type="dxa"/>
            <w:vAlign w:val="bottom"/>
          </w:tcPr>
          <w:p w:rsidR="00FE77F3" w:rsidRDefault="00FE77F3">
            <w:pPr>
              <w:rPr>
                <w:sz w:val="24"/>
                <w:szCs w:val="24"/>
              </w:rPr>
            </w:pPr>
          </w:p>
        </w:tc>
        <w:tc>
          <w:tcPr>
            <w:tcW w:w="1660" w:type="dxa"/>
            <w:vAlign w:val="bottom"/>
          </w:tcPr>
          <w:p w:rsidR="00FE77F3" w:rsidRDefault="00E3448D">
            <w:pPr>
              <w:ind w:left="100"/>
              <w:rPr>
                <w:sz w:val="20"/>
                <w:szCs w:val="20"/>
              </w:rPr>
            </w:pPr>
            <w:r>
              <w:rPr>
                <w:rFonts w:eastAsia="Times New Roman"/>
                <w:sz w:val="16"/>
                <w:szCs w:val="16"/>
              </w:rPr>
              <w:t>1-0 (Control)</w:t>
            </w:r>
          </w:p>
        </w:tc>
        <w:tc>
          <w:tcPr>
            <w:tcW w:w="420" w:type="dxa"/>
            <w:vAlign w:val="bottom"/>
          </w:tcPr>
          <w:p w:rsidR="00FE77F3" w:rsidRDefault="00FE77F3">
            <w:pPr>
              <w:rPr>
                <w:sz w:val="24"/>
                <w:szCs w:val="24"/>
              </w:rPr>
            </w:pPr>
          </w:p>
        </w:tc>
        <w:tc>
          <w:tcPr>
            <w:tcW w:w="1740" w:type="dxa"/>
            <w:vAlign w:val="bottom"/>
          </w:tcPr>
          <w:p w:rsidR="00FE77F3" w:rsidRDefault="00E3448D">
            <w:pPr>
              <w:ind w:left="140"/>
              <w:rPr>
                <w:sz w:val="20"/>
                <w:szCs w:val="20"/>
              </w:rPr>
            </w:pPr>
            <w:r>
              <w:rPr>
                <w:rFonts w:eastAsia="Times New Roman"/>
                <w:sz w:val="16"/>
                <w:szCs w:val="16"/>
              </w:rPr>
              <w:t>1</w:t>
            </w:r>
          </w:p>
        </w:tc>
        <w:tc>
          <w:tcPr>
            <w:tcW w:w="440" w:type="dxa"/>
            <w:vAlign w:val="bottom"/>
          </w:tcPr>
          <w:p w:rsidR="00FE77F3" w:rsidRDefault="00FE77F3">
            <w:pPr>
              <w:rPr>
                <w:sz w:val="24"/>
                <w:szCs w:val="24"/>
              </w:rPr>
            </w:pPr>
          </w:p>
        </w:tc>
        <w:tc>
          <w:tcPr>
            <w:tcW w:w="440" w:type="dxa"/>
            <w:vAlign w:val="bottom"/>
          </w:tcPr>
          <w:p w:rsidR="00FE77F3" w:rsidRDefault="00FE77F3">
            <w:pPr>
              <w:rPr>
                <w:sz w:val="24"/>
                <w:szCs w:val="24"/>
              </w:rPr>
            </w:pPr>
          </w:p>
        </w:tc>
        <w:tc>
          <w:tcPr>
            <w:tcW w:w="1540" w:type="dxa"/>
            <w:vAlign w:val="bottom"/>
          </w:tcPr>
          <w:p w:rsidR="00FE77F3" w:rsidRDefault="00E3448D">
            <w:pPr>
              <w:ind w:left="120"/>
              <w:rPr>
                <w:sz w:val="20"/>
                <w:szCs w:val="20"/>
              </w:rPr>
            </w:pPr>
            <w:r>
              <w:rPr>
                <w:rFonts w:eastAsia="Times New Roman"/>
                <w:sz w:val="16"/>
                <w:szCs w:val="16"/>
              </w:rPr>
              <w:t>1</w:t>
            </w:r>
          </w:p>
        </w:tc>
        <w:tc>
          <w:tcPr>
            <w:tcW w:w="580" w:type="dxa"/>
            <w:vAlign w:val="bottom"/>
          </w:tcPr>
          <w:p w:rsidR="00FE77F3" w:rsidRDefault="00FE77F3">
            <w:pPr>
              <w:rPr>
                <w:sz w:val="24"/>
                <w:szCs w:val="24"/>
              </w:rPr>
            </w:pPr>
          </w:p>
        </w:tc>
        <w:tc>
          <w:tcPr>
            <w:tcW w:w="200" w:type="dxa"/>
            <w:vAlign w:val="bottom"/>
          </w:tcPr>
          <w:p w:rsidR="00FE77F3" w:rsidRDefault="00FE77F3">
            <w:pPr>
              <w:rPr>
                <w:sz w:val="24"/>
                <w:szCs w:val="24"/>
              </w:rPr>
            </w:pPr>
          </w:p>
        </w:tc>
        <w:tc>
          <w:tcPr>
            <w:tcW w:w="1500" w:type="dxa"/>
            <w:vAlign w:val="bottom"/>
          </w:tcPr>
          <w:p w:rsidR="00FE77F3" w:rsidRDefault="00E3448D">
            <w:pPr>
              <w:ind w:left="360"/>
              <w:rPr>
                <w:sz w:val="20"/>
                <w:szCs w:val="20"/>
              </w:rPr>
            </w:pPr>
            <w:r>
              <w:rPr>
                <w:rFonts w:eastAsia="Times New Roman"/>
                <w:sz w:val="16"/>
                <w:szCs w:val="16"/>
              </w:rPr>
              <w:t>1</w:t>
            </w:r>
          </w:p>
        </w:tc>
        <w:tc>
          <w:tcPr>
            <w:tcW w:w="500" w:type="dxa"/>
            <w:vAlign w:val="bottom"/>
          </w:tcPr>
          <w:p w:rsidR="00FE77F3" w:rsidRDefault="00FE77F3">
            <w:pPr>
              <w:rPr>
                <w:sz w:val="24"/>
                <w:szCs w:val="24"/>
              </w:rPr>
            </w:pPr>
          </w:p>
        </w:tc>
      </w:tr>
      <w:tr w:rsidR="00FE77F3">
        <w:trPr>
          <w:trHeight w:val="545"/>
        </w:trPr>
        <w:tc>
          <w:tcPr>
            <w:tcW w:w="1680" w:type="dxa"/>
            <w:gridSpan w:val="2"/>
            <w:vAlign w:val="bottom"/>
          </w:tcPr>
          <w:p w:rsidR="00FE77F3" w:rsidRDefault="00E3448D">
            <w:pPr>
              <w:ind w:left="120"/>
              <w:rPr>
                <w:sz w:val="20"/>
                <w:szCs w:val="20"/>
              </w:rPr>
            </w:pPr>
            <w:r>
              <w:rPr>
                <w:rFonts w:eastAsia="Times New Roman"/>
                <w:sz w:val="16"/>
                <w:szCs w:val="16"/>
              </w:rPr>
              <w:t>1-1</w:t>
            </w:r>
          </w:p>
        </w:tc>
        <w:tc>
          <w:tcPr>
            <w:tcW w:w="420" w:type="dxa"/>
            <w:vAlign w:val="bottom"/>
          </w:tcPr>
          <w:p w:rsidR="00FE77F3" w:rsidRDefault="00E3448D">
            <w:pPr>
              <w:ind w:left="100"/>
              <w:rPr>
                <w:sz w:val="20"/>
                <w:szCs w:val="20"/>
              </w:rPr>
            </w:pPr>
            <w:r>
              <w:rPr>
                <w:rFonts w:eastAsia="Times New Roman"/>
                <w:sz w:val="16"/>
                <w:szCs w:val="16"/>
              </w:rPr>
              <w:t>.42</w:t>
            </w:r>
          </w:p>
        </w:tc>
        <w:tc>
          <w:tcPr>
            <w:tcW w:w="1740" w:type="dxa"/>
            <w:vAlign w:val="bottom"/>
          </w:tcPr>
          <w:p w:rsidR="00FE77F3" w:rsidRDefault="00E3448D">
            <w:pPr>
              <w:ind w:left="140"/>
              <w:rPr>
                <w:sz w:val="20"/>
                <w:szCs w:val="20"/>
              </w:rPr>
            </w:pPr>
            <w:r>
              <w:rPr>
                <w:rFonts w:eastAsia="Times New Roman"/>
                <w:sz w:val="16"/>
                <w:szCs w:val="16"/>
              </w:rPr>
              <w:t>.66 (.29/1.49)</w:t>
            </w:r>
          </w:p>
        </w:tc>
        <w:tc>
          <w:tcPr>
            <w:tcW w:w="880" w:type="dxa"/>
            <w:gridSpan w:val="2"/>
            <w:vAlign w:val="bottom"/>
          </w:tcPr>
          <w:p w:rsidR="00FE77F3" w:rsidRDefault="00E3448D">
            <w:pPr>
              <w:ind w:left="540"/>
              <w:rPr>
                <w:sz w:val="20"/>
                <w:szCs w:val="20"/>
              </w:rPr>
            </w:pPr>
            <w:r>
              <w:rPr>
                <w:rFonts w:eastAsia="Times New Roman"/>
                <w:sz w:val="16"/>
                <w:szCs w:val="16"/>
              </w:rPr>
              <w:t>.5</w:t>
            </w:r>
          </w:p>
        </w:tc>
        <w:tc>
          <w:tcPr>
            <w:tcW w:w="1540" w:type="dxa"/>
            <w:vAlign w:val="bottom"/>
          </w:tcPr>
          <w:p w:rsidR="00FE77F3" w:rsidRDefault="00E3448D">
            <w:pPr>
              <w:ind w:left="120"/>
              <w:rPr>
                <w:sz w:val="20"/>
                <w:szCs w:val="20"/>
              </w:rPr>
            </w:pPr>
            <w:r>
              <w:rPr>
                <w:rFonts w:eastAsia="Times New Roman"/>
                <w:sz w:val="16"/>
                <w:szCs w:val="16"/>
              </w:rPr>
              <w:t>1.04 (.39/2.79)</w:t>
            </w:r>
          </w:p>
        </w:tc>
        <w:tc>
          <w:tcPr>
            <w:tcW w:w="580" w:type="dxa"/>
            <w:vAlign w:val="bottom"/>
          </w:tcPr>
          <w:p w:rsidR="00FE77F3" w:rsidRDefault="00FE77F3">
            <w:pPr>
              <w:rPr>
                <w:sz w:val="24"/>
                <w:szCs w:val="24"/>
              </w:rPr>
            </w:pPr>
          </w:p>
        </w:tc>
        <w:tc>
          <w:tcPr>
            <w:tcW w:w="200" w:type="dxa"/>
            <w:vAlign w:val="bottom"/>
          </w:tcPr>
          <w:p w:rsidR="00FE77F3" w:rsidRDefault="00E3448D">
            <w:pPr>
              <w:rPr>
                <w:sz w:val="20"/>
                <w:szCs w:val="20"/>
              </w:rPr>
            </w:pPr>
            <w:r>
              <w:rPr>
                <w:rFonts w:eastAsia="Times New Roman"/>
                <w:w w:val="89"/>
                <w:sz w:val="16"/>
                <w:szCs w:val="16"/>
              </w:rPr>
              <w:t>.51</w:t>
            </w:r>
          </w:p>
        </w:tc>
        <w:tc>
          <w:tcPr>
            <w:tcW w:w="1500" w:type="dxa"/>
            <w:vAlign w:val="bottom"/>
          </w:tcPr>
          <w:p w:rsidR="00FE77F3" w:rsidRDefault="00E3448D">
            <w:pPr>
              <w:ind w:left="360"/>
              <w:rPr>
                <w:sz w:val="20"/>
                <w:szCs w:val="20"/>
              </w:rPr>
            </w:pPr>
            <w:r>
              <w:rPr>
                <w:rFonts w:eastAsia="Times New Roman"/>
                <w:sz w:val="16"/>
                <w:szCs w:val="16"/>
              </w:rPr>
              <w:t>1.58 (.59/4.28)</w:t>
            </w:r>
          </w:p>
        </w:tc>
        <w:tc>
          <w:tcPr>
            <w:tcW w:w="500" w:type="dxa"/>
            <w:vAlign w:val="bottom"/>
          </w:tcPr>
          <w:p w:rsidR="00FE77F3" w:rsidRDefault="00FE77F3">
            <w:pPr>
              <w:rPr>
                <w:sz w:val="24"/>
                <w:szCs w:val="24"/>
              </w:rPr>
            </w:pPr>
          </w:p>
        </w:tc>
      </w:tr>
      <w:tr w:rsidR="00FE77F3">
        <w:trPr>
          <w:trHeight w:val="542"/>
        </w:trPr>
        <w:tc>
          <w:tcPr>
            <w:tcW w:w="1680" w:type="dxa"/>
            <w:gridSpan w:val="2"/>
            <w:vAlign w:val="bottom"/>
          </w:tcPr>
          <w:p w:rsidR="00FE77F3" w:rsidRDefault="00E3448D">
            <w:pPr>
              <w:ind w:left="120"/>
              <w:rPr>
                <w:sz w:val="20"/>
                <w:szCs w:val="20"/>
              </w:rPr>
            </w:pPr>
            <w:r>
              <w:rPr>
                <w:rFonts w:eastAsia="Times New Roman"/>
                <w:sz w:val="16"/>
                <w:szCs w:val="16"/>
              </w:rPr>
              <w:t>1-2</w:t>
            </w:r>
          </w:p>
        </w:tc>
        <w:tc>
          <w:tcPr>
            <w:tcW w:w="420" w:type="dxa"/>
            <w:vAlign w:val="bottom"/>
          </w:tcPr>
          <w:p w:rsidR="00FE77F3" w:rsidRDefault="00E3448D">
            <w:pPr>
              <w:ind w:left="100"/>
              <w:rPr>
                <w:sz w:val="20"/>
                <w:szCs w:val="20"/>
              </w:rPr>
            </w:pPr>
            <w:r>
              <w:rPr>
                <w:rFonts w:eastAsia="Times New Roman"/>
                <w:sz w:val="16"/>
                <w:szCs w:val="16"/>
              </w:rPr>
              <w:t>.32</w:t>
            </w:r>
          </w:p>
        </w:tc>
        <w:tc>
          <w:tcPr>
            <w:tcW w:w="1740" w:type="dxa"/>
            <w:vAlign w:val="bottom"/>
          </w:tcPr>
          <w:p w:rsidR="00FE77F3" w:rsidRDefault="00E3448D">
            <w:pPr>
              <w:ind w:left="140"/>
              <w:rPr>
                <w:sz w:val="20"/>
                <w:szCs w:val="20"/>
              </w:rPr>
            </w:pPr>
            <w:r>
              <w:rPr>
                <w:rFonts w:eastAsia="Times New Roman"/>
                <w:sz w:val="16"/>
                <w:szCs w:val="16"/>
              </w:rPr>
              <w:t>.24 (.13/.44)***</w:t>
            </w:r>
          </w:p>
        </w:tc>
        <w:tc>
          <w:tcPr>
            <w:tcW w:w="880" w:type="dxa"/>
            <w:gridSpan w:val="2"/>
            <w:vAlign w:val="bottom"/>
          </w:tcPr>
          <w:p w:rsidR="00FE77F3" w:rsidRDefault="00E3448D">
            <w:pPr>
              <w:ind w:left="540"/>
              <w:rPr>
                <w:sz w:val="20"/>
                <w:szCs w:val="20"/>
              </w:rPr>
            </w:pPr>
            <w:r>
              <w:rPr>
                <w:rFonts w:eastAsia="Times New Roman"/>
                <w:sz w:val="16"/>
                <w:szCs w:val="16"/>
              </w:rPr>
              <w:t>.38</w:t>
            </w:r>
          </w:p>
        </w:tc>
        <w:tc>
          <w:tcPr>
            <w:tcW w:w="1540" w:type="dxa"/>
            <w:vAlign w:val="bottom"/>
          </w:tcPr>
          <w:p w:rsidR="00FE77F3" w:rsidRDefault="00E3448D">
            <w:pPr>
              <w:ind w:left="120"/>
              <w:rPr>
                <w:sz w:val="20"/>
                <w:szCs w:val="20"/>
              </w:rPr>
            </w:pPr>
            <w:r>
              <w:rPr>
                <w:rFonts w:eastAsia="Times New Roman"/>
                <w:sz w:val="16"/>
                <w:szCs w:val="16"/>
              </w:rPr>
              <w:t>.45 (.21/.95)*</w:t>
            </w:r>
          </w:p>
        </w:tc>
        <w:tc>
          <w:tcPr>
            <w:tcW w:w="580" w:type="dxa"/>
            <w:vAlign w:val="bottom"/>
          </w:tcPr>
          <w:p w:rsidR="00FE77F3" w:rsidRDefault="00FE77F3">
            <w:pPr>
              <w:rPr>
                <w:sz w:val="24"/>
                <w:szCs w:val="24"/>
              </w:rPr>
            </w:pPr>
          </w:p>
        </w:tc>
        <w:tc>
          <w:tcPr>
            <w:tcW w:w="200" w:type="dxa"/>
            <w:vAlign w:val="bottom"/>
          </w:tcPr>
          <w:p w:rsidR="00FE77F3" w:rsidRDefault="00E3448D">
            <w:pPr>
              <w:rPr>
                <w:sz w:val="20"/>
                <w:szCs w:val="20"/>
              </w:rPr>
            </w:pPr>
            <w:r>
              <w:rPr>
                <w:rFonts w:eastAsia="Times New Roman"/>
                <w:w w:val="89"/>
                <w:sz w:val="16"/>
                <w:szCs w:val="16"/>
              </w:rPr>
              <w:t>.42</w:t>
            </w:r>
          </w:p>
        </w:tc>
        <w:tc>
          <w:tcPr>
            <w:tcW w:w="1500" w:type="dxa"/>
            <w:vAlign w:val="bottom"/>
          </w:tcPr>
          <w:p w:rsidR="00FE77F3" w:rsidRDefault="00E3448D">
            <w:pPr>
              <w:ind w:left="360"/>
              <w:rPr>
                <w:sz w:val="20"/>
                <w:szCs w:val="20"/>
              </w:rPr>
            </w:pPr>
            <w:r>
              <w:rPr>
                <w:rFonts w:eastAsia="Times New Roman"/>
                <w:sz w:val="16"/>
                <w:szCs w:val="16"/>
              </w:rPr>
              <w:t>1.92 (.84/4.37)</w:t>
            </w:r>
          </w:p>
        </w:tc>
        <w:tc>
          <w:tcPr>
            <w:tcW w:w="500" w:type="dxa"/>
            <w:vAlign w:val="bottom"/>
          </w:tcPr>
          <w:p w:rsidR="00FE77F3" w:rsidRDefault="00FE77F3">
            <w:pPr>
              <w:rPr>
                <w:sz w:val="24"/>
                <w:szCs w:val="24"/>
              </w:rPr>
            </w:pPr>
          </w:p>
        </w:tc>
      </w:tr>
      <w:tr w:rsidR="00FE77F3">
        <w:trPr>
          <w:trHeight w:val="542"/>
        </w:trPr>
        <w:tc>
          <w:tcPr>
            <w:tcW w:w="1680" w:type="dxa"/>
            <w:gridSpan w:val="2"/>
            <w:vAlign w:val="bottom"/>
          </w:tcPr>
          <w:p w:rsidR="00FE77F3" w:rsidRDefault="00E3448D">
            <w:pPr>
              <w:ind w:left="120"/>
              <w:rPr>
                <w:sz w:val="20"/>
                <w:szCs w:val="20"/>
              </w:rPr>
            </w:pPr>
            <w:r>
              <w:rPr>
                <w:rFonts w:eastAsia="Times New Roman"/>
                <w:sz w:val="16"/>
                <w:szCs w:val="16"/>
              </w:rPr>
              <w:t>1-5</w:t>
            </w:r>
          </w:p>
        </w:tc>
        <w:tc>
          <w:tcPr>
            <w:tcW w:w="420" w:type="dxa"/>
            <w:vAlign w:val="bottom"/>
          </w:tcPr>
          <w:p w:rsidR="00FE77F3" w:rsidRDefault="00E3448D">
            <w:pPr>
              <w:ind w:left="100"/>
              <w:rPr>
                <w:sz w:val="20"/>
                <w:szCs w:val="20"/>
              </w:rPr>
            </w:pPr>
            <w:r>
              <w:rPr>
                <w:rFonts w:eastAsia="Times New Roman"/>
                <w:sz w:val="16"/>
                <w:szCs w:val="16"/>
              </w:rPr>
              <w:t>.47</w:t>
            </w:r>
          </w:p>
        </w:tc>
        <w:tc>
          <w:tcPr>
            <w:tcW w:w="1740" w:type="dxa"/>
            <w:vAlign w:val="bottom"/>
          </w:tcPr>
          <w:p w:rsidR="00FE77F3" w:rsidRDefault="00E3448D">
            <w:pPr>
              <w:ind w:left="140"/>
              <w:rPr>
                <w:sz w:val="20"/>
                <w:szCs w:val="20"/>
              </w:rPr>
            </w:pPr>
            <w:r>
              <w:rPr>
                <w:rFonts w:eastAsia="Times New Roman"/>
                <w:sz w:val="16"/>
                <w:szCs w:val="16"/>
              </w:rPr>
              <w:t>.08 (.03/.19)***</w:t>
            </w:r>
          </w:p>
        </w:tc>
        <w:tc>
          <w:tcPr>
            <w:tcW w:w="880" w:type="dxa"/>
            <w:gridSpan w:val="2"/>
            <w:vAlign w:val="bottom"/>
          </w:tcPr>
          <w:p w:rsidR="00FE77F3" w:rsidRDefault="00E3448D">
            <w:pPr>
              <w:ind w:left="540"/>
              <w:rPr>
                <w:sz w:val="20"/>
                <w:szCs w:val="20"/>
              </w:rPr>
            </w:pPr>
            <w:r>
              <w:rPr>
                <w:rFonts w:eastAsia="Times New Roman"/>
                <w:sz w:val="16"/>
                <w:szCs w:val="16"/>
              </w:rPr>
              <w:t>.42</w:t>
            </w:r>
          </w:p>
        </w:tc>
        <w:tc>
          <w:tcPr>
            <w:tcW w:w="1540" w:type="dxa"/>
            <w:vAlign w:val="bottom"/>
          </w:tcPr>
          <w:p w:rsidR="00FE77F3" w:rsidRDefault="00E3448D">
            <w:pPr>
              <w:ind w:left="120"/>
              <w:rPr>
                <w:sz w:val="20"/>
                <w:szCs w:val="20"/>
              </w:rPr>
            </w:pPr>
            <w:r>
              <w:rPr>
                <w:rFonts w:eastAsia="Times New Roman"/>
                <w:sz w:val="16"/>
                <w:szCs w:val="16"/>
              </w:rPr>
              <w:t>.28 (.12/.64)**</w:t>
            </w:r>
          </w:p>
        </w:tc>
        <w:tc>
          <w:tcPr>
            <w:tcW w:w="580" w:type="dxa"/>
            <w:vAlign w:val="bottom"/>
          </w:tcPr>
          <w:p w:rsidR="00FE77F3" w:rsidRDefault="00FE77F3">
            <w:pPr>
              <w:rPr>
                <w:sz w:val="24"/>
                <w:szCs w:val="24"/>
              </w:rPr>
            </w:pPr>
          </w:p>
        </w:tc>
        <w:tc>
          <w:tcPr>
            <w:tcW w:w="200" w:type="dxa"/>
            <w:vAlign w:val="bottom"/>
          </w:tcPr>
          <w:p w:rsidR="00FE77F3" w:rsidRDefault="00E3448D">
            <w:pPr>
              <w:rPr>
                <w:sz w:val="20"/>
                <w:szCs w:val="20"/>
              </w:rPr>
            </w:pPr>
            <w:r>
              <w:rPr>
                <w:rFonts w:eastAsia="Times New Roman"/>
                <w:w w:val="89"/>
                <w:sz w:val="16"/>
                <w:szCs w:val="16"/>
              </w:rPr>
              <w:t>.57</w:t>
            </w:r>
          </w:p>
        </w:tc>
        <w:tc>
          <w:tcPr>
            <w:tcW w:w="2000" w:type="dxa"/>
            <w:gridSpan w:val="2"/>
            <w:vAlign w:val="bottom"/>
          </w:tcPr>
          <w:p w:rsidR="00FE77F3" w:rsidRDefault="00E3448D">
            <w:pPr>
              <w:ind w:left="360"/>
              <w:rPr>
                <w:sz w:val="20"/>
                <w:szCs w:val="20"/>
              </w:rPr>
            </w:pPr>
            <w:r>
              <w:rPr>
                <w:rFonts w:eastAsia="Times New Roman"/>
                <w:sz w:val="16"/>
                <w:szCs w:val="16"/>
              </w:rPr>
              <w:t>3.75 (1.22/11.48)*</w:t>
            </w:r>
          </w:p>
        </w:tc>
      </w:tr>
      <w:tr w:rsidR="00FE77F3">
        <w:trPr>
          <w:trHeight w:val="542"/>
        </w:trPr>
        <w:tc>
          <w:tcPr>
            <w:tcW w:w="1680" w:type="dxa"/>
            <w:gridSpan w:val="2"/>
            <w:vAlign w:val="bottom"/>
          </w:tcPr>
          <w:p w:rsidR="00FE77F3" w:rsidRDefault="00E3448D">
            <w:pPr>
              <w:ind w:left="120"/>
              <w:rPr>
                <w:sz w:val="20"/>
                <w:szCs w:val="20"/>
              </w:rPr>
            </w:pPr>
            <w:r>
              <w:rPr>
                <w:rFonts w:eastAsia="Times New Roman"/>
                <w:sz w:val="16"/>
                <w:szCs w:val="16"/>
              </w:rPr>
              <w:t>2-1</w:t>
            </w:r>
          </w:p>
        </w:tc>
        <w:tc>
          <w:tcPr>
            <w:tcW w:w="420" w:type="dxa"/>
            <w:vAlign w:val="bottom"/>
          </w:tcPr>
          <w:p w:rsidR="00FE77F3" w:rsidRDefault="00E3448D">
            <w:pPr>
              <w:ind w:left="100"/>
              <w:rPr>
                <w:sz w:val="20"/>
                <w:szCs w:val="20"/>
              </w:rPr>
            </w:pPr>
            <w:r>
              <w:rPr>
                <w:rFonts w:eastAsia="Times New Roman"/>
                <w:sz w:val="16"/>
                <w:szCs w:val="16"/>
              </w:rPr>
              <w:t>.35</w:t>
            </w:r>
          </w:p>
        </w:tc>
        <w:tc>
          <w:tcPr>
            <w:tcW w:w="1740" w:type="dxa"/>
            <w:vAlign w:val="bottom"/>
          </w:tcPr>
          <w:p w:rsidR="00FE77F3" w:rsidRDefault="00E3448D">
            <w:pPr>
              <w:ind w:left="140"/>
              <w:rPr>
                <w:sz w:val="20"/>
                <w:szCs w:val="20"/>
              </w:rPr>
            </w:pPr>
            <w:r>
              <w:rPr>
                <w:rFonts w:eastAsia="Times New Roman"/>
                <w:sz w:val="16"/>
                <w:szCs w:val="16"/>
              </w:rPr>
              <w:t>.99 (.5/1.95)</w:t>
            </w:r>
          </w:p>
        </w:tc>
        <w:tc>
          <w:tcPr>
            <w:tcW w:w="880" w:type="dxa"/>
            <w:gridSpan w:val="2"/>
            <w:vAlign w:val="bottom"/>
          </w:tcPr>
          <w:p w:rsidR="00FE77F3" w:rsidRDefault="00E3448D">
            <w:pPr>
              <w:ind w:left="540"/>
              <w:rPr>
                <w:sz w:val="20"/>
                <w:szCs w:val="20"/>
              </w:rPr>
            </w:pPr>
            <w:r>
              <w:rPr>
                <w:rFonts w:eastAsia="Times New Roman"/>
                <w:sz w:val="16"/>
                <w:szCs w:val="16"/>
              </w:rPr>
              <w:t>.45</w:t>
            </w:r>
          </w:p>
        </w:tc>
        <w:tc>
          <w:tcPr>
            <w:tcW w:w="1540" w:type="dxa"/>
            <w:vAlign w:val="bottom"/>
          </w:tcPr>
          <w:p w:rsidR="00FE77F3" w:rsidRDefault="00E3448D">
            <w:pPr>
              <w:ind w:left="120"/>
              <w:rPr>
                <w:sz w:val="20"/>
                <w:szCs w:val="20"/>
              </w:rPr>
            </w:pPr>
            <w:r>
              <w:rPr>
                <w:rFonts w:eastAsia="Times New Roman"/>
                <w:sz w:val="16"/>
                <w:szCs w:val="16"/>
              </w:rPr>
              <w:t>.95 (.39/2.3)</w:t>
            </w:r>
          </w:p>
        </w:tc>
        <w:tc>
          <w:tcPr>
            <w:tcW w:w="580" w:type="dxa"/>
            <w:vAlign w:val="bottom"/>
          </w:tcPr>
          <w:p w:rsidR="00FE77F3" w:rsidRDefault="00FE77F3">
            <w:pPr>
              <w:rPr>
                <w:sz w:val="24"/>
                <w:szCs w:val="24"/>
              </w:rPr>
            </w:pPr>
          </w:p>
        </w:tc>
        <w:tc>
          <w:tcPr>
            <w:tcW w:w="200" w:type="dxa"/>
            <w:vAlign w:val="bottom"/>
          </w:tcPr>
          <w:p w:rsidR="00FE77F3" w:rsidRDefault="00E3448D">
            <w:pPr>
              <w:rPr>
                <w:sz w:val="20"/>
                <w:szCs w:val="20"/>
              </w:rPr>
            </w:pPr>
            <w:r>
              <w:rPr>
                <w:rFonts w:eastAsia="Times New Roman"/>
                <w:w w:val="89"/>
                <w:sz w:val="16"/>
                <w:szCs w:val="16"/>
              </w:rPr>
              <w:t>.24</w:t>
            </w:r>
          </w:p>
        </w:tc>
        <w:tc>
          <w:tcPr>
            <w:tcW w:w="1500" w:type="dxa"/>
            <w:vAlign w:val="bottom"/>
          </w:tcPr>
          <w:p w:rsidR="00FE77F3" w:rsidRDefault="00E3448D">
            <w:pPr>
              <w:ind w:left="360"/>
              <w:rPr>
                <w:sz w:val="20"/>
                <w:szCs w:val="20"/>
              </w:rPr>
            </w:pPr>
            <w:r>
              <w:rPr>
                <w:rFonts w:eastAsia="Times New Roman"/>
                <w:sz w:val="16"/>
                <w:szCs w:val="16"/>
              </w:rPr>
              <w:t>1 (.63/1.6)</w:t>
            </w:r>
          </w:p>
        </w:tc>
        <w:tc>
          <w:tcPr>
            <w:tcW w:w="500" w:type="dxa"/>
            <w:vAlign w:val="bottom"/>
          </w:tcPr>
          <w:p w:rsidR="00FE77F3" w:rsidRDefault="00FE77F3">
            <w:pPr>
              <w:rPr>
                <w:sz w:val="24"/>
                <w:szCs w:val="24"/>
              </w:rPr>
            </w:pPr>
          </w:p>
        </w:tc>
      </w:tr>
      <w:tr w:rsidR="00FE77F3">
        <w:trPr>
          <w:trHeight w:val="542"/>
        </w:trPr>
        <w:tc>
          <w:tcPr>
            <w:tcW w:w="1680" w:type="dxa"/>
            <w:gridSpan w:val="2"/>
            <w:vAlign w:val="bottom"/>
          </w:tcPr>
          <w:p w:rsidR="00FE77F3" w:rsidRDefault="00E3448D">
            <w:pPr>
              <w:ind w:left="120"/>
              <w:rPr>
                <w:sz w:val="20"/>
                <w:szCs w:val="20"/>
              </w:rPr>
            </w:pPr>
            <w:r>
              <w:rPr>
                <w:rFonts w:eastAsia="Times New Roman"/>
                <w:sz w:val="16"/>
                <w:szCs w:val="16"/>
              </w:rPr>
              <w:t>5-1</w:t>
            </w:r>
          </w:p>
        </w:tc>
        <w:tc>
          <w:tcPr>
            <w:tcW w:w="420" w:type="dxa"/>
            <w:vAlign w:val="bottom"/>
          </w:tcPr>
          <w:p w:rsidR="00FE77F3" w:rsidRDefault="00E3448D">
            <w:pPr>
              <w:ind w:left="100"/>
              <w:rPr>
                <w:sz w:val="20"/>
                <w:szCs w:val="20"/>
              </w:rPr>
            </w:pPr>
            <w:r>
              <w:rPr>
                <w:rFonts w:eastAsia="Times New Roman"/>
                <w:sz w:val="16"/>
                <w:szCs w:val="16"/>
              </w:rPr>
              <w:t>.25</w:t>
            </w:r>
          </w:p>
        </w:tc>
        <w:tc>
          <w:tcPr>
            <w:tcW w:w="1740" w:type="dxa"/>
            <w:vAlign w:val="bottom"/>
          </w:tcPr>
          <w:p w:rsidR="00FE77F3" w:rsidRDefault="00E3448D">
            <w:pPr>
              <w:ind w:left="140"/>
              <w:rPr>
                <w:sz w:val="20"/>
                <w:szCs w:val="20"/>
              </w:rPr>
            </w:pPr>
            <w:r>
              <w:rPr>
                <w:rFonts w:eastAsia="Times New Roman"/>
                <w:sz w:val="16"/>
                <w:szCs w:val="16"/>
              </w:rPr>
              <w:t>1 (.62/1.62)</w:t>
            </w:r>
          </w:p>
        </w:tc>
        <w:tc>
          <w:tcPr>
            <w:tcW w:w="880" w:type="dxa"/>
            <w:gridSpan w:val="2"/>
            <w:vAlign w:val="bottom"/>
          </w:tcPr>
          <w:p w:rsidR="00FE77F3" w:rsidRDefault="00E3448D">
            <w:pPr>
              <w:ind w:left="540"/>
              <w:rPr>
                <w:sz w:val="20"/>
                <w:szCs w:val="20"/>
              </w:rPr>
            </w:pPr>
            <w:r>
              <w:rPr>
                <w:rFonts w:eastAsia="Times New Roman"/>
                <w:sz w:val="16"/>
                <w:szCs w:val="16"/>
              </w:rPr>
              <w:t>.32</w:t>
            </w:r>
          </w:p>
        </w:tc>
        <w:tc>
          <w:tcPr>
            <w:tcW w:w="1540" w:type="dxa"/>
            <w:vAlign w:val="bottom"/>
          </w:tcPr>
          <w:p w:rsidR="00FE77F3" w:rsidRDefault="00E3448D">
            <w:pPr>
              <w:ind w:left="120"/>
              <w:rPr>
                <w:sz w:val="20"/>
                <w:szCs w:val="20"/>
              </w:rPr>
            </w:pPr>
            <w:r>
              <w:rPr>
                <w:rFonts w:eastAsia="Times New Roman"/>
                <w:sz w:val="16"/>
                <w:szCs w:val="16"/>
              </w:rPr>
              <w:t>.88 (.47/1.64)</w:t>
            </w:r>
          </w:p>
        </w:tc>
        <w:tc>
          <w:tcPr>
            <w:tcW w:w="580" w:type="dxa"/>
            <w:vAlign w:val="bottom"/>
          </w:tcPr>
          <w:p w:rsidR="00FE77F3" w:rsidRDefault="00FE77F3">
            <w:pPr>
              <w:rPr>
                <w:sz w:val="24"/>
                <w:szCs w:val="24"/>
              </w:rPr>
            </w:pPr>
          </w:p>
        </w:tc>
        <w:tc>
          <w:tcPr>
            <w:tcW w:w="200" w:type="dxa"/>
            <w:vAlign w:val="bottom"/>
          </w:tcPr>
          <w:p w:rsidR="00FE77F3" w:rsidRDefault="00E3448D">
            <w:pPr>
              <w:rPr>
                <w:sz w:val="20"/>
                <w:szCs w:val="20"/>
              </w:rPr>
            </w:pPr>
            <w:r>
              <w:rPr>
                <w:rFonts w:eastAsia="Times New Roman"/>
                <w:w w:val="89"/>
                <w:sz w:val="16"/>
                <w:szCs w:val="16"/>
              </w:rPr>
              <w:t>.31</w:t>
            </w:r>
          </w:p>
        </w:tc>
        <w:tc>
          <w:tcPr>
            <w:tcW w:w="1500" w:type="dxa"/>
            <w:vAlign w:val="bottom"/>
          </w:tcPr>
          <w:p w:rsidR="00FE77F3" w:rsidRDefault="00E3448D">
            <w:pPr>
              <w:ind w:left="360"/>
              <w:rPr>
                <w:sz w:val="20"/>
                <w:szCs w:val="20"/>
              </w:rPr>
            </w:pPr>
            <w:r>
              <w:rPr>
                <w:rFonts w:eastAsia="Times New Roman"/>
                <w:sz w:val="16"/>
                <w:szCs w:val="16"/>
              </w:rPr>
              <w:t>.88 (.49/1.6)</w:t>
            </w:r>
          </w:p>
        </w:tc>
        <w:tc>
          <w:tcPr>
            <w:tcW w:w="500" w:type="dxa"/>
            <w:vAlign w:val="bottom"/>
          </w:tcPr>
          <w:p w:rsidR="00FE77F3" w:rsidRDefault="00FE77F3">
            <w:pPr>
              <w:rPr>
                <w:sz w:val="24"/>
                <w:szCs w:val="24"/>
              </w:rPr>
            </w:pPr>
          </w:p>
        </w:tc>
      </w:tr>
      <w:tr w:rsidR="00FE77F3">
        <w:trPr>
          <w:trHeight w:val="355"/>
        </w:trPr>
        <w:tc>
          <w:tcPr>
            <w:tcW w:w="6840" w:type="dxa"/>
            <w:gridSpan w:val="8"/>
            <w:tcBorders>
              <w:bottom w:val="single" w:sz="8" w:space="0" w:color="auto"/>
            </w:tcBorders>
            <w:vAlign w:val="bottom"/>
          </w:tcPr>
          <w:p w:rsidR="00FE77F3" w:rsidRDefault="00FE77F3">
            <w:pPr>
              <w:rPr>
                <w:sz w:val="24"/>
                <w:szCs w:val="24"/>
              </w:rPr>
            </w:pPr>
          </w:p>
        </w:tc>
        <w:tc>
          <w:tcPr>
            <w:tcW w:w="200" w:type="dxa"/>
            <w:tcBorders>
              <w:bottom w:val="single" w:sz="8" w:space="0" w:color="auto"/>
            </w:tcBorders>
            <w:vAlign w:val="bottom"/>
          </w:tcPr>
          <w:p w:rsidR="00FE77F3" w:rsidRDefault="00FE77F3">
            <w:pPr>
              <w:rPr>
                <w:sz w:val="24"/>
                <w:szCs w:val="24"/>
              </w:rPr>
            </w:pPr>
          </w:p>
        </w:tc>
        <w:tc>
          <w:tcPr>
            <w:tcW w:w="2000" w:type="dxa"/>
            <w:gridSpan w:val="2"/>
            <w:tcBorders>
              <w:bottom w:val="single" w:sz="8" w:space="0" w:color="auto"/>
            </w:tcBorders>
            <w:vAlign w:val="bottom"/>
          </w:tcPr>
          <w:p w:rsidR="00FE77F3" w:rsidRDefault="00FE77F3">
            <w:pPr>
              <w:rPr>
                <w:sz w:val="24"/>
                <w:szCs w:val="24"/>
              </w:rPr>
            </w:pPr>
          </w:p>
        </w:tc>
      </w:tr>
      <w:tr w:rsidR="00FE77F3">
        <w:trPr>
          <w:trHeight w:val="168"/>
        </w:trPr>
        <w:tc>
          <w:tcPr>
            <w:tcW w:w="6840" w:type="dxa"/>
            <w:gridSpan w:val="8"/>
            <w:vAlign w:val="bottom"/>
          </w:tcPr>
          <w:p w:rsidR="00FE77F3" w:rsidRDefault="00E3448D">
            <w:pPr>
              <w:spacing w:line="168" w:lineRule="exact"/>
              <w:ind w:left="20"/>
              <w:rPr>
                <w:sz w:val="20"/>
                <w:szCs w:val="20"/>
              </w:rPr>
            </w:pPr>
            <w:r>
              <w:rPr>
                <w:rFonts w:eastAsia="Times New Roman"/>
                <w:i/>
                <w:iCs/>
                <w:w w:val="99"/>
                <w:sz w:val="16"/>
                <w:szCs w:val="16"/>
              </w:rPr>
              <w:t xml:space="preserve">Note. </w:t>
            </w:r>
            <w:r>
              <w:rPr>
                <w:rFonts w:eastAsia="Times New Roman"/>
                <w:w w:val="99"/>
                <w:sz w:val="16"/>
                <w:szCs w:val="16"/>
              </w:rPr>
              <w:t>a= Reference group: ‘incorrect response’ (</w:t>
            </w:r>
            <w:r>
              <w:rPr>
                <w:rFonts w:eastAsia="Times New Roman"/>
                <w:i/>
                <w:iCs/>
                <w:w w:val="99"/>
                <w:sz w:val="16"/>
                <w:szCs w:val="16"/>
              </w:rPr>
              <w:t>N</w:t>
            </w:r>
            <w:r>
              <w:rPr>
                <w:rFonts w:eastAsia="Times New Roman"/>
                <w:w w:val="99"/>
                <w:sz w:val="16"/>
                <w:szCs w:val="16"/>
              </w:rPr>
              <w:t>=279); b= Reference group: ‘correct response’ (</w:t>
            </w:r>
            <w:r>
              <w:rPr>
                <w:rFonts w:eastAsia="Times New Roman"/>
                <w:i/>
                <w:iCs/>
                <w:w w:val="99"/>
                <w:sz w:val="16"/>
                <w:szCs w:val="16"/>
              </w:rPr>
              <w:t>N</w:t>
            </w:r>
            <w:r>
              <w:rPr>
                <w:rFonts w:eastAsia="Times New Roman"/>
                <w:w w:val="99"/>
                <w:sz w:val="16"/>
                <w:szCs w:val="16"/>
              </w:rPr>
              <w:t>=223).</w:t>
            </w:r>
          </w:p>
        </w:tc>
        <w:tc>
          <w:tcPr>
            <w:tcW w:w="200" w:type="dxa"/>
            <w:vAlign w:val="bottom"/>
          </w:tcPr>
          <w:p w:rsidR="00FE77F3" w:rsidRDefault="00FE77F3">
            <w:pPr>
              <w:rPr>
                <w:sz w:val="14"/>
                <w:szCs w:val="14"/>
              </w:rPr>
            </w:pPr>
          </w:p>
        </w:tc>
        <w:tc>
          <w:tcPr>
            <w:tcW w:w="2000" w:type="dxa"/>
            <w:gridSpan w:val="2"/>
            <w:vAlign w:val="bottom"/>
          </w:tcPr>
          <w:p w:rsidR="00FE77F3" w:rsidRDefault="00E3448D">
            <w:pPr>
              <w:spacing w:line="168" w:lineRule="exact"/>
              <w:ind w:left="20"/>
              <w:rPr>
                <w:sz w:val="20"/>
                <w:szCs w:val="20"/>
              </w:rPr>
            </w:pPr>
            <w:r>
              <w:rPr>
                <w:rFonts w:eastAsia="Times New Roman"/>
                <w:i/>
                <w:iCs/>
                <w:sz w:val="16"/>
                <w:szCs w:val="16"/>
              </w:rPr>
              <w:t xml:space="preserve">OR </w:t>
            </w:r>
            <w:r>
              <w:rPr>
                <w:rFonts w:eastAsia="Times New Roman"/>
                <w:sz w:val="16"/>
                <w:szCs w:val="16"/>
              </w:rPr>
              <w:t>= Odds Ratio.</w:t>
            </w:r>
            <w:r>
              <w:rPr>
                <w:rFonts w:eastAsia="Times New Roman"/>
                <w:i/>
                <w:iCs/>
                <w:sz w:val="16"/>
                <w:szCs w:val="16"/>
              </w:rPr>
              <w:t xml:space="preserve"> SE </w:t>
            </w:r>
            <w:r>
              <w:rPr>
                <w:rFonts w:eastAsia="Times New Roman"/>
                <w:sz w:val="16"/>
                <w:szCs w:val="16"/>
              </w:rPr>
              <w:t>=</w:t>
            </w:r>
          </w:p>
        </w:tc>
      </w:tr>
      <w:tr w:rsidR="00FE77F3">
        <w:trPr>
          <w:trHeight w:val="365"/>
        </w:trPr>
        <w:tc>
          <w:tcPr>
            <w:tcW w:w="6840" w:type="dxa"/>
            <w:gridSpan w:val="8"/>
            <w:vAlign w:val="bottom"/>
          </w:tcPr>
          <w:p w:rsidR="00FE77F3" w:rsidRDefault="00E3448D">
            <w:pPr>
              <w:ind w:right="1560"/>
              <w:jc w:val="center"/>
              <w:rPr>
                <w:sz w:val="20"/>
                <w:szCs w:val="20"/>
              </w:rPr>
            </w:pPr>
            <w:r>
              <w:rPr>
                <w:rFonts w:eastAsia="Times New Roman"/>
                <w:sz w:val="16"/>
                <w:szCs w:val="16"/>
              </w:rPr>
              <w:t xml:space="preserve">Standard Error. </w:t>
            </w:r>
            <w:r>
              <w:rPr>
                <w:rFonts w:eastAsia="Times New Roman"/>
                <w:i/>
                <w:iCs/>
                <w:sz w:val="16"/>
                <w:szCs w:val="16"/>
              </w:rPr>
              <w:t>95% CI</w:t>
            </w:r>
            <w:r>
              <w:rPr>
                <w:rFonts w:eastAsia="Times New Roman"/>
                <w:sz w:val="16"/>
                <w:szCs w:val="16"/>
              </w:rPr>
              <w:t xml:space="preserve"> = Confidence Interval. * </w:t>
            </w:r>
            <w:r>
              <w:rPr>
                <w:rFonts w:eastAsia="Times New Roman"/>
                <w:i/>
                <w:iCs/>
                <w:sz w:val="16"/>
                <w:szCs w:val="16"/>
              </w:rPr>
              <w:t>p</w:t>
            </w:r>
            <w:r>
              <w:rPr>
                <w:rFonts w:eastAsia="Times New Roman"/>
                <w:sz w:val="16"/>
                <w:szCs w:val="16"/>
              </w:rPr>
              <w:t xml:space="preserve">&lt;.05. ** </w:t>
            </w:r>
            <w:r>
              <w:rPr>
                <w:rFonts w:eastAsia="Times New Roman"/>
                <w:i/>
                <w:iCs/>
                <w:sz w:val="16"/>
                <w:szCs w:val="16"/>
              </w:rPr>
              <w:t>p</w:t>
            </w:r>
            <w:r>
              <w:rPr>
                <w:rFonts w:eastAsia="Times New Roman"/>
                <w:sz w:val="16"/>
                <w:szCs w:val="16"/>
              </w:rPr>
              <w:t xml:space="preserve">&lt;0.005. *** </w:t>
            </w:r>
            <w:r>
              <w:rPr>
                <w:rFonts w:eastAsia="Times New Roman"/>
                <w:i/>
                <w:iCs/>
                <w:sz w:val="16"/>
                <w:szCs w:val="16"/>
              </w:rPr>
              <w:t>p</w:t>
            </w:r>
            <w:r>
              <w:rPr>
                <w:rFonts w:eastAsia="Times New Roman"/>
                <w:sz w:val="16"/>
                <w:szCs w:val="16"/>
              </w:rPr>
              <w:t>&lt;0.001</w:t>
            </w:r>
          </w:p>
        </w:tc>
        <w:tc>
          <w:tcPr>
            <w:tcW w:w="200" w:type="dxa"/>
            <w:vAlign w:val="bottom"/>
          </w:tcPr>
          <w:p w:rsidR="00FE77F3" w:rsidRDefault="00FE77F3">
            <w:pPr>
              <w:rPr>
                <w:sz w:val="24"/>
                <w:szCs w:val="24"/>
              </w:rPr>
            </w:pPr>
          </w:p>
        </w:tc>
        <w:tc>
          <w:tcPr>
            <w:tcW w:w="1500" w:type="dxa"/>
            <w:vAlign w:val="bottom"/>
          </w:tcPr>
          <w:p w:rsidR="00FE77F3" w:rsidRDefault="00FE77F3">
            <w:pPr>
              <w:rPr>
                <w:sz w:val="24"/>
                <w:szCs w:val="24"/>
              </w:rPr>
            </w:pPr>
          </w:p>
        </w:tc>
        <w:tc>
          <w:tcPr>
            <w:tcW w:w="500" w:type="dxa"/>
            <w:vAlign w:val="bottom"/>
          </w:tcPr>
          <w:p w:rsidR="00FE77F3" w:rsidRDefault="00FE77F3">
            <w:pPr>
              <w:rPr>
                <w:sz w:val="24"/>
                <w:szCs w:val="24"/>
              </w:rPr>
            </w:pPr>
          </w:p>
        </w:tc>
      </w:tr>
    </w:tbl>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79" w:lineRule="exact"/>
        <w:rPr>
          <w:sz w:val="20"/>
          <w:szCs w:val="20"/>
        </w:rPr>
      </w:pPr>
    </w:p>
    <w:p w:rsidR="00FE77F3" w:rsidRDefault="00E3448D">
      <w:pPr>
        <w:jc w:val="right"/>
        <w:rPr>
          <w:sz w:val="20"/>
          <w:szCs w:val="20"/>
        </w:rPr>
      </w:pPr>
      <w:r>
        <w:rPr>
          <w:rFonts w:ascii="Calibri" w:eastAsia="Calibri" w:hAnsi="Calibri" w:cs="Calibri"/>
        </w:rPr>
        <w:t>19</w:t>
      </w:r>
    </w:p>
    <w:p w:rsidR="00FE77F3" w:rsidRDefault="00FE77F3">
      <w:pPr>
        <w:sectPr w:rsidR="00FE77F3">
          <w:pgSz w:w="11900" w:h="16838"/>
          <w:pgMar w:top="699" w:right="1426" w:bottom="419" w:left="1420" w:header="0" w:footer="0" w:gutter="0"/>
          <w:cols w:space="720" w:equalWidth="0">
            <w:col w:w="9060"/>
          </w:cols>
        </w:sectPr>
      </w:pPr>
    </w:p>
    <w:p w:rsidR="00FE77F3" w:rsidRDefault="00E3448D">
      <w:pPr>
        <w:rPr>
          <w:sz w:val="20"/>
          <w:szCs w:val="20"/>
        </w:rPr>
      </w:pPr>
      <w:bookmarkStart w:id="20" w:name="page21"/>
      <w:bookmarkEnd w:id="20"/>
      <w:r>
        <w:rPr>
          <w:rFonts w:ascii="Calibri" w:eastAsia="Calibri" w:hAnsi="Calibri" w:cs="Calibri"/>
        </w:rPr>
        <w:lastRenderedPageBreak/>
        <w:t>Group Size and Co-Witness Influence</w:t>
      </w:r>
    </w:p>
    <w:p w:rsidR="00FE77F3" w:rsidRDefault="00E3448D">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-120015</wp:posOffset>
            </wp:positionH>
            <wp:positionV relativeFrom="paragraph">
              <wp:posOffset>566420</wp:posOffset>
            </wp:positionV>
            <wp:extent cx="5972810" cy="47821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blip>
                    <a:srcRect/>
                    <a:stretch>
                      <a:fillRect/>
                    </a:stretch>
                  </pic:blipFill>
                  <pic:spPr bwMode="auto">
                    <a:xfrm>
                      <a:off x="0" y="0"/>
                      <a:ext cx="5972810" cy="4782185"/>
                    </a:xfrm>
                    <a:prstGeom prst="rect">
                      <a:avLst/>
                    </a:prstGeom>
                    <a:noFill/>
                  </pic:spPr>
                </pic:pic>
              </a:graphicData>
            </a:graphic>
          </wp:anchor>
        </w:drawing>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92" w:lineRule="exact"/>
        <w:rPr>
          <w:sz w:val="20"/>
          <w:szCs w:val="20"/>
        </w:rPr>
      </w:pPr>
    </w:p>
    <w:p w:rsidR="00FE77F3" w:rsidRDefault="00E3448D">
      <w:pPr>
        <w:rPr>
          <w:sz w:val="20"/>
          <w:szCs w:val="20"/>
        </w:rPr>
      </w:pPr>
      <w:r>
        <w:rPr>
          <w:rFonts w:ascii="Calibri" w:eastAsia="Calibri" w:hAnsi="Calibri" w:cs="Calibri"/>
          <w:b/>
          <w:bCs/>
        </w:rPr>
        <w:t>Fig.1. Percentage count of participant responses between confederate sizes (</w:t>
      </w:r>
      <w:r>
        <w:rPr>
          <w:rFonts w:ascii="Calibri" w:eastAsia="Calibri" w:hAnsi="Calibri" w:cs="Calibri"/>
          <w:b/>
          <w:bCs/>
          <w:i/>
          <w:iCs/>
        </w:rPr>
        <w:t>N</w:t>
      </w:r>
      <w:r>
        <w:rPr>
          <w:rFonts w:ascii="Calibri" w:eastAsia="Calibri" w:hAnsi="Calibri" w:cs="Calibri"/>
          <w:b/>
          <w:bCs/>
        </w:rPr>
        <w:t>=608</w:t>
      </w:r>
      <w:r>
        <w:rPr>
          <w:rFonts w:ascii="Calibri" w:eastAsia="Calibri" w:hAnsi="Calibri" w:cs="Calibri"/>
          <w:b/>
          <w:bCs/>
          <w:i/>
          <w:iCs/>
        </w:rPr>
        <w:t>)</w:t>
      </w:r>
      <w:r>
        <w:rPr>
          <w:rFonts w:ascii="Calibri" w:eastAsia="Calibri" w:hAnsi="Calibri" w:cs="Calibri"/>
          <w:b/>
          <w:bCs/>
        </w:rPr>
        <w:t>.</w:t>
      </w:r>
      <w:r>
        <w:rPr>
          <w:rFonts w:ascii="Calibri" w:eastAsia="Calibri" w:hAnsi="Calibri" w:cs="Calibri"/>
          <w:b/>
          <w:bCs/>
          <w:sz w:val="27"/>
          <w:szCs w:val="27"/>
          <w:vertAlign w:val="superscript"/>
        </w:rPr>
        <w:t>1</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70" w:lineRule="exact"/>
        <w:rPr>
          <w:sz w:val="20"/>
          <w:szCs w:val="20"/>
        </w:rPr>
      </w:pPr>
    </w:p>
    <w:p w:rsidR="00FE77F3" w:rsidRDefault="00E3448D">
      <w:pPr>
        <w:spacing w:line="478" w:lineRule="auto"/>
        <w:ind w:right="160" w:firstLine="720"/>
        <w:rPr>
          <w:sz w:val="20"/>
          <w:szCs w:val="20"/>
        </w:rPr>
      </w:pPr>
      <w:r>
        <w:rPr>
          <w:rFonts w:eastAsia="Times New Roman"/>
          <w:sz w:val="24"/>
          <w:szCs w:val="24"/>
        </w:rPr>
        <w:t xml:space="preserve">The percentage of correct, incorrect and uncertain responses (dependent variable) for participants who were exposed to misinformation from two and five confederates (independent variable) were compared to determine whether the change in misinformation size influenced response accuracy. A 2 (two or five confederates) X 3 (correct, incorrect or ‘unsure’ response) chi-square analysis was performed. A weak, significant association was found between the two different groups and eyewitness response accuracy </w:t>
      </w:r>
      <w:r>
        <w:rPr>
          <w:rFonts w:eastAsia="Times New Roman"/>
          <w:i/>
          <w:iCs/>
          <w:sz w:val="24"/>
          <w:szCs w:val="24"/>
        </w:rPr>
        <w:t>χ</w:t>
      </w:r>
      <w:r>
        <w:rPr>
          <w:rFonts w:eastAsia="Times New Roman"/>
          <w:sz w:val="24"/>
          <w:szCs w:val="24"/>
        </w:rPr>
        <w:t xml:space="preserve">2 (2, </w:t>
      </w:r>
      <w:r>
        <w:rPr>
          <w:rFonts w:eastAsia="Times New Roman"/>
          <w:i/>
          <w:iCs/>
          <w:sz w:val="24"/>
          <w:szCs w:val="24"/>
        </w:rPr>
        <w:t>N</w:t>
      </w:r>
      <w:r>
        <w:rPr>
          <w:rFonts w:eastAsia="Times New Roman"/>
          <w:sz w:val="24"/>
          <w:szCs w:val="24"/>
        </w:rPr>
        <w:t xml:space="preserve"> = 170) =</w:t>
      </w:r>
    </w:p>
    <w:p w:rsidR="00FE77F3" w:rsidRDefault="00E3448D">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0</wp:posOffset>
                </wp:positionH>
                <wp:positionV relativeFrom="paragraph">
                  <wp:posOffset>265430</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3C91244" id="Shape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0,20.9pt" to="2in,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" o:allowincell="f" filled="t" strokeweight=".72pt">
                <v:stroke joinstyle="miter"/>
                <o:lock v:ext="edit" shapetype="f"/>
              </v:line>
            </w:pict>
          </mc:Fallback>
        </mc:AlternateContent>
      </w:r>
    </w:p>
    <w:p w:rsidR="00FE77F3" w:rsidRDefault="00FE77F3">
      <w:pPr>
        <w:spacing w:line="200" w:lineRule="exact"/>
        <w:rPr>
          <w:sz w:val="20"/>
          <w:szCs w:val="20"/>
        </w:rPr>
      </w:pPr>
    </w:p>
    <w:p w:rsidR="00FE77F3" w:rsidRDefault="00FE77F3">
      <w:pPr>
        <w:spacing w:line="213" w:lineRule="exact"/>
        <w:rPr>
          <w:sz w:val="20"/>
          <w:szCs w:val="20"/>
        </w:rPr>
      </w:pPr>
    </w:p>
    <w:p w:rsidR="00FE77F3" w:rsidRDefault="00E3448D">
      <w:pPr>
        <w:numPr>
          <w:ilvl w:val="0"/>
          <w:numId w:val="3"/>
        </w:numPr>
        <w:tabs>
          <w:tab w:val="left" w:pos="120"/>
        </w:tabs>
        <w:ind w:left="120" w:hanging="120"/>
        <w:rPr>
          <w:rFonts w:ascii="Calibri" w:eastAsia="Calibri" w:hAnsi="Calibri" w:cs="Calibri"/>
          <w:sz w:val="28"/>
          <w:szCs w:val="28"/>
          <w:vertAlign w:val="superscript"/>
        </w:rPr>
      </w:pPr>
      <w:r>
        <w:rPr>
          <w:rFonts w:ascii="Calibri" w:eastAsia="Calibri" w:hAnsi="Calibri" w:cs="Calibri"/>
          <w:sz w:val="16"/>
          <w:szCs w:val="16"/>
        </w:rPr>
        <w:t>Dotted lines represent extrapolated data as there were no corresponding trials with confederate sizes of three and four</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33" w:lineRule="exact"/>
        <w:rPr>
          <w:sz w:val="20"/>
          <w:szCs w:val="20"/>
        </w:rPr>
      </w:pPr>
    </w:p>
    <w:p w:rsidR="00FE77F3" w:rsidRDefault="00E3448D">
      <w:pPr>
        <w:jc w:val="right"/>
        <w:rPr>
          <w:sz w:val="20"/>
          <w:szCs w:val="20"/>
        </w:rPr>
      </w:pPr>
      <w:r>
        <w:rPr>
          <w:rFonts w:ascii="Calibri" w:eastAsia="Calibri" w:hAnsi="Calibri" w:cs="Calibri"/>
        </w:rPr>
        <w:t>20</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1" w:name="page22"/>
      <w:bookmarkEnd w:id="21"/>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4" w:lineRule="auto"/>
        <w:ind w:right="280"/>
        <w:rPr>
          <w:sz w:val="20"/>
          <w:szCs w:val="20"/>
        </w:rPr>
      </w:pPr>
      <w:r>
        <w:rPr>
          <w:rFonts w:eastAsia="Times New Roman"/>
          <w:sz w:val="24"/>
          <w:szCs w:val="24"/>
        </w:rPr>
        <w:t xml:space="preserve">6.01, </w:t>
      </w:r>
      <w:r>
        <w:rPr>
          <w:rFonts w:eastAsia="Times New Roman"/>
          <w:i/>
          <w:iCs/>
          <w:sz w:val="24"/>
          <w:szCs w:val="24"/>
        </w:rPr>
        <w:t>p</w:t>
      </w:r>
      <w:r>
        <w:rPr>
          <w:rFonts w:eastAsia="Times New Roman"/>
          <w:sz w:val="24"/>
          <w:szCs w:val="24"/>
        </w:rPr>
        <w:t xml:space="preserve"> &lt;.05, </w:t>
      </w:r>
      <w:r>
        <w:rPr>
          <w:rFonts w:eastAsia="Times New Roman"/>
          <w:i/>
          <w:iCs/>
          <w:sz w:val="24"/>
          <w:szCs w:val="24"/>
        </w:rPr>
        <w:t>φc</w:t>
      </w:r>
      <w:r>
        <w:rPr>
          <w:rFonts w:eastAsia="Times New Roman"/>
          <w:sz w:val="24"/>
          <w:szCs w:val="24"/>
        </w:rPr>
        <w:t xml:space="preserve"> = .19. However, an examination of the standardized residuals revealed that the critical values did not correspond to an alpha of 0.05, suggesting that the difference in responses between the conditions was small.</w:t>
      </w:r>
    </w:p>
    <w:p w:rsidR="00FE77F3" w:rsidRDefault="00FE77F3">
      <w:pPr>
        <w:spacing w:line="175" w:lineRule="exact"/>
        <w:rPr>
          <w:sz w:val="20"/>
          <w:szCs w:val="20"/>
        </w:rPr>
      </w:pPr>
    </w:p>
    <w:p w:rsidR="00FE77F3" w:rsidRDefault="00E3448D">
      <w:pPr>
        <w:rPr>
          <w:sz w:val="20"/>
          <w:szCs w:val="20"/>
        </w:rPr>
      </w:pPr>
      <w:r>
        <w:rPr>
          <w:rFonts w:eastAsia="Times New Roman"/>
          <w:b/>
          <w:bCs/>
          <w:i/>
          <w:iCs/>
          <w:sz w:val="24"/>
          <w:szCs w:val="24"/>
        </w:rPr>
        <w:t>The effects of confederate size and unanimity on eyewitness confidence.</w:t>
      </w:r>
    </w:p>
    <w:p w:rsidR="00FE77F3" w:rsidRDefault="00FE77F3">
      <w:pPr>
        <w:spacing w:line="200" w:lineRule="exact"/>
        <w:rPr>
          <w:sz w:val="20"/>
          <w:szCs w:val="20"/>
        </w:rPr>
      </w:pPr>
    </w:p>
    <w:p w:rsidR="00FE77F3" w:rsidRDefault="00FE77F3">
      <w:pPr>
        <w:spacing w:line="242" w:lineRule="exact"/>
        <w:rPr>
          <w:sz w:val="20"/>
          <w:szCs w:val="20"/>
        </w:rPr>
      </w:pPr>
    </w:p>
    <w:p w:rsidR="00FE77F3" w:rsidRDefault="00E3448D">
      <w:pPr>
        <w:spacing w:line="478" w:lineRule="auto"/>
        <w:ind w:right="40" w:firstLine="720"/>
        <w:rPr>
          <w:sz w:val="20"/>
          <w:szCs w:val="20"/>
        </w:rPr>
      </w:pPr>
      <w:r>
        <w:rPr>
          <w:rFonts w:eastAsia="Times New Roman"/>
          <w:sz w:val="24"/>
          <w:szCs w:val="24"/>
        </w:rPr>
        <w:t xml:space="preserve">The confidence judgements of participants who answered correctly and incorrectly were analysed in order to determine whether the group condition influenced the level of confidence that participants placed in their responses. A two-way between groups analysis of variance was conducted to explore the impact of group condition (6) and the participant’s response (2) on their confidence. The interaction between group conditions and response accuracy was not found to be statistically significant; </w:t>
      </w:r>
      <w:r>
        <w:rPr>
          <w:rFonts w:eastAsia="Times New Roman"/>
          <w:i/>
          <w:iCs/>
          <w:sz w:val="24"/>
          <w:szCs w:val="24"/>
        </w:rPr>
        <w:t>F</w:t>
      </w:r>
      <w:r>
        <w:rPr>
          <w:rFonts w:eastAsia="Times New Roman"/>
          <w:sz w:val="24"/>
          <w:szCs w:val="24"/>
        </w:rPr>
        <w:t xml:space="preserve"> (5, 490) = 1.14, </w:t>
      </w:r>
      <w:r>
        <w:rPr>
          <w:rFonts w:eastAsia="Times New Roman"/>
          <w:i/>
          <w:iCs/>
          <w:sz w:val="24"/>
          <w:szCs w:val="24"/>
        </w:rPr>
        <w:t>p</w:t>
      </w:r>
      <w:r>
        <w:rPr>
          <w:rFonts w:eastAsia="Times New Roman"/>
          <w:sz w:val="24"/>
          <w:szCs w:val="24"/>
        </w:rPr>
        <w:t xml:space="preserve"> &gt; .05. There was no statistically significant main effect for group condition; </w:t>
      </w:r>
      <w:r>
        <w:rPr>
          <w:rFonts w:eastAsia="Times New Roman"/>
          <w:i/>
          <w:iCs/>
          <w:sz w:val="24"/>
          <w:szCs w:val="24"/>
        </w:rPr>
        <w:t>F</w:t>
      </w:r>
      <w:r>
        <w:rPr>
          <w:rFonts w:eastAsia="Times New Roman"/>
          <w:sz w:val="24"/>
          <w:szCs w:val="24"/>
        </w:rPr>
        <w:t xml:space="preserve"> (5, 490) = 1.04, </w:t>
      </w:r>
      <w:r>
        <w:rPr>
          <w:rFonts w:eastAsia="Times New Roman"/>
          <w:i/>
          <w:iCs/>
          <w:sz w:val="24"/>
          <w:szCs w:val="24"/>
        </w:rPr>
        <w:t>p</w:t>
      </w:r>
      <w:r>
        <w:rPr>
          <w:rFonts w:eastAsia="Times New Roman"/>
          <w:sz w:val="24"/>
          <w:szCs w:val="24"/>
        </w:rPr>
        <w:t xml:space="preserve"> &gt; .05. The main effect for participant response did not reach statistical significance; </w:t>
      </w:r>
      <w:r>
        <w:rPr>
          <w:rFonts w:eastAsia="Times New Roman"/>
          <w:i/>
          <w:iCs/>
          <w:sz w:val="24"/>
          <w:szCs w:val="24"/>
        </w:rPr>
        <w:t>F</w:t>
      </w:r>
      <w:r>
        <w:rPr>
          <w:rFonts w:eastAsia="Times New Roman"/>
          <w:sz w:val="24"/>
          <w:szCs w:val="24"/>
        </w:rPr>
        <w:t xml:space="preserve"> (1, 490) = 1.09</w:t>
      </w:r>
      <w:r>
        <w:rPr>
          <w:rFonts w:eastAsia="Times New Roman"/>
          <w:i/>
          <w:iCs/>
          <w:sz w:val="24"/>
          <w:szCs w:val="24"/>
        </w:rPr>
        <w:t>, p</w:t>
      </w:r>
      <w:r>
        <w:rPr>
          <w:rFonts w:eastAsia="Times New Roman"/>
          <w:sz w:val="24"/>
          <w:szCs w:val="24"/>
        </w:rPr>
        <w:t xml:space="preserve"> &gt; .05. The results therefore suggest that neither the group condition nor response had any mediating effects on the level of confidence participants placed in their responses.</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88" w:lineRule="exact"/>
        <w:rPr>
          <w:sz w:val="20"/>
          <w:szCs w:val="20"/>
        </w:rPr>
      </w:pPr>
    </w:p>
    <w:p w:rsidR="00FE77F3" w:rsidRDefault="00E3448D">
      <w:pPr>
        <w:rPr>
          <w:sz w:val="20"/>
          <w:szCs w:val="20"/>
        </w:rPr>
      </w:pPr>
      <w:r>
        <w:rPr>
          <w:rFonts w:eastAsia="Times New Roman"/>
          <w:b/>
          <w:bCs/>
          <w:sz w:val="24"/>
          <w:szCs w:val="24"/>
        </w:rPr>
        <w:t>Discussion</w:t>
      </w:r>
    </w:p>
    <w:p w:rsidR="00FE77F3" w:rsidRDefault="00FE77F3">
      <w:pPr>
        <w:spacing w:line="200" w:lineRule="exact"/>
        <w:rPr>
          <w:sz w:val="20"/>
          <w:szCs w:val="20"/>
        </w:rPr>
      </w:pPr>
    </w:p>
    <w:p w:rsidR="00FE77F3" w:rsidRDefault="00FE77F3">
      <w:pPr>
        <w:spacing w:line="244" w:lineRule="exact"/>
        <w:rPr>
          <w:sz w:val="20"/>
          <w:szCs w:val="20"/>
        </w:rPr>
      </w:pPr>
    </w:p>
    <w:p w:rsidR="00FE77F3" w:rsidRDefault="00E3448D">
      <w:pPr>
        <w:spacing w:line="478" w:lineRule="auto"/>
        <w:ind w:right="180" w:firstLine="720"/>
        <w:rPr>
          <w:sz w:val="20"/>
          <w:szCs w:val="20"/>
        </w:rPr>
      </w:pPr>
      <w:r>
        <w:rPr>
          <w:rFonts w:eastAsia="Times New Roman"/>
          <w:sz w:val="24"/>
          <w:szCs w:val="24"/>
        </w:rPr>
        <w:t>The primary aim of the present research was to identify if the risk of co-witness influence on blame attribution was significantly mediated by majority size and group unanimity. Although the study was not the first to examine the effects of group processes on memory recall (Thorley &amp; Dewhurst, 2007; Walther et al., 2002), very little research had attempted to measure this relationship within a forensic setting. Moreover, the study sought to determine whether the risks of blame conformity were dependent on the misinformation size and majority consensus, an un-researched area within the eyewitness literature.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64" w:lineRule="exact"/>
        <w:rPr>
          <w:sz w:val="20"/>
          <w:szCs w:val="20"/>
        </w:rPr>
      </w:pPr>
    </w:p>
    <w:p w:rsidR="00FE77F3" w:rsidRDefault="00E3448D">
      <w:pPr>
        <w:jc w:val="right"/>
        <w:rPr>
          <w:sz w:val="20"/>
          <w:szCs w:val="20"/>
        </w:rPr>
      </w:pPr>
      <w:r>
        <w:rPr>
          <w:rFonts w:ascii="Calibri" w:eastAsia="Calibri" w:hAnsi="Calibri" w:cs="Calibri"/>
        </w:rPr>
        <w:t>21</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2" w:name="page23"/>
      <w:bookmarkEnd w:id="22"/>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500" w:lineRule="auto"/>
        <w:ind w:right="80" w:firstLine="720"/>
        <w:rPr>
          <w:sz w:val="20"/>
          <w:szCs w:val="20"/>
        </w:rPr>
      </w:pPr>
      <w:r>
        <w:rPr>
          <w:rFonts w:eastAsia="Times New Roman"/>
          <w:sz w:val="23"/>
          <w:szCs w:val="23"/>
        </w:rPr>
        <w:t>Previous research on social influence indicated that participants would be significantly more vulnerable to being influenced by a majority size of three or more than by a single individual (Asch, 1955; Bond, 2005; Campbell &amp; Fairey, 1989; Gardikiotis, et al., 2005; Gerard et al., 1968; Mannes, 2009; Rosenberg, 1961; Stang, 1976), suggesting a positive relationship between majority size and social influence. In relation to memory recall, Walther et al. (2002) found that a majority size of five was as influential as a majority size of ten, when the task was ambiguous. Findings suggested that the relationship between majority size and co-witness influence would plateau after a majority size of five was reached. Based on these findings, it was hypothesised in the present study that an increase in misinformation size (0 to 5) would increase the risk of blame conformity to the confederates (H1).</w:t>
      </w:r>
    </w:p>
    <w:p w:rsidR="00FE77F3" w:rsidRDefault="00FE77F3">
      <w:pPr>
        <w:spacing w:line="169" w:lineRule="exact"/>
        <w:rPr>
          <w:sz w:val="20"/>
          <w:szCs w:val="20"/>
        </w:rPr>
      </w:pPr>
    </w:p>
    <w:p w:rsidR="00FE77F3" w:rsidRDefault="00E3448D">
      <w:pPr>
        <w:spacing w:line="478" w:lineRule="auto"/>
        <w:ind w:right="100" w:firstLine="720"/>
        <w:rPr>
          <w:sz w:val="20"/>
          <w:szCs w:val="20"/>
        </w:rPr>
      </w:pPr>
      <w:r>
        <w:rPr>
          <w:rFonts w:eastAsia="Times New Roman"/>
          <w:sz w:val="24"/>
          <w:szCs w:val="24"/>
        </w:rPr>
        <w:t>Additionally, the literature on social influence identified the unanimity of misinformation as a mediating factor for social influence (Asch, 1955; Bond, 2005; Vandello &amp; Brunsma, 1996). Moreover, Walther et al., (2002) also demonstrated that an individual’s vulnerability to memory conformity was significantly reduced when the misinformation was not unanimously held by the group. Based on these findings, the present study predicted that the absence of a unanimous majority would significantly reduce the rate of blame conformity to the confederates (H2).</w:t>
      </w:r>
    </w:p>
    <w:p w:rsidR="00FE77F3" w:rsidRDefault="00FE77F3">
      <w:pPr>
        <w:spacing w:line="178" w:lineRule="exact"/>
        <w:rPr>
          <w:sz w:val="20"/>
          <w:szCs w:val="20"/>
        </w:rPr>
      </w:pPr>
    </w:p>
    <w:p w:rsidR="00FE77F3" w:rsidRDefault="00E3448D">
      <w:pPr>
        <w:spacing w:line="478" w:lineRule="auto"/>
        <w:ind w:right="120" w:firstLine="720"/>
        <w:rPr>
          <w:sz w:val="20"/>
          <w:szCs w:val="20"/>
        </w:rPr>
      </w:pPr>
      <w:r>
        <w:rPr>
          <w:rFonts w:eastAsia="Times New Roman"/>
          <w:sz w:val="24"/>
          <w:szCs w:val="24"/>
        </w:rPr>
        <w:t>The present study found that an increase in majority size supplemented an increase in the rate of false responses and a decrease in the rate of correct responses, supporting the first hypothesis. More specifically, the results indicated that participants who were exposed to misinformation from a majority size of two or five confederates were significantly more likely to produce an incorrect response than a correct or ‘unsure' response, in comparison to participants in the control group (see Table 3). It was also found that participants who were exposed to misinformation from a majority size of five confederates we</w:t>
      </w:r>
      <w:r>
        <w:rPr>
          <w:rFonts w:eastAsia="Times New Roman"/>
          <w:b/>
          <w:bCs/>
          <w:sz w:val="24"/>
          <w:szCs w:val="24"/>
        </w:rPr>
        <w:t>r</w:t>
      </w:r>
      <w:r>
        <w:rPr>
          <w:rFonts w:eastAsia="Times New Roman"/>
          <w:sz w:val="24"/>
          <w:szCs w:val="24"/>
        </w:rPr>
        <w:t>e over three times more likely to give an uncertain response than a correct response; suggesting that some</w:t>
      </w:r>
    </w:p>
    <w:p w:rsidR="00FE77F3" w:rsidRDefault="00FE77F3">
      <w:pPr>
        <w:spacing w:line="42" w:lineRule="exact"/>
        <w:rPr>
          <w:sz w:val="20"/>
          <w:szCs w:val="20"/>
        </w:rPr>
      </w:pPr>
    </w:p>
    <w:p w:rsidR="00FE77F3" w:rsidRDefault="00E3448D">
      <w:pPr>
        <w:jc w:val="right"/>
        <w:rPr>
          <w:sz w:val="20"/>
          <w:szCs w:val="20"/>
        </w:rPr>
      </w:pPr>
      <w:r>
        <w:rPr>
          <w:rFonts w:ascii="Calibri" w:eastAsia="Calibri" w:hAnsi="Calibri" w:cs="Calibri"/>
        </w:rPr>
        <w:t>22</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3" w:name="page24"/>
      <w:bookmarkEnd w:id="23"/>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8" w:lineRule="auto"/>
        <w:ind w:right="60"/>
        <w:rPr>
          <w:sz w:val="20"/>
          <w:szCs w:val="20"/>
        </w:rPr>
      </w:pPr>
      <w:r>
        <w:rPr>
          <w:rFonts w:eastAsia="Times New Roman"/>
          <w:sz w:val="24"/>
          <w:szCs w:val="24"/>
        </w:rPr>
        <w:t>participants were influenced by the confederates, despite not fully conforming to them. The results concur with earlier research on social influence (C.F. Asch, 1955; Campbell &amp; Fairey, 1989; Gerard et al., 1968; Rosenberg, 1961; Stang, 1976), which showed a greater effect of social influence when the number of confederates was increased. These observations can be best explained through the frequency-validity principle, which proposes that eyewitnesses who are repeatedly exposed to misinformation from multiple co-witnesses may be more inclined to believe that the information is valid (Fiedler, 2000; Hertwig et al., 1997).</w:t>
      </w:r>
    </w:p>
    <w:p w:rsidR="00FE77F3" w:rsidRDefault="00FE77F3">
      <w:pPr>
        <w:spacing w:line="178" w:lineRule="exact"/>
        <w:rPr>
          <w:sz w:val="20"/>
          <w:szCs w:val="20"/>
        </w:rPr>
      </w:pPr>
    </w:p>
    <w:p w:rsidR="00FE77F3" w:rsidRDefault="00E3448D">
      <w:pPr>
        <w:spacing w:line="478" w:lineRule="auto"/>
        <w:ind w:right="160" w:firstLine="720"/>
        <w:rPr>
          <w:sz w:val="20"/>
          <w:szCs w:val="20"/>
        </w:rPr>
      </w:pPr>
      <w:r>
        <w:rPr>
          <w:rFonts w:eastAsia="Times New Roman"/>
          <w:sz w:val="24"/>
          <w:szCs w:val="24"/>
        </w:rPr>
        <w:t>The results also suggested that the rate of false responses was higher when participants were exposed to misinformation from five confederates than by two; however, additional analysis indicated that this difference was small (</w:t>
      </w:r>
      <w:r>
        <w:rPr>
          <w:rFonts w:eastAsia="Times New Roman"/>
          <w:i/>
          <w:iCs/>
          <w:sz w:val="24"/>
          <w:szCs w:val="24"/>
        </w:rPr>
        <w:t>φc</w:t>
      </w:r>
      <w:r>
        <w:rPr>
          <w:rFonts w:eastAsia="Times New Roman"/>
          <w:sz w:val="24"/>
          <w:szCs w:val="24"/>
        </w:rPr>
        <w:t xml:space="preserve"> = .19). This suggests that the relationship between majority size and blame conformity would start to plateau before reaching a majority size of five (see Fig. 1). This corresponds with the findings of Walther and colleagues, who showed that when uncertainty was high, an increase in majority size beyond five sources had no additional impact on co-witness influence (Walther et al., 2000). This relationship can be attributed to the way in which the participants perceive majority groups; Asch (1952) proposed that after the addition of a third information source, the target would view the group as a collective source of information rather than as individual sources; subsequently the impact of any additional sources would be made redundant.</w:t>
      </w:r>
    </w:p>
    <w:p w:rsidR="00FE77F3" w:rsidRDefault="00FE77F3">
      <w:pPr>
        <w:spacing w:line="185" w:lineRule="exact"/>
        <w:rPr>
          <w:sz w:val="20"/>
          <w:szCs w:val="20"/>
        </w:rPr>
      </w:pPr>
    </w:p>
    <w:p w:rsidR="00FE77F3" w:rsidRDefault="00E3448D">
      <w:pPr>
        <w:spacing w:line="478" w:lineRule="auto"/>
        <w:ind w:right="20" w:firstLine="720"/>
        <w:rPr>
          <w:sz w:val="20"/>
          <w:szCs w:val="20"/>
        </w:rPr>
      </w:pPr>
      <w:r>
        <w:rPr>
          <w:rFonts w:eastAsia="Times New Roman"/>
          <w:sz w:val="24"/>
          <w:szCs w:val="24"/>
        </w:rPr>
        <w:t>Within three of the experimental conditions, participants were exposed to misinformation from an individual confederate; in the 1-1 condition, participants were grouped with one confederate; in the 2-1 condition, participants were grouped with one confederate and another participant; and in the 5-1 condition, participants were grouped with one confederate and four other participants. The groups were used to assess the level of influence one confederate had on participants, as either the sole information source or a group minority. Results indicated that in all three conditions the confederate had no effect on the</w:t>
      </w:r>
    </w:p>
    <w:p w:rsidR="00FE77F3" w:rsidRDefault="00FE77F3">
      <w:pPr>
        <w:spacing w:line="40" w:lineRule="exact"/>
        <w:rPr>
          <w:sz w:val="20"/>
          <w:szCs w:val="20"/>
        </w:rPr>
      </w:pPr>
    </w:p>
    <w:p w:rsidR="00FE77F3" w:rsidRDefault="00E3448D">
      <w:pPr>
        <w:jc w:val="right"/>
        <w:rPr>
          <w:sz w:val="20"/>
          <w:szCs w:val="20"/>
        </w:rPr>
      </w:pPr>
      <w:r>
        <w:rPr>
          <w:rFonts w:ascii="Calibri" w:eastAsia="Calibri" w:hAnsi="Calibri" w:cs="Calibri"/>
        </w:rPr>
        <w:t>23</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4" w:name="page25"/>
      <w:bookmarkEnd w:id="24"/>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9" w:lineRule="auto"/>
        <w:ind w:right="100"/>
        <w:rPr>
          <w:sz w:val="20"/>
          <w:szCs w:val="20"/>
        </w:rPr>
      </w:pPr>
      <w:r>
        <w:rPr>
          <w:rFonts w:eastAsia="Times New Roman"/>
          <w:sz w:val="24"/>
          <w:szCs w:val="24"/>
        </w:rPr>
        <w:t>participants’ responses, suggesting that the misinformation was only influential when presented by a majority group. It is suggested that participants will have been more likely to perceive misinformation from an individual source as an erroneous observation; however, when presented with misinformation from a unanimous group of co-witnesses, participants would have been less likely to deem the information as being idiosyncratic and would have been more likely to consider the misinformation as being correct (Asch, 1955). Self-attention theory (Carver, 1979; Carver &amp; Scheier, 1981) can be used to explain the insignificant level of influence from an individual confederate; Mullen (1987) suggested that the more self-attention was focused on the self, the more an individual would attempt to match their attitudes with majority consensus. However, self-attention would only be evoked when the individual was against a majority norm, thus misinformation from an individual confederate may have failed to evoke enough self-focus to influence the participant into conforming. These findings contradict Thorley and Rushton-Woods’ (2013) suggestion that participants could be influenced by an individual co-witness when attributing blame to the correct suspect. This may be due to the latter study using a mock statement from an eyewitness who was present during the actual event, rather than from another participant/confederate. Firstly, participants who would have encountered co-witness misinformation through a written statement will not have been able to evaluate the validity of the co-witness through a direct discussion. It could also be suggested that participants may have been more inclined to assume that the co-witness statement was correct due to it supposedly coming from someone who had witnessed the crime first-hand.</w:t>
      </w:r>
    </w:p>
    <w:p w:rsidR="00FE77F3" w:rsidRDefault="00FE77F3">
      <w:pPr>
        <w:spacing w:line="186" w:lineRule="exact"/>
        <w:rPr>
          <w:sz w:val="20"/>
          <w:szCs w:val="20"/>
        </w:rPr>
      </w:pPr>
    </w:p>
    <w:p w:rsidR="00FE77F3" w:rsidRDefault="00E3448D">
      <w:pPr>
        <w:spacing w:line="500" w:lineRule="auto"/>
        <w:ind w:right="220" w:firstLine="720"/>
        <w:rPr>
          <w:sz w:val="20"/>
          <w:szCs w:val="20"/>
        </w:rPr>
      </w:pPr>
      <w:r>
        <w:rPr>
          <w:rFonts w:eastAsia="Times New Roman"/>
          <w:sz w:val="23"/>
          <w:szCs w:val="23"/>
        </w:rPr>
        <w:t>With respect to the literature on group unanimity, the present findings support the propositions of Walther et al., (2002), to an extent. They found that the level of co-witness influence was significantly reduced when there were multiple dissenters present within the eyewitness group. Although the present study did not use dissenters within the experiments,</w:t>
      </w:r>
    </w:p>
    <w:p w:rsidR="00FE77F3" w:rsidRDefault="00FE77F3">
      <w:pPr>
        <w:spacing w:line="188" w:lineRule="exact"/>
        <w:rPr>
          <w:sz w:val="20"/>
          <w:szCs w:val="20"/>
        </w:rPr>
      </w:pPr>
    </w:p>
    <w:p w:rsidR="00FE77F3" w:rsidRDefault="00E3448D">
      <w:pPr>
        <w:jc w:val="right"/>
        <w:rPr>
          <w:sz w:val="20"/>
          <w:szCs w:val="20"/>
        </w:rPr>
      </w:pPr>
      <w:r>
        <w:rPr>
          <w:rFonts w:ascii="Calibri" w:eastAsia="Calibri" w:hAnsi="Calibri" w:cs="Calibri"/>
        </w:rPr>
        <w:t>24</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5" w:name="page26"/>
      <w:bookmarkEnd w:id="25"/>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8" w:lineRule="auto"/>
        <w:ind w:right="60"/>
        <w:rPr>
          <w:sz w:val="20"/>
          <w:szCs w:val="20"/>
        </w:rPr>
      </w:pPr>
      <w:r>
        <w:rPr>
          <w:rFonts w:eastAsia="Times New Roman"/>
          <w:sz w:val="24"/>
          <w:szCs w:val="24"/>
        </w:rPr>
        <w:t>the results indicated that when multiple true participants were present, misinformation from confederates had no influence on the participants. However, the present study did not measure the effects of co-witness influence from majority groups who were not unanimous (multiple true participants present). Consequently, the present findings cannot determine whether eyewitnesses would be vulnerable to co-witness influence from a majority group if the misinformation was not unanimous. As such, it is suggested that future research is needed in order to fully address the second hypothesis.</w:t>
      </w:r>
    </w:p>
    <w:p w:rsidR="00FE77F3" w:rsidRDefault="00FE77F3">
      <w:pPr>
        <w:spacing w:line="178" w:lineRule="exact"/>
        <w:rPr>
          <w:sz w:val="20"/>
          <w:szCs w:val="20"/>
        </w:rPr>
      </w:pPr>
    </w:p>
    <w:p w:rsidR="00FE77F3" w:rsidRDefault="00E3448D">
      <w:pPr>
        <w:spacing w:line="479" w:lineRule="auto"/>
        <w:ind w:right="140" w:firstLine="720"/>
        <w:rPr>
          <w:sz w:val="20"/>
          <w:szCs w:val="20"/>
        </w:rPr>
      </w:pPr>
      <w:r>
        <w:rPr>
          <w:rFonts w:eastAsia="Times New Roman"/>
          <w:sz w:val="24"/>
          <w:szCs w:val="24"/>
        </w:rPr>
        <w:t>The researchers predicted that there would be a negative correlation between misinformation size and eyewitness confidence, in participants who produced correct responses (H3). Additionally, it was anticipated that there would be a positive correlation between misinformation size and eyewitness confidence, in participants who produced an incorrect response (H4). However, the results failed to support either of the hypotheses. Neither group size nor the unanimity of misinformation had a mediating effect on the impact of misinformation to the confidence of participants, contradicting the findings of Allwood et al., (2006). A key difference between the present study and the majority of the previous studies into co-witness influence was that the current study purposely used an ambiguous task, with only 44.8 % of the control group blaming the correct offender and 20.7% answering ‘unsure’, suggesting that the task was reasonably ambiguous (see Table 2). It is suggested that the ambiguity of the task may have significantly affected the confidence of most participants, resulting in the majority of participants displaying some level of doubt in their responses, regardless of their condition or answer. This can be seen in Table 2, where the mean confidence scores within all conditions ranges from 2.98 to 3.5.</w:t>
      </w:r>
    </w:p>
    <w:p w:rsidR="00FE77F3" w:rsidRDefault="00FE77F3">
      <w:pPr>
        <w:spacing w:line="170" w:lineRule="exact"/>
        <w:rPr>
          <w:sz w:val="20"/>
          <w:szCs w:val="20"/>
        </w:rPr>
      </w:pPr>
    </w:p>
    <w:p w:rsidR="00FE77F3" w:rsidRDefault="00E3448D">
      <w:pPr>
        <w:rPr>
          <w:sz w:val="20"/>
          <w:szCs w:val="20"/>
        </w:rPr>
      </w:pPr>
      <w:r>
        <w:rPr>
          <w:rFonts w:eastAsia="Times New Roman"/>
          <w:b/>
          <w:bCs/>
          <w:i/>
          <w:iCs/>
          <w:sz w:val="24"/>
          <w:szCs w:val="24"/>
        </w:rPr>
        <w:t>Limitations &amp; directions for future research.</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11" w:lineRule="exact"/>
        <w:rPr>
          <w:sz w:val="20"/>
          <w:szCs w:val="20"/>
        </w:rPr>
      </w:pPr>
    </w:p>
    <w:p w:rsidR="00FE77F3" w:rsidRDefault="00E3448D">
      <w:pPr>
        <w:jc w:val="right"/>
        <w:rPr>
          <w:sz w:val="20"/>
          <w:szCs w:val="20"/>
        </w:rPr>
      </w:pPr>
      <w:r>
        <w:rPr>
          <w:rFonts w:ascii="Calibri" w:eastAsia="Calibri" w:hAnsi="Calibri" w:cs="Calibri"/>
        </w:rPr>
        <w:t>25</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6" w:name="page27"/>
      <w:bookmarkEnd w:id="26"/>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9" w:lineRule="auto"/>
        <w:ind w:right="20" w:firstLine="720"/>
        <w:rPr>
          <w:sz w:val="20"/>
          <w:szCs w:val="20"/>
        </w:rPr>
      </w:pPr>
      <w:r>
        <w:rPr>
          <w:rFonts w:eastAsia="Times New Roman"/>
          <w:sz w:val="24"/>
          <w:szCs w:val="24"/>
        </w:rPr>
        <w:t>Although the current paper provided some empirical insight into the social and cognitive processes of co-witness influence, the study bore multiple limitations. The unanimity of misinformation was manipulated by varying the number of confederates and participants within each condition. Multiple participants were used in the 2-1 condition and 5-1 condition to cause a divide in judgement during the post-event discussions and break the unanimity of the misinformation. However, based on the response rates in the control condition, there is a small possibility that participants in these conditions may have still been exposed to misinformation from a unanimous group of co-witnesses. The unanimity of misinformation could perhaps have been manipulated more effectively using the experimental design outlined by Walther et al., (2002), who manipulated the unanimity of misinformation using dissenters (confederates used to purposely suggest correct information). Further research is therefore needed to reliably determine the importance of group unanimity on co-witness influence. The study failed to measure the effects of co-witness influence from majority group that were not unanimous (i.e. five confederates and two true participants/dissenters); therefore, the present study cannot determine whether misinformation size would still have a mediating effect on co-witness influence if multiple dissenters were present. Through such observations, future research should seek to determine whether the size or the unanimity of misinformation has a greater moderating effect on co-witness influence.</w:t>
      </w:r>
    </w:p>
    <w:p w:rsidR="00FE77F3" w:rsidRDefault="00FE77F3">
      <w:pPr>
        <w:spacing w:line="183" w:lineRule="exact"/>
        <w:rPr>
          <w:sz w:val="20"/>
          <w:szCs w:val="20"/>
        </w:rPr>
      </w:pPr>
    </w:p>
    <w:p w:rsidR="00FE77F3" w:rsidRDefault="00E3448D">
      <w:pPr>
        <w:spacing w:line="478" w:lineRule="auto"/>
        <w:ind w:right="100" w:firstLine="720"/>
        <w:rPr>
          <w:sz w:val="20"/>
          <w:szCs w:val="20"/>
        </w:rPr>
      </w:pPr>
      <w:r>
        <w:rPr>
          <w:rFonts w:eastAsia="Times New Roman"/>
          <w:sz w:val="24"/>
          <w:szCs w:val="24"/>
        </w:rPr>
        <w:t>During the present experiments, confederates were allowed to present their misinformation at any time during the discussion. This was done to create a more naturalistic environment, in order to prevent the participants from questioning the validity of the confederates as true participants. Furthermore, with many of the experimental conditions incorporating multiple confederates, it would have been more difficult to provide each confederate with a specific order for speaking, whilst maintaining the false illusion of a</w:t>
      </w:r>
    </w:p>
    <w:p w:rsidR="00FE77F3" w:rsidRDefault="00FE77F3">
      <w:pPr>
        <w:spacing w:line="199" w:lineRule="exact"/>
        <w:rPr>
          <w:sz w:val="20"/>
          <w:szCs w:val="20"/>
        </w:rPr>
      </w:pPr>
    </w:p>
    <w:p w:rsidR="00FE77F3" w:rsidRDefault="00E3448D">
      <w:pPr>
        <w:jc w:val="right"/>
        <w:rPr>
          <w:sz w:val="20"/>
          <w:szCs w:val="20"/>
        </w:rPr>
      </w:pPr>
      <w:r>
        <w:rPr>
          <w:rFonts w:ascii="Calibri" w:eastAsia="Calibri" w:hAnsi="Calibri" w:cs="Calibri"/>
        </w:rPr>
        <w:t>26</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rPr>
          <w:sz w:val="20"/>
          <w:szCs w:val="20"/>
        </w:rPr>
      </w:pPr>
      <w:bookmarkStart w:id="27" w:name="page28"/>
      <w:bookmarkEnd w:id="27"/>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500" w:lineRule="auto"/>
        <w:ind w:right="100"/>
        <w:rPr>
          <w:sz w:val="20"/>
          <w:szCs w:val="20"/>
        </w:rPr>
      </w:pPr>
      <w:r>
        <w:rPr>
          <w:rFonts w:eastAsia="Times New Roman"/>
          <w:sz w:val="23"/>
          <w:szCs w:val="23"/>
        </w:rPr>
        <w:t>natural discussion amongst true participants. However, failure to control for the order of discussion could have had an extraneous effect on the results, due to research suggesting that the speaking order of co-witnesses could have a significant effect on conformity rates (Hewitt, Kane, &amp; Garry, 2013). Moreover, Gabbert, Memon, and Wright (2006) demonstrated that the first speaker would have the greatest influence on the rest of the group. Therefore, if a true participant was first to speak, this could produce a significantly different outcome than if a confederate was first to speak. Failure to control for speaking order in the</w:t>
      </w:r>
    </w:p>
    <w:p w:rsidR="00FE77F3" w:rsidRDefault="00FE77F3">
      <w:pPr>
        <w:spacing w:line="7" w:lineRule="exact"/>
        <w:rPr>
          <w:sz w:val="20"/>
          <w:szCs w:val="20"/>
        </w:rPr>
      </w:pPr>
    </w:p>
    <w:p w:rsidR="00FE77F3" w:rsidRDefault="00E3448D">
      <w:pPr>
        <w:spacing w:line="477" w:lineRule="auto"/>
        <w:ind w:right="80"/>
        <w:rPr>
          <w:sz w:val="20"/>
          <w:szCs w:val="20"/>
        </w:rPr>
      </w:pPr>
      <w:r>
        <w:rPr>
          <w:rFonts w:eastAsia="Times New Roman"/>
          <w:sz w:val="24"/>
          <w:szCs w:val="24"/>
        </w:rPr>
        <w:t>2-1 and 5-1 condition meant that some participants within these conditions could have been subjected to varying ratios of correct and incorrect information. Future research could provide the participants with instructions for a structured co-witness discussion (i.e. ‘please state who you believe threw the first hit in an orderly fashion, starting from the participant on the far right and ending on the participant on the far left’).</w:t>
      </w:r>
    </w:p>
    <w:p w:rsidR="00FE77F3" w:rsidRDefault="00FE77F3">
      <w:pPr>
        <w:spacing w:line="169" w:lineRule="exact"/>
        <w:rPr>
          <w:sz w:val="20"/>
          <w:szCs w:val="20"/>
        </w:rPr>
      </w:pPr>
    </w:p>
    <w:p w:rsidR="00FE77F3" w:rsidRDefault="00E3448D">
      <w:pPr>
        <w:rPr>
          <w:sz w:val="20"/>
          <w:szCs w:val="20"/>
        </w:rPr>
      </w:pPr>
      <w:r>
        <w:rPr>
          <w:rFonts w:eastAsia="Times New Roman"/>
          <w:b/>
          <w:bCs/>
          <w:i/>
          <w:iCs/>
          <w:sz w:val="24"/>
          <w:szCs w:val="24"/>
        </w:rPr>
        <w:t>Summary</w:t>
      </w:r>
    </w:p>
    <w:p w:rsidR="00FE77F3" w:rsidRDefault="00FE77F3">
      <w:pPr>
        <w:spacing w:line="200" w:lineRule="exact"/>
        <w:rPr>
          <w:sz w:val="20"/>
          <w:szCs w:val="20"/>
        </w:rPr>
      </w:pPr>
    </w:p>
    <w:p w:rsidR="00FE77F3" w:rsidRDefault="00FE77F3">
      <w:pPr>
        <w:spacing w:line="244" w:lineRule="exact"/>
        <w:rPr>
          <w:sz w:val="20"/>
          <w:szCs w:val="20"/>
        </w:rPr>
      </w:pPr>
    </w:p>
    <w:p w:rsidR="00FE77F3" w:rsidRDefault="00E3448D">
      <w:pPr>
        <w:spacing w:line="478" w:lineRule="auto"/>
        <w:ind w:right="60" w:firstLine="720"/>
        <w:rPr>
          <w:sz w:val="20"/>
          <w:szCs w:val="20"/>
        </w:rPr>
      </w:pPr>
      <w:r>
        <w:rPr>
          <w:rFonts w:eastAsia="Times New Roman"/>
          <w:sz w:val="24"/>
          <w:szCs w:val="24"/>
        </w:rPr>
        <w:t>Overall, the findings of the present study suggest that the risk of blame conformity amongst eyewitnesses is dependent on the size of the information source. Moreover, results suggest that misinformation from an individual co-witness will most likely be rejected, and that for an eyewitness to be influenced by their co-witnesses the information would have to be presented by the majority of co-witnesses. Based on these observations, it is proposed that the true risks of blame conformity during real criminal investigations may be lower than originally predicted by previous research based on two-person observations. The present study suggests that the risk of possible co-witness contamination is less of a concern if there is clear deviation between the statements of co-witnesses; however, more research is required in order for the risks of co-witness contamination to be accurately predicted.</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52" w:lineRule="exact"/>
        <w:rPr>
          <w:sz w:val="20"/>
          <w:szCs w:val="20"/>
        </w:rPr>
      </w:pPr>
    </w:p>
    <w:p w:rsidR="00FE77F3" w:rsidRDefault="00E3448D">
      <w:pPr>
        <w:jc w:val="right"/>
        <w:rPr>
          <w:sz w:val="20"/>
          <w:szCs w:val="20"/>
        </w:rPr>
      </w:pPr>
      <w:r>
        <w:rPr>
          <w:rFonts w:ascii="Calibri" w:eastAsia="Calibri" w:hAnsi="Calibri" w:cs="Calibri"/>
        </w:rPr>
        <w:t>27</w:t>
      </w:r>
    </w:p>
    <w:p w:rsidR="00FE77F3" w:rsidRDefault="00FE77F3">
      <w:pPr>
        <w:sectPr w:rsidR="00FE77F3">
          <w:pgSz w:w="11900" w:h="16838"/>
          <w:pgMar w:top="699" w:right="1426" w:bottom="419" w:left="1440" w:header="0" w:footer="0" w:gutter="0"/>
          <w:cols w:space="720" w:equalWidth="0">
            <w:col w:w="9040"/>
          </w:cols>
        </w:sectPr>
      </w:pPr>
    </w:p>
    <w:p w:rsidR="00FE77F3" w:rsidRDefault="00E3448D">
      <w:pPr>
        <w:ind w:left="720"/>
        <w:rPr>
          <w:sz w:val="20"/>
          <w:szCs w:val="20"/>
        </w:rPr>
      </w:pPr>
      <w:bookmarkStart w:id="28" w:name="page29"/>
      <w:bookmarkEnd w:id="28"/>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66" w:lineRule="exact"/>
        <w:rPr>
          <w:sz w:val="20"/>
          <w:szCs w:val="20"/>
        </w:rPr>
      </w:pPr>
    </w:p>
    <w:p w:rsidR="00FE77F3" w:rsidRDefault="00E3448D">
      <w:pPr>
        <w:ind w:left="720"/>
        <w:rPr>
          <w:sz w:val="20"/>
          <w:szCs w:val="20"/>
        </w:rPr>
      </w:pPr>
      <w:r>
        <w:rPr>
          <w:rFonts w:eastAsia="Times New Roman"/>
          <w:b/>
          <w:bCs/>
          <w:sz w:val="24"/>
          <w:szCs w:val="24"/>
        </w:rPr>
        <w:t>References</w:t>
      </w:r>
    </w:p>
    <w:p w:rsidR="00FE77F3" w:rsidRDefault="00FE77F3">
      <w:pPr>
        <w:spacing w:line="200" w:lineRule="exact"/>
        <w:rPr>
          <w:sz w:val="20"/>
          <w:szCs w:val="20"/>
        </w:rPr>
      </w:pPr>
    </w:p>
    <w:p w:rsidR="00FE77F3" w:rsidRDefault="00FE77F3">
      <w:pPr>
        <w:spacing w:line="245" w:lineRule="exact"/>
        <w:rPr>
          <w:sz w:val="20"/>
          <w:szCs w:val="20"/>
        </w:rPr>
      </w:pPr>
    </w:p>
    <w:p w:rsidR="00FE77F3" w:rsidRDefault="00E3448D">
      <w:pPr>
        <w:spacing w:line="474" w:lineRule="auto"/>
        <w:ind w:left="720" w:right="100" w:hanging="719"/>
        <w:rPr>
          <w:rFonts w:eastAsia="Times New Roman"/>
          <w:color w:val="0563C1"/>
          <w:sz w:val="24"/>
          <w:szCs w:val="24"/>
          <w:u w:val="single"/>
        </w:rPr>
      </w:pPr>
      <w:r>
        <w:rPr>
          <w:rFonts w:eastAsia="Times New Roman"/>
          <w:sz w:val="24"/>
          <w:szCs w:val="24"/>
        </w:rPr>
        <w:t xml:space="preserve">Allwood, C., Jonsson, A., &amp; Granhag, P. (2005). The effects of source and type of feedback on child witnesses' metamemory accuracy.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19</w:t>
      </w:r>
      <w:r>
        <w:rPr>
          <w:rFonts w:eastAsia="Times New Roman"/>
          <w:sz w:val="24"/>
          <w:szCs w:val="24"/>
        </w:rPr>
        <w:t xml:space="preserve">(3), 331-344. </w:t>
      </w:r>
      <w:hyperlink r:id="rId6">
        <w:r>
          <w:rPr>
            <w:rFonts w:eastAsia="Times New Roman"/>
            <w:color w:val="0563C1"/>
            <w:sz w:val="24"/>
            <w:szCs w:val="24"/>
            <w:u w:val="single"/>
          </w:rPr>
          <w:t>http://dx.doi.org/10.1002/acp.1071</w:t>
        </w:r>
      </w:hyperlink>
    </w:p>
    <w:p w:rsidR="00FE77F3" w:rsidRDefault="00FE77F3">
      <w:pPr>
        <w:spacing w:line="179" w:lineRule="exact"/>
        <w:rPr>
          <w:sz w:val="20"/>
          <w:szCs w:val="20"/>
        </w:rPr>
      </w:pPr>
    </w:p>
    <w:p w:rsidR="00FE77F3" w:rsidRDefault="00E3448D">
      <w:pPr>
        <w:spacing w:line="474" w:lineRule="auto"/>
        <w:ind w:left="720" w:right="80" w:hanging="719"/>
        <w:rPr>
          <w:sz w:val="20"/>
          <w:szCs w:val="20"/>
        </w:rPr>
      </w:pPr>
      <w:r>
        <w:rPr>
          <w:rFonts w:eastAsia="Times New Roman"/>
          <w:sz w:val="24"/>
          <w:szCs w:val="24"/>
        </w:rPr>
        <w:t xml:space="preserve">Allwood, C., Knutsson, J., &amp; Anders Granhag, P. (2006). Eyewitnesses under influence: How feedback affects the realism in confidence judgements. </w:t>
      </w:r>
      <w:r>
        <w:rPr>
          <w:rFonts w:eastAsia="Times New Roman"/>
          <w:i/>
          <w:iCs/>
          <w:sz w:val="24"/>
          <w:szCs w:val="24"/>
        </w:rPr>
        <w:t>Psychology, Crime &amp; Law</w:t>
      </w:r>
      <w:r>
        <w:rPr>
          <w:rFonts w:eastAsia="Times New Roman"/>
          <w:sz w:val="24"/>
          <w:szCs w:val="24"/>
        </w:rPr>
        <w:t xml:space="preserve">, </w:t>
      </w:r>
      <w:r>
        <w:rPr>
          <w:rFonts w:eastAsia="Times New Roman"/>
          <w:i/>
          <w:iCs/>
          <w:sz w:val="24"/>
          <w:szCs w:val="24"/>
        </w:rPr>
        <w:t>12</w:t>
      </w:r>
      <w:r>
        <w:rPr>
          <w:rFonts w:eastAsia="Times New Roman"/>
          <w:sz w:val="24"/>
          <w:szCs w:val="24"/>
        </w:rPr>
        <w:t>(1), 25-38. doi:10.1080/10683160512331316316</w:t>
      </w:r>
    </w:p>
    <w:p w:rsidR="00FE77F3" w:rsidRDefault="00FE77F3">
      <w:pPr>
        <w:spacing w:line="170" w:lineRule="exact"/>
        <w:rPr>
          <w:sz w:val="20"/>
          <w:szCs w:val="20"/>
        </w:rPr>
      </w:pPr>
    </w:p>
    <w:p w:rsidR="00FE77F3" w:rsidRDefault="00E3448D">
      <w:pPr>
        <w:tabs>
          <w:tab w:val="left" w:pos="960"/>
          <w:tab w:val="left" w:pos="2180"/>
        </w:tabs>
        <w:rPr>
          <w:sz w:val="20"/>
          <w:szCs w:val="20"/>
        </w:rPr>
      </w:pPr>
      <w:r>
        <w:rPr>
          <w:rFonts w:eastAsia="Times New Roman"/>
          <w:sz w:val="24"/>
          <w:szCs w:val="24"/>
        </w:rPr>
        <w:t>Asch, S.</w:t>
      </w:r>
      <w:r>
        <w:rPr>
          <w:rFonts w:eastAsia="Times New Roman"/>
          <w:sz w:val="24"/>
          <w:szCs w:val="24"/>
        </w:rPr>
        <w:tab/>
        <w:t>E. (1951).</w:t>
      </w:r>
      <w:r>
        <w:rPr>
          <w:sz w:val="20"/>
          <w:szCs w:val="20"/>
        </w:rPr>
        <w:tab/>
      </w:r>
      <w:r>
        <w:rPr>
          <w:rFonts w:eastAsia="Times New Roman"/>
          <w:i/>
          <w:iCs/>
          <w:sz w:val="23"/>
          <w:szCs w:val="23"/>
        </w:rPr>
        <w:t>Effects of group pressure upon the modification and distortion of judgment</w:t>
      </w:r>
      <w:r>
        <w:rPr>
          <w:rFonts w:eastAsia="Times New Roman"/>
          <w:sz w:val="23"/>
          <w:szCs w:val="23"/>
        </w:rPr>
        <w:t>.</w:t>
      </w:r>
    </w:p>
    <w:p w:rsidR="00FE77F3" w:rsidRDefault="00FE77F3">
      <w:pPr>
        <w:spacing w:line="276" w:lineRule="exact"/>
        <w:rPr>
          <w:sz w:val="20"/>
          <w:szCs w:val="20"/>
        </w:rPr>
      </w:pPr>
    </w:p>
    <w:p w:rsidR="00FE77F3" w:rsidRDefault="00E3448D">
      <w:pPr>
        <w:tabs>
          <w:tab w:val="left" w:pos="1380"/>
          <w:tab w:val="left" w:pos="5900"/>
        </w:tabs>
        <w:ind w:left="720"/>
        <w:rPr>
          <w:sz w:val="20"/>
          <w:szCs w:val="20"/>
        </w:rPr>
      </w:pPr>
      <w:r>
        <w:rPr>
          <w:rFonts w:eastAsia="Times New Roman"/>
          <w:sz w:val="24"/>
          <w:szCs w:val="24"/>
        </w:rPr>
        <w:t>In H.</w:t>
      </w:r>
      <w:r>
        <w:rPr>
          <w:rFonts w:eastAsia="Times New Roman"/>
          <w:sz w:val="24"/>
          <w:szCs w:val="24"/>
        </w:rPr>
        <w:tab/>
        <w:t xml:space="preserve">Guetzkow (ed.) </w:t>
      </w:r>
      <w:r>
        <w:rPr>
          <w:rFonts w:eastAsia="Times New Roman"/>
          <w:i/>
          <w:iCs/>
          <w:sz w:val="24"/>
          <w:szCs w:val="24"/>
        </w:rPr>
        <w:t>Groups, leadership and men</w:t>
      </w:r>
      <w:r>
        <w:rPr>
          <w:rFonts w:eastAsia="Times New Roman"/>
          <w:sz w:val="24"/>
          <w:szCs w:val="24"/>
        </w:rPr>
        <w:t>.</w:t>
      </w:r>
      <w:r>
        <w:rPr>
          <w:rFonts w:eastAsia="Times New Roman"/>
          <w:sz w:val="24"/>
          <w:szCs w:val="24"/>
        </w:rPr>
        <w:tab/>
        <w:t>Pittsburgh, PA: Carnegie Press.</w:t>
      </w:r>
    </w:p>
    <w:p w:rsidR="00FE77F3" w:rsidRDefault="00FE77F3">
      <w:pPr>
        <w:spacing w:line="200" w:lineRule="exact"/>
        <w:rPr>
          <w:sz w:val="20"/>
          <w:szCs w:val="20"/>
        </w:rPr>
      </w:pPr>
    </w:p>
    <w:p w:rsidR="00FE77F3" w:rsidRDefault="00FE77F3">
      <w:pPr>
        <w:spacing w:line="247" w:lineRule="exact"/>
        <w:rPr>
          <w:sz w:val="20"/>
          <w:szCs w:val="20"/>
        </w:rPr>
      </w:pPr>
    </w:p>
    <w:p w:rsidR="00FE77F3" w:rsidRPr="00E3448D" w:rsidRDefault="00E3448D">
      <w:pPr>
        <w:spacing w:line="469" w:lineRule="auto"/>
        <w:ind w:left="720" w:right="1740" w:hanging="719"/>
        <w:rPr>
          <w:sz w:val="20"/>
          <w:szCs w:val="20"/>
          <w:lang w:val="it-IT"/>
        </w:rPr>
      </w:pPr>
      <w:r>
        <w:rPr>
          <w:rFonts w:eastAsia="Times New Roman"/>
          <w:sz w:val="24"/>
          <w:szCs w:val="24"/>
        </w:rPr>
        <w:t xml:space="preserve">Asch, S. (1955). Opinions and social pressure. </w:t>
      </w:r>
      <w:r w:rsidRPr="00E3448D">
        <w:rPr>
          <w:rFonts w:eastAsia="Times New Roman"/>
          <w:i/>
          <w:iCs/>
          <w:sz w:val="24"/>
          <w:szCs w:val="24"/>
          <w:lang w:val="it-IT"/>
        </w:rPr>
        <w:t>Scientific American</w:t>
      </w:r>
      <w:r w:rsidRPr="00E3448D">
        <w:rPr>
          <w:rFonts w:eastAsia="Times New Roman"/>
          <w:sz w:val="24"/>
          <w:szCs w:val="24"/>
          <w:lang w:val="it-IT"/>
        </w:rPr>
        <w:t xml:space="preserve">, </w:t>
      </w:r>
      <w:r w:rsidRPr="00E3448D">
        <w:rPr>
          <w:rFonts w:eastAsia="Times New Roman"/>
          <w:i/>
          <w:iCs/>
          <w:sz w:val="24"/>
          <w:szCs w:val="24"/>
          <w:lang w:val="it-IT"/>
        </w:rPr>
        <w:t>193</w:t>
      </w:r>
      <w:r w:rsidRPr="00E3448D">
        <w:rPr>
          <w:rFonts w:eastAsia="Times New Roman"/>
          <w:sz w:val="24"/>
          <w:szCs w:val="24"/>
          <w:lang w:val="it-IT"/>
        </w:rPr>
        <w:t>(5), 31-35. doi:10.1038/scientificamerican1155-31</w:t>
      </w:r>
    </w:p>
    <w:p w:rsidR="00FE77F3" w:rsidRPr="00E3448D" w:rsidRDefault="00FE77F3">
      <w:pPr>
        <w:spacing w:line="174" w:lineRule="exact"/>
        <w:rPr>
          <w:sz w:val="20"/>
          <w:szCs w:val="20"/>
          <w:lang w:val="it-IT"/>
        </w:rPr>
      </w:pPr>
    </w:p>
    <w:p w:rsidR="00FE77F3" w:rsidRDefault="00E3448D">
      <w:pPr>
        <w:ind w:right="540"/>
        <w:jc w:val="center"/>
        <w:rPr>
          <w:sz w:val="20"/>
          <w:szCs w:val="20"/>
        </w:rPr>
      </w:pPr>
      <w:r w:rsidRPr="00E3448D">
        <w:rPr>
          <w:rFonts w:eastAsia="Times New Roman"/>
          <w:sz w:val="24"/>
          <w:szCs w:val="24"/>
          <w:lang w:val="it-IT"/>
        </w:rPr>
        <w:t xml:space="preserve">Baron, R., Vandello, J., &amp; Brunsman, B. (1996). </w:t>
      </w:r>
      <w:r>
        <w:rPr>
          <w:rFonts w:eastAsia="Times New Roman"/>
          <w:sz w:val="24"/>
          <w:szCs w:val="24"/>
        </w:rPr>
        <w:t>The forgotten variable in conformity research:</w:t>
      </w:r>
    </w:p>
    <w:p w:rsidR="00FE77F3" w:rsidRDefault="00FE77F3">
      <w:pPr>
        <w:spacing w:line="288" w:lineRule="exact"/>
        <w:rPr>
          <w:sz w:val="20"/>
          <w:szCs w:val="20"/>
        </w:rPr>
      </w:pPr>
    </w:p>
    <w:p w:rsidR="00FE77F3" w:rsidRDefault="00E3448D">
      <w:pPr>
        <w:spacing w:line="469" w:lineRule="auto"/>
        <w:ind w:left="720" w:right="1240"/>
        <w:rPr>
          <w:sz w:val="20"/>
          <w:szCs w:val="20"/>
        </w:rPr>
      </w:pPr>
      <w:r>
        <w:rPr>
          <w:rFonts w:eastAsia="Times New Roman"/>
          <w:sz w:val="24"/>
          <w:szCs w:val="24"/>
        </w:rPr>
        <w:t xml:space="preserve">Impact of task importance on social influence.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71</w:t>
      </w:r>
      <w:r>
        <w:rPr>
          <w:rFonts w:eastAsia="Times New Roman"/>
          <w:sz w:val="24"/>
          <w:szCs w:val="24"/>
        </w:rPr>
        <w:t>(5), 915-927. doi:10.1037//0022-3514.71.5.915</w:t>
      </w:r>
    </w:p>
    <w:p w:rsidR="00FE77F3" w:rsidRDefault="00FE77F3">
      <w:pPr>
        <w:spacing w:line="187" w:lineRule="exact"/>
        <w:rPr>
          <w:sz w:val="20"/>
          <w:szCs w:val="20"/>
        </w:rPr>
      </w:pPr>
    </w:p>
    <w:p w:rsidR="00FE77F3" w:rsidRDefault="00E3448D">
      <w:pPr>
        <w:spacing w:line="474" w:lineRule="auto"/>
        <w:ind w:left="720" w:right="540" w:hanging="719"/>
        <w:rPr>
          <w:rFonts w:eastAsia="Times New Roman"/>
          <w:i/>
          <w:iCs/>
          <w:sz w:val="24"/>
          <w:szCs w:val="24"/>
        </w:rPr>
      </w:pPr>
      <w:r>
        <w:rPr>
          <w:rFonts w:eastAsia="Times New Roman"/>
          <w:sz w:val="24"/>
          <w:szCs w:val="24"/>
        </w:rPr>
        <w:t xml:space="preserve">Basden, D., &amp; Basden, B. (1995). Some tests of the strategy disruption interpretation of part-list cuing inhibition. </w:t>
      </w:r>
      <w:r>
        <w:rPr>
          <w:rFonts w:eastAsia="Times New Roman"/>
          <w:i/>
          <w:iCs/>
          <w:sz w:val="24"/>
          <w:szCs w:val="24"/>
        </w:rPr>
        <w:t>Journal of Experimental Psychology: Learning, Memory, And</w:t>
      </w:r>
      <w:r>
        <w:rPr>
          <w:rFonts w:eastAsia="Times New Roman"/>
          <w:sz w:val="24"/>
          <w:szCs w:val="24"/>
        </w:rPr>
        <w:t xml:space="preserve"> </w:t>
      </w:r>
      <w:r>
        <w:rPr>
          <w:rFonts w:eastAsia="Times New Roman"/>
          <w:i/>
          <w:iCs/>
          <w:sz w:val="24"/>
          <w:szCs w:val="24"/>
        </w:rPr>
        <w:t>Cognition</w:t>
      </w:r>
      <w:r>
        <w:rPr>
          <w:rFonts w:eastAsia="Times New Roman"/>
          <w:sz w:val="24"/>
          <w:szCs w:val="24"/>
        </w:rPr>
        <w:t>,</w:t>
      </w:r>
      <w:r>
        <w:rPr>
          <w:rFonts w:eastAsia="Times New Roman"/>
          <w:i/>
          <w:iCs/>
          <w:sz w:val="24"/>
          <w:szCs w:val="24"/>
        </w:rPr>
        <w:t xml:space="preserve"> 21</w:t>
      </w:r>
      <w:r>
        <w:rPr>
          <w:rFonts w:eastAsia="Times New Roman"/>
          <w:sz w:val="24"/>
          <w:szCs w:val="24"/>
        </w:rPr>
        <w:t>(6), 1656-1669.</w:t>
      </w:r>
      <w:r>
        <w:rPr>
          <w:rFonts w:eastAsia="Times New Roman"/>
          <w:i/>
          <w:iCs/>
          <w:sz w:val="24"/>
          <w:szCs w:val="24"/>
        </w:rPr>
        <w:t xml:space="preserve"> </w:t>
      </w:r>
      <w:hyperlink r:id="rId7">
        <w:r>
          <w:rPr>
            <w:rFonts w:eastAsia="Times New Roman"/>
            <w:color w:val="0563C1"/>
            <w:sz w:val="24"/>
            <w:szCs w:val="24"/>
            <w:u w:val="single"/>
          </w:rPr>
          <w:t>http://dx.doi.org/10.1037/0278-7393.21.6.1656</w:t>
        </w:r>
      </w:hyperlink>
    </w:p>
    <w:p w:rsidR="00FE77F3" w:rsidRDefault="00FE77F3">
      <w:pPr>
        <w:spacing w:line="179" w:lineRule="exact"/>
        <w:rPr>
          <w:sz w:val="20"/>
          <w:szCs w:val="20"/>
        </w:rPr>
      </w:pPr>
    </w:p>
    <w:p w:rsidR="00FE77F3" w:rsidRDefault="00E3448D">
      <w:pPr>
        <w:spacing w:line="476" w:lineRule="auto"/>
        <w:ind w:left="720" w:right="460" w:hanging="719"/>
        <w:rPr>
          <w:sz w:val="20"/>
          <w:szCs w:val="20"/>
        </w:rPr>
      </w:pPr>
      <w:r>
        <w:rPr>
          <w:rFonts w:eastAsia="Times New Roman"/>
          <w:sz w:val="24"/>
          <w:szCs w:val="24"/>
        </w:rPr>
        <w:t xml:space="preserve">Basden, B., Basden, D., Bryner, S., &amp; Thomas, R. (1997). A comparison of group and individual remembering: Does collaboration disrupt retrieval strategies?. </w:t>
      </w:r>
      <w:r>
        <w:rPr>
          <w:rFonts w:eastAsia="Times New Roman"/>
          <w:i/>
          <w:iCs/>
          <w:sz w:val="24"/>
          <w:szCs w:val="24"/>
        </w:rPr>
        <w:t>Journal of Experimental</w:t>
      </w:r>
      <w:r>
        <w:rPr>
          <w:rFonts w:eastAsia="Times New Roman"/>
          <w:sz w:val="24"/>
          <w:szCs w:val="24"/>
        </w:rPr>
        <w:t xml:space="preserve"> </w:t>
      </w:r>
      <w:r>
        <w:rPr>
          <w:rFonts w:eastAsia="Times New Roman"/>
          <w:i/>
          <w:iCs/>
          <w:sz w:val="24"/>
          <w:szCs w:val="24"/>
        </w:rPr>
        <w:t>Psychology: Learning, Memory, and Cognition</w:t>
      </w:r>
      <w:r>
        <w:rPr>
          <w:rFonts w:eastAsia="Times New Roman"/>
          <w:sz w:val="24"/>
          <w:szCs w:val="24"/>
        </w:rPr>
        <w:t>,</w:t>
      </w:r>
      <w:r>
        <w:rPr>
          <w:rFonts w:eastAsia="Times New Roman"/>
          <w:i/>
          <w:iCs/>
          <w:sz w:val="24"/>
          <w:szCs w:val="24"/>
        </w:rPr>
        <w:t xml:space="preserve"> 23</w:t>
      </w:r>
      <w:r>
        <w:rPr>
          <w:rFonts w:eastAsia="Times New Roman"/>
          <w:sz w:val="24"/>
          <w:szCs w:val="24"/>
        </w:rPr>
        <w:t>(5), 1176-1189.</w:t>
      </w:r>
      <w:r>
        <w:rPr>
          <w:rFonts w:eastAsia="Times New Roman"/>
          <w:i/>
          <w:iCs/>
          <w:sz w:val="24"/>
          <w:szCs w:val="24"/>
        </w:rPr>
        <w:t xml:space="preserve"> </w:t>
      </w:r>
      <w:r>
        <w:rPr>
          <w:rFonts w:eastAsia="Times New Roman"/>
          <w:sz w:val="24"/>
          <w:szCs w:val="24"/>
        </w:rPr>
        <w:t>http://dx.doi.org/10.1037/0278-7393.23.5.1176</w:t>
      </w:r>
    </w:p>
    <w:p w:rsidR="00FE77F3" w:rsidRDefault="00FE77F3">
      <w:pPr>
        <w:spacing w:line="180" w:lineRule="exact"/>
        <w:rPr>
          <w:sz w:val="20"/>
          <w:szCs w:val="20"/>
        </w:rPr>
      </w:pPr>
    </w:p>
    <w:p w:rsidR="00FE77F3" w:rsidRDefault="00E3448D">
      <w:pPr>
        <w:spacing w:line="469" w:lineRule="auto"/>
        <w:ind w:left="720" w:right="60" w:hanging="719"/>
        <w:rPr>
          <w:rFonts w:eastAsia="Times New Roman"/>
          <w:color w:val="0563C1"/>
          <w:sz w:val="24"/>
          <w:szCs w:val="24"/>
          <w:u w:val="single"/>
        </w:rPr>
      </w:pPr>
      <w:r>
        <w:rPr>
          <w:rFonts w:eastAsia="Times New Roman"/>
          <w:sz w:val="24"/>
          <w:szCs w:val="24"/>
        </w:rPr>
        <w:t xml:space="preserve">Blank, H. (2009). Remembering. </w:t>
      </w:r>
      <w:r>
        <w:rPr>
          <w:rFonts w:eastAsia="Times New Roman"/>
          <w:i/>
          <w:iCs/>
          <w:sz w:val="24"/>
          <w:szCs w:val="24"/>
        </w:rPr>
        <w:t>Social Psychology</w:t>
      </w:r>
      <w:r>
        <w:rPr>
          <w:rFonts w:eastAsia="Times New Roman"/>
          <w:sz w:val="24"/>
          <w:szCs w:val="24"/>
        </w:rPr>
        <w:t xml:space="preserve">, </w:t>
      </w:r>
      <w:r>
        <w:rPr>
          <w:rFonts w:eastAsia="Times New Roman"/>
          <w:i/>
          <w:iCs/>
          <w:sz w:val="24"/>
          <w:szCs w:val="24"/>
        </w:rPr>
        <w:t>40</w:t>
      </w:r>
      <w:r>
        <w:rPr>
          <w:rFonts w:eastAsia="Times New Roman"/>
          <w:sz w:val="24"/>
          <w:szCs w:val="24"/>
        </w:rPr>
        <w:t xml:space="preserve">(3), 164-175. </w:t>
      </w:r>
      <w:hyperlink r:id="rId8">
        <w:r>
          <w:rPr>
            <w:rFonts w:eastAsia="Times New Roman"/>
            <w:color w:val="0563C1"/>
            <w:sz w:val="24"/>
            <w:szCs w:val="24"/>
            <w:u w:val="single"/>
          </w:rPr>
          <w:t>http://dx.doi.org/10.1027/1864-</w:t>
        </w:r>
      </w:hyperlink>
      <w:hyperlink r:id="rId9">
        <w:r>
          <w:rPr>
            <w:rFonts w:eastAsia="Times New Roman"/>
            <w:color w:val="0563C1"/>
            <w:sz w:val="24"/>
            <w:szCs w:val="24"/>
            <w:u w:val="single"/>
          </w:rPr>
          <w:t>9335.40.3.164</w:t>
        </w:r>
      </w:hyperlink>
    </w:p>
    <w:p w:rsidR="00FE77F3" w:rsidRDefault="00FE77F3">
      <w:pPr>
        <w:spacing w:line="193" w:lineRule="exact"/>
        <w:rPr>
          <w:sz w:val="20"/>
          <w:szCs w:val="20"/>
        </w:rPr>
      </w:pPr>
    </w:p>
    <w:p w:rsidR="00FE77F3" w:rsidRDefault="00E3448D">
      <w:pPr>
        <w:jc w:val="right"/>
        <w:rPr>
          <w:sz w:val="20"/>
          <w:szCs w:val="20"/>
        </w:rPr>
      </w:pPr>
      <w:r>
        <w:rPr>
          <w:rFonts w:ascii="Calibri" w:eastAsia="Calibri" w:hAnsi="Calibri" w:cs="Calibri"/>
        </w:rPr>
        <w:t>28</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29" w:name="page30"/>
      <w:bookmarkEnd w:id="29"/>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69" w:lineRule="auto"/>
        <w:ind w:left="720" w:right="220" w:hanging="719"/>
        <w:rPr>
          <w:sz w:val="20"/>
          <w:szCs w:val="20"/>
        </w:rPr>
      </w:pPr>
      <w:r>
        <w:rPr>
          <w:rFonts w:eastAsia="Times New Roman"/>
          <w:sz w:val="24"/>
          <w:szCs w:val="24"/>
        </w:rPr>
        <w:t xml:space="preserve">Bond, R. (2005). Group size and conformity. </w:t>
      </w:r>
      <w:r>
        <w:rPr>
          <w:rFonts w:eastAsia="Times New Roman"/>
          <w:i/>
          <w:iCs/>
          <w:sz w:val="24"/>
          <w:szCs w:val="24"/>
        </w:rPr>
        <w:t>Group Processes &amp; Intergroup Relations</w:t>
      </w:r>
      <w:r>
        <w:rPr>
          <w:rFonts w:eastAsia="Times New Roman"/>
          <w:sz w:val="24"/>
          <w:szCs w:val="24"/>
        </w:rPr>
        <w:t>, 8(4), 331-354. doi:10.1177/1368430205056464</w:t>
      </w:r>
    </w:p>
    <w:p w:rsidR="00FE77F3" w:rsidRDefault="00FE77F3">
      <w:pPr>
        <w:spacing w:line="187" w:lineRule="exact"/>
        <w:rPr>
          <w:sz w:val="20"/>
          <w:szCs w:val="20"/>
        </w:rPr>
      </w:pPr>
    </w:p>
    <w:p w:rsidR="00FE77F3" w:rsidRDefault="00E3448D">
      <w:pPr>
        <w:spacing w:line="474" w:lineRule="auto"/>
        <w:ind w:left="720" w:right="240" w:hanging="719"/>
        <w:rPr>
          <w:sz w:val="20"/>
          <w:szCs w:val="20"/>
        </w:rPr>
      </w:pPr>
      <w:r>
        <w:rPr>
          <w:rFonts w:eastAsia="Times New Roman"/>
          <w:sz w:val="24"/>
          <w:szCs w:val="24"/>
        </w:rPr>
        <w:t xml:space="preserve">Campbell, J., &amp; Fairey, P. (1989). Informational and normative routes to conformity: The effect of faction size as a function of norm extremity and attention to the stimulus. </w:t>
      </w:r>
      <w:r>
        <w:rPr>
          <w:rFonts w:eastAsia="Times New Roman"/>
          <w:i/>
          <w:iCs/>
          <w:sz w:val="24"/>
          <w:szCs w:val="24"/>
        </w:rPr>
        <w:t>Journal of</w:t>
      </w:r>
      <w:r>
        <w:rPr>
          <w:rFonts w:eastAsia="Times New Roman"/>
          <w:sz w:val="24"/>
          <w:szCs w:val="24"/>
        </w:rPr>
        <w:t xml:space="preserve"> </w:t>
      </w:r>
      <w:r>
        <w:rPr>
          <w:rFonts w:eastAsia="Times New Roman"/>
          <w:i/>
          <w:iCs/>
          <w:sz w:val="24"/>
          <w:szCs w:val="24"/>
        </w:rPr>
        <w:t>Personality and Social Psychology</w:t>
      </w:r>
      <w:r>
        <w:rPr>
          <w:rFonts w:eastAsia="Times New Roman"/>
          <w:sz w:val="24"/>
          <w:szCs w:val="24"/>
        </w:rPr>
        <w:t>,</w:t>
      </w:r>
      <w:r>
        <w:rPr>
          <w:rFonts w:eastAsia="Times New Roman"/>
          <w:i/>
          <w:iCs/>
          <w:sz w:val="24"/>
          <w:szCs w:val="24"/>
        </w:rPr>
        <w:t xml:space="preserve"> 57</w:t>
      </w:r>
      <w:r>
        <w:rPr>
          <w:rFonts w:eastAsia="Times New Roman"/>
          <w:sz w:val="24"/>
          <w:szCs w:val="24"/>
        </w:rPr>
        <w:t>(3), 457-468. doi:10.1037//0022-3514.57.3.457</w:t>
      </w:r>
    </w:p>
    <w:p w:rsidR="00FE77F3" w:rsidRDefault="00FE77F3">
      <w:pPr>
        <w:spacing w:line="179" w:lineRule="exact"/>
        <w:rPr>
          <w:sz w:val="20"/>
          <w:szCs w:val="20"/>
        </w:rPr>
      </w:pPr>
    </w:p>
    <w:p w:rsidR="00FE77F3" w:rsidRDefault="00E3448D">
      <w:pPr>
        <w:spacing w:line="474" w:lineRule="auto"/>
        <w:ind w:left="720" w:right="580" w:hanging="719"/>
        <w:rPr>
          <w:sz w:val="20"/>
          <w:szCs w:val="20"/>
        </w:rPr>
      </w:pPr>
      <w:r>
        <w:rPr>
          <w:rFonts w:eastAsia="Times New Roman"/>
          <w:sz w:val="24"/>
          <w:szCs w:val="24"/>
        </w:rPr>
        <w:t xml:space="preserve">Cann, D. &amp; Katz, A. (2005). Habitual acceptance of misinformation: Examination of individual differences and source attributions. </w:t>
      </w:r>
      <w:r>
        <w:rPr>
          <w:rFonts w:eastAsia="Times New Roman"/>
          <w:i/>
          <w:iCs/>
          <w:sz w:val="24"/>
          <w:szCs w:val="24"/>
        </w:rPr>
        <w:t>Memory &amp; Cognition</w:t>
      </w:r>
      <w:r>
        <w:rPr>
          <w:rFonts w:eastAsia="Times New Roman"/>
          <w:sz w:val="24"/>
          <w:szCs w:val="24"/>
        </w:rPr>
        <w:t xml:space="preserve">, </w:t>
      </w:r>
      <w:r>
        <w:rPr>
          <w:rFonts w:eastAsia="Times New Roman"/>
          <w:i/>
          <w:iCs/>
          <w:sz w:val="24"/>
          <w:szCs w:val="24"/>
        </w:rPr>
        <w:t>33</w:t>
      </w:r>
      <w:r>
        <w:rPr>
          <w:rFonts w:eastAsia="Times New Roman"/>
          <w:sz w:val="24"/>
          <w:szCs w:val="24"/>
        </w:rPr>
        <w:t>(3), 405-417. http://dx.doi.org/10.3758/bf03193059</w:t>
      </w:r>
    </w:p>
    <w:p w:rsidR="00FE77F3" w:rsidRDefault="00FE77F3">
      <w:pPr>
        <w:spacing w:line="170" w:lineRule="exact"/>
        <w:rPr>
          <w:sz w:val="20"/>
          <w:szCs w:val="20"/>
        </w:rPr>
      </w:pPr>
    </w:p>
    <w:p w:rsidR="00FE77F3" w:rsidRDefault="00E3448D">
      <w:pPr>
        <w:rPr>
          <w:sz w:val="20"/>
          <w:szCs w:val="20"/>
        </w:rPr>
      </w:pPr>
      <w:r>
        <w:rPr>
          <w:rFonts w:eastAsia="Times New Roman"/>
          <w:sz w:val="24"/>
          <w:szCs w:val="24"/>
        </w:rPr>
        <w:t xml:space="preserve">Cardozo, B. N. (2009) </w:t>
      </w:r>
      <w:r>
        <w:rPr>
          <w:rFonts w:eastAsia="Times New Roman"/>
          <w:i/>
          <w:iCs/>
          <w:sz w:val="24"/>
          <w:szCs w:val="24"/>
        </w:rPr>
        <w:t>Reevaluating lineups: Why witnesses make mistakes and how to reduce the</w:t>
      </w:r>
    </w:p>
    <w:p w:rsidR="00FE77F3" w:rsidRDefault="00FE77F3">
      <w:pPr>
        <w:spacing w:line="276" w:lineRule="exact"/>
        <w:rPr>
          <w:sz w:val="20"/>
          <w:szCs w:val="20"/>
        </w:rPr>
      </w:pPr>
    </w:p>
    <w:p w:rsidR="00FE77F3" w:rsidRDefault="00E3448D">
      <w:pPr>
        <w:ind w:left="720"/>
        <w:rPr>
          <w:sz w:val="20"/>
          <w:szCs w:val="20"/>
        </w:rPr>
      </w:pPr>
      <w:r>
        <w:rPr>
          <w:rFonts w:eastAsia="Times New Roman"/>
          <w:i/>
          <w:iCs/>
          <w:sz w:val="24"/>
          <w:szCs w:val="24"/>
        </w:rPr>
        <w:t xml:space="preserve">chance of a misidentification. </w:t>
      </w:r>
      <w:r>
        <w:rPr>
          <w:rFonts w:eastAsia="Times New Roman"/>
          <w:sz w:val="24"/>
          <w:szCs w:val="24"/>
        </w:rPr>
        <w:t>New York: Innocence Project, Inc .</w:t>
      </w:r>
    </w:p>
    <w:p w:rsidR="00FE77F3" w:rsidRDefault="00FE77F3">
      <w:pPr>
        <w:spacing w:line="200" w:lineRule="exact"/>
        <w:rPr>
          <w:sz w:val="20"/>
          <w:szCs w:val="20"/>
        </w:rPr>
      </w:pPr>
    </w:p>
    <w:p w:rsidR="00FE77F3" w:rsidRDefault="00FE77F3">
      <w:pPr>
        <w:spacing w:line="247" w:lineRule="exact"/>
        <w:rPr>
          <w:sz w:val="20"/>
          <w:szCs w:val="20"/>
        </w:rPr>
      </w:pPr>
    </w:p>
    <w:p w:rsidR="00FE77F3" w:rsidRDefault="00E3448D">
      <w:pPr>
        <w:spacing w:line="469" w:lineRule="auto"/>
        <w:ind w:left="720" w:right="120" w:hanging="719"/>
        <w:rPr>
          <w:sz w:val="20"/>
          <w:szCs w:val="20"/>
        </w:rPr>
      </w:pPr>
      <w:r>
        <w:rPr>
          <w:rFonts w:eastAsia="Times New Roman"/>
          <w:sz w:val="24"/>
          <w:szCs w:val="24"/>
        </w:rPr>
        <w:t xml:space="preserve">Carver, C. (1979). A cybernetic model of self-attention processes.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37</w:t>
      </w:r>
      <w:r>
        <w:rPr>
          <w:rFonts w:eastAsia="Times New Roman"/>
          <w:sz w:val="24"/>
          <w:szCs w:val="24"/>
        </w:rPr>
        <w:t>(8), 1251-1281. http://dx.doi.org/10.1037/0022-3514.37.8.1251</w:t>
      </w:r>
    </w:p>
    <w:p w:rsidR="00FE77F3" w:rsidRDefault="00FE77F3">
      <w:pPr>
        <w:spacing w:line="186" w:lineRule="exact"/>
        <w:rPr>
          <w:sz w:val="20"/>
          <w:szCs w:val="20"/>
        </w:rPr>
      </w:pPr>
    </w:p>
    <w:p w:rsidR="00FE77F3" w:rsidRDefault="00E3448D">
      <w:pPr>
        <w:spacing w:line="474" w:lineRule="auto"/>
        <w:ind w:left="720" w:right="260" w:hanging="719"/>
        <w:rPr>
          <w:sz w:val="20"/>
          <w:szCs w:val="20"/>
        </w:rPr>
      </w:pPr>
      <w:r>
        <w:rPr>
          <w:rFonts w:eastAsia="Times New Roman"/>
          <w:sz w:val="24"/>
          <w:szCs w:val="24"/>
        </w:rPr>
        <w:t xml:space="preserve">Carver, C., &amp; Scheier, M. (1981). The self-attention-induced feedback loop and social facilitation. </w:t>
      </w:r>
      <w:r>
        <w:rPr>
          <w:rFonts w:eastAsia="Times New Roman"/>
          <w:i/>
          <w:iCs/>
          <w:sz w:val="24"/>
          <w:szCs w:val="24"/>
        </w:rPr>
        <w:t>Journal of Experimental Social Psychology</w:t>
      </w:r>
      <w:r>
        <w:rPr>
          <w:rFonts w:eastAsia="Times New Roman"/>
          <w:sz w:val="24"/>
          <w:szCs w:val="24"/>
        </w:rPr>
        <w:t>,</w:t>
      </w:r>
      <w:r>
        <w:rPr>
          <w:rFonts w:eastAsia="Times New Roman"/>
          <w:i/>
          <w:iCs/>
          <w:sz w:val="24"/>
          <w:szCs w:val="24"/>
        </w:rPr>
        <w:t xml:space="preserve"> 17</w:t>
      </w:r>
      <w:r>
        <w:rPr>
          <w:rFonts w:eastAsia="Times New Roman"/>
          <w:sz w:val="24"/>
          <w:szCs w:val="24"/>
        </w:rPr>
        <w:t>(6), 545-568. doi:10.1016/0022-1031(81)90039-1</w:t>
      </w:r>
    </w:p>
    <w:p w:rsidR="00FE77F3" w:rsidRDefault="00FE77F3">
      <w:pPr>
        <w:spacing w:line="170" w:lineRule="exact"/>
        <w:rPr>
          <w:sz w:val="20"/>
          <w:szCs w:val="20"/>
        </w:rPr>
      </w:pPr>
    </w:p>
    <w:p w:rsidR="00FE77F3" w:rsidRDefault="00E3448D">
      <w:pPr>
        <w:rPr>
          <w:sz w:val="20"/>
          <w:szCs w:val="20"/>
        </w:rPr>
      </w:pPr>
      <w:r>
        <w:rPr>
          <w:rFonts w:eastAsia="Times New Roman"/>
          <w:sz w:val="24"/>
          <w:szCs w:val="24"/>
        </w:rPr>
        <w:t xml:space="preserve">Cohen, J. (1988). </w:t>
      </w:r>
      <w:r>
        <w:rPr>
          <w:rFonts w:eastAsia="Times New Roman"/>
          <w:i/>
          <w:iCs/>
          <w:sz w:val="24"/>
          <w:szCs w:val="24"/>
        </w:rPr>
        <w:t>Statistical power analysis for the behavioral sciences</w:t>
      </w:r>
      <w:r>
        <w:rPr>
          <w:rFonts w:eastAsia="Times New Roman"/>
          <w:sz w:val="24"/>
          <w:szCs w:val="24"/>
        </w:rPr>
        <w:t xml:space="preserve"> (2nd ed.). Hillsdale, NJ:</w:t>
      </w:r>
    </w:p>
    <w:p w:rsidR="00FE77F3" w:rsidRDefault="00FE77F3">
      <w:pPr>
        <w:spacing w:line="276" w:lineRule="exact"/>
        <w:rPr>
          <w:sz w:val="20"/>
          <w:szCs w:val="20"/>
        </w:rPr>
      </w:pPr>
    </w:p>
    <w:p w:rsidR="00FE77F3" w:rsidRDefault="00E3448D">
      <w:pPr>
        <w:ind w:left="720"/>
        <w:rPr>
          <w:sz w:val="20"/>
          <w:szCs w:val="20"/>
        </w:rPr>
      </w:pPr>
      <w:r>
        <w:rPr>
          <w:rFonts w:eastAsia="Times New Roman"/>
          <w:sz w:val="24"/>
          <w:szCs w:val="24"/>
        </w:rPr>
        <w:t>Lawrence Erlbaum.</w:t>
      </w:r>
    </w:p>
    <w:p w:rsidR="00FE77F3" w:rsidRDefault="00FE77F3">
      <w:pPr>
        <w:spacing w:line="200" w:lineRule="exact"/>
        <w:rPr>
          <w:sz w:val="20"/>
          <w:szCs w:val="20"/>
        </w:rPr>
      </w:pPr>
    </w:p>
    <w:p w:rsidR="00FE77F3" w:rsidRDefault="00FE77F3">
      <w:pPr>
        <w:spacing w:line="247" w:lineRule="exact"/>
        <w:rPr>
          <w:sz w:val="20"/>
          <w:szCs w:val="20"/>
        </w:rPr>
      </w:pPr>
    </w:p>
    <w:p w:rsidR="00FE77F3" w:rsidRDefault="00E3448D">
      <w:pPr>
        <w:spacing w:line="474" w:lineRule="auto"/>
        <w:ind w:left="720" w:right="540" w:hanging="719"/>
        <w:rPr>
          <w:sz w:val="20"/>
          <w:szCs w:val="20"/>
        </w:rPr>
      </w:pPr>
      <w:r>
        <w:rPr>
          <w:rFonts w:eastAsia="Times New Roman"/>
          <w:sz w:val="24"/>
          <w:szCs w:val="24"/>
        </w:rPr>
        <w:t xml:space="preserve">Dahlström, Ö., Danielsson, H., Emilsson, M., &amp; Andersson, J. (2011). Does retrieval strategy disruption cause general and specific collaborative inhibition?. </w:t>
      </w:r>
      <w:r>
        <w:rPr>
          <w:rFonts w:eastAsia="Times New Roman"/>
          <w:i/>
          <w:iCs/>
          <w:sz w:val="24"/>
          <w:szCs w:val="24"/>
        </w:rPr>
        <w:t>Memory</w:t>
      </w:r>
      <w:r>
        <w:rPr>
          <w:rFonts w:eastAsia="Times New Roman"/>
          <w:sz w:val="24"/>
          <w:szCs w:val="24"/>
        </w:rPr>
        <w:t xml:space="preserve">, </w:t>
      </w:r>
      <w:r>
        <w:rPr>
          <w:rFonts w:eastAsia="Times New Roman"/>
          <w:i/>
          <w:iCs/>
          <w:sz w:val="24"/>
          <w:szCs w:val="24"/>
        </w:rPr>
        <w:t>19</w:t>
      </w:r>
      <w:r>
        <w:rPr>
          <w:rFonts w:eastAsia="Times New Roman"/>
          <w:sz w:val="24"/>
          <w:szCs w:val="24"/>
        </w:rPr>
        <w:t>(2), 140-154. http://dx.doi.org/10.1080/09658211.2010.539571</w:t>
      </w:r>
    </w:p>
    <w:p w:rsidR="00FE77F3" w:rsidRDefault="00FE77F3">
      <w:pPr>
        <w:spacing w:line="182" w:lineRule="exact"/>
        <w:rPr>
          <w:sz w:val="20"/>
          <w:szCs w:val="20"/>
        </w:rPr>
      </w:pPr>
    </w:p>
    <w:p w:rsidR="00FE77F3" w:rsidRDefault="00E3448D">
      <w:pPr>
        <w:spacing w:line="474" w:lineRule="auto"/>
        <w:ind w:left="720" w:right="320" w:hanging="719"/>
        <w:rPr>
          <w:sz w:val="20"/>
          <w:szCs w:val="20"/>
        </w:rPr>
      </w:pPr>
      <w:r>
        <w:rPr>
          <w:rFonts w:eastAsia="Times New Roman"/>
          <w:sz w:val="24"/>
          <w:szCs w:val="24"/>
        </w:rPr>
        <w:t xml:space="preserve">Davis, D., &amp; Loftus, E. F. (2006). Internal and external sources of misinformation in adult witness memory. In M. P. Toglia, J. D. Read, D. F. Ross, &amp; R. C. L. Lindsay (Eds.), </w:t>
      </w:r>
      <w:r>
        <w:rPr>
          <w:rFonts w:eastAsia="Times New Roman"/>
          <w:i/>
          <w:iCs/>
          <w:sz w:val="24"/>
          <w:szCs w:val="24"/>
        </w:rPr>
        <w:t>Memory for</w:t>
      </w:r>
      <w:r>
        <w:rPr>
          <w:rFonts w:eastAsia="Times New Roman"/>
          <w:sz w:val="24"/>
          <w:szCs w:val="24"/>
        </w:rPr>
        <w:t xml:space="preserve"> </w:t>
      </w:r>
      <w:r>
        <w:rPr>
          <w:rFonts w:eastAsia="Times New Roman"/>
          <w:i/>
          <w:iCs/>
          <w:sz w:val="24"/>
          <w:szCs w:val="24"/>
        </w:rPr>
        <w:t xml:space="preserve">events. Handbook of eyewitness psychology </w:t>
      </w:r>
      <w:r>
        <w:rPr>
          <w:rFonts w:eastAsia="Times New Roman"/>
          <w:sz w:val="24"/>
          <w:szCs w:val="24"/>
        </w:rPr>
        <w:t>(Vol. l, pp. 195–237). Mahwah, NJ: Erlbaum.</w:t>
      </w:r>
    </w:p>
    <w:p w:rsidR="00FE77F3" w:rsidRDefault="00FE77F3">
      <w:pPr>
        <w:spacing w:line="188" w:lineRule="exact"/>
        <w:rPr>
          <w:sz w:val="20"/>
          <w:szCs w:val="20"/>
        </w:rPr>
      </w:pPr>
    </w:p>
    <w:p w:rsidR="00FE77F3" w:rsidRDefault="00E3448D">
      <w:pPr>
        <w:jc w:val="right"/>
        <w:rPr>
          <w:sz w:val="20"/>
          <w:szCs w:val="20"/>
        </w:rPr>
      </w:pPr>
      <w:r>
        <w:rPr>
          <w:rFonts w:ascii="Calibri" w:eastAsia="Calibri" w:hAnsi="Calibri" w:cs="Calibri"/>
        </w:rPr>
        <w:t>29</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0" w:name="page31"/>
      <w:bookmarkEnd w:id="30"/>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69" w:lineRule="auto"/>
        <w:ind w:left="720" w:right="140" w:hanging="719"/>
        <w:rPr>
          <w:sz w:val="20"/>
          <w:szCs w:val="20"/>
        </w:rPr>
      </w:pPr>
      <w:r>
        <w:rPr>
          <w:rFonts w:eastAsia="Times New Roman"/>
          <w:sz w:val="24"/>
          <w:szCs w:val="24"/>
        </w:rPr>
        <w:t xml:space="preserve">Deutsch, M., &amp; Gerard, H. B. (1955). A study of normative and informative social influences upon individual judgment. </w:t>
      </w:r>
      <w:r>
        <w:rPr>
          <w:rFonts w:eastAsia="Times New Roman"/>
          <w:i/>
          <w:iCs/>
          <w:sz w:val="24"/>
          <w:szCs w:val="24"/>
        </w:rPr>
        <w:t>Journal of Abnormal Social Psychology.</w:t>
      </w:r>
      <w:r>
        <w:rPr>
          <w:rFonts w:eastAsia="Times New Roman"/>
          <w:sz w:val="24"/>
          <w:szCs w:val="24"/>
        </w:rPr>
        <w:t xml:space="preserve"> 51 (6), 29-36. doi:</w:t>
      </w:r>
    </w:p>
    <w:p w:rsidR="00FE77F3" w:rsidRDefault="00FE77F3">
      <w:pPr>
        <w:spacing w:line="14" w:lineRule="exact"/>
        <w:rPr>
          <w:sz w:val="20"/>
          <w:szCs w:val="20"/>
        </w:rPr>
      </w:pPr>
    </w:p>
    <w:p w:rsidR="00FE77F3" w:rsidRDefault="00E3448D">
      <w:pPr>
        <w:ind w:left="720"/>
        <w:rPr>
          <w:sz w:val="20"/>
          <w:szCs w:val="20"/>
        </w:rPr>
      </w:pPr>
      <w:r>
        <w:rPr>
          <w:rFonts w:eastAsia="Times New Roman"/>
          <w:sz w:val="24"/>
          <w:szCs w:val="24"/>
        </w:rPr>
        <w:t>10.1037/h0046408</w:t>
      </w:r>
    </w:p>
    <w:p w:rsidR="00FE77F3" w:rsidRDefault="00FE77F3">
      <w:pPr>
        <w:spacing w:line="200" w:lineRule="exact"/>
        <w:rPr>
          <w:sz w:val="20"/>
          <w:szCs w:val="20"/>
        </w:rPr>
      </w:pPr>
    </w:p>
    <w:p w:rsidR="00FE77F3" w:rsidRDefault="00FE77F3">
      <w:pPr>
        <w:spacing w:line="249" w:lineRule="exact"/>
        <w:rPr>
          <w:sz w:val="20"/>
          <w:szCs w:val="20"/>
        </w:rPr>
      </w:pPr>
    </w:p>
    <w:p w:rsidR="00FE77F3" w:rsidRDefault="00E3448D">
      <w:pPr>
        <w:spacing w:line="469" w:lineRule="auto"/>
        <w:ind w:left="720" w:right="540" w:hanging="719"/>
        <w:rPr>
          <w:sz w:val="20"/>
          <w:szCs w:val="20"/>
        </w:rPr>
      </w:pPr>
      <w:r>
        <w:rPr>
          <w:rFonts w:eastAsia="Times New Roman"/>
          <w:sz w:val="24"/>
          <w:szCs w:val="24"/>
        </w:rPr>
        <w:t xml:space="preserve">Festinger, L. (1954). A theory of social comparison processes. </w:t>
      </w:r>
      <w:r>
        <w:rPr>
          <w:rFonts w:eastAsia="Times New Roman"/>
          <w:i/>
          <w:iCs/>
          <w:sz w:val="24"/>
          <w:szCs w:val="24"/>
        </w:rPr>
        <w:t>Human Relations</w:t>
      </w:r>
      <w:r>
        <w:rPr>
          <w:rFonts w:eastAsia="Times New Roman"/>
          <w:sz w:val="24"/>
          <w:szCs w:val="24"/>
        </w:rPr>
        <w:t xml:space="preserve">, </w:t>
      </w:r>
      <w:r>
        <w:rPr>
          <w:rFonts w:eastAsia="Times New Roman"/>
          <w:i/>
          <w:iCs/>
          <w:sz w:val="24"/>
          <w:szCs w:val="24"/>
        </w:rPr>
        <w:t>7</w:t>
      </w:r>
      <w:r>
        <w:rPr>
          <w:rFonts w:eastAsia="Times New Roman"/>
          <w:sz w:val="24"/>
          <w:szCs w:val="24"/>
        </w:rPr>
        <w:t>(2), 117-140. http://dx.doi.org/10.1177/001872675400700202</w:t>
      </w:r>
    </w:p>
    <w:p w:rsidR="00FE77F3" w:rsidRDefault="00FE77F3">
      <w:pPr>
        <w:spacing w:line="183" w:lineRule="exact"/>
        <w:rPr>
          <w:sz w:val="20"/>
          <w:szCs w:val="20"/>
        </w:rPr>
      </w:pPr>
    </w:p>
    <w:p w:rsidR="00FE77F3" w:rsidRDefault="00E3448D">
      <w:pPr>
        <w:ind w:right="660"/>
        <w:jc w:val="center"/>
        <w:rPr>
          <w:sz w:val="20"/>
          <w:szCs w:val="20"/>
        </w:rPr>
      </w:pPr>
      <w:r>
        <w:rPr>
          <w:rFonts w:eastAsia="Times New Roman"/>
          <w:sz w:val="23"/>
          <w:szCs w:val="23"/>
        </w:rPr>
        <w:t>Fiedler, K. (2000). Beware of samples! A cognitive-ecological sampling approach to judgment</w:t>
      </w:r>
    </w:p>
    <w:p w:rsidR="00FE77F3" w:rsidRDefault="00FE77F3">
      <w:pPr>
        <w:spacing w:line="288" w:lineRule="exact"/>
        <w:rPr>
          <w:sz w:val="20"/>
          <w:szCs w:val="20"/>
        </w:rPr>
      </w:pPr>
    </w:p>
    <w:p w:rsidR="00FE77F3" w:rsidRDefault="00E3448D">
      <w:pPr>
        <w:spacing w:line="469" w:lineRule="auto"/>
        <w:ind w:left="720" w:right="1380"/>
        <w:rPr>
          <w:sz w:val="20"/>
          <w:szCs w:val="20"/>
        </w:rPr>
      </w:pPr>
      <w:r>
        <w:rPr>
          <w:rFonts w:eastAsia="Times New Roman"/>
          <w:sz w:val="24"/>
          <w:szCs w:val="24"/>
        </w:rPr>
        <w:t xml:space="preserve">biases. </w:t>
      </w:r>
      <w:r>
        <w:rPr>
          <w:rFonts w:eastAsia="Times New Roman"/>
          <w:i/>
          <w:iCs/>
          <w:sz w:val="24"/>
          <w:szCs w:val="24"/>
        </w:rPr>
        <w:t>Psychological Review</w:t>
      </w:r>
      <w:r>
        <w:rPr>
          <w:rFonts w:eastAsia="Times New Roman"/>
          <w:sz w:val="24"/>
          <w:szCs w:val="24"/>
        </w:rPr>
        <w:t xml:space="preserve">, </w:t>
      </w:r>
      <w:r>
        <w:rPr>
          <w:rFonts w:eastAsia="Times New Roman"/>
          <w:i/>
          <w:iCs/>
          <w:sz w:val="24"/>
          <w:szCs w:val="24"/>
        </w:rPr>
        <w:t>107</w:t>
      </w:r>
      <w:r>
        <w:rPr>
          <w:rFonts w:eastAsia="Times New Roman"/>
          <w:sz w:val="24"/>
          <w:szCs w:val="24"/>
        </w:rPr>
        <w:t>(4), 659-676. http://dx.doi.org/10.1037/0033-295x.107.4.659</w:t>
      </w:r>
    </w:p>
    <w:p w:rsidR="00FE77F3" w:rsidRDefault="00FE77F3">
      <w:pPr>
        <w:spacing w:line="187" w:lineRule="exact"/>
        <w:rPr>
          <w:sz w:val="20"/>
          <w:szCs w:val="20"/>
        </w:rPr>
      </w:pPr>
    </w:p>
    <w:p w:rsidR="00FE77F3" w:rsidRDefault="00E3448D">
      <w:pPr>
        <w:spacing w:line="474" w:lineRule="auto"/>
        <w:ind w:left="720" w:right="540" w:hanging="719"/>
        <w:rPr>
          <w:sz w:val="20"/>
          <w:szCs w:val="20"/>
        </w:rPr>
      </w:pPr>
      <w:r>
        <w:rPr>
          <w:rFonts w:eastAsia="Times New Roman"/>
          <w:sz w:val="24"/>
          <w:szCs w:val="24"/>
        </w:rPr>
        <w:t xml:space="preserve">French, L., Garry, M., &amp; Mori, K. (2008). You say tomato? Collaborative remembering leads to more false memories for intimate couples than for strangers. </w:t>
      </w:r>
      <w:r>
        <w:rPr>
          <w:rFonts w:eastAsia="Times New Roman"/>
          <w:i/>
          <w:iCs/>
          <w:sz w:val="24"/>
          <w:szCs w:val="24"/>
        </w:rPr>
        <w:t>Memory</w:t>
      </w:r>
      <w:r>
        <w:rPr>
          <w:rFonts w:eastAsia="Times New Roman"/>
          <w:sz w:val="24"/>
          <w:szCs w:val="24"/>
        </w:rPr>
        <w:t xml:space="preserve">, </w:t>
      </w:r>
      <w:r>
        <w:rPr>
          <w:rFonts w:eastAsia="Times New Roman"/>
          <w:i/>
          <w:iCs/>
          <w:sz w:val="24"/>
          <w:szCs w:val="24"/>
        </w:rPr>
        <w:t>16</w:t>
      </w:r>
      <w:r>
        <w:rPr>
          <w:rFonts w:eastAsia="Times New Roman"/>
          <w:sz w:val="24"/>
          <w:szCs w:val="24"/>
        </w:rPr>
        <w:t>(3), 262-273. http://dx.doi.org/10.1080/09658210701801491</w:t>
      </w:r>
    </w:p>
    <w:p w:rsidR="00FE77F3" w:rsidRDefault="00FE77F3">
      <w:pPr>
        <w:spacing w:line="179" w:lineRule="exact"/>
        <w:rPr>
          <w:sz w:val="20"/>
          <w:szCs w:val="20"/>
        </w:rPr>
      </w:pPr>
    </w:p>
    <w:p w:rsidR="00FE77F3" w:rsidRDefault="00E3448D">
      <w:pPr>
        <w:spacing w:line="474" w:lineRule="auto"/>
        <w:ind w:left="720" w:right="20" w:hanging="719"/>
        <w:rPr>
          <w:sz w:val="20"/>
          <w:szCs w:val="20"/>
        </w:rPr>
      </w:pPr>
      <w:r>
        <w:rPr>
          <w:rFonts w:eastAsia="Times New Roman"/>
          <w:sz w:val="24"/>
          <w:szCs w:val="24"/>
        </w:rPr>
        <w:t xml:space="preserve">French, L., Garry, M., &amp; Mori, K. (2011). Relative – not absolute – judgments of credibility affect susceptibility to misinformation conveyed during discussion. </w:t>
      </w:r>
      <w:r>
        <w:rPr>
          <w:rFonts w:eastAsia="Times New Roman"/>
          <w:i/>
          <w:iCs/>
          <w:sz w:val="24"/>
          <w:szCs w:val="24"/>
        </w:rPr>
        <w:t>Acta Psychologica</w:t>
      </w:r>
      <w:r>
        <w:rPr>
          <w:rFonts w:eastAsia="Times New Roman"/>
          <w:sz w:val="24"/>
          <w:szCs w:val="24"/>
        </w:rPr>
        <w:t xml:space="preserve">, </w:t>
      </w:r>
      <w:r>
        <w:rPr>
          <w:rFonts w:eastAsia="Times New Roman"/>
          <w:i/>
          <w:iCs/>
          <w:sz w:val="24"/>
          <w:szCs w:val="24"/>
        </w:rPr>
        <w:t>136</w:t>
      </w:r>
      <w:r>
        <w:rPr>
          <w:rFonts w:eastAsia="Times New Roman"/>
          <w:sz w:val="24"/>
          <w:szCs w:val="24"/>
        </w:rPr>
        <w:t>(1), 119-128. http://dx.doi.org/10.1016/j.actpsy.2010.10.009</w:t>
      </w:r>
    </w:p>
    <w:p w:rsidR="00FE77F3" w:rsidRDefault="00FE77F3">
      <w:pPr>
        <w:spacing w:line="182" w:lineRule="exact"/>
        <w:rPr>
          <w:sz w:val="20"/>
          <w:szCs w:val="20"/>
        </w:rPr>
      </w:pPr>
    </w:p>
    <w:p w:rsidR="00FE77F3" w:rsidRDefault="00E3448D">
      <w:pPr>
        <w:spacing w:line="474" w:lineRule="auto"/>
        <w:ind w:left="720" w:right="940" w:hanging="719"/>
        <w:rPr>
          <w:rFonts w:eastAsia="Times New Roman"/>
          <w:color w:val="0563C1"/>
          <w:sz w:val="24"/>
          <w:szCs w:val="24"/>
          <w:u w:val="single"/>
        </w:rPr>
      </w:pPr>
      <w:r>
        <w:rPr>
          <w:rFonts w:eastAsia="Times New Roman"/>
          <w:sz w:val="24"/>
          <w:szCs w:val="24"/>
        </w:rPr>
        <w:t xml:space="preserve">Frenda, S., Nichols, R., &amp; Loftus, E. (2011). Current issues and advances in misinformation research. </w:t>
      </w:r>
      <w:r>
        <w:rPr>
          <w:rFonts w:eastAsia="Times New Roman"/>
          <w:i/>
          <w:iCs/>
          <w:sz w:val="24"/>
          <w:szCs w:val="24"/>
        </w:rPr>
        <w:t>Current Directions in Psychological Science</w:t>
      </w:r>
      <w:r>
        <w:rPr>
          <w:rFonts w:eastAsia="Times New Roman"/>
          <w:sz w:val="24"/>
          <w:szCs w:val="24"/>
        </w:rPr>
        <w:t xml:space="preserve">, </w:t>
      </w:r>
      <w:r>
        <w:rPr>
          <w:rFonts w:eastAsia="Times New Roman"/>
          <w:i/>
          <w:iCs/>
          <w:sz w:val="24"/>
          <w:szCs w:val="24"/>
        </w:rPr>
        <w:t>20</w:t>
      </w:r>
      <w:r>
        <w:rPr>
          <w:rFonts w:eastAsia="Times New Roman"/>
          <w:sz w:val="24"/>
          <w:szCs w:val="24"/>
        </w:rPr>
        <w:t xml:space="preserve">(1), 20-23. </w:t>
      </w:r>
      <w:hyperlink r:id="rId10">
        <w:r>
          <w:rPr>
            <w:rFonts w:eastAsia="Times New Roman"/>
            <w:color w:val="0563C1"/>
            <w:sz w:val="24"/>
            <w:szCs w:val="24"/>
            <w:u w:val="single"/>
          </w:rPr>
          <w:t>http://dx.doi.org/10.1177/0963721410396620</w:t>
        </w:r>
      </w:hyperlink>
    </w:p>
    <w:p w:rsidR="00FE77F3" w:rsidRDefault="00FE77F3">
      <w:pPr>
        <w:spacing w:line="182" w:lineRule="exact"/>
        <w:rPr>
          <w:sz w:val="20"/>
          <w:szCs w:val="20"/>
        </w:rPr>
      </w:pPr>
    </w:p>
    <w:p w:rsidR="00FE77F3" w:rsidRDefault="00E3448D">
      <w:pPr>
        <w:spacing w:line="474" w:lineRule="auto"/>
        <w:ind w:left="720" w:right="200" w:hanging="719"/>
        <w:rPr>
          <w:rFonts w:eastAsia="Times New Roman"/>
          <w:color w:val="0563C1"/>
          <w:sz w:val="24"/>
          <w:szCs w:val="24"/>
          <w:u w:val="single"/>
        </w:rPr>
      </w:pPr>
      <w:r>
        <w:rPr>
          <w:rFonts w:eastAsia="Times New Roman"/>
          <w:sz w:val="24"/>
          <w:szCs w:val="24"/>
        </w:rPr>
        <w:t xml:space="preserve">Gabbert, F., Memon, A., &amp; Allan, K. (2003). Memory conformity: can eyewitnesses influence each other's memories for an event?.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17</w:t>
      </w:r>
      <w:r>
        <w:rPr>
          <w:rFonts w:eastAsia="Times New Roman"/>
          <w:sz w:val="24"/>
          <w:szCs w:val="24"/>
        </w:rPr>
        <w:t xml:space="preserve">(5), 533-543. </w:t>
      </w:r>
      <w:hyperlink r:id="rId11">
        <w:r>
          <w:rPr>
            <w:rFonts w:eastAsia="Times New Roman"/>
            <w:color w:val="0563C1"/>
            <w:sz w:val="24"/>
            <w:szCs w:val="24"/>
            <w:u w:val="single"/>
          </w:rPr>
          <w:t>http://dx.doi.org/10.1002/acp.885</w:t>
        </w:r>
      </w:hyperlink>
    </w:p>
    <w:p w:rsidR="00FE77F3" w:rsidRDefault="00FE77F3">
      <w:pPr>
        <w:spacing w:line="180" w:lineRule="exact"/>
        <w:rPr>
          <w:sz w:val="20"/>
          <w:szCs w:val="20"/>
        </w:rPr>
      </w:pPr>
    </w:p>
    <w:p w:rsidR="00FE77F3" w:rsidRDefault="00E3448D">
      <w:pPr>
        <w:spacing w:line="500" w:lineRule="auto"/>
        <w:ind w:left="720" w:right="140" w:hanging="719"/>
        <w:rPr>
          <w:sz w:val="20"/>
          <w:szCs w:val="20"/>
        </w:rPr>
      </w:pPr>
      <w:r>
        <w:rPr>
          <w:rFonts w:eastAsia="Times New Roman"/>
          <w:sz w:val="23"/>
          <w:szCs w:val="23"/>
        </w:rPr>
        <w:t xml:space="preserve">Gardikiotis, A., Martin, R., &amp; Hewstone, M. (2005). Group consensus in social influence: Type of consensus information as a moderator of majority and minority influence. </w:t>
      </w:r>
      <w:r>
        <w:rPr>
          <w:rFonts w:eastAsia="Times New Roman"/>
          <w:i/>
          <w:iCs/>
          <w:sz w:val="23"/>
          <w:szCs w:val="23"/>
        </w:rPr>
        <w:t>Personality and</w:t>
      </w:r>
      <w:r>
        <w:rPr>
          <w:rFonts w:eastAsia="Times New Roman"/>
          <w:sz w:val="23"/>
          <w:szCs w:val="23"/>
        </w:rPr>
        <w:t xml:space="preserve"> </w:t>
      </w:r>
      <w:r>
        <w:rPr>
          <w:rFonts w:eastAsia="Times New Roman"/>
          <w:i/>
          <w:iCs/>
          <w:sz w:val="23"/>
          <w:szCs w:val="23"/>
        </w:rPr>
        <w:t>Social Psychology Bulletin</w:t>
      </w:r>
      <w:r>
        <w:rPr>
          <w:rFonts w:eastAsia="Times New Roman"/>
          <w:sz w:val="23"/>
          <w:szCs w:val="23"/>
        </w:rPr>
        <w:t>,</w:t>
      </w:r>
      <w:r>
        <w:rPr>
          <w:rFonts w:eastAsia="Times New Roman"/>
          <w:i/>
          <w:iCs/>
          <w:sz w:val="23"/>
          <w:szCs w:val="23"/>
        </w:rPr>
        <w:t xml:space="preserve"> 31</w:t>
      </w:r>
      <w:r>
        <w:rPr>
          <w:rFonts w:eastAsia="Times New Roman"/>
          <w:sz w:val="23"/>
          <w:szCs w:val="23"/>
        </w:rPr>
        <w:t>(9), 1163-1174. http://dx.doi.org/10.1177/0146167205277807</w:t>
      </w:r>
    </w:p>
    <w:p w:rsidR="00FE77F3" w:rsidRDefault="00FE77F3">
      <w:pPr>
        <w:spacing w:line="331" w:lineRule="exact"/>
        <w:rPr>
          <w:sz w:val="20"/>
          <w:szCs w:val="20"/>
        </w:rPr>
      </w:pPr>
    </w:p>
    <w:p w:rsidR="00FE77F3" w:rsidRDefault="00E3448D">
      <w:pPr>
        <w:jc w:val="right"/>
        <w:rPr>
          <w:sz w:val="20"/>
          <w:szCs w:val="20"/>
        </w:rPr>
      </w:pPr>
      <w:r>
        <w:rPr>
          <w:rFonts w:ascii="Calibri" w:eastAsia="Calibri" w:hAnsi="Calibri" w:cs="Calibri"/>
        </w:rPr>
        <w:t>30</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1" w:name="page32"/>
      <w:bookmarkEnd w:id="31"/>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69" w:lineRule="auto"/>
        <w:ind w:left="720" w:right="60" w:hanging="719"/>
        <w:rPr>
          <w:sz w:val="20"/>
          <w:szCs w:val="20"/>
        </w:rPr>
      </w:pPr>
      <w:r>
        <w:rPr>
          <w:rFonts w:eastAsia="Times New Roman"/>
          <w:sz w:val="24"/>
          <w:szCs w:val="24"/>
        </w:rPr>
        <w:t xml:space="preserve">Gerard, H., Wilhelmy, R., &amp; Conolley, E. (1968). Conformity and group size. </w:t>
      </w:r>
      <w:r>
        <w:rPr>
          <w:rFonts w:eastAsia="Times New Roman"/>
          <w:i/>
          <w:iCs/>
          <w:sz w:val="24"/>
          <w:szCs w:val="24"/>
        </w:rPr>
        <w:t>Journal of Personality</w:t>
      </w:r>
      <w:r>
        <w:rPr>
          <w:rFonts w:eastAsia="Times New Roman"/>
          <w:sz w:val="24"/>
          <w:szCs w:val="24"/>
        </w:rPr>
        <w:t xml:space="preserve"> </w:t>
      </w:r>
      <w:r>
        <w:rPr>
          <w:rFonts w:eastAsia="Times New Roman"/>
          <w:i/>
          <w:iCs/>
          <w:sz w:val="24"/>
          <w:szCs w:val="24"/>
        </w:rPr>
        <w:t>and Social Psychology</w:t>
      </w:r>
      <w:r>
        <w:rPr>
          <w:rFonts w:eastAsia="Times New Roman"/>
          <w:sz w:val="24"/>
          <w:szCs w:val="24"/>
        </w:rPr>
        <w:t>, 8(1, Pt.1), 79-82. http://dx.doi.org/10.1037/h0025325</w:t>
      </w:r>
    </w:p>
    <w:p w:rsidR="00FE77F3" w:rsidRDefault="00FE77F3">
      <w:pPr>
        <w:spacing w:line="187" w:lineRule="exact"/>
        <w:rPr>
          <w:sz w:val="20"/>
          <w:szCs w:val="20"/>
        </w:rPr>
      </w:pPr>
    </w:p>
    <w:p w:rsidR="00FE77F3" w:rsidRDefault="00E3448D">
      <w:pPr>
        <w:spacing w:line="474" w:lineRule="auto"/>
        <w:ind w:left="720" w:right="40" w:hanging="719"/>
        <w:rPr>
          <w:rFonts w:eastAsia="Times New Roman"/>
          <w:i/>
          <w:iCs/>
          <w:sz w:val="24"/>
          <w:szCs w:val="24"/>
        </w:rPr>
      </w:pPr>
      <w:r>
        <w:rPr>
          <w:rFonts w:eastAsia="Times New Roman"/>
          <w:sz w:val="24"/>
          <w:szCs w:val="24"/>
        </w:rPr>
        <w:t xml:space="preserve">Goodwin, K., Kukucka, J., &amp; Hawks, I. (2012). Co-witness confidence, conformity, and eyewitness memory: an examination of normative and informational social influences. </w:t>
      </w:r>
      <w:r>
        <w:rPr>
          <w:rFonts w:eastAsia="Times New Roman"/>
          <w:i/>
          <w:iCs/>
          <w:sz w:val="24"/>
          <w:szCs w:val="24"/>
        </w:rPr>
        <w:t>Applied Cognitive</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27</w:t>
      </w:r>
      <w:r>
        <w:rPr>
          <w:rFonts w:eastAsia="Times New Roman"/>
          <w:sz w:val="24"/>
          <w:szCs w:val="24"/>
        </w:rPr>
        <w:t>(1), 91-100.</w:t>
      </w:r>
      <w:r>
        <w:rPr>
          <w:rFonts w:eastAsia="Times New Roman"/>
          <w:i/>
          <w:iCs/>
          <w:sz w:val="24"/>
          <w:szCs w:val="24"/>
        </w:rPr>
        <w:t xml:space="preserve"> </w:t>
      </w:r>
      <w:hyperlink r:id="rId12">
        <w:r>
          <w:rPr>
            <w:rFonts w:eastAsia="Times New Roman"/>
            <w:color w:val="0563C1"/>
            <w:sz w:val="24"/>
            <w:szCs w:val="24"/>
            <w:u w:val="single"/>
          </w:rPr>
          <w:t>http://dx.doi.org/10.1002/acp.2877</w:t>
        </w:r>
      </w:hyperlink>
    </w:p>
    <w:p w:rsidR="00FE77F3" w:rsidRDefault="00FE77F3">
      <w:pPr>
        <w:spacing w:line="167" w:lineRule="exact"/>
        <w:rPr>
          <w:sz w:val="20"/>
          <w:szCs w:val="20"/>
        </w:rPr>
      </w:pPr>
    </w:p>
    <w:p w:rsidR="00FE77F3" w:rsidRDefault="00E3448D">
      <w:pPr>
        <w:rPr>
          <w:sz w:val="20"/>
          <w:szCs w:val="20"/>
        </w:rPr>
      </w:pPr>
      <w:r>
        <w:rPr>
          <w:rFonts w:eastAsia="Times New Roman"/>
          <w:sz w:val="24"/>
          <w:szCs w:val="24"/>
        </w:rPr>
        <w:t>Hertwig, R., Gigerenzer, G., &amp; Hoffrage, U. (1997). The reiteration effect in hindsight</w:t>
      </w:r>
    </w:p>
    <w:p w:rsidR="00FE77F3" w:rsidRDefault="00FE77F3">
      <w:pPr>
        <w:spacing w:line="276" w:lineRule="exact"/>
        <w:rPr>
          <w:sz w:val="20"/>
          <w:szCs w:val="20"/>
        </w:rPr>
      </w:pPr>
    </w:p>
    <w:p w:rsidR="00FE77F3" w:rsidRDefault="00E3448D">
      <w:pPr>
        <w:ind w:left="720"/>
        <w:rPr>
          <w:sz w:val="20"/>
          <w:szCs w:val="20"/>
        </w:rPr>
      </w:pPr>
      <w:r>
        <w:rPr>
          <w:rFonts w:eastAsia="Times New Roman"/>
          <w:sz w:val="24"/>
          <w:szCs w:val="24"/>
        </w:rPr>
        <w:t xml:space="preserve">bias. </w:t>
      </w:r>
      <w:r>
        <w:rPr>
          <w:rFonts w:eastAsia="Times New Roman"/>
          <w:i/>
          <w:iCs/>
          <w:sz w:val="24"/>
          <w:szCs w:val="24"/>
        </w:rPr>
        <w:t>Psychological Review</w:t>
      </w:r>
      <w:r>
        <w:rPr>
          <w:rFonts w:eastAsia="Times New Roman"/>
          <w:sz w:val="24"/>
          <w:szCs w:val="24"/>
        </w:rPr>
        <w:t xml:space="preserve">, </w:t>
      </w:r>
      <w:r>
        <w:rPr>
          <w:rFonts w:eastAsia="Times New Roman"/>
          <w:i/>
          <w:iCs/>
          <w:sz w:val="24"/>
          <w:szCs w:val="24"/>
        </w:rPr>
        <w:t>104</w:t>
      </w:r>
      <w:r>
        <w:rPr>
          <w:rFonts w:eastAsia="Times New Roman"/>
          <w:sz w:val="24"/>
          <w:szCs w:val="24"/>
        </w:rPr>
        <w:t>(1), 194-202. http://dx.doi.org/10.1037/0033-295x.104.1.194</w:t>
      </w:r>
    </w:p>
    <w:p w:rsidR="00FE77F3" w:rsidRDefault="00FE77F3">
      <w:pPr>
        <w:spacing w:line="200" w:lineRule="exact"/>
        <w:rPr>
          <w:sz w:val="20"/>
          <w:szCs w:val="20"/>
        </w:rPr>
      </w:pPr>
    </w:p>
    <w:p w:rsidR="00FE77F3" w:rsidRDefault="00FE77F3">
      <w:pPr>
        <w:spacing w:line="250" w:lineRule="exact"/>
        <w:rPr>
          <w:sz w:val="20"/>
          <w:szCs w:val="20"/>
        </w:rPr>
      </w:pPr>
    </w:p>
    <w:p w:rsidR="00FE77F3" w:rsidRDefault="00E3448D">
      <w:pPr>
        <w:spacing w:line="474" w:lineRule="auto"/>
        <w:ind w:left="720" w:right="180" w:hanging="719"/>
        <w:rPr>
          <w:sz w:val="20"/>
          <w:szCs w:val="20"/>
        </w:rPr>
      </w:pPr>
      <w:r>
        <w:rPr>
          <w:rFonts w:eastAsia="Times New Roman"/>
          <w:sz w:val="24"/>
          <w:szCs w:val="24"/>
        </w:rPr>
        <w:t xml:space="preserve">Hewitt, L. Y., Kane, R., &amp; Garry, M. (2013). Speaking order predicts memory conformity after accounting for exposure to misinformation. </w:t>
      </w:r>
      <w:r>
        <w:rPr>
          <w:rFonts w:eastAsia="Times New Roman"/>
          <w:i/>
          <w:iCs/>
          <w:sz w:val="24"/>
          <w:szCs w:val="24"/>
        </w:rPr>
        <w:t>Psychonomic bulletin &amp; review</w:t>
      </w:r>
      <w:r>
        <w:rPr>
          <w:rFonts w:eastAsia="Times New Roman"/>
          <w:sz w:val="24"/>
          <w:szCs w:val="24"/>
        </w:rPr>
        <w:t>, 20(3), 558-565. https://doi.org/10.3758/s13423-013-0377-4</w:t>
      </w:r>
    </w:p>
    <w:p w:rsidR="00FE77F3" w:rsidRDefault="00FE77F3">
      <w:pPr>
        <w:spacing w:line="179" w:lineRule="exact"/>
        <w:rPr>
          <w:sz w:val="20"/>
          <w:szCs w:val="20"/>
        </w:rPr>
      </w:pPr>
    </w:p>
    <w:p w:rsidR="00FE77F3" w:rsidRDefault="00E3448D">
      <w:pPr>
        <w:spacing w:line="474" w:lineRule="auto"/>
        <w:ind w:left="720" w:right="620" w:hanging="719"/>
        <w:rPr>
          <w:sz w:val="20"/>
          <w:szCs w:val="20"/>
        </w:rPr>
      </w:pPr>
      <w:r>
        <w:rPr>
          <w:rFonts w:eastAsia="Times New Roman"/>
          <w:sz w:val="24"/>
          <w:szCs w:val="24"/>
        </w:rPr>
        <w:t xml:space="preserve">Hope, L., Ost, J., Gabbert, F., Healey, S., &amp; Lenton, E. (2008). “With a little help from my friends…”: The role of co-witness relationship in susceptibility to misinformation. </w:t>
      </w:r>
      <w:r>
        <w:rPr>
          <w:rFonts w:eastAsia="Times New Roman"/>
          <w:i/>
          <w:iCs/>
          <w:sz w:val="24"/>
          <w:szCs w:val="24"/>
        </w:rPr>
        <w:t>Acta</w:t>
      </w:r>
      <w:r>
        <w:rPr>
          <w:rFonts w:eastAsia="Times New Roman"/>
          <w:sz w:val="24"/>
          <w:szCs w:val="24"/>
        </w:rPr>
        <w:t xml:space="preserve"> </w:t>
      </w:r>
      <w:r>
        <w:rPr>
          <w:rFonts w:eastAsia="Times New Roman"/>
          <w:i/>
          <w:iCs/>
          <w:sz w:val="24"/>
          <w:szCs w:val="24"/>
        </w:rPr>
        <w:t>Psychologica</w:t>
      </w:r>
      <w:r>
        <w:rPr>
          <w:rFonts w:eastAsia="Times New Roman"/>
          <w:sz w:val="24"/>
          <w:szCs w:val="24"/>
        </w:rPr>
        <w:t>,</w:t>
      </w:r>
      <w:r>
        <w:rPr>
          <w:rFonts w:eastAsia="Times New Roman"/>
          <w:i/>
          <w:iCs/>
          <w:sz w:val="24"/>
          <w:szCs w:val="24"/>
        </w:rPr>
        <w:t xml:space="preserve"> 127</w:t>
      </w:r>
      <w:r>
        <w:rPr>
          <w:rFonts w:eastAsia="Times New Roman"/>
          <w:sz w:val="24"/>
          <w:szCs w:val="24"/>
        </w:rPr>
        <w:t>(2), 476-484. http://dx.doi.org/10.1016/j.actpsy.2007.08.010</w:t>
      </w:r>
    </w:p>
    <w:p w:rsidR="00FE77F3" w:rsidRDefault="00FE77F3">
      <w:pPr>
        <w:spacing w:line="182" w:lineRule="exact"/>
        <w:rPr>
          <w:sz w:val="20"/>
          <w:szCs w:val="20"/>
        </w:rPr>
      </w:pPr>
    </w:p>
    <w:p w:rsidR="00FE77F3" w:rsidRDefault="00E3448D">
      <w:pPr>
        <w:spacing w:line="476" w:lineRule="auto"/>
        <w:ind w:left="720" w:right="780" w:hanging="719"/>
        <w:rPr>
          <w:sz w:val="20"/>
          <w:szCs w:val="20"/>
        </w:rPr>
      </w:pPr>
      <w:r>
        <w:rPr>
          <w:rFonts w:eastAsia="Times New Roman"/>
          <w:sz w:val="24"/>
          <w:szCs w:val="24"/>
        </w:rPr>
        <w:t xml:space="preserve">Jonas, E., Schulz-Hardt, S., Frey, D., &amp; Thelen, N. (2001). Confirmation bias in sequential information search after preliminary decisions: an expansion of dissonance theoretical research on selective exposure to information. </w:t>
      </w:r>
      <w:r>
        <w:rPr>
          <w:rFonts w:eastAsia="Times New Roman"/>
          <w:i/>
          <w:iCs/>
          <w:sz w:val="24"/>
          <w:szCs w:val="24"/>
        </w:rPr>
        <w:t>Journal of personality and social</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80</w:t>
      </w:r>
      <w:r>
        <w:rPr>
          <w:rFonts w:eastAsia="Times New Roman"/>
          <w:sz w:val="24"/>
          <w:szCs w:val="24"/>
        </w:rPr>
        <w:t>(4), 557. DOI: 10.1037/0022-3514.80.4.557</w:t>
      </w:r>
    </w:p>
    <w:p w:rsidR="00FE77F3" w:rsidRDefault="00FE77F3">
      <w:pPr>
        <w:spacing w:line="179" w:lineRule="exact"/>
        <w:rPr>
          <w:sz w:val="20"/>
          <w:szCs w:val="20"/>
        </w:rPr>
      </w:pPr>
    </w:p>
    <w:p w:rsidR="00FE77F3" w:rsidRDefault="00E3448D">
      <w:pPr>
        <w:spacing w:line="474" w:lineRule="auto"/>
        <w:ind w:left="720" w:right="240" w:hanging="719"/>
        <w:rPr>
          <w:sz w:val="20"/>
          <w:szCs w:val="20"/>
        </w:rPr>
      </w:pPr>
      <w:r>
        <w:rPr>
          <w:rFonts w:eastAsia="Times New Roman"/>
          <w:sz w:val="24"/>
          <w:szCs w:val="24"/>
        </w:rPr>
        <w:t xml:space="preserve">Kebbell, M. &amp; Milne, R. (1998). Police officers' perceptions of eyewitness performance in forensic investigations. </w:t>
      </w:r>
      <w:r>
        <w:rPr>
          <w:rFonts w:eastAsia="Times New Roman"/>
          <w:i/>
          <w:iCs/>
          <w:sz w:val="24"/>
          <w:szCs w:val="24"/>
        </w:rPr>
        <w:t>The Journal of Social Psychology</w:t>
      </w:r>
      <w:r>
        <w:rPr>
          <w:rFonts w:eastAsia="Times New Roman"/>
          <w:sz w:val="24"/>
          <w:szCs w:val="24"/>
        </w:rPr>
        <w:t xml:space="preserve">, </w:t>
      </w:r>
      <w:r>
        <w:rPr>
          <w:rFonts w:eastAsia="Times New Roman"/>
          <w:i/>
          <w:iCs/>
          <w:sz w:val="24"/>
          <w:szCs w:val="24"/>
        </w:rPr>
        <w:t>138</w:t>
      </w:r>
      <w:r>
        <w:rPr>
          <w:rFonts w:eastAsia="Times New Roman"/>
          <w:sz w:val="24"/>
          <w:szCs w:val="24"/>
        </w:rPr>
        <w:t>(3), 323-330. http://dx.doi.org/10.1080/00224549809600384</w:t>
      </w:r>
    </w:p>
    <w:p w:rsidR="00FE77F3" w:rsidRDefault="00FE77F3">
      <w:pPr>
        <w:spacing w:line="180" w:lineRule="exact"/>
        <w:rPr>
          <w:sz w:val="20"/>
          <w:szCs w:val="20"/>
        </w:rPr>
      </w:pPr>
    </w:p>
    <w:p w:rsidR="00FE77F3" w:rsidRDefault="00E3448D">
      <w:pPr>
        <w:spacing w:line="469" w:lineRule="auto"/>
        <w:ind w:left="720" w:right="860" w:hanging="719"/>
        <w:rPr>
          <w:sz w:val="20"/>
          <w:szCs w:val="20"/>
        </w:rPr>
      </w:pPr>
      <w:r>
        <w:rPr>
          <w:rFonts w:eastAsia="Times New Roman"/>
          <w:sz w:val="24"/>
          <w:szCs w:val="24"/>
        </w:rPr>
        <w:t xml:space="preserve">Latané, B., &amp; Wolf, S. (1981). The social impact of majorities and minorities. </w:t>
      </w:r>
      <w:r>
        <w:rPr>
          <w:rFonts w:eastAsia="Times New Roman"/>
          <w:i/>
          <w:iCs/>
          <w:sz w:val="24"/>
          <w:szCs w:val="24"/>
        </w:rPr>
        <w:t>Psychological</w:t>
      </w:r>
      <w:r>
        <w:rPr>
          <w:rFonts w:eastAsia="Times New Roman"/>
          <w:sz w:val="24"/>
          <w:szCs w:val="24"/>
        </w:rPr>
        <w:t xml:space="preserve"> </w:t>
      </w:r>
      <w:r>
        <w:rPr>
          <w:rFonts w:eastAsia="Times New Roman"/>
          <w:i/>
          <w:iCs/>
          <w:sz w:val="24"/>
          <w:szCs w:val="24"/>
        </w:rPr>
        <w:t>Review</w:t>
      </w:r>
      <w:r>
        <w:rPr>
          <w:rFonts w:eastAsia="Times New Roman"/>
          <w:sz w:val="24"/>
          <w:szCs w:val="24"/>
        </w:rPr>
        <w:t>,</w:t>
      </w:r>
      <w:r>
        <w:rPr>
          <w:rFonts w:eastAsia="Times New Roman"/>
          <w:i/>
          <w:iCs/>
          <w:sz w:val="24"/>
          <w:szCs w:val="24"/>
        </w:rPr>
        <w:t xml:space="preserve"> 88</w:t>
      </w:r>
      <w:r>
        <w:rPr>
          <w:rFonts w:eastAsia="Times New Roman"/>
          <w:sz w:val="24"/>
          <w:szCs w:val="24"/>
        </w:rPr>
        <w:t>(5), 438-453. http://dx.doi.org/10.1037/0033-295x.88.5.438</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05" w:lineRule="exact"/>
        <w:rPr>
          <w:sz w:val="20"/>
          <w:szCs w:val="20"/>
        </w:rPr>
      </w:pPr>
    </w:p>
    <w:p w:rsidR="00FE77F3" w:rsidRDefault="00E3448D">
      <w:pPr>
        <w:jc w:val="right"/>
        <w:rPr>
          <w:sz w:val="20"/>
          <w:szCs w:val="20"/>
        </w:rPr>
      </w:pPr>
      <w:r>
        <w:rPr>
          <w:rFonts w:ascii="Calibri" w:eastAsia="Calibri" w:hAnsi="Calibri" w:cs="Calibri"/>
        </w:rPr>
        <w:t>31</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2" w:name="page33"/>
      <w:bookmarkEnd w:id="32"/>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6" w:lineRule="auto"/>
        <w:ind w:left="720" w:right="160" w:hanging="719"/>
        <w:rPr>
          <w:rFonts w:eastAsia="Times New Roman"/>
          <w:color w:val="0563C1"/>
          <w:sz w:val="24"/>
          <w:szCs w:val="24"/>
          <w:u w:val="single"/>
        </w:rPr>
      </w:pPr>
      <w:r>
        <w:rPr>
          <w:rFonts w:eastAsia="Times New Roman"/>
          <w:sz w:val="24"/>
          <w:szCs w:val="24"/>
        </w:rPr>
        <w:t xml:space="preserve">Liebman, J., McKinley-Pace, M., Leonard, A., Sheesley, L., Gallant, C., Renkey, M., &amp; Lehman, E. (2002). Cognitive and psychosocial correlates of adults' eyewitness accuracy and suggestibility. </w:t>
      </w:r>
      <w:r>
        <w:rPr>
          <w:rFonts w:eastAsia="Times New Roman"/>
          <w:i/>
          <w:iCs/>
          <w:sz w:val="24"/>
          <w:szCs w:val="24"/>
        </w:rPr>
        <w:t>Personality and Individual Differences</w:t>
      </w:r>
      <w:r>
        <w:rPr>
          <w:rFonts w:eastAsia="Times New Roman"/>
          <w:sz w:val="24"/>
          <w:szCs w:val="24"/>
        </w:rPr>
        <w:t xml:space="preserve">, </w:t>
      </w:r>
      <w:r>
        <w:rPr>
          <w:rFonts w:eastAsia="Times New Roman"/>
          <w:i/>
          <w:iCs/>
          <w:sz w:val="24"/>
          <w:szCs w:val="24"/>
        </w:rPr>
        <w:t>33</w:t>
      </w:r>
      <w:r>
        <w:rPr>
          <w:rFonts w:eastAsia="Times New Roman"/>
          <w:sz w:val="24"/>
          <w:szCs w:val="24"/>
        </w:rPr>
        <w:t xml:space="preserve">(1), 49-66. </w:t>
      </w:r>
      <w:hyperlink r:id="rId13">
        <w:r>
          <w:rPr>
            <w:rFonts w:eastAsia="Times New Roman"/>
            <w:color w:val="0563C1"/>
            <w:sz w:val="24"/>
            <w:szCs w:val="24"/>
            <w:u w:val="single"/>
          </w:rPr>
          <w:t>http://dx.doi.org/10.1016/s0191-8869(01)00135-0</w:t>
        </w:r>
      </w:hyperlink>
    </w:p>
    <w:p w:rsidR="00FE77F3" w:rsidRDefault="00FE77F3">
      <w:pPr>
        <w:spacing w:line="180" w:lineRule="exact"/>
        <w:rPr>
          <w:sz w:val="20"/>
          <w:szCs w:val="20"/>
        </w:rPr>
      </w:pPr>
    </w:p>
    <w:p w:rsidR="00FE77F3" w:rsidRDefault="00E3448D">
      <w:pPr>
        <w:spacing w:line="474" w:lineRule="auto"/>
        <w:ind w:left="720" w:right="780" w:hanging="719"/>
        <w:rPr>
          <w:sz w:val="20"/>
          <w:szCs w:val="20"/>
        </w:rPr>
      </w:pPr>
      <w:r>
        <w:rPr>
          <w:rFonts w:eastAsia="Times New Roman"/>
          <w:sz w:val="24"/>
          <w:szCs w:val="24"/>
        </w:rPr>
        <w:t xml:space="preserve">Loftus, E. (2005). Planting misinformation in the human mind: A 30-year investigation of the malleability of memory. </w:t>
      </w:r>
      <w:r>
        <w:rPr>
          <w:rFonts w:eastAsia="Times New Roman"/>
          <w:i/>
          <w:iCs/>
          <w:sz w:val="24"/>
          <w:szCs w:val="24"/>
        </w:rPr>
        <w:t>Learning &amp; Memory</w:t>
      </w:r>
      <w:r>
        <w:rPr>
          <w:rFonts w:eastAsia="Times New Roman"/>
          <w:sz w:val="24"/>
          <w:szCs w:val="24"/>
        </w:rPr>
        <w:t xml:space="preserve">, </w:t>
      </w:r>
      <w:r>
        <w:rPr>
          <w:rFonts w:eastAsia="Times New Roman"/>
          <w:i/>
          <w:iCs/>
          <w:sz w:val="24"/>
          <w:szCs w:val="24"/>
        </w:rPr>
        <w:t>12</w:t>
      </w:r>
      <w:r>
        <w:rPr>
          <w:rFonts w:eastAsia="Times New Roman"/>
          <w:sz w:val="24"/>
          <w:szCs w:val="24"/>
        </w:rPr>
        <w:t>(4), 361-366. http://dx.doi.org/10.1101/lm.94705</w:t>
      </w:r>
    </w:p>
    <w:p w:rsidR="00FE77F3" w:rsidRDefault="00FE77F3">
      <w:pPr>
        <w:spacing w:line="180" w:lineRule="exact"/>
        <w:rPr>
          <w:sz w:val="20"/>
          <w:szCs w:val="20"/>
        </w:rPr>
      </w:pPr>
    </w:p>
    <w:p w:rsidR="00FE77F3" w:rsidRDefault="00E3448D">
      <w:pPr>
        <w:spacing w:line="474" w:lineRule="auto"/>
        <w:ind w:left="720" w:right="1160" w:hanging="719"/>
        <w:rPr>
          <w:sz w:val="20"/>
          <w:szCs w:val="20"/>
        </w:rPr>
      </w:pPr>
      <w:r>
        <w:rPr>
          <w:rFonts w:eastAsia="Times New Roman"/>
          <w:sz w:val="24"/>
          <w:szCs w:val="24"/>
        </w:rPr>
        <w:t xml:space="preserve">Luus, C., &amp; Wells, G. (1994). The malleability of eyewitness confidence: Co-witness and perseverance effects. </w:t>
      </w:r>
      <w:r>
        <w:rPr>
          <w:rFonts w:eastAsia="Times New Roman"/>
          <w:i/>
          <w:iCs/>
          <w:sz w:val="24"/>
          <w:szCs w:val="24"/>
        </w:rPr>
        <w:t>Journal of Applied Psychology</w:t>
      </w:r>
      <w:r>
        <w:rPr>
          <w:rFonts w:eastAsia="Times New Roman"/>
          <w:sz w:val="24"/>
          <w:szCs w:val="24"/>
        </w:rPr>
        <w:t xml:space="preserve">, </w:t>
      </w:r>
      <w:r>
        <w:rPr>
          <w:rFonts w:eastAsia="Times New Roman"/>
          <w:i/>
          <w:iCs/>
          <w:sz w:val="24"/>
          <w:szCs w:val="24"/>
        </w:rPr>
        <w:t>79</w:t>
      </w:r>
      <w:r>
        <w:rPr>
          <w:rFonts w:eastAsia="Times New Roman"/>
          <w:sz w:val="24"/>
          <w:szCs w:val="24"/>
        </w:rPr>
        <w:t>(5), 714-723. http://dx.doi.org/10.1037/0021-9010.79.5.714</w:t>
      </w:r>
    </w:p>
    <w:p w:rsidR="00FE77F3" w:rsidRDefault="00FE77F3">
      <w:pPr>
        <w:spacing w:line="182" w:lineRule="exact"/>
        <w:rPr>
          <w:sz w:val="20"/>
          <w:szCs w:val="20"/>
        </w:rPr>
      </w:pPr>
    </w:p>
    <w:p w:rsidR="00FE77F3" w:rsidRDefault="00E3448D">
      <w:pPr>
        <w:spacing w:line="469" w:lineRule="auto"/>
        <w:ind w:right="120"/>
        <w:jc w:val="right"/>
        <w:rPr>
          <w:sz w:val="20"/>
          <w:szCs w:val="20"/>
        </w:rPr>
      </w:pPr>
      <w:r>
        <w:rPr>
          <w:rFonts w:eastAsia="Times New Roman"/>
          <w:sz w:val="24"/>
          <w:szCs w:val="24"/>
        </w:rPr>
        <w:t xml:space="preserve">Mannes, A. (2009). Are we wise about the wisdom of crowds? The use of group judgments in belief revision. </w:t>
      </w:r>
      <w:r>
        <w:rPr>
          <w:rFonts w:eastAsia="Times New Roman"/>
          <w:i/>
          <w:iCs/>
          <w:sz w:val="24"/>
          <w:szCs w:val="24"/>
        </w:rPr>
        <w:t>Management Science</w:t>
      </w:r>
      <w:r>
        <w:rPr>
          <w:rFonts w:eastAsia="Times New Roman"/>
          <w:sz w:val="24"/>
          <w:szCs w:val="24"/>
        </w:rPr>
        <w:t xml:space="preserve">, </w:t>
      </w:r>
      <w:r>
        <w:rPr>
          <w:rFonts w:eastAsia="Times New Roman"/>
          <w:i/>
          <w:iCs/>
          <w:sz w:val="24"/>
          <w:szCs w:val="24"/>
        </w:rPr>
        <w:t>55</w:t>
      </w:r>
      <w:r>
        <w:rPr>
          <w:rFonts w:eastAsia="Times New Roman"/>
          <w:sz w:val="24"/>
          <w:szCs w:val="24"/>
        </w:rPr>
        <w:t>(8), 1267-1279. http://dx.doi.org/10.1287/mnsc.1090.1031</w:t>
      </w:r>
    </w:p>
    <w:p w:rsidR="00FE77F3" w:rsidRDefault="00FE77F3">
      <w:pPr>
        <w:spacing w:line="184" w:lineRule="exact"/>
        <w:rPr>
          <w:sz w:val="20"/>
          <w:szCs w:val="20"/>
        </w:rPr>
      </w:pPr>
    </w:p>
    <w:p w:rsidR="00FE77F3" w:rsidRDefault="00E3448D">
      <w:pPr>
        <w:spacing w:line="476" w:lineRule="auto"/>
        <w:ind w:left="720" w:right="60" w:hanging="719"/>
        <w:rPr>
          <w:sz w:val="20"/>
          <w:szCs w:val="20"/>
        </w:rPr>
      </w:pPr>
      <w:r>
        <w:rPr>
          <w:rFonts w:eastAsia="Times New Roman"/>
          <w:sz w:val="24"/>
          <w:szCs w:val="24"/>
        </w:rPr>
        <w:t xml:space="preserve">Memon, A., Dalton, G., Horry, R., Mine, R., &amp; Wright, D. (2016). How do witnesses fare with video identification parades, and are police forces following good practice? Researchers into real cases on both sides of the border present their findings. </w:t>
      </w:r>
      <w:r>
        <w:rPr>
          <w:rFonts w:eastAsia="Times New Roman"/>
          <w:i/>
          <w:iCs/>
          <w:sz w:val="24"/>
          <w:szCs w:val="24"/>
        </w:rPr>
        <w:t>The Journal</w:t>
      </w:r>
      <w:r>
        <w:rPr>
          <w:rFonts w:eastAsia="Times New Roman"/>
          <w:sz w:val="24"/>
          <w:szCs w:val="24"/>
        </w:rPr>
        <w:t>. Retrieved from http://www.journalonline.co.uk/Magazine/57-11/1011839.aspx</w:t>
      </w:r>
    </w:p>
    <w:p w:rsidR="00FE77F3" w:rsidRDefault="00FE77F3">
      <w:pPr>
        <w:spacing w:line="180" w:lineRule="exact"/>
        <w:rPr>
          <w:sz w:val="20"/>
          <w:szCs w:val="20"/>
        </w:rPr>
      </w:pPr>
    </w:p>
    <w:p w:rsidR="00FE77F3" w:rsidRDefault="00E3448D">
      <w:pPr>
        <w:spacing w:line="474" w:lineRule="auto"/>
        <w:ind w:left="720" w:right="80" w:hanging="719"/>
        <w:rPr>
          <w:sz w:val="20"/>
          <w:szCs w:val="20"/>
        </w:rPr>
      </w:pPr>
      <w:r>
        <w:rPr>
          <w:rFonts w:eastAsia="Times New Roman"/>
          <w:sz w:val="24"/>
          <w:szCs w:val="24"/>
        </w:rPr>
        <w:t xml:space="preserve">Mojtahedi, D., Ioannou, M. and Hammond, L. (2017). Personality correlates of co-witness suggestibility. </w:t>
      </w:r>
      <w:r>
        <w:rPr>
          <w:rFonts w:eastAsia="Times New Roman"/>
          <w:i/>
          <w:iCs/>
          <w:sz w:val="24"/>
          <w:szCs w:val="24"/>
        </w:rPr>
        <w:t>Journal of Forensic Psychology Research and Practice.</w:t>
      </w:r>
      <w:r>
        <w:rPr>
          <w:rFonts w:eastAsia="Times New Roman"/>
          <w:sz w:val="24"/>
          <w:szCs w:val="24"/>
        </w:rPr>
        <w:t xml:space="preserve"> 17 (4), 249-274. DOI: 10.1080/24732850.2017.1358996</w:t>
      </w:r>
    </w:p>
    <w:p w:rsidR="00FE77F3" w:rsidRDefault="00FE77F3">
      <w:pPr>
        <w:spacing w:line="182" w:lineRule="exact"/>
        <w:rPr>
          <w:sz w:val="20"/>
          <w:szCs w:val="20"/>
        </w:rPr>
      </w:pPr>
    </w:p>
    <w:p w:rsidR="00FE77F3" w:rsidRDefault="00E3448D">
      <w:pPr>
        <w:spacing w:line="476" w:lineRule="auto"/>
        <w:ind w:left="720" w:right="160" w:hanging="719"/>
        <w:rPr>
          <w:sz w:val="20"/>
          <w:szCs w:val="20"/>
        </w:rPr>
      </w:pPr>
      <w:r>
        <w:rPr>
          <w:rFonts w:eastAsia="Times New Roman"/>
          <w:sz w:val="24"/>
          <w:szCs w:val="24"/>
        </w:rPr>
        <w:t xml:space="preserve">Morgan, C., Hazlett, G., Baranoski, M., Doran, A., Southwick, S., &amp; Loftus, E. (2007). Accuracy of Eyewitness Identification is significantly associated with performance on a standardized test of face recognition. </w:t>
      </w:r>
      <w:r>
        <w:rPr>
          <w:rFonts w:eastAsia="Times New Roman"/>
          <w:i/>
          <w:iCs/>
          <w:sz w:val="24"/>
          <w:szCs w:val="24"/>
        </w:rPr>
        <w:t>International Journal of Law And Psychiatry</w:t>
      </w:r>
      <w:r>
        <w:rPr>
          <w:rFonts w:eastAsia="Times New Roman"/>
          <w:sz w:val="24"/>
          <w:szCs w:val="24"/>
        </w:rPr>
        <w:t xml:space="preserve">, </w:t>
      </w:r>
      <w:r>
        <w:rPr>
          <w:rFonts w:eastAsia="Times New Roman"/>
          <w:i/>
          <w:iCs/>
          <w:sz w:val="24"/>
          <w:szCs w:val="24"/>
        </w:rPr>
        <w:t>30</w:t>
      </w:r>
      <w:r>
        <w:rPr>
          <w:rFonts w:eastAsia="Times New Roman"/>
          <w:sz w:val="24"/>
          <w:szCs w:val="24"/>
        </w:rPr>
        <w:t>(3), 213-223. doi:10.1016/j.ijlp.2007.03.005</w:t>
      </w:r>
    </w:p>
    <w:p w:rsidR="00FE77F3" w:rsidRDefault="00FE77F3">
      <w:pPr>
        <w:spacing w:line="200" w:lineRule="exact"/>
        <w:rPr>
          <w:sz w:val="20"/>
          <w:szCs w:val="20"/>
        </w:rPr>
      </w:pPr>
    </w:p>
    <w:p w:rsidR="00FE77F3" w:rsidRDefault="00FE77F3">
      <w:pPr>
        <w:spacing w:line="306" w:lineRule="exact"/>
        <w:rPr>
          <w:sz w:val="20"/>
          <w:szCs w:val="20"/>
        </w:rPr>
      </w:pPr>
    </w:p>
    <w:p w:rsidR="00FE77F3" w:rsidRDefault="00E3448D">
      <w:pPr>
        <w:jc w:val="right"/>
        <w:rPr>
          <w:sz w:val="20"/>
          <w:szCs w:val="20"/>
        </w:rPr>
      </w:pPr>
      <w:r>
        <w:rPr>
          <w:rFonts w:ascii="Calibri" w:eastAsia="Calibri" w:hAnsi="Calibri" w:cs="Calibri"/>
        </w:rPr>
        <w:t>32</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3" w:name="page34"/>
      <w:bookmarkEnd w:id="33"/>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4" w:lineRule="auto"/>
        <w:ind w:left="720" w:right="220" w:hanging="719"/>
        <w:rPr>
          <w:sz w:val="20"/>
          <w:szCs w:val="20"/>
        </w:rPr>
      </w:pPr>
      <w:r>
        <w:rPr>
          <w:rFonts w:eastAsia="Times New Roman"/>
          <w:sz w:val="24"/>
          <w:szCs w:val="24"/>
        </w:rPr>
        <w:t xml:space="preserve">Mori, K., &amp; Mori, H. (2008). Conformity among cowitnesses sharing same or different information about an event in experimental collaborative eyewitness testimony. </w:t>
      </w:r>
      <w:r>
        <w:rPr>
          <w:rFonts w:eastAsia="Times New Roman"/>
          <w:i/>
          <w:iCs/>
          <w:sz w:val="24"/>
          <w:szCs w:val="24"/>
        </w:rPr>
        <w:t>Perceptual and Motor</w:t>
      </w:r>
      <w:r>
        <w:rPr>
          <w:rFonts w:eastAsia="Times New Roman"/>
          <w:sz w:val="24"/>
          <w:szCs w:val="24"/>
        </w:rPr>
        <w:t xml:space="preserve"> </w:t>
      </w:r>
      <w:r>
        <w:rPr>
          <w:rFonts w:eastAsia="Times New Roman"/>
          <w:i/>
          <w:iCs/>
          <w:sz w:val="24"/>
          <w:szCs w:val="24"/>
        </w:rPr>
        <w:t>Skills</w:t>
      </w:r>
      <w:r>
        <w:rPr>
          <w:rFonts w:eastAsia="Times New Roman"/>
          <w:sz w:val="24"/>
          <w:szCs w:val="24"/>
        </w:rPr>
        <w:t>,</w:t>
      </w:r>
      <w:r>
        <w:rPr>
          <w:rFonts w:eastAsia="Times New Roman"/>
          <w:i/>
          <w:iCs/>
          <w:sz w:val="24"/>
          <w:szCs w:val="24"/>
        </w:rPr>
        <w:t xml:space="preserve"> 106</w:t>
      </w:r>
      <w:r>
        <w:rPr>
          <w:rFonts w:eastAsia="Times New Roman"/>
          <w:sz w:val="24"/>
          <w:szCs w:val="24"/>
        </w:rPr>
        <w:t>(1), 275-290. http://dx.doi.org/10.2466/pms.106.1.275-290</w:t>
      </w:r>
    </w:p>
    <w:p w:rsidR="00FE77F3" w:rsidRDefault="00FE77F3">
      <w:pPr>
        <w:spacing w:line="182" w:lineRule="exact"/>
        <w:rPr>
          <w:sz w:val="20"/>
          <w:szCs w:val="20"/>
        </w:rPr>
      </w:pPr>
    </w:p>
    <w:p w:rsidR="00FE77F3" w:rsidRDefault="00E3448D">
      <w:pPr>
        <w:spacing w:line="474" w:lineRule="auto"/>
        <w:ind w:left="720" w:right="120" w:hanging="719"/>
        <w:rPr>
          <w:sz w:val="20"/>
          <w:szCs w:val="20"/>
        </w:rPr>
      </w:pPr>
      <w:r>
        <w:rPr>
          <w:rFonts w:eastAsia="Times New Roman"/>
          <w:sz w:val="24"/>
          <w:szCs w:val="24"/>
        </w:rPr>
        <w:t xml:space="preserve">Morris, W. &amp; Miller, R. (1975). The effects of consensus-breaking and consensus-preempting partners on reduction of conformity. </w:t>
      </w:r>
      <w:r>
        <w:rPr>
          <w:rFonts w:eastAsia="Times New Roman"/>
          <w:i/>
          <w:iCs/>
          <w:sz w:val="24"/>
          <w:szCs w:val="24"/>
        </w:rPr>
        <w:t>Journal of Experimental Social Psychology</w:t>
      </w:r>
      <w:r>
        <w:rPr>
          <w:rFonts w:eastAsia="Times New Roman"/>
          <w:sz w:val="24"/>
          <w:szCs w:val="24"/>
        </w:rPr>
        <w:t xml:space="preserve">, </w:t>
      </w:r>
      <w:r>
        <w:rPr>
          <w:rFonts w:eastAsia="Times New Roman"/>
          <w:i/>
          <w:iCs/>
          <w:sz w:val="24"/>
          <w:szCs w:val="24"/>
        </w:rPr>
        <w:t>11</w:t>
      </w:r>
      <w:r>
        <w:rPr>
          <w:rFonts w:eastAsia="Times New Roman"/>
          <w:sz w:val="24"/>
          <w:szCs w:val="24"/>
        </w:rPr>
        <w:t>(3), 215-223. http://dx.doi.org/10.1016/s0022-1031(75)80023-0</w:t>
      </w:r>
    </w:p>
    <w:p w:rsidR="00FE77F3" w:rsidRDefault="00FE77F3">
      <w:pPr>
        <w:spacing w:line="179" w:lineRule="exact"/>
        <w:rPr>
          <w:sz w:val="20"/>
          <w:szCs w:val="20"/>
        </w:rPr>
      </w:pPr>
    </w:p>
    <w:p w:rsidR="00FE77F3" w:rsidRDefault="00E3448D">
      <w:pPr>
        <w:spacing w:line="474" w:lineRule="auto"/>
        <w:ind w:left="720" w:right="780" w:hanging="719"/>
        <w:rPr>
          <w:sz w:val="20"/>
          <w:szCs w:val="20"/>
        </w:rPr>
      </w:pPr>
      <w:r>
        <w:rPr>
          <w:rFonts w:eastAsia="Times New Roman"/>
          <w:sz w:val="24"/>
          <w:szCs w:val="24"/>
        </w:rPr>
        <w:t xml:space="preserve">Mullen, B. (1983). Operationalizing the effect of the group on the individual: A self-attention perspective. </w:t>
      </w:r>
      <w:r>
        <w:rPr>
          <w:rFonts w:eastAsia="Times New Roman"/>
          <w:i/>
          <w:iCs/>
          <w:sz w:val="24"/>
          <w:szCs w:val="24"/>
        </w:rPr>
        <w:t>Journal of Experimental Social Psychology</w:t>
      </w:r>
      <w:r>
        <w:rPr>
          <w:rFonts w:eastAsia="Times New Roman"/>
          <w:sz w:val="24"/>
          <w:szCs w:val="24"/>
        </w:rPr>
        <w:t xml:space="preserve">, </w:t>
      </w:r>
      <w:r>
        <w:rPr>
          <w:rFonts w:eastAsia="Times New Roman"/>
          <w:i/>
          <w:iCs/>
          <w:sz w:val="24"/>
          <w:szCs w:val="24"/>
        </w:rPr>
        <w:t>19</w:t>
      </w:r>
      <w:r>
        <w:rPr>
          <w:rFonts w:eastAsia="Times New Roman"/>
          <w:sz w:val="24"/>
          <w:szCs w:val="24"/>
        </w:rPr>
        <w:t>(4), 295-322. http://dx.doi.org/10.1016/0022-1031(83)90025-2</w:t>
      </w:r>
    </w:p>
    <w:p w:rsidR="00FE77F3" w:rsidRDefault="00FE77F3">
      <w:pPr>
        <w:spacing w:line="182" w:lineRule="exact"/>
        <w:rPr>
          <w:sz w:val="20"/>
          <w:szCs w:val="20"/>
        </w:rPr>
      </w:pPr>
    </w:p>
    <w:p w:rsidR="00FE77F3" w:rsidRDefault="00E3448D">
      <w:pPr>
        <w:spacing w:line="469" w:lineRule="auto"/>
        <w:ind w:left="720" w:right="360" w:hanging="719"/>
        <w:rPr>
          <w:rFonts w:eastAsia="Times New Roman"/>
          <w:i/>
          <w:iCs/>
          <w:sz w:val="24"/>
          <w:szCs w:val="24"/>
        </w:rPr>
      </w:pPr>
      <w:r>
        <w:rPr>
          <w:rFonts w:eastAsia="Times New Roman"/>
          <w:sz w:val="24"/>
          <w:szCs w:val="24"/>
        </w:rPr>
        <w:t xml:space="preserve">Nordholm, L. (1975). Effects of group size and stimulus ambiguity on conformity. </w:t>
      </w:r>
      <w:r>
        <w:rPr>
          <w:rFonts w:eastAsia="Times New Roman"/>
          <w:i/>
          <w:iCs/>
          <w:sz w:val="24"/>
          <w:szCs w:val="24"/>
        </w:rPr>
        <w:t>The Journal of</w:t>
      </w:r>
      <w:r>
        <w:rPr>
          <w:rFonts w:eastAsia="Times New Roman"/>
          <w:sz w:val="24"/>
          <w:szCs w:val="24"/>
        </w:rPr>
        <w:t xml:space="preserve"> </w:t>
      </w:r>
      <w:r>
        <w:rPr>
          <w:rFonts w:eastAsia="Times New Roman"/>
          <w:i/>
          <w:iCs/>
          <w:sz w:val="24"/>
          <w:szCs w:val="24"/>
        </w:rPr>
        <w:t xml:space="preserve">Social Psychology, </w:t>
      </w:r>
      <w:r>
        <w:rPr>
          <w:rFonts w:eastAsia="Times New Roman"/>
          <w:sz w:val="24"/>
          <w:szCs w:val="24"/>
        </w:rPr>
        <w:t>97(1), 123-130.</w:t>
      </w:r>
      <w:r>
        <w:rPr>
          <w:rFonts w:eastAsia="Times New Roman"/>
          <w:i/>
          <w:iCs/>
          <w:sz w:val="24"/>
          <w:szCs w:val="24"/>
        </w:rPr>
        <w:t xml:space="preserve"> </w:t>
      </w:r>
      <w:hyperlink r:id="rId14">
        <w:r>
          <w:rPr>
            <w:rFonts w:eastAsia="Times New Roman"/>
            <w:color w:val="0563C1"/>
            <w:sz w:val="24"/>
            <w:szCs w:val="24"/>
            <w:u w:val="single"/>
          </w:rPr>
          <w:t>http://dx.doi.org/10.1080/00224545.1975.9923321</w:t>
        </w:r>
      </w:hyperlink>
    </w:p>
    <w:p w:rsidR="00FE77F3" w:rsidRDefault="00FE77F3">
      <w:pPr>
        <w:spacing w:line="184" w:lineRule="exact"/>
        <w:rPr>
          <w:sz w:val="20"/>
          <w:szCs w:val="20"/>
        </w:rPr>
      </w:pPr>
    </w:p>
    <w:p w:rsidR="00FE77F3" w:rsidRDefault="00E3448D">
      <w:pPr>
        <w:spacing w:line="474" w:lineRule="auto"/>
        <w:ind w:left="720" w:right="220" w:hanging="719"/>
        <w:rPr>
          <w:sz w:val="20"/>
          <w:szCs w:val="20"/>
        </w:rPr>
      </w:pPr>
      <w:r>
        <w:rPr>
          <w:rFonts w:eastAsia="Times New Roman"/>
          <w:sz w:val="24"/>
          <w:szCs w:val="24"/>
        </w:rPr>
        <w:t xml:space="preserve">Paterson, H. &amp; Kemp, R. (2006a). Comparing methods of encountering post-event information: the power of co-witness suggestion.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20</w:t>
      </w:r>
      <w:r>
        <w:rPr>
          <w:rFonts w:eastAsia="Times New Roman"/>
          <w:sz w:val="24"/>
          <w:szCs w:val="24"/>
        </w:rPr>
        <w:t>(8), 1083-1099. http://dx.doi.org/10.1002/acp.1261</w:t>
      </w:r>
    </w:p>
    <w:p w:rsidR="00FE77F3" w:rsidRDefault="00FE77F3">
      <w:pPr>
        <w:spacing w:line="182" w:lineRule="exact"/>
        <w:rPr>
          <w:sz w:val="20"/>
          <w:szCs w:val="20"/>
        </w:rPr>
      </w:pPr>
    </w:p>
    <w:p w:rsidR="00FE77F3" w:rsidRDefault="00E3448D">
      <w:pPr>
        <w:spacing w:line="474" w:lineRule="auto"/>
        <w:ind w:left="720" w:right="2280" w:hanging="719"/>
        <w:rPr>
          <w:sz w:val="20"/>
          <w:szCs w:val="20"/>
        </w:rPr>
      </w:pPr>
      <w:r>
        <w:rPr>
          <w:rFonts w:eastAsia="Times New Roman"/>
          <w:sz w:val="24"/>
          <w:szCs w:val="24"/>
        </w:rPr>
        <w:t xml:space="preserve">Paterson, H., &amp; Kemp, R. (2006b). Co-witnesses talk: A survey of eyewitness discussion. </w:t>
      </w:r>
      <w:r>
        <w:rPr>
          <w:rFonts w:eastAsia="Times New Roman"/>
          <w:i/>
          <w:iCs/>
          <w:sz w:val="24"/>
          <w:szCs w:val="24"/>
        </w:rPr>
        <w:t>Psychology, Crime &amp; Law</w:t>
      </w:r>
      <w:r>
        <w:rPr>
          <w:rFonts w:eastAsia="Times New Roman"/>
          <w:sz w:val="24"/>
          <w:szCs w:val="24"/>
        </w:rPr>
        <w:t xml:space="preserve">, </w:t>
      </w:r>
      <w:r>
        <w:rPr>
          <w:rFonts w:eastAsia="Times New Roman"/>
          <w:i/>
          <w:iCs/>
          <w:sz w:val="24"/>
          <w:szCs w:val="24"/>
        </w:rPr>
        <w:t>12</w:t>
      </w:r>
      <w:r>
        <w:rPr>
          <w:rFonts w:eastAsia="Times New Roman"/>
          <w:sz w:val="24"/>
          <w:szCs w:val="24"/>
        </w:rPr>
        <w:t>(2), 181-191. http://dx.doi.org/10.1080/10683160512331316334</w:t>
      </w:r>
    </w:p>
    <w:p w:rsidR="00FE77F3" w:rsidRDefault="00FE77F3">
      <w:pPr>
        <w:spacing w:line="182" w:lineRule="exact"/>
        <w:rPr>
          <w:sz w:val="20"/>
          <w:szCs w:val="20"/>
        </w:rPr>
      </w:pPr>
    </w:p>
    <w:p w:rsidR="00FE77F3" w:rsidRDefault="00E3448D">
      <w:pPr>
        <w:spacing w:line="469" w:lineRule="auto"/>
        <w:ind w:left="720" w:right="280" w:hanging="719"/>
        <w:rPr>
          <w:sz w:val="20"/>
          <w:szCs w:val="20"/>
        </w:rPr>
      </w:pPr>
      <w:r>
        <w:rPr>
          <w:rFonts w:eastAsia="Times New Roman"/>
          <w:sz w:val="24"/>
          <w:szCs w:val="24"/>
        </w:rPr>
        <w:t xml:space="preserve">Rosenberg, L. (1961). Group size, prior experience, and conformity. </w:t>
      </w:r>
      <w:r>
        <w:rPr>
          <w:rFonts w:eastAsia="Times New Roman"/>
          <w:i/>
          <w:iCs/>
          <w:sz w:val="24"/>
          <w:szCs w:val="24"/>
        </w:rPr>
        <w:t>The Journal of Abnormal and</w:t>
      </w:r>
      <w:r>
        <w:rPr>
          <w:rFonts w:eastAsia="Times New Roman"/>
          <w:sz w:val="24"/>
          <w:szCs w:val="24"/>
        </w:rPr>
        <w:t xml:space="preserve"> </w:t>
      </w:r>
      <w:r>
        <w:rPr>
          <w:rFonts w:eastAsia="Times New Roman"/>
          <w:i/>
          <w:iCs/>
          <w:sz w:val="24"/>
          <w:szCs w:val="24"/>
        </w:rPr>
        <w:t>Social Psychology</w:t>
      </w:r>
      <w:r>
        <w:rPr>
          <w:rFonts w:eastAsia="Times New Roman"/>
          <w:sz w:val="24"/>
          <w:szCs w:val="24"/>
        </w:rPr>
        <w:t>, 63(2), 436-437. http://dx.doi.org/10.1037/h0047007</w:t>
      </w:r>
    </w:p>
    <w:p w:rsidR="00FE77F3" w:rsidRDefault="00FE77F3">
      <w:pPr>
        <w:spacing w:line="172" w:lineRule="exact"/>
        <w:rPr>
          <w:sz w:val="20"/>
          <w:szCs w:val="20"/>
        </w:rPr>
      </w:pPr>
    </w:p>
    <w:p w:rsidR="00FE77F3" w:rsidRDefault="00E3448D">
      <w:pPr>
        <w:rPr>
          <w:sz w:val="20"/>
          <w:szCs w:val="20"/>
        </w:rPr>
      </w:pPr>
      <w:r>
        <w:rPr>
          <w:rFonts w:eastAsia="Times New Roman"/>
          <w:sz w:val="24"/>
          <w:szCs w:val="24"/>
        </w:rPr>
        <w:t>Schacter, D., Guerin, S., &amp; St. Jacques, P. (2011). Memory distortion: an adaptive</w:t>
      </w:r>
    </w:p>
    <w:p w:rsidR="00FE77F3" w:rsidRDefault="00FE77F3">
      <w:pPr>
        <w:spacing w:line="276" w:lineRule="exact"/>
        <w:rPr>
          <w:sz w:val="20"/>
          <w:szCs w:val="20"/>
        </w:rPr>
      </w:pPr>
    </w:p>
    <w:p w:rsidR="00FE77F3" w:rsidRDefault="00E3448D">
      <w:pPr>
        <w:ind w:left="720"/>
        <w:rPr>
          <w:sz w:val="20"/>
          <w:szCs w:val="20"/>
        </w:rPr>
      </w:pPr>
      <w:r>
        <w:rPr>
          <w:rFonts w:eastAsia="Times New Roman"/>
          <w:sz w:val="24"/>
          <w:szCs w:val="24"/>
        </w:rPr>
        <w:t xml:space="preserve">perspective. </w:t>
      </w:r>
      <w:r>
        <w:rPr>
          <w:rFonts w:eastAsia="Times New Roman"/>
          <w:i/>
          <w:iCs/>
          <w:sz w:val="24"/>
          <w:szCs w:val="24"/>
        </w:rPr>
        <w:t>Trends In Cognitive Sciences</w:t>
      </w:r>
      <w:r>
        <w:rPr>
          <w:rFonts w:eastAsia="Times New Roman"/>
          <w:sz w:val="24"/>
          <w:szCs w:val="24"/>
        </w:rPr>
        <w:t xml:space="preserve">, </w:t>
      </w:r>
      <w:r>
        <w:rPr>
          <w:rFonts w:eastAsia="Times New Roman"/>
          <w:i/>
          <w:iCs/>
          <w:sz w:val="24"/>
          <w:szCs w:val="24"/>
        </w:rPr>
        <w:t>15</w:t>
      </w:r>
      <w:r>
        <w:rPr>
          <w:rFonts w:eastAsia="Times New Roman"/>
          <w:sz w:val="24"/>
          <w:szCs w:val="24"/>
        </w:rPr>
        <w:t>(10), 467-474. doi:10.1016/j.tics.2011.08.004</w:t>
      </w:r>
    </w:p>
    <w:p w:rsidR="00FE77F3" w:rsidRDefault="00FE77F3">
      <w:pPr>
        <w:spacing w:line="200" w:lineRule="exact"/>
        <w:rPr>
          <w:sz w:val="20"/>
          <w:szCs w:val="20"/>
        </w:rPr>
      </w:pPr>
    </w:p>
    <w:p w:rsidR="00FE77F3" w:rsidRDefault="00FE77F3">
      <w:pPr>
        <w:spacing w:line="237" w:lineRule="exact"/>
        <w:rPr>
          <w:sz w:val="20"/>
          <w:szCs w:val="20"/>
        </w:rPr>
      </w:pPr>
    </w:p>
    <w:p w:rsidR="00FE77F3" w:rsidRDefault="00E3448D">
      <w:pPr>
        <w:rPr>
          <w:sz w:val="20"/>
          <w:szCs w:val="20"/>
        </w:rPr>
      </w:pPr>
      <w:r>
        <w:rPr>
          <w:rFonts w:eastAsia="Times New Roman"/>
          <w:sz w:val="24"/>
          <w:szCs w:val="24"/>
        </w:rPr>
        <w:t xml:space="preserve">Scheck, B., Neufeld, P., &amp; Dwyer, J., (2003). </w:t>
      </w:r>
      <w:r>
        <w:rPr>
          <w:rFonts w:eastAsia="Times New Roman"/>
          <w:i/>
          <w:iCs/>
          <w:sz w:val="24"/>
          <w:szCs w:val="24"/>
        </w:rPr>
        <w:t>Actual innocence</w:t>
      </w:r>
      <w:r>
        <w:rPr>
          <w:rFonts w:eastAsia="Times New Roman"/>
          <w:sz w:val="24"/>
          <w:szCs w:val="24"/>
        </w:rPr>
        <w:t xml:space="preserve"> (1st ed., p. 243). New York, N.Y.:</w:t>
      </w:r>
    </w:p>
    <w:p w:rsidR="00FE77F3" w:rsidRDefault="00FE77F3">
      <w:pPr>
        <w:spacing w:line="276" w:lineRule="exact"/>
        <w:rPr>
          <w:sz w:val="20"/>
          <w:szCs w:val="20"/>
        </w:rPr>
      </w:pPr>
    </w:p>
    <w:p w:rsidR="00FE77F3" w:rsidRDefault="00E3448D">
      <w:pPr>
        <w:ind w:left="720"/>
        <w:rPr>
          <w:sz w:val="20"/>
          <w:szCs w:val="20"/>
        </w:rPr>
      </w:pPr>
      <w:r>
        <w:rPr>
          <w:rFonts w:eastAsia="Times New Roman"/>
          <w:sz w:val="24"/>
          <w:szCs w:val="24"/>
        </w:rPr>
        <w:t>New American Library.</w:t>
      </w:r>
    </w:p>
    <w:p w:rsidR="00FE77F3" w:rsidRDefault="00FE77F3">
      <w:pPr>
        <w:spacing w:line="200" w:lineRule="exact"/>
        <w:rPr>
          <w:sz w:val="20"/>
          <w:szCs w:val="20"/>
        </w:rPr>
      </w:pPr>
    </w:p>
    <w:p w:rsidR="00FE77F3" w:rsidRDefault="00FE77F3">
      <w:pPr>
        <w:spacing w:line="255" w:lineRule="exact"/>
        <w:rPr>
          <w:sz w:val="20"/>
          <w:szCs w:val="20"/>
        </w:rPr>
      </w:pPr>
    </w:p>
    <w:p w:rsidR="00FE77F3" w:rsidRDefault="00E3448D">
      <w:pPr>
        <w:jc w:val="right"/>
        <w:rPr>
          <w:sz w:val="20"/>
          <w:szCs w:val="20"/>
        </w:rPr>
      </w:pPr>
      <w:r>
        <w:rPr>
          <w:rFonts w:ascii="Calibri" w:eastAsia="Calibri" w:hAnsi="Calibri" w:cs="Calibri"/>
        </w:rPr>
        <w:t>33</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4" w:name="page35"/>
      <w:bookmarkEnd w:id="34"/>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4" w:lineRule="auto"/>
        <w:ind w:left="720" w:right="200" w:hanging="719"/>
        <w:rPr>
          <w:sz w:val="20"/>
          <w:szCs w:val="20"/>
        </w:rPr>
      </w:pPr>
      <w:r>
        <w:rPr>
          <w:rFonts w:eastAsia="Times New Roman"/>
          <w:sz w:val="24"/>
          <w:szCs w:val="24"/>
        </w:rPr>
        <w:t xml:space="preserve">Schwarz, S. &amp; Roebers, C. (2006). Age differences in the effects of social influence on children’s eyewitness performance and their metacognitive monitoring. </w:t>
      </w:r>
      <w:r>
        <w:rPr>
          <w:rFonts w:eastAsia="Times New Roman"/>
          <w:i/>
          <w:iCs/>
          <w:sz w:val="24"/>
          <w:szCs w:val="24"/>
        </w:rPr>
        <w:t>Journal of Experimental Child</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94</w:t>
      </w:r>
      <w:r>
        <w:rPr>
          <w:rFonts w:eastAsia="Times New Roman"/>
          <w:sz w:val="24"/>
          <w:szCs w:val="24"/>
        </w:rPr>
        <w:t>(3), 229-248. doi:10.1016/j.jecp.2006.01.003</w:t>
      </w:r>
    </w:p>
    <w:p w:rsidR="00FE77F3" w:rsidRDefault="00FE77F3">
      <w:pPr>
        <w:spacing w:line="182" w:lineRule="exact"/>
        <w:rPr>
          <w:sz w:val="20"/>
          <w:szCs w:val="20"/>
        </w:rPr>
      </w:pPr>
    </w:p>
    <w:p w:rsidR="00FE77F3" w:rsidRDefault="00E3448D">
      <w:pPr>
        <w:spacing w:line="500" w:lineRule="auto"/>
        <w:ind w:right="260"/>
        <w:jc w:val="right"/>
        <w:rPr>
          <w:sz w:val="20"/>
          <w:szCs w:val="20"/>
        </w:rPr>
      </w:pPr>
      <w:r>
        <w:rPr>
          <w:rFonts w:eastAsia="Times New Roman"/>
          <w:sz w:val="23"/>
          <w:szCs w:val="23"/>
        </w:rPr>
        <w:t xml:space="preserve">Semmler, C., Brewer, N., &amp; Wells, G. (2004). Effects of postidentification feedback on eyewitness identification and nonidentification confidence. </w:t>
      </w:r>
      <w:r>
        <w:rPr>
          <w:rFonts w:eastAsia="Times New Roman"/>
          <w:i/>
          <w:iCs/>
          <w:sz w:val="23"/>
          <w:szCs w:val="23"/>
        </w:rPr>
        <w:t>Journal of Applied Psychology</w:t>
      </w:r>
      <w:r>
        <w:rPr>
          <w:rFonts w:eastAsia="Times New Roman"/>
          <w:sz w:val="23"/>
          <w:szCs w:val="23"/>
        </w:rPr>
        <w:t xml:space="preserve">, </w:t>
      </w:r>
      <w:r>
        <w:rPr>
          <w:rFonts w:eastAsia="Times New Roman"/>
          <w:i/>
          <w:iCs/>
          <w:sz w:val="23"/>
          <w:szCs w:val="23"/>
        </w:rPr>
        <w:t>89</w:t>
      </w:r>
      <w:r>
        <w:rPr>
          <w:rFonts w:eastAsia="Times New Roman"/>
          <w:sz w:val="23"/>
          <w:szCs w:val="23"/>
        </w:rPr>
        <w:t>(2), 334-</w:t>
      </w:r>
    </w:p>
    <w:p w:rsidR="00FE77F3" w:rsidRDefault="00841DAE">
      <w:pPr>
        <w:numPr>
          <w:ilvl w:val="0"/>
          <w:numId w:val="4"/>
        </w:numPr>
        <w:tabs>
          <w:tab w:val="left" w:pos="1200"/>
        </w:tabs>
        <w:spacing w:line="231" w:lineRule="auto"/>
        <w:ind w:left="1200" w:hanging="480"/>
        <w:rPr>
          <w:rFonts w:eastAsia="Times New Roman"/>
          <w:color w:val="0563C1"/>
          <w:sz w:val="24"/>
          <w:szCs w:val="24"/>
          <w:u w:val="single"/>
        </w:rPr>
      </w:pPr>
      <w:hyperlink r:id="rId15">
        <w:r w:rsidR="00E3448D">
          <w:rPr>
            <w:rFonts w:eastAsia="Times New Roman"/>
            <w:color w:val="0563C1"/>
            <w:sz w:val="24"/>
            <w:szCs w:val="24"/>
            <w:u w:val="single"/>
          </w:rPr>
          <w:t>http://dx.doi.org/10.1037/0021-9010.89.2.334</w:t>
        </w:r>
      </w:hyperlink>
    </w:p>
    <w:p w:rsidR="00FE77F3" w:rsidRDefault="00FE77F3">
      <w:pPr>
        <w:spacing w:line="200" w:lineRule="exact"/>
        <w:rPr>
          <w:sz w:val="20"/>
          <w:szCs w:val="20"/>
        </w:rPr>
      </w:pPr>
    </w:p>
    <w:p w:rsidR="00FE77F3" w:rsidRDefault="00FE77F3">
      <w:pPr>
        <w:spacing w:line="247" w:lineRule="exact"/>
        <w:rPr>
          <w:sz w:val="20"/>
          <w:szCs w:val="20"/>
        </w:rPr>
      </w:pPr>
    </w:p>
    <w:p w:rsidR="00FE77F3" w:rsidRDefault="00E3448D">
      <w:pPr>
        <w:spacing w:line="469" w:lineRule="auto"/>
        <w:ind w:left="720" w:right="260" w:hanging="719"/>
        <w:rPr>
          <w:rFonts w:eastAsia="Times New Roman"/>
          <w:i/>
          <w:iCs/>
          <w:sz w:val="24"/>
          <w:szCs w:val="24"/>
        </w:rPr>
      </w:pPr>
      <w:r>
        <w:rPr>
          <w:rFonts w:eastAsia="Times New Roman"/>
          <w:sz w:val="24"/>
          <w:szCs w:val="24"/>
        </w:rPr>
        <w:t xml:space="preserve">Skagerberg, E. &amp; Wright, D. (2008a). Manipulating power can affect memory conformity. </w:t>
      </w:r>
      <w:r>
        <w:rPr>
          <w:rFonts w:eastAsia="Times New Roman"/>
          <w:i/>
          <w:iCs/>
          <w:sz w:val="24"/>
          <w:szCs w:val="24"/>
        </w:rPr>
        <w:t>Applied</w:t>
      </w:r>
      <w:r>
        <w:rPr>
          <w:rFonts w:eastAsia="Times New Roman"/>
          <w:sz w:val="24"/>
          <w:szCs w:val="24"/>
        </w:rPr>
        <w:t xml:space="preserve"> </w:t>
      </w:r>
      <w:r>
        <w:rPr>
          <w:rFonts w:eastAsia="Times New Roman"/>
          <w:i/>
          <w:iCs/>
          <w:sz w:val="24"/>
          <w:szCs w:val="24"/>
        </w:rPr>
        <w:t>Cognitive Psychology</w:t>
      </w:r>
      <w:r>
        <w:rPr>
          <w:rFonts w:eastAsia="Times New Roman"/>
          <w:sz w:val="24"/>
          <w:szCs w:val="24"/>
        </w:rPr>
        <w:t>,</w:t>
      </w:r>
      <w:r>
        <w:rPr>
          <w:rFonts w:eastAsia="Times New Roman"/>
          <w:i/>
          <w:iCs/>
          <w:sz w:val="24"/>
          <w:szCs w:val="24"/>
        </w:rPr>
        <w:t xml:space="preserve"> 22</w:t>
      </w:r>
      <w:r>
        <w:rPr>
          <w:rFonts w:eastAsia="Times New Roman"/>
          <w:sz w:val="24"/>
          <w:szCs w:val="24"/>
        </w:rPr>
        <w:t>(2), 207-216.</w:t>
      </w:r>
      <w:r>
        <w:rPr>
          <w:rFonts w:eastAsia="Times New Roman"/>
          <w:i/>
          <w:iCs/>
          <w:sz w:val="24"/>
          <w:szCs w:val="24"/>
        </w:rPr>
        <w:t xml:space="preserve"> </w:t>
      </w:r>
      <w:hyperlink r:id="rId16">
        <w:r>
          <w:rPr>
            <w:rFonts w:eastAsia="Times New Roman"/>
            <w:color w:val="0563C1"/>
            <w:sz w:val="24"/>
            <w:szCs w:val="24"/>
            <w:u w:val="single"/>
          </w:rPr>
          <w:t>http://dx.doi.org/10.1002/acp.1353</w:t>
        </w:r>
      </w:hyperlink>
    </w:p>
    <w:p w:rsidR="00FE77F3" w:rsidRDefault="00FE77F3">
      <w:pPr>
        <w:spacing w:line="187" w:lineRule="exact"/>
        <w:rPr>
          <w:sz w:val="20"/>
          <w:szCs w:val="20"/>
        </w:rPr>
      </w:pPr>
    </w:p>
    <w:p w:rsidR="00FE77F3" w:rsidRDefault="00E3448D">
      <w:pPr>
        <w:spacing w:line="474" w:lineRule="auto"/>
        <w:ind w:left="720" w:right="140" w:hanging="719"/>
        <w:rPr>
          <w:sz w:val="20"/>
          <w:szCs w:val="20"/>
        </w:rPr>
      </w:pPr>
      <w:r>
        <w:rPr>
          <w:rFonts w:eastAsia="Times New Roman"/>
          <w:sz w:val="24"/>
          <w:szCs w:val="24"/>
        </w:rPr>
        <w:t xml:space="preserve">Skagerberg, E. &amp; Wright, D. (2008b). The prevalence of co-witnesses and co-witness discussions in real eyewitnesses. </w:t>
      </w:r>
      <w:r>
        <w:rPr>
          <w:rFonts w:eastAsia="Times New Roman"/>
          <w:i/>
          <w:iCs/>
          <w:sz w:val="24"/>
          <w:szCs w:val="24"/>
        </w:rPr>
        <w:t>Psychology, Crime &amp; Law</w:t>
      </w:r>
      <w:r>
        <w:rPr>
          <w:rFonts w:eastAsia="Times New Roman"/>
          <w:sz w:val="24"/>
          <w:szCs w:val="24"/>
        </w:rPr>
        <w:t xml:space="preserve">, </w:t>
      </w:r>
      <w:r>
        <w:rPr>
          <w:rFonts w:eastAsia="Times New Roman"/>
          <w:i/>
          <w:iCs/>
          <w:sz w:val="24"/>
          <w:szCs w:val="24"/>
        </w:rPr>
        <w:t>14</w:t>
      </w:r>
      <w:r>
        <w:rPr>
          <w:rFonts w:eastAsia="Times New Roman"/>
          <w:sz w:val="24"/>
          <w:szCs w:val="24"/>
        </w:rPr>
        <w:t>(6), 513-521. http://dx.doi.org/10.1080/10683160801948980</w:t>
      </w:r>
    </w:p>
    <w:p w:rsidR="00FE77F3" w:rsidRDefault="00FE77F3">
      <w:pPr>
        <w:spacing w:line="179" w:lineRule="exact"/>
        <w:rPr>
          <w:sz w:val="20"/>
          <w:szCs w:val="20"/>
        </w:rPr>
      </w:pPr>
    </w:p>
    <w:p w:rsidR="00FE77F3" w:rsidRDefault="00E3448D">
      <w:pPr>
        <w:spacing w:line="474" w:lineRule="auto"/>
        <w:ind w:left="720" w:right="600" w:hanging="719"/>
        <w:rPr>
          <w:sz w:val="20"/>
          <w:szCs w:val="20"/>
        </w:rPr>
      </w:pPr>
      <w:r>
        <w:rPr>
          <w:rFonts w:eastAsia="Times New Roman"/>
          <w:sz w:val="24"/>
          <w:szCs w:val="24"/>
        </w:rPr>
        <w:t xml:space="preserve">Skagerberg, E. &amp; Wright, D. (2009). Susceptibility to postidentification feedback is affected by source credibility.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23</w:t>
      </w:r>
      <w:r>
        <w:rPr>
          <w:rFonts w:eastAsia="Times New Roman"/>
          <w:sz w:val="24"/>
          <w:szCs w:val="24"/>
        </w:rPr>
        <w:t>(4), 506-523. http://dx.doi.org/10.1002/acp.1470</w:t>
      </w:r>
    </w:p>
    <w:p w:rsidR="00FE77F3" w:rsidRDefault="00FE77F3">
      <w:pPr>
        <w:spacing w:line="182" w:lineRule="exact"/>
        <w:rPr>
          <w:sz w:val="20"/>
          <w:szCs w:val="20"/>
        </w:rPr>
      </w:pPr>
    </w:p>
    <w:p w:rsidR="00FE77F3" w:rsidRDefault="00E3448D">
      <w:pPr>
        <w:spacing w:line="469" w:lineRule="auto"/>
        <w:ind w:left="720" w:right="300" w:hanging="719"/>
        <w:rPr>
          <w:sz w:val="20"/>
          <w:szCs w:val="20"/>
        </w:rPr>
      </w:pPr>
      <w:r>
        <w:rPr>
          <w:rFonts w:eastAsia="Times New Roman"/>
          <w:sz w:val="24"/>
          <w:szCs w:val="24"/>
        </w:rPr>
        <w:t xml:space="preserve">Stang, D. (1976). Group size effects on conformity. </w:t>
      </w:r>
      <w:r>
        <w:rPr>
          <w:rFonts w:eastAsia="Times New Roman"/>
          <w:i/>
          <w:iCs/>
          <w:sz w:val="24"/>
          <w:szCs w:val="24"/>
        </w:rPr>
        <w:t>The Journal of Social Psychology</w:t>
      </w:r>
      <w:r>
        <w:rPr>
          <w:rFonts w:eastAsia="Times New Roman"/>
          <w:sz w:val="24"/>
          <w:szCs w:val="24"/>
        </w:rPr>
        <w:t>, 98(2), 175-181. http://dx.doi.org/10.1080/00224545.1976.9923388</w:t>
      </w:r>
    </w:p>
    <w:p w:rsidR="00FE77F3" w:rsidRDefault="00FE77F3">
      <w:pPr>
        <w:spacing w:line="186" w:lineRule="exact"/>
        <w:rPr>
          <w:sz w:val="20"/>
          <w:szCs w:val="20"/>
        </w:rPr>
      </w:pPr>
    </w:p>
    <w:p w:rsidR="00FE77F3" w:rsidRDefault="00E3448D">
      <w:pPr>
        <w:spacing w:line="474" w:lineRule="auto"/>
        <w:ind w:left="720" w:right="80" w:hanging="719"/>
        <w:rPr>
          <w:sz w:val="20"/>
          <w:szCs w:val="20"/>
        </w:rPr>
      </w:pPr>
      <w:r>
        <w:rPr>
          <w:rFonts w:eastAsia="Times New Roman"/>
          <w:sz w:val="24"/>
          <w:szCs w:val="24"/>
        </w:rPr>
        <w:t xml:space="preserve">Steblay, N., Dysart, J., Fulero, S., &amp; Lindsay, R. (2003). Eyewitness accuracy rates in police showup and lineup presentations: A meta-analytic comparison. </w:t>
      </w:r>
      <w:r>
        <w:rPr>
          <w:rFonts w:eastAsia="Times New Roman"/>
          <w:i/>
          <w:iCs/>
          <w:sz w:val="24"/>
          <w:szCs w:val="24"/>
        </w:rPr>
        <w:t>Law and Human Behavior</w:t>
      </w:r>
      <w:r>
        <w:rPr>
          <w:rFonts w:eastAsia="Times New Roman"/>
          <w:sz w:val="24"/>
          <w:szCs w:val="24"/>
        </w:rPr>
        <w:t xml:space="preserve">, </w:t>
      </w:r>
      <w:r>
        <w:rPr>
          <w:rFonts w:eastAsia="Times New Roman"/>
          <w:i/>
          <w:iCs/>
          <w:sz w:val="24"/>
          <w:szCs w:val="24"/>
        </w:rPr>
        <w:t>27</w:t>
      </w:r>
      <w:r>
        <w:rPr>
          <w:rFonts w:eastAsia="Times New Roman"/>
          <w:sz w:val="24"/>
          <w:szCs w:val="24"/>
        </w:rPr>
        <w:t>(5), 523-540. doi:10.1023/a:1025438223608</w:t>
      </w:r>
    </w:p>
    <w:p w:rsidR="00FE77F3" w:rsidRDefault="00FE77F3">
      <w:pPr>
        <w:spacing w:line="168" w:lineRule="exact"/>
        <w:rPr>
          <w:sz w:val="20"/>
          <w:szCs w:val="20"/>
        </w:rPr>
      </w:pPr>
    </w:p>
    <w:p w:rsidR="00FE77F3" w:rsidRDefault="00E3448D">
      <w:pPr>
        <w:rPr>
          <w:sz w:val="20"/>
          <w:szCs w:val="20"/>
        </w:rPr>
      </w:pPr>
      <w:r>
        <w:rPr>
          <w:rFonts w:eastAsia="Times New Roman"/>
          <w:sz w:val="24"/>
          <w:szCs w:val="24"/>
        </w:rPr>
        <w:t xml:space="preserve">Stevens, J. (2009). </w:t>
      </w:r>
      <w:r>
        <w:rPr>
          <w:rFonts w:eastAsia="Times New Roman"/>
          <w:i/>
          <w:iCs/>
          <w:sz w:val="24"/>
          <w:szCs w:val="24"/>
        </w:rPr>
        <w:t>Applied multivariate statistics for the social sciences</w:t>
      </w:r>
      <w:r>
        <w:rPr>
          <w:rFonts w:eastAsia="Times New Roman"/>
          <w:sz w:val="24"/>
          <w:szCs w:val="24"/>
        </w:rPr>
        <w:t xml:space="preserve"> (1st ed.). New York, NY :</w:t>
      </w:r>
    </w:p>
    <w:p w:rsidR="00FE77F3" w:rsidRDefault="00FE77F3">
      <w:pPr>
        <w:spacing w:line="276" w:lineRule="exact"/>
        <w:rPr>
          <w:sz w:val="20"/>
          <w:szCs w:val="20"/>
        </w:rPr>
      </w:pPr>
    </w:p>
    <w:p w:rsidR="00FE77F3" w:rsidRDefault="00E3448D">
      <w:pPr>
        <w:ind w:left="720"/>
        <w:rPr>
          <w:sz w:val="20"/>
          <w:szCs w:val="20"/>
        </w:rPr>
      </w:pPr>
      <w:r>
        <w:rPr>
          <w:rFonts w:eastAsia="Times New Roman"/>
          <w:sz w:val="24"/>
          <w:szCs w:val="24"/>
        </w:rPr>
        <w:t>Routledge.</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20" w:lineRule="exact"/>
        <w:rPr>
          <w:sz w:val="20"/>
          <w:szCs w:val="20"/>
        </w:rPr>
      </w:pPr>
    </w:p>
    <w:p w:rsidR="00FE77F3" w:rsidRDefault="00E3448D">
      <w:pPr>
        <w:jc w:val="right"/>
        <w:rPr>
          <w:sz w:val="20"/>
          <w:szCs w:val="20"/>
        </w:rPr>
      </w:pPr>
      <w:r>
        <w:rPr>
          <w:rFonts w:ascii="Calibri" w:eastAsia="Calibri" w:hAnsi="Calibri" w:cs="Calibri"/>
        </w:rPr>
        <w:t>34</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5" w:name="page36"/>
      <w:bookmarkEnd w:id="35"/>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4" w:lineRule="auto"/>
        <w:ind w:left="720" w:right="220" w:hanging="719"/>
        <w:rPr>
          <w:rFonts w:eastAsia="Times New Roman"/>
          <w:color w:val="0563C1"/>
          <w:sz w:val="24"/>
          <w:szCs w:val="24"/>
          <w:u w:val="single"/>
        </w:rPr>
      </w:pPr>
      <w:r>
        <w:rPr>
          <w:rFonts w:eastAsia="Times New Roman"/>
          <w:sz w:val="24"/>
          <w:szCs w:val="24"/>
        </w:rPr>
        <w:t xml:space="preserve">Thorley, C. (2015). Blame conformity: innocent bystanders can be blamed for a crime as a result of misinformation from a young, but not elderly, adult co-witness. </w:t>
      </w:r>
      <w:r>
        <w:rPr>
          <w:rFonts w:eastAsia="Times New Roman"/>
          <w:i/>
          <w:iCs/>
          <w:sz w:val="24"/>
          <w:szCs w:val="24"/>
        </w:rPr>
        <w:t>PLOS ONE</w:t>
      </w:r>
      <w:r>
        <w:rPr>
          <w:rFonts w:eastAsia="Times New Roman"/>
          <w:sz w:val="24"/>
          <w:szCs w:val="24"/>
        </w:rPr>
        <w:t xml:space="preserve">, 10(7) </w:t>
      </w:r>
      <w:hyperlink r:id="rId17">
        <w:r>
          <w:rPr>
            <w:rFonts w:eastAsia="Times New Roman"/>
            <w:color w:val="0563C1"/>
            <w:sz w:val="24"/>
            <w:szCs w:val="24"/>
            <w:u w:val="single"/>
          </w:rPr>
          <w:t>http://dx.doi.org/10.1371/journal.pone.0134739</w:t>
        </w:r>
      </w:hyperlink>
    </w:p>
    <w:p w:rsidR="00FE77F3" w:rsidRDefault="00FE77F3">
      <w:pPr>
        <w:spacing w:line="182" w:lineRule="exact"/>
        <w:rPr>
          <w:sz w:val="20"/>
          <w:szCs w:val="20"/>
        </w:rPr>
      </w:pPr>
    </w:p>
    <w:p w:rsidR="00FE77F3" w:rsidRDefault="00E3448D">
      <w:pPr>
        <w:spacing w:line="469" w:lineRule="auto"/>
        <w:ind w:left="720" w:right="320" w:hanging="719"/>
        <w:rPr>
          <w:rFonts w:eastAsia="Times New Roman"/>
          <w:sz w:val="24"/>
          <w:szCs w:val="24"/>
        </w:rPr>
      </w:pPr>
      <w:r>
        <w:rPr>
          <w:rFonts w:eastAsia="Times New Roman"/>
          <w:sz w:val="24"/>
          <w:szCs w:val="24"/>
        </w:rPr>
        <w:t xml:space="preserve">Thorley, C., &amp; Dewhurst, S. (2009). False and veridical collaborative recognition. </w:t>
      </w:r>
      <w:r>
        <w:rPr>
          <w:rFonts w:eastAsia="Times New Roman"/>
          <w:i/>
          <w:iCs/>
          <w:sz w:val="24"/>
          <w:szCs w:val="24"/>
        </w:rPr>
        <w:t>Memory</w:t>
      </w:r>
      <w:r>
        <w:rPr>
          <w:rFonts w:eastAsia="Times New Roman"/>
          <w:sz w:val="24"/>
          <w:szCs w:val="24"/>
        </w:rPr>
        <w:t xml:space="preserve">, </w:t>
      </w:r>
      <w:r>
        <w:rPr>
          <w:rFonts w:eastAsia="Times New Roman"/>
          <w:i/>
          <w:iCs/>
          <w:sz w:val="24"/>
          <w:szCs w:val="24"/>
        </w:rPr>
        <w:t>17</w:t>
      </w:r>
      <w:r>
        <w:rPr>
          <w:rFonts w:eastAsia="Times New Roman"/>
          <w:sz w:val="24"/>
          <w:szCs w:val="24"/>
        </w:rPr>
        <w:t xml:space="preserve">(1), 17-25. </w:t>
      </w:r>
      <w:hyperlink r:id="rId18">
        <w:r>
          <w:rPr>
            <w:rFonts w:eastAsia="Times New Roman"/>
            <w:color w:val="0563C1"/>
            <w:sz w:val="24"/>
            <w:szCs w:val="24"/>
            <w:u w:val="single"/>
          </w:rPr>
          <w:t>http://dx.doi.org/10.1080/09658210802484817</w:t>
        </w:r>
      </w:hyperlink>
    </w:p>
    <w:p w:rsidR="00FE77F3" w:rsidRDefault="00FE77F3">
      <w:pPr>
        <w:spacing w:line="184" w:lineRule="exact"/>
        <w:rPr>
          <w:sz w:val="20"/>
          <w:szCs w:val="20"/>
        </w:rPr>
      </w:pPr>
    </w:p>
    <w:p w:rsidR="00FE77F3" w:rsidRDefault="00E3448D">
      <w:pPr>
        <w:spacing w:line="474" w:lineRule="auto"/>
        <w:ind w:left="720" w:right="380" w:hanging="719"/>
        <w:rPr>
          <w:sz w:val="20"/>
          <w:szCs w:val="20"/>
        </w:rPr>
      </w:pPr>
      <w:r>
        <w:rPr>
          <w:rFonts w:eastAsia="Times New Roman"/>
          <w:sz w:val="24"/>
          <w:szCs w:val="24"/>
        </w:rPr>
        <w:t xml:space="preserve">Thorley, C. &amp; Rushton-Woods, J. (2013). Blame conformity: leading eyewitness statements can influence attributions of blame for an accident.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27</w:t>
      </w:r>
      <w:r>
        <w:rPr>
          <w:rFonts w:eastAsia="Times New Roman"/>
          <w:sz w:val="24"/>
          <w:szCs w:val="24"/>
        </w:rPr>
        <w:t>(3), 291-296. http://dx.doi.org/10.1002/acp.2906</w:t>
      </w:r>
    </w:p>
    <w:p w:rsidR="00FE77F3" w:rsidRDefault="00FE77F3">
      <w:pPr>
        <w:spacing w:line="182" w:lineRule="exact"/>
        <w:rPr>
          <w:sz w:val="20"/>
          <w:szCs w:val="20"/>
        </w:rPr>
      </w:pPr>
    </w:p>
    <w:p w:rsidR="00FE77F3" w:rsidRDefault="00E3448D">
      <w:pPr>
        <w:spacing w:line="474" w:lineRule="auto"/>
        <w:ind w:left="720" w:right="180" w:hanging="719"/>
        <w:rPr>
          <w:rFonts w:eastAsia="Times New Roman"/>
          <w:color w:val="0563C1"/>
          <w:sz w:val="24"/>
          <w:szCs w:val="24"/>
          <w:u w:val="single"/>
        </w:rPr>
      </w:pPr>
      <w:r>
        <w:rPr>
          <w:rFonts w:eastAsia="Times New Roman"/>
          <w:sz w:val="24"/>
          <w:szCs w:val="24"/>
        </w:rPr>
        <w:t xml:space="preserve">Tousignant, J., Hall, D., &amp; Loftus, E. (1986). Discrepancy detection and vulnerability to misleading postevent information. </w:t>
      </w:r>
      <w:r>
        <w:rPr>
          <w:rFonts w:eastAsia="Times New Roman"/>
          <w:i/>
          <w:iCs/>
          <w:sz w:val="24"/>
          <w:szCs w:val="24"/>
        </w:rPr>
        <w:t>Memory &amp; Cognition</w:t>
      </w:r>
      <w:r>
        <w:rPr>
          <w:rFonts w:eastAsia="Times New Roman"/>
          <w:sz w:val="24"/>
          <w:szCs w:val="24"/>
        </w:rPr>
        <w:t xml:space="preserve">, </w:t>
      </w:r>
      <w:r>
        <w:rPr>
          <w:rFonts w:eastAsia="Times New Roman"/>
          <w:i/>
          <w:iCs/>
          <w:sz w:val="24"/>
          <w:szCs w:val="24"/>
        </w:rPr>
        <w:t>14</w:t>
      </w:r>
      <w:r>
        <w:rPr>
          <w:rFonts w:eastAsia="Times New Roman"/>
          <w:sz w:val="24"/>
          <w:szCs w:val="24"/>
        </w:rPr>
        <w:t xml:space="preserve">(4), 329-338. </w:t>
      </w:r>
      <w:hyperlink r:id="rId19">
        <w:r>
          <w:rPr>
            <w:rFonts w:eastAsia="Times New Roman"/>
            <w:color w:val="0563C1"/>
            <w:sz w:val="24"/>
            <w:szCs w:val="24"/>
            <w:u w:val="single"/>
          </w:rPr>
          <w:t>http://dx.doi.org/10.3758/bf03202511</w:t>
        </w:r>
      </w:hyperlink>
    </w:p>
    <w:p w:rsidR="00FE77F3" w:rsidRDefault="00FE77F3">
      <w:pPr>
        <w:spacing w:line="179" w:lineRule="exact"/>
        <w:rPr>
          <w:sz w:val="20"/>
          <w:szCs w:val="20"/>
        </w:rPr>
      </w:pPr>
    </w:p>
    <w:p w:rsidR="00FE77F3" w:rsidRDefault="00E3448D">
      <w:pPr>
        <w:spacing w:line="474" w:lineRule="auto"/>
        <w:ind w:left="720" w:right="220" w:hanging="719"/>
        <w:rPr>
          <w:sz w:val="20"/>
          <w:szCs w:val="20"/>
        </w:rPr>
      </w:pPr>
      <w:r>
        <w:rPr>
          <w:rFonts w:eastAsia="Times New Roman"/>
          <w:sz w:val="24"/>
          <w:szCs w:val="24"/>
        </w:rPr>
        <w:t xml:space="preserve">Walther, E., Bless, H., Strack, F., Rackstraw, P., Wagner, D., &amp; Werth, L. (2002). Conformity effects in memory as a function of group size, dissenters and uncertainty. </w:t>
      </w:r>
      <w:r>
        <w:rPr>
          <w:rFonts w:eastAsia="Times New Roman"/>
          <w:i/>
          <w:iCs/>
          <w:sz w:val="24"/>
          <w:szCs w:val="24"/>
        </w:rPr>
        <w:t>Applied Cognitive</w:t>
      </w:r>
      <w:r>
        <w:rPr>
          <w:rFonts w:eastAsia="Times New Roman"/>
          <w:sz w:val="24"/>
          <w:szCs w:val="24"/>
        </w:rPr>
        <w:t xml:space="preserve"> </w:t>
      </w:r>
      <w:r>
        <w:rPr>
          <w:rFonts w:eastAsia="Times New Roman"/>
          <w:i/>
          <w:iCs/>
          <w:sz w:val="24"/>
          <w:szCs w:val="24"/>
        </w:rPr>
        <w:t>Psychology</w:t>
      </w:r>
      <w:r>
        <w:rPr>
          <w:rFonts w:eastAsia="Times New Roman"/>
          <w:sz w:val="24"/>
          <w:szCs w:val="24"/>
        </w:rPr>
        <w:t>,</w:t>
      </w:r>
      <w:r>
        <w:rPr>
          <w:rFonts w:eastAsia="Times New Roman"/>
          <w:i/>
          <w:iCs/>
          <w:sz w:val="24"/>
          <w:szCs w:val="24"/>
        </w:rPr>
        <w:t xml:space="preserve"> 16</w:t>
      </w:r>
      <w:r>
        <w:rPr>
          <w:rFonts w:eastAsia="Times New Roman"/>
          <w:sz w:val="24"/>
          <w:szCs w:val="24"/>
        </w:rPr>
        <w:t>(7), 793-810. http://dx.doi.org/10.1002/acp.828</w:t>
      </w:r>
    </w:p>
    <w:p w:rsidR="00FE77F3" w:rsidRDefault="00FE77F3">
      <w:pPr>
        <w:spacing w:line="182" w:lineRule="exact"/>
        <w:rPr>
          <w:sz w:val="20"/>
          <w:szCs w:val="20"/>
        </w:rPr>
      </w:pPr>
    </w:p>
    <w:p w:rsidR="00FE77F3" w:rsidRDefault="00E3448D">
      <w:pPr>
        <w:spacing w:line="469" w:lineRule="auto"/>
        <w:ind w:left="720" w:right="60" w:hanging="719"/>
        <w:rPr>
          <w:sz w:val="20"/>
          <w:szCs w:val="20"/>
        </w:rPr>
      </w:pPr>
      <w:r>
        <w:rPr>
          <w:rFonts w:eastAsia="Times New Roman"/>
          <w:sz w:val="24"/>
          <w:szCs w:val="24"/>
        </w:rPr>
        <w:t xml:space="preserve">Wells, G., &amp; Olson, E. (2003). Eyewitness testimony. </w:t>
      </w:r>
      <w:r>
        <w:rPr>
          <w:rFonts w:eastAsia="Times New Roman"/>
          <w:i/>
          <w:iCs/>
          <w:sz w:val="24"/>
          <w:szCs w:val="24"/>
        </w:rPr>
        <w:t>Annual Review of Psychology</w:t>
      </w:r>
      <w:r>
        <w:rPr>
          <w:rFonts w:eastAsia="Times New Roman"/>
          <w:sz w:val="24"/>
          <w:szCs w:val="24"/>
        </w:rPr>
        <w:t xml:space="preserve">, </w:t>
      </w:r>
      <w:r>
        <w:rPr>
          <w:rFonts w:eastAsia="Times New Roman"/>
          <w:i/>
          <w:iCs/>
          <w:sz w:val="24"/>
          <w:szCs w:val="24"/>
        </w:rPr>
        <w:t>54</w:t>
      </w:r>
      <w:r>
        <w:rPr>
          <w:rFonts w:eastAsia="Times New Roman"/>
          <w:sz w:val="24"/>
          <w:szCs w:val="24"/>
        </w:rPr>
        <w:t>(1), 277-295. http://dx.doi.org/10.1146/annurev.psych.54.101601.145028</w:t>
      </w:r>
    </w:p>
    <w:p w:rsidR="00FE77F3" w:rsidRDefault="00FE77F3">
      <w:pPr>
        <w:spacing w:line="186" w:lineRule="exact"/>
        <w:rPr>
          <w:sz w:val="20"/>
          <w:szCs w:val="20"/>
        </w:rPr>
      </w:pPr>
    </w:p>
    <w:p w:rsidR="00FE77F3" w:rsidRDefault="00E3448D">
      <w:pPr>
        <w:spacing w:line="474" w:lineRule="auto"/>
        <w:ind w:left="720" w:right="140" w:hanging="719"/>
        <w:rPr>
          <w:sz w:val="20"/>
          <w:szCs w:val="20"/>
        </w:rPr>
      </w:pPr>
      <w:r>
        <w:rPr>
          <w:rFonts w:eastAsia="Times New Roman"/>
          <w:sz w:val="24"/>
          <w:szCs w:val="24"/>
        </w:rPr>
        <w:t xml:space="preserve">Williamson, P., Weber, N., &amp; Robertson, M. (2013). The effect of expertise on memory conformity: a test of informational influence. </w:t>
      </w:r>
      <w:r>
        <w:rPr>
          <w:rFonts w:eastAsia="Times New Roman"/>
          <w:i/>
          <w:iCs/>
          <w:sz w:val="24"/>
          <w:szCs w:val="24"/>
        </w:rPr>
        <w:t>Behavioral Sciences &amp; The Law</w:t>
      </w:r>
      <w:r>
        <w:rPr>
          <w:rFonts w:eastAsia="Times New Roman"/>
          <w:sz w:val="24"/>
          <w:szCs w:val="24"/>
        </w:rPr>
        <w:t xml:space="preserve">, </w:t>
      </w:r>
      <w:r>
        <w:rPr>
          <w:rFonts w:eastAsia="Times New Roman"/>
          <w:i/>
          <w:iCs/>
          <w:sz w:val="24"/>
          <w:szCs w:val="24"/>
        </w:rPr>
        <w:t>31</w:t>
      </w:r>
      <w:r>
        <w:rPr>
          <w:rFonts w:eastAsia="Times New Roman"/>
          <w:sz w:val="24"/>
          <w:szCs w:val="24"/>
        </w:rPr>
        <w:t>(5), 607-623. http://dx.doi.org/10.1002/bsl.2094</w:t>
      </w:r>
    </w:p>
    <w:p w:rsidR="00FE77F3" w:rsidRDefault="00FE77F3">
      <w:pPr>
        <w:spacing w:line="180" w:lineRule="exact"/>
        <w:rPr>
          <w:sz w:val="20"/>
          <w:szCs w:val="20"/>
        </w:rPr>
      </w:pPr>
    </w:p>
    <w:p w:rsidR="00FE77F3" w:rsidRDefault="00E3448D">
      <w:pPr>
        <w:spacing w:line="474" w:lineRule="auto"/>
        <w:ind w:left="720" w:right="360" w:hanging="719"/>
        <w:rPr>
          <w:sz w:val="20"/>
          <w:szCs w:val="20"/>
        </w:rPr>
      </w:pPr>
      <w:r>
        <w:rPr>
          <w:rFonts w:eastAsia="Times New Roman"/>
          <w:sz w:val="24"/>
          <w:szCs w:val="24"/>
        </w:rPr>
        <w:t xml:space="preserve">Wright, D., London, K., &amp; Waechter, M. (2009). Social anxiety moderates memory conformity in adolescents. </w:t>
      </w:r>
      <w:r>
        <w:rPr>
          <w:rFonts w:eastAsia="Times New Roman"/>
          <w:i/>
          <w:iCs/>
          <w:sz w:val="24"/>
          <w:szCs w:val="24"/>
        </w:rPr>
        <w:t>Applied Cognitive Psychology</w:t>
      </w:r>
      <w:r>
        <w:rPr>
          <w:rFonts w:eastAsia="Times New Roman"/>
          <w:sz w:val="24"/>
          <w:szCs w:val="24"/>
        </w:rPr>
        <w:t xml:space="preserve">, </w:t>
      </w:r>
      <w:r>
        <w:rPr>
          <w:rFonts w:eastAsia="Times New Roman"/>
          <w:i/>
          <w:iCs/>
          <w:sz w:val="24"/>
          <w:szCs w:val="24"/>
        </w:rPr>
        <w:t>24</w:t>
      </w:r>
      <w:r>
        <w:rPr>
          <w:rFonts w:eastAsia="Times New Roman"/>
          <w:sz w:val="24"/>
          <w:szCs w:val="24"/>
        </w:rPr>
        <w:t>(7), 1034-1045. http://dx.doi.org/10.1002/acp.1604</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301" w:lineRule="exact"/>
        <w:rPr>
          <w:sz w:val="20"/>
          <w:szCs w:val="20"/>
        </w:rPr>
      </w:pPr>
    </w:p>
    <w:p w:rsidR="00FE77F3" w:rsidRDefault="00E3448D">
      <w:pPr>
        <w:jc w:val="right"/>
        <w:rPr>
          <w:sz w:val="20"/>
          <w:szCs w:val="20"/>
        </w:rPr>
      </w:pPr>
      <w:r>
        <w:rPr>
          <w:rFonts w:ascii="Calibri" w:eastAsia="Calibri" w:hAnsi="Calibri" w:cs="Calibri"/>
        </w:rPr>
        <w:t>35</w:t>
      </w:r>
    </w:p>
    <w:p w:rsidR="00FE77F3" w:rsidRDefault="00FE77F3">
      <w:pPr>
        <w:sectPr w:rsidR="00FE77F3">
          <w:pgSz w:w="11900" w:h="16838"/>
          <w:pgMar w:top="699" w:right="1426" w:bottom="419" w:left="720" w:header="0" w:footer="0" w:gutter="0"/>
          <w:cols w:space="720" w:equalWidth="0">
            <w:col w:w="9760"/>
          </w:cols>
        </w:sectPr>
      </w:pPr>
    </w:p>
    <w:p w:rsidR="00FE77F3" w:rsidRDefault="00E3448D">
      <w:pPr>
        <w:ind w:left="720"/>
        <w:rPr>
          <w:sz w:val="20"/>
          <w:szCs w:val="20"/>
        </w:rPr>
      </w:pPr>
      <w:bookmarkStart w:id="36" w:name="page37"/>
      <w:bookmarkEnd w:id="36"/>
      <w:r>
        <w:rPr>
          <w:rFonts w:ascii="Calibri" w:eastAsia="Calibri" w:hAnsi="Calibri" w:cs="Calibri"/>
        </w:rPr>
        <w:lastRenderedPageBreak/>
        <w:t>Group Size and Co-Witness Influence</w:t>
      </w:r>
    </w:p>
    <w:p w:rsidR="00FE77F3" w:rsidRDefault="00FE77F3">
      <w:pPr>
        <w:spacing w:line="200" w:lineRule="exact"/>
        <w:rPr>
          <w:sz w:val="20"/>
          <w:szCs w:val="20"/>
        </w:rPr>
      </w:pPr>
    </w:p>
    <w:p w:rsidR="00FE77F3" w:rsidRDefault="00FE77F3">
      <w:pPr>
        <w:spacing w:line="274" w:lineRule="exact"/>
        <w:rPr>
          <w:sz w:val="20"/>
          <w:szCs w:val="20"/>
        </w:rPr>
      </w:pPr>
    </w:p>
    <w:p w:rsidR="00FE77F3" w:rsidRDefault="00E3448D">
      <w:pPr>
        <w:spacing w:line="474" w:lineRule="auto"/>
        <w:ind w:left="720" w:right="500" w:hanging="719"/>
        <w:rPr>
          <w:rFonts w:eastAsia="Times New Roman"/>
          <w:color w:val="0563C1"/>
          <w:sz w:val="24"/>
          <w:szCs w:val="24"/>
          <w:u w:val="single"/>
        </w:rPr>
      </w:pPr>
      <w:r>
        <w:rPr>
          <w:rFonts w:eastAsia="Times New Roman"/>
          <w:sz w:val="24"/>
          <w:szCs w:val="24"/>
        </w:rPr>
        <w:t xml:space="preserve">Wright, D., Memon, A., Skagerberg, E., &amp; Gabbert, F. (2009). When eyewitnesses talk. </w:t>
      </w:r>
      <w:r>
        <w:rPr>
          <w:rFonts w:eastAsia="Times New Roman"/>
          <w:i/>
          <w:iCs/>
          <w:sz w:val="24"/>
          <w:szCs w:val="24"/>
        </w:rPr>
        <w:t>Current</w:t>
      </w:r>
      <w:r>
        <w:rPr>
          <w:rFonts w:eastAsia="Times New Roman"/>
          <w:sz w:val="24"/>
          <w:szCs w:val="24"/>
        </w:rPr>
        <w:t xml:space="preserve"> </w:t>
      </w:r>
      <w:r>
        <w:rPr>
          <w:rFonts w:eastAsia="Times New Roman"/>
          <w:i/>
          <w:iCs/>
          <w:sz w:val="24"/>
          <w:szCs w:val="24"/>
        </w:rPr>
        <w:t>Directions In Psychological Science</w:t>
      </w:r>
      <w:r>
        <w:rPr>
          <w:rFonts w:eastAsia="Times New Roman"/>
          <w:sz w:val="24"/>
          <w:szCs w:val="24"/>
        </w:rPr>
        <w:t>,</w:t>
      </w:r>
      <w:r>
        <w:rPr>
          <w:rFonts w:eastAsia="Times New Roman"/>
          <w:i/>
          <w:iCs/>
          <w:sz w:val="24"/>
          <w:szCs w:val="24"/>
        </w:rPr>
        <w:t xml:space="preserve"> 18</w:t>
      </w:r>
      <w:r>
        <w:rPr>
          <w:rFonts w:eastAsia="Times New Roman"/>
          <w:sz w:val="24"/>
          <w:szCs w:val="24"/>
        </w:rPr>
        <w:t>(3), 174-178.</w:t>
      </w:r>
      <w:r>
        <w:rPr>
          <w:rFonts w:eastAsia="Times New Roman"/>
          <w:i/>
          <w:iCs/>
          <w:sz w:val="24"/>
          <w:szCs w:val="24"/>
        </w:rPr>
        <w:t xml:space="preserve"> </w:t>
      </w:r>
      <w:hyperlink r:id="rId20">
        <w:r>
          <w:rPr>
            <w:rFonts w:eastAsia="Times New Roman"/>
            <w:color w:val="0563C1"/>
            <w:sz w:val="24"/>
            <w:szCs w:val="24"/>
            <w:u w:val="single"/>
          </w:rPr>
          <w:t>http://dx.doi.org/10.1111/j.1467-</w:t>
        </w:r>
      </w:hyperlink>
      <w:hyperlink r:id="rId21">
        <w:r>
          <w:rPr>
            <w:rFonts w:eastAsia="Times New Roman"/>
            <w:color w:val="0563C1"/>
            <w:sz w:val="24"/>
            <w:szCs w:val="24"/>
            <w:u w:val="single"/>
          </w:rPr>
          <w:t>8721.2009.01631.x</w:t>
        </w:r>
      </w:hyperlink>
    </w:p>
    <w:p w:rsidR="00FE77F3" w:rsidRDefault="00FE77F3">
      <w:pPr>
        <w:spacing w:line="170" w:lineRule="exact"/>
        <w:rPr>
          <w:sz w:val="20"/>
          <w:szCs w:val="20"/>
        </w:rPr>
      </w:pPr>
    </w:p>
    <w:p w:rsidR="00FE77F3" w:rsidRDefault="00E3448D">
      <w:pPr>
        <w:rPr>
          <w:sz w:val="20"/>
          <w:szCs w:val="20"/>
        </w:rPr>
      </w:pPr>
      <w:r>
        <w:rPr>
          <w:rFonts w:eastAsia="Times New Roman"/>
          <w:sz w:val="24"/>
          <w:szCs w:val="24"/>
        </w:rPr>
        <w:t>Wright, D. &amp; Skagerberg, E. (2007). Postidentification feedback affects real</w:t>
      </w:r>
    </w:p>
    <w:p w:rsidR="00FE77F3" w:rsidRDefault="00FE77F3">
      <w:pPr>
        <w:spacing w:line="288" w:lineRule="exact"/>
        <w:rPr>
          <w:sz w:val="20"/>
          <w:szCs w:val="20"/>
        </w:rPr>
      </w:pPr>
    </w:p>
    <w:p w:rsidR="00FE77F3" w:rsidRDefault="00E3448D">
      <w:pPr>
        <w:spacing w:line="469" w:lineRule="auto"/>
        <w:ind w:left="720" w:right="680"/>
        <w:rPr>
          <w:sz w:val="20"/>
          <w:szCs w:val="20"/>
        </w:rPr>
      </w:pPr>
      <w:r>
        <w:rPr>
          <w:rFonts w:eastAsia="Times New Roman"/>
          <w:sz w:val="24"/>
          <w:szCs w:val="24"/>
        </w:rPr>
        <w:t xml:space="preserve">eyewitnesses. </w:t>
      </w:r>
      <w:r>
        <w:rPr>
          <w:rFonts w:eastAsia="Times New Roman"/>
          <w:i/>
          <w:iCs/>
          <w:sz w:val="24"/>
          <w:szCs w:val="24"/>
        </w:rPr>
        <w:t>Psychological Science</w:t>
      </w:r>
      <w:r>
        <w:rPr>
          <w:rFonts w:eastAsia="Times New Roman"/>
          <w:sz w:val="24"/>
          <w:szCs w:val="24"/>
        </w:rPr>
        <w:t xml:space="preserve">, </w:t>
      </w:r>
      <w:r>
        <w:rPr>
          <w:rFonts w:eastAsia="Times New Roman"/>
          <w:i/>
          <w:iCs/>
          <w:sz w:val="24"/>
          <w:szCs w:val="24"/>
        </w:rPr>
        <w:t>18</w:t>
      </w:r>
      <w:r>
        <w:rPr>
          <w:rFonts w:eastAsia="Times New Roman"/>
          <w:sz w:val="24"/>
          <w:szCs w:val="24"/>
        </w:rPr>
        <w:t>(2), 172-178. http://dx.doi.org/10.1111/j.1467-9280.2007.01868.x</w:t>
      </w: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00" w:lineRule="exact"/>
        <w:rPr>
          <w:sz w:val="20"/>
          <w:szCs w:val="20"/>
        </w:rPr>
      </w:pPr>
    </w:p>
    <w:p w:rsidR="00FE77F3" w:rsidRDefault="00FE77F3">
      <w:pPr>
        <w:spacing w:line="297" w:lineRule="exact"/>
        <w:rPr>
          <w:sz w:val="20"/>
          <w:szCs w:val="20"/>
        </w:rPr>
      </w:pPr>
    </w:p>
    <w:p w:rsidR="00FE77F3" w:rsidRDefault="00E3448D">
      <w:pPr>
        <w:jc w:val="right"/>
        <w:rPr>
          <w:sz w:val="20"/>
          <w:szCs w:val="20"/>
        </w:rPr>
      </w:pPr>
      <w:r>
        <w:rPr>
          <w:rFonts w:ascii="Calibri" w:eastAsia="Calibri" w:hAnsi="Calibri" w:cs="Calibri"/>
        </w:rPr>
        <w:t>36</w:t>
      </w:r>
    </w:p>
    <w:sectPr w:rsidR="00FE77F3">
      <w:pgSz w:w="11900" w:h="16838"/>
      <w:pgMar w:top="699" w:right="1426" w:bottom="419" w:left="720" w:header="0" w:footer="0" w:gutter="0"/>
      <w:cols w:space="720" w:equalWidth="0">
        <w:col w:w="97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590239F8"/>
    <w:lvl w:ilvl="0" w:tplc="68B66CF2">
      <w:start w:val="1"/>
      <w:numFmt w:val="bullet"/>
      <w:lvlText w:val="*"/>
      <w:lvlJc w:val="left"/>
    </w:lvl>
    <w:lvl w:ilvl="1" w:tplc="10ACEFDC">
      <w:numFmt w:val="decimal"/>
      <w:lvlText w:val=""/>
      <w:lvlJc w:val="left"/>
    </w:lvl>
    <w:lvl w:ilvl="2" w:tplc="73AE7CD6">
      <w:numFmt w:val="decimal"/>
      <w:lvlText w:val=""/>
      <w:lvlJc w:val="left"/>
    </w:lvl>
    <w:lvl w:ilvl="3" w:tplc="BA946900">
      <w:numFmt w:val="decimal"/>
      <w:lvlText w:val=""/>
      <w:lvlJc w:val="left"/>
    </w:lvl>
    <w:lvl w:ilvl="4" w:tplc="993293E8">
      <w:numFmt w:val="decimal"/>
      <w:lvlText w:val=""/>
      <w:lvlJc w:val="left"/>
    </w:lvl>
    <w:lvl w:ilvl="5" w:tplc="B59CA900">
      <w:numFmt w:val="decimal"/>
      <w:lvlText w:val=""/>
      <w:lvlJc w:val="left"/>
    </w:lvl>
    <w:lvl w:ilvl="6" w:tplc="E45E7022">
      <w:numFmt w:val="decimal"/>
      <w:lvlText w:val=""/>
      <w:lvlJc w:val="left"/>
    </w:lvl>
    <w:lvl w:ilvl="7" w:tplc="62B2CDC6">
      <w:numFmt w:val="decimal"/>
      <w:lvlText w:val=""/>
      <w:lvlJc w:val="left"/>
    </w:lvl>
    <w:lvl w:ilvl="8" w:tplc="AB2AF3F4">
      <w:numFmt w:val="decimal"/>
      <w:lvlText w:val=""/>
      <w:lvlJc w:val="left"/>
    </w:lvl>
  </w:abstractNum>
  <w:abstractNum w:abstractNumId="1" w15:restartNumberingAfterBreak="0">
    <w:nsid w:val="2AE8944A"/>
    <w:multiLevelType w:val="hybridMultilevel"/>
    <w:tmpl w:val="7CDA2D9E"/>
    <w:lvl w:ilvl="0" w:tplc="8DE059AE">
      <w:start w:val="1"/>
      <w:numFmt w:val="decimal"/>
      <w:lvlText w:val="%1"/>
      <w:lvlJc w:val="left"/>
    </w:lvl>
    <w:lvl w:ilvl="1" w:tplc="D8EA15CC">
      <w:numFmt w:val="decimal"/>
      <w:lvlText w:val=""/>
      <w:lvlJc w:val="left"/>
    </w:lvl>
    <w:lvl w:ilvl="2" w:tplc="AA2C03C0">
      <w:numFmt w:val="decimal"/>
      <w:lvlText w:val=""/>
      <w:lvlJc w:val="left"/>
    </w:lvl>
    <w:lvl w:ilvl="3" w:tplc="54D02A32">
      <w:numFmt w:val="decimal"/>
      <w:lvlText w:val=""/>
      <w:lvlJc w:val="left"/>
    </w:lvl>
    <w:lvl w:ilvl="4" w:tplc="2F3ED5FC">
      <w:numFmt w:val="decimal"/>
      <w:lvlText w:val=""/>
      <w:lvlJc w:val="left"/>
    </w:lvl>
    <w:lvl w:ilvl="5" w:tplc="AC0E1254">
      <w:numFmt w:val="decimal"/>
      <w:lvlText w:val=""/>
      <w:lvlJc w:val="left"/>
    </w:lvl>
    <w:lvl w:ilvl="6" w:tplc="7E38C4D4">
      <w:numFmt w:val="decimal"/>
      <w:lvlText w:val=""/>
      <w:lvlJc w:val="left"/>
    </w:lvl>
    <w:lvl w:ilvl="7" w:tplc="9B3CD892">
      <w:numFmt w:val="decimal"/>
      <w:lvlText w:val=""/>
      <w:lvlJc w:val="left"/>
    </w:lvl>
    <w:lvl w:ilvl="8" w:tplc="0316D1DA">
      <w:numFmt w:val="decimal"/>
      <w:lvlText w:val=""/>
      <w:lvlJc w:val="left"/>
    </w:lvl>
  </w:abstractNum>
  <w:abstractNum w:abstractNumId="2" w15:restartNumberingAfterBreak="0">
    <w:nsid w:val="625558EC"/>
    <w:multiLevelType w:val="hybridMultilevel"/>
    <w:tmpl w:val="3EB07A4A"/>
    <w:lvl w:ilvl="0" w:tplc="C4DCD36C">
      <w:start w:val="346"/>
      <w:numFmt w:val="decimal"/>
      <w:lvlText w:val="%1."/>
      <w:lvlJc w:val="left"/>
    </w:lvl>
    <w:lvl w:ilvl="1" w:tplc="8DB83BE2">
      <w:numFmt w:val="decimal"/>
      <w:lvlText w:val=""/>
      <w:lvlJc w:val="left"/>
    </w:lvl>
    <w:lvl w:ilvl="2" w:tplc="D7AA32EE">
      <w:numFmt w:val="decimal"/>
      <w:lvlText w:val=""/>
      <w:lvlJc w:val="left"/>
    </w:lvl>
    <w:lvl w:ilvl="3" w:tplc="20885EA2">
      <w:numFmt w:val="decimal"/>
      <w:lvlText w:val=""/>
      <w:lvlJc w:val="left"/>
    </w:lvl>
    <w:lvl w:ilvl="4" w:tplc="DB3E910A">
      <w:numFmt w:val="decimal"/>
      <w:lvlText w:val=""/>
      <w:lvlJc w:val="left"/>
    </w:lvl>
    <w:lvl w:ilvl="5" w:tplc="BB5C5886">
      <w:numFmt w:val="decimal"/>
      <w:lvlText w:val=""/>
      <w:lvlJc w:val="left"/>
    </w:lvl>
    <w:lvl w:ilvl="6" w:tplc="6C020C00">
      <w:numFmt w:val="decimal"/>
      <w:lvlText w:val=""/>
      <w:lvlJc w:val="left"/>
    </w:lvl>
    <w:lvl w:ilvl="7" w:tplc="BC409888">
      <w:numFmt w:val="decimal"/>
      <w:lvlText w:val=""/>
      <w:lvlJc w:val="left"/>
    </w:lvl>
    <w:lvl w:ilvl="8" w:tplc="43208B4C">
      <w:numFmt w:val="decimal"/>
      <w:lvlText w:val=""/>
      <w:lvlJc w:val="left"/>
    </w:lvl>
  </w:abstractNum>
  <w:abstractNum w:abstractNumId="3" w15:restartNumberingAfterBreak="0">
    <w:nsid w:val="74B0DC51"/>
    <w:multiLevelType w:val="hybridMultilevel"/>
    <w:tmpl w:val="1988D420"/>
    <w:lvl w:ilvl="0" w:tplc="8798586C">
      <w:start w:val="1"/>
      <w:numFmt w:val="bullet"/>
      <w:lvlText w:val="•"/>
      <w:lvlJc w:val="left"/>
    </w:lvl>
    <w:lvl w:ilvl="1" w:tplc="8AA8B244">
      <w:numFmt w:val="decimal"/>
      <w:lvlText w:val=""/>
      <w:lvlJc w:val="left"/>
    </w:lvl>
    <w:lvl w:ilvl="2" w:tplc="51EAD67E">
      <w:numFmt w:val="decimal"/>
      <w:lvlText w:val=""/>
      <w:lvlJc w:val="left"/>
    </w:lvl>
    <w:lvl w:ilvl="3" w:tplc="1A7C90B0">
      <w:numFmt w:val="decimal"/>
      <w:lvlText w:val=""/>
      <w:lvlJc w:val="left"/>
    </w:lvl>
    <w:lvl w:ilvl="4" w:tplc="493ABDC4">
      <w:numFmt w:val="decimal"/>
      <w:lvlText w:val=""/>
      <w:lvlJc w:val="left"/>
    </w:lvl>
    <w:lvl w:ilvl="5" w:tplc="848ED09C">
      <w:numFmt w:val="decimal"/>
      <w:lvlText w:val=""/>
      <w:lvlJc w:val="left"/>
    </w:lvl>
    <w:lvl w:ilvl="6" w:tplc="9634F310">
      <w:numFmt w:val="decimal"/>
      <w:lvlText w:val=""/>
      <w:lvlJc w:val="left"/>
    </w:lvl>
    <w:lvl w:ilvl="7" w:tplc="300EF9E0">
      <w:numFmt w:val="decimal"/>
      <w:lvlText w:val=""/>
      <w:lvlJc w:val="left"/>
    </w:lvl>
    <w:lvl w:ilvl="8" w:tplc="AAFAB7D0">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F3"/>
    <w:rsid w:val="00841DAE"/>
    <w:rsid w:val="00E3448D"/>
    <w:rsid w:val="00FE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33823-5FC7-4DD1-82EC-419BC960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27/1864-9335.40.3.164" TargetMode="External"/><Relationship Id="rId13" Type="http://schemas.openxmlformats.org/officeDocument/2006/relationships/hyperlink" Target="http://dx.doi.org/10.1016/s0191-8869(01)00135-0" TargetMode="External"/><Relationship Id="rId18" Type="http://schemas.openxmlformats.org/officeDocument/2006/relationships/hyperlink" Target="http://dx.doi.org/10.1080/09658210802484817" TargetMode="External"/><Relationship Id="rId3" Type="http://schemas.openxmlformats.org/officeDocument/2006/relationships/settings" Target="settings.xml"/><Relationship Id="rId21" Type="http://schemas.openxmlformats.org/officeDocument/2006/relationships/hyperlink" Target="http://dx.doi.org/10.1111/j.1467-8721.2009.01631.x" TargetMode="External"/><Relationship Id="rId7" Type="http://schemas.openxmlformats.org/officeDocument/2006/relationships/hyperlink" Target="http://dx.doi.org/10.1037/0278-7393.21.6.1656" TargetMode="External"/><Relationship Id="rId12" Type="http://schemas.openxmlformats.org/officeDocument/2006/relationships/hyperlink" Target="http://dx.doi.org/10.1002/acp.2877" TargetMode="External"/><Relationship Id="rId17" Type="http://schemas.openxmlformats.org/officeDocument/2006/relationships/hyperlink" Target="http://dx.doi.org/10.1371/journal.pone.0134739" TargetMode="External"/><Relationship Id="rId2" Type="http://schemas.openxmlformats.org/officeDocument/2006/relationships/styles" Target="styles.xml"/><Relationship Id="rId16" Type="http://schemas.openxmlformats.org/officeDocument/2006/relationships/hyperlink" Target="http://dx.doi.org/10.1002/acp.1353" TargetMode="External"/><Relationship Id="rId20" Type="http://schemas.openxmlformats.org/officeDocument/2006/relationships/hyperlink" Target="http://dx.doi.org/10.1111/j.1467-8721.2009.01631.x" TargetMode="External"/><Relationship Id="rId1" Type="http://schemas.openxmlformats.org/officeDocument/2006/relationships/numbering" Target="numbering.xml"/><Relationship Id="rId6" Type="http://schemas.openxmlformats.org/officeDocument/2006/relationships/hyperlink" Target="http://dx.doi.org/10.1002/acp.1071" TargetMode="External"/><Relationship Id="rId11" Type="http://schemas.openxmlformats.org/officeDocument/2006/relationships/hyperlink" Target="http://dx.doi.org/10.1002/acp.885" TargetMode="External"/><Relationship Id="rId5" Type="http://schemas.openxmlformats.org/officeDocument/2006/relationships/image" Target="media/image1.jpeg"/><Relationship Id="rId15" Type="http://schemas.openxmlformats.org/officeDocument/2006/relationships/hyperlink" Target="http://dx.doi.org/10.1037/0021-9010.89.2.334" TargetMode="External"/><Relationship Id="rId23" Type="http://schemas.openxmlformats.org/officeDocument/2006/relationships/theme" Target="theme/theme1.xml"/><Relationship Id="rId10" Type="http://schemas.openxmlformats.org/officeDocument/2006/relationships/hyperlink" Target="http://dx.doi.org/10.1177/0963721410396620" TargetMode="External"/><Relationship Id="rId19" Type="http://schemas.openxmlformats.org/officeDocument/2006/relationships/hyperlink" Target="http://dx.doi.org/10.3758/bf03202511" TargetMode="External"/><Relationship Id="rId4" Type="http://schemas.openxmlformats.org/officeDocument/2006/relationships/webSettings" Target="webSettings.xml"/><Relationship Id="rId9" Type="http://schemas.openxmlformats.org/officeDocument/2006/relationships/hyperlink" Target="http://dx.doi.org/10.1027/1864-9335.40.3.164" TargetMode="External"/><Relationship Id="rId14" Type="http://schemas.openxmlformats.org/officeDocument/2006/relationships/hyperlink" Target="http://dx.doi.org/10.1080/00224545.1975.99233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9803</Words>
  <Characters>55881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5</cp:revision>
  <dcterms:created xsi:type="dcterms:W3CDTF">2018-04-06T09:11:00Z</dcterms:created>
  <dcterms:modified xsi:type="dcterms:W3CDTF">2018-04-06T13:36:00Z</dcterms:modified>
</cp:coreProperties>
</file>