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03" w:rsidRDefault="00DD0303">
      <w:pPr>
        <w:spacing w:line="200" w:lineRule="exact"/>
        <w:rPr>
          <w:sz w:val="24"/>
          <w:szCs w:val="24"/>
        </w:rPr>
      </w:pPr>
    </w:p>
    <w:p w:rsidR="00DD0303" w:rsidRDefault="003941DE">
      <w:pPr>
        <w:rPr>
          <w:sz w:val="20"/>
          <w:szCs w:val="20"/>
        </w:rPr>
      </w:pPr>
      <w:r w:rsidRPr="003941DE">
        <w:rPr>
          <w:rFonts w:ascii="Arial" w:eastAsia="Arial" w:hAnsi="Arial" w:cs="Arial"/>
          <w:sz w:val="28"/>
          <w:szCs w:val="28"/>
        </w:rPr>
        <w:t>Birmingham City University</w:t>
      </w:r>
      <w:r w:rsidR="00FB1377">
        <w:rPr>
          <w:rFonts w:ascii="Arial" w:eastAsia="Arial" w:hAnsi="Arial" w:cs="Arial"/>
          <w:sz w:val="28"/>
          <w:szCs w:val="28"/>
        </w:rPr>
        <w:t xml:space="preserve"> Repository</w:t>
      </w:r>
    </w:p>
    <w:p w:rsidR="00DD0303" w:rsidRDefault="00DD0303">
      <w:pPr>
        <w:spacing w:line="331" w:lineRule="exact"/>
        <w:rPr>
          <w:sz w:val="24"/>
          <w:szCs w:val="24"/>
        </w:rPr>
      </w:pPr>
    </w:p>
    <w:p w:rsidR="00DD0303" w:rsidRDefault="00FB1377">
      <w:pPr>
        <w:rPr>
          <w:sz w:val="20"/>
          <w:szCs w:val="20"/>
        </w:rPr>
      </w:pPr>
      <w:r>
        <w:rPr>
          <w:rFonts w:ascii="Arial" w:eastAsia="Arial" w:hAnsi="Arial" w:cs="Arial"/>
          <w:sz w:val="24"/>
          <w:szCs w:val="24"/>
        </w:rPr>
        <w:t>Hammond, Laura, Ioannou, Maria and Fewster, Martha</w:t>
      </w:r>
    </w:p>
    <w:p w:rsidR="00DD0303" w:rsidRDefault="00DD0303">
      <w:pPr>
        <w:spacing w:line="302" w:lineRule="exact"/>
        <w:rPr>
          <w:sz w:val="24"/>
          <w:szCs w:val="24"/>
        </w:rPr>
      </w:pPr>
    </w:p>
    <w:p w:rsidR="00DD0303" w:rsidRDefault="00FB1377">
      <w:pPr>
        <w:spacing w:line="260" w:lineRule="auto"/>
        <w:rPr>
          <w:sz w:val="20"/>
          <w:szCs w:val="20"/>
        </w:rPr>
      </w:pPr>
      <w:r>
        <w:rPr>
          <w:rFonts w:ascii="Arial" w:eastAsia="Arial" w:hAnsi="Arial" w:cs="Arial"/>
          <w:sz w:val="24"/>
          <w:szCs w:val="24"/>
        </w:rPr>
        <w:t>Perceptions of male rape and sexual assault in a male sample from the United Kingdom: Barriers to reporting and the impacts of victimization</w:t>
      </w:r>
    </w:p>
    <w:p w:rsidR="00DD0303" w:rsidRDefault="00DD0303">
      <w:pPr>
        <w:spacing w:line="269" w:lineRule="exact"/>
        <w:rPr>
          <w:sz w:val="24"/>
          <w:szCs w:val="24"/>
        </w:rPr>
      </w:pPr>
    </w:p>
    <w:p w:rsidR="00DD0303" w:rsidRDefault="00FB1377">
      <w:pPr>
        <w:rPr>
          <w:sz w:val="20"/>
          <w:szCs w:val="20"/>
        </w:rPr>
      </w:pPr>
      <w:r>
        <w:rPr>
          <w:rFonts w:ascii="Arial" w:eastAsia="Arial" w:hAnsi="Arial" w:cs="Arial"/>
          <w:sz w:val="24"/>
          <w:szCs w:val="24"/>
        </w:rPr>
        <w:t>Original Citation</w:t>
      </w:r>
    </w:p>
    <w:p w:rsidR="00DD0303" w:rsidRDefault="00DD0303">
      <w:pPr>
        <w:spacing w:line="325" w:lineRule="exact"/>
        <w:rPr>
          <w:sz w:val="24"/>
          <w:szCs w:val="24"/>
        </w:rPr>
      </w:pPr>
    </w:p>
    <w:p w:rsidR="00DD0303" w:rsidRDefault="00FB1377">
      <w:pPr>
        <w:spacing w:line="290" w:lineRule="auto"/>
        <w:ind w:right="20"/>
        <w:rPr>
          <w:sz w:val="20"/>
          <w:szCs w:val="20"/>
        </w:rPr>
      </w:pPr>
      <w:r>
        <w:rPr>
          <w:rFonts w:ascii="Arial" w:eastAsia="Arial" w:hAnsi="Arial" w:cs="Arial"/>
        </w:rPr>
        <w:t xml:space="preserve">Hammond, </w:t>
      </w:r>
      <w:bookmarkStart w:id="0" w:name="_GoBack"/>
      <w:r>
        <w:rPr>
          <w:rFonts w:ascii="Arial" w:eastAsia="Arial" w:hAnsi="Arial" w:cs="Arial"/>
        </w:rPr>
        <w:t>Laura, Ioannou, Maria and Fewster</w:t>
      </w:r>
      <w:bookmarkEnd w:id="0"/>
      <w:r>
        <w:rPr>
          <w:rFonts w:ascii="Arial" w:eastAsia="Arial" w:hAnsi="Arial" w:cs="Arial"/>
        </w:rPr>
        <w:t>, Martha (2016) Perceptions of male rape and sexual assault in a male sample from the United Kingdom: Barriers to reporting and the impacts of victimization. Journal of Investigative Psychology a</w:t>
      </w:r>
      <w:r>
        <w:rPr>
          <w:rFonts w:ascii="Arial" w:eastAsia="Arial" w:hAnsi="Arial" w:cs="Arial"/>
        </w:rPr>
        <w:t>nd Offender Profiling. ISSN 1544­4759</w:t>
      </w:r>
    </w:p>
    <w:p w:rsidR="00DD0303" w:rsidRDefault="00DD0303">
      <w:pPr>
        <w:spacing w:line="239" w:lineRule="exact"/>
        <w:rPr>
          <w:sz w:val="24"/>
          <w:szCs w:val="24"/>
        </w:rPr>
      </w:pPr>
    </w:p>
    <w:p w:rsidR="003941DE" w:rsidRPr="003941DE" w:rsidRDefault="003941DE" w:rsidP="003941DE">
      <w:pPr>
        <w:rPr>
          <w:rFonts w:ascii="Arial" w:eastAsia="Arial" w:hAnsi="Arial" w:cs="Arial"/>
          <w:sz w:val="24"/>
          <w:szCs w:val="24"/>
        </w:rPr>
      </w:pPr>
      <w:hyperlink r:id="rId5" w:history="1">
        <w:r w:rsidRPr="0068584C">
          <w:rPr>
            <w:rStyle w:val="Hyperlink"/>
            <w:rFonts w:ascii="Arial" w:eastAsia="Arial" w:hAnsi="Arial" w:cs="Arial"/>
            <w:sz w:val="24"/>
            <w:szCs w:val="24"/>
          </w:rPr>
          <w:t>https://doi.org/10.1002/jip.1462</w:t>
        </w:r>
      </w:hyperlink>
      <w:r>
        <w:rPr>
          <w:rFonts w:ascii="Arial" w:eastAsia="Arial" w:hAnsi="Arial" w:cs="Arial"/>
          <w:sz w:val="24"/>
          <w:szCs w:val="24"/>
        </w:rPr>
        <w:t xml:space="preserve"> </w:t>
      </w:r>
    </w:p>
    <w:p w:rsidR="00DD0303" w:rsidRDefault="00DD0303">
      <w:pPr>
        <w:spacing w:line="302" w:lineRule="exact"/>
        <w:rPr>
          <w:sz w:val="24"/>
          <w:szCs w:val="24"/>
        </w:rPr>
      </w:pPr>
    </w:p>
    <w:p w:rsidR="00DD0303" w:rsidRDefault="00DD0303">
      <w:pPr>
        <w:rPr>
          <w:sz w:val="24"/>
          <w:szCs w:val="24"/>
        </w:rPr>
      </w:pPr>
    </w:p>
    <w:p w:rsidR="00FB1377" w:rsidRPr="00FB1377" w:rsidRDefault="00FB1377" w:rsidP="00FB1377">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sidRPr="00FB1377">
        <w:rPr>
          <w:rFonts w:ascii="Arial" w:hAnsi="Arial" w:cs="Arial"/>
          <w:sz w:val="24"/>
        </w:rPr>
        <w:t xml:space="preserve">This is the accepted version of the manuscript published by Wiley in </w:t>
      </w:r>
      <w:r>
        <w:rPr>
          <w:rFonts w:ascii="Arial" w:hAnsi="Arial" w:cs="Arial"/>
          <w:i/>
          <w:sz w:val="24"/>
        </w:rPr>
        <w:t>Investigative Psychology and Offender Profiling</w:t>
      </w:r>
      <w:r w:rsidRPr="00FB1377">
        <w:rPr>
          <w:rFonts w:ascii="Arial" w:hAnsi="Arial" w:cs="Arial"/>
          <w:sz w:val="24"/>
        </w:rPr>
        <w:t xml:space="preserve">, doi: </w:t>
      </w:r>
      <w:r>
        <w:rPr>
          <w:rFonts w:ascii="Arial" w:hAnsi="Arial" w:cs="Arial"/>
          <w:sz w:val="24"/>
        </w:rPr>
        <w:t>10.1002</w:t>
      </w:r>
      <w:r w:rsidRPr="00FB1377">
        <w:rPr>
          <w:rFonts w:ascii="Arial" w:hAnsi="Arial" w:cs="Arial"/>
          <w:sz w:val="24"/>
        </w:rPr>
        <w:t>/</w:t>
      </w:r>
      <w:r>
        <w:rPr>
          <w:rFonts w:ascii="Arial" w:hAnsi="Arial" w:cs="Arial"/>
          <w:sz w:val="24"/>
        </w:rPr>
        <w:t>jip.1462</w:t>
      </w:r>
    </w:p>
    <w:p w:rsidR="00FB1377" w:rsidRPr="00FB1377" w:rsidRDefault="00FB1377" w:rsidP="00FB1377">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Pr>
          <w:rFonts w:ascii="Arial" w:hAnsi="Arial" w:cs="Arial"/>
          <w:sz w:val="24"/>
        </w:rPr>
        <w:t>Hammond</w:t>
      </w:r>
      <w:r w:rsidRPr="00FB1377">
        <w:rPr>
          <w:rFonts w:ascii="Arial" w:hAnsi="Arial" w:cs="Arial"/>
          <w:sz w:val="24"/>
        </w:rPr>
        <w:t xml:space="preserve">, </w:t>
      </w:r>
      <w:r>
        <w:rPr>
          <w:rFonts w:ascii="Arial" w:hAnsi="Arial" w:cs="Arial"/>
          <w:sz w:val="24"/>
        </w:rPr>
        <w:t>L</w:t>
      </w:r>
      <w:r w:rsidRPr="00FB1377">
        <w:rPr>
          <w:rFonts w:ascii="Arial" w:hAnsi="Arial" w:cs="Arial"/>
          <w:sz w:val="24"/>
        </w:rPr>
        <w:t xml:space="preserve">., </w:t>
      </w:r>
      <w:proofErr w:type="spellStart"/>
      <w:r>
        <w:rPr>
          <w:rFonts w:ascii="Arial" w:hAnsi="Arial" w:cs="Arial"/>
          <w:sz w:val="24"/>
        </w:rPr>
        <w:t>Ioannou</w:t>
      </w:r>
      <w:proofErr w:type="spellEnd"/>
      <w:r>
        <w:rPr>
          <w:rFonts w:ascii="Arial" w:hAnsi="Arial" w:cs="Arial"/>
          <w:sz w:val="24"/>
        </w:rPr>
        <w:t>, M.,</w:t>
      </w:r>
      <w:r w:rsidRPr="00FB1377">
        <w:rPr>
          <w:rFonts w:ascii="Arial" w:hAnsi="Arial" w:cs="Arial"/>
          <w:sz w:val="24"/>
        </w:rPr>
        <w:t xml:space="preserve"> &amp; </w:t>
      </w:r>
      <w:proofErr w:type="spellStart"/>
      <w:r>
        <w:rPr>
          <w:rFonts w:ascii="Arial" w:hAnsi="Arial" w:cs="Arial"/>
          <w:sz w:val="24"/>
        </w:rPr>
        <w:t>Fewster</w:t>
      </w:r>
      <w:proofErr w:type="spellEnd"/>
      <w:r w:rsidRPr="00FB1377">
        <w:rPr>
          <w:rFonts w:ascii="Arial" w:hAnsi="Arial" w:cs="Arial"/>
          <w:sz w:val="24"/>
        </w:rPr>
        <w:t xml:space="preserve">, </w:t>
      </w:r>
      <w:r>
        <w:rPr>
          <w:rFonts w:ascii="Arial" w:hAnsi="Arial" w:cs="Arial"/>
          <w:sz w:val="24"/>
        </w:rPr>
        <w:t>M. (2017</w:t>
      </w:r>
      <w:r w:rsidRPr="00FB1377">
        <w:rPr>
          <w:rFonts w:ascii="Arial" w:hAnsi="Arial" w:cs="Arial"/>
          <w:sz w:val="24"/>
        </w:rPr>
        <w:t xml:space="preserve">). </w:t>
      </w:r>
      <w:r w:rsidRPr="00FB1377">
        <w:rPr>
          <w:rFonts w:ascii="Arial" w:hAnsi="Arial" w:cs="Arial"/>
          <w:sz w:val="24"/>
        </w:rPr>
        <w:t>Perceptions of male rape and sexual assault in a male sample from the United Kingdom: Barriers to reporting and the impacts of victimization</w:t>
      </w:r>
      <w:r w:rsidRPr="00FB1377">
        <w:rPr>
          <w:rFonts w:ascii="Arial" w:hAnsi="Arial" w:cs="Arial"/>
          <w:sz w:val="24"/>
        </w:rPr>
        <w:t xml:space="preserve">. </w:t>
      </w:r>
      <w:r w:rsidRPr="00FB1377">
        <w:rPr>
          <w:rFonts w:ascii="Arial" w:hAnsi="Arial" w:cs="Arial"/>
          <w:i/>
          <w:sz w:val="24"/>
        </w:rPr>
        <w:t>Investigative Psychology and Offender Profiling</w:t>
      </w:r>
      <w:r w:rsidRPr="00FB1377">
        <w:rPr>
          <w:rFonts w:ascii="Arial" w:hAnsi="Arial" w:cs="Arial"/>
          <w:i/>
          <w:sz w:val="24"/>
        </w:rPr>
        <w:t xml:space="preserve">, </w:t>
      </w:r>
      <w:r>
        <w:rPr>
          <w:rFonts w:ascii="Arial" w:hAnsi="Arial" w:cs="Arial"/>
          <w:i/>
          <w:sz w:val="24"/>
        </w:rPr>
        <w:t>14</w:t>
      </w:r>
      <w:r w:rsidRPr="00FB1377">
        <w:rPr>
          <w:rFonts w:ascii="Arial" w:hAnsi="Arial" w:cs="Arial"/>
          <w:i/>
          <w:sz w:val="24"/>
        </w:rPr>
        <w:t xml:space="preserve">, </w:t>
      </w:r>
      <w:r>
        <w:rPr>
          <w:rFonts w:ascii="Arial" w:hAnsi="Arial" w:cs="Arial"/>
          <w:sz w:val="24"/>
        </w:rPr>
        <w:t>133–149</w:t>
      </w:r>
      <w:r w:rsidRPr="00FB1377">
        <w:rPr>
          <w:rFonts w:ascii="Arial" w:hAnsi="Arial" w:cs="Arial"/>
          <w:sz w:val="24"/>
        </w:rPr>
        <w:t>.</w:t>
      </w:r>
    </w:p>
    <w:p w:rsidR="00FB1377" w:rsidRDefault="00FB1377">
      <w:pPr>
        <w:sectPr w:rsidR="00FB1377">
          <w:pgSz w:w="11900" w:h="16840"/>
          <w:pgMar w:top="1440" w:right="1220" w:bottom="1440" w:left="1140" w:header="0" w:footer="0" w:gutter="0"/>
          <w:cols w:space="720" w:equalWidth="0">
            <w:col w:w="9540"/>
          </w:cols>
        </w:sectPr>
      </w:pPr>
    </w:p>
    <w:p w:rsidR="00DD0303" w:rsidRDefault="00FB1377">
      <w:pPr>
        <w:rPr>
          <w:sz w:val="20"/>
          <w:szCs w:val="20"/>
        </w:rPr>
      </w:pPr>
      <w:bookmarkStart w:id="1" w:name="page2"/>
      <w:bookmarkEnd w:id="1"/>
      <w:r>
        <w:rPr>
          <w:rFonts w:eastAsia="Times New Roman"/>
        </w:rPr>
        <w:lastRenderedPageBreak/>
        <w:t>Perceptions of Male</w:t>
      </w:r>
      <w:r>
        <w:rPr>
          <w:rFonts w:eastAsia="Times New Roman"/>
        </w:rPr>
        <w:t xml:space="preserv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34" w:lineRule="exact"/>
        <w:rPr>
          <w:sz w:val="20"/>
          <w:szCs w:val="20"/>
        </w:rPr>
      </w:pPr>
    </w:p>
    <w:p w:rsidR="00DD0303" w:rsidRDefault="00FB1377">
      <w:pPr>
        <w:ind w:right="6"/>
        <w:jc w:val="center"/>
        <w:rPr>
          <w:sz w:val="20"/>
          <w:szCs w:val="20"/>
        </w:rPr>
      </w:pPr>
      <w:r>
        <w:rPr>
          <w:rFonts w:eastAsia="Times New Roman"/>
          <w:b/>
          <w:bCs/>
          <w:sz w:val="28"/>
          <w:szCs w:val="28"/>
        </w:rPr>
        <w:t>Perceptions of Male Rape and Sexual Assault in a U.K. Male Sample:</w:t>
      </w:r>
    </w:p>
    <w:p w:rsidR="00DD0303" w:rsidRDefault="00DD0303">
      <w:pPr>
        <w:spacing w:line="240" w:lineRule="exact"/>
        <w:rPr>
          <w:sz w:val="20"/>
          <w:szCs w:val="20"/>
        </w:rPr>
      </w:pPr>
    </w:p>
    <w:p w:rsidR="00DD0303" w:rsidRDefault="00FB1377">
      <w:pPr>
        <w:ind w:right="6"/>
        <w:jc w:val="center"/>
        <w:rPr>
          <w:sz w:val="20"/>
          <w:szCs w:val="20"/>
        </w:rPr>
      </w:pPr>
      <w:r>
        <w:rPr>
          <w:rFonts w:eastAsia="Times New Roman"/>
          <w:b/>
          <w:bCs/>
          <w:sz w:val="28"/>
          <w:szCs w:val="28"/>
        </w:rPr>
        <w:t>Barriers to Reporting and the Impacts of Victimisation</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29" w:lineRule="exact"/>
        <w:rPr>
          <w:sz w:val="20"/>
          <w:szCs w:val="20"/>
        </w:rPr>
      </w:pPr>
    </w:p>
    <w:p w:rsidR="00DD0303" w:rsidRDefault="00FB1377">
      <w:pPr>
        <w:ind w:right="6"/>
        <w:jc w:val="right"/>
        <w:rPr>
          <w:sz w:val="20"/>
          <w:szCs w:val="20"/>
        </w:rPr>
      </w:pPr>
      <w:r>
        <w:rPr>
          <w:rFonts w:eastAsia="Times New Roman"/>
        </w:rPr>
        <w:t>1</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 w:name="page3"/>
      <w:bookmarkEnd w:id="2"/>
      <w:r>
        <w:rPr>
          <w:rFonts w:eastAsia="Times New Roman"/>
        </w:rPr>
        <w:lastRenderedPageBreak/>
        <w:t xml:space="preserve">Perceptions of Male </w:t>
      </w:r>
      <w:r>
        <w:rPr>
          <w:rFonts w:eastAsia="Times New Roman"/>
        </w:rPr>
        <w:t>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94" w:lineRule="exact"/>
        <w:rPr>
          <w:sz w:val="20"/>
          <w:szCs w:val="20"/>
        </w:rPr>
      </w:pPr>
    </w:p>
    <w:p w:rsidR="00DD0303" w:rsidRDefault="00FB1377">
      <w:pPr>
        <w:rPr>
          <w:sz w:val="20"/>
          <w:szCs w:val="20"/>
        </w:rPr>
      </w:pPr>
      <w:r>
        <w:rPr>
          <w:rFonts w:eastAsia="Times New Roman"/>
          <w:b/>
          <w:bCs/>
          <w:sz w:val="24"/>
          <w:szCs w:val="24"/>
        </w:rPr>
        <w:t>Abstract</w:t>
      </w:r>
    </w:p>
    <w:p w:rsidR="00DD0303" w:rsidRDefault="00DD0303">
      <w:pPr>
        <w:spacing w:line="200" w:lineRule="exact"/>
        <w:rPr>
          <w:sz w:val="20"/>
          <w:szCs w:val="20"/>
        </w:rPr>
      </w:pPr>
    </w:p>
    <w:p w:rsidR="00DD0303" w:rsidRDefault="00DD0303">
      <w:pPr>
        <w:spacing w:line="352" w:lineRule="exact"/>
        <w:rPr>
          <w:sz w:val="20"/>
          <w:szCs w:val="20"/>
        </w:rPr>
      </w:pPr>
    </w:p>
    <w:p w:rsidR="00DD0303" w:rsidRDefault="00FB1377">
      <w:pPr>
        <w:spacing w:line="481" w:lineRule="auto"/>
        <w:ind w:right="6"/>
        <w:rPr>
          <w:sz w:val="20"/>
          <w:szCs w:val="20"/>
        </w:rPr>
      </w:pPr>
      <w:r>
        <w:rPr>
          <w:rFonts w:eastAsia="Times New Roman"/>
          <w:sz w:val="24"/>
          <w:szCs w:val="24"/>
        </w:rPr>
        <w:t xml:space="preserve">The present study explored the prevalence of myths about male sexual assault, assault by penetration and rape in a male general population sample (N = 98; mean age = 26.17 years), with the aim of determining potential </w:t>
      </w:r>
      <w:r>
        <w:rPr>
          <w:rFonts w:eastAsia="Times New Roman"/>
          <w:sz w:val="24"/>
          <w:szCs w:val="24"/>
        </w:rPr>
        <w:t>barriers to the reporting of incidents of male sexual victimisation and reasons for reluctance to report. In addition, the impacts of prior experience of male sexual victimisation, both direct and indirect, on rape and sexual assault myth acceptance and on</w:t>
      </w:r>
      <w:r>
        <w:rPr>
          <w:rFonts w:eastAsia="Times New Roman"/>
          <w:sz w:val="24"/>
          <w:szCs w:val="24"/>
        </w:rPr>
        <w:t xml:space="preserve"> attitudes to reporting were evaluated. Participants completed an online survey indicating their levels of agreement with a range of statements reflecting different rape and sexual assault myths identified within the previous literature. Overall, there wer</w:t>
      </w:r>
      <w:r>
        <w:rPr>
          <w:rFonts w:eastAsia="Times New Roman"/>
          <w:sz w:val="24"/>
          <w:szCs w:val="24"/>
        </w:rPr>
        <w:t>e high levels of disagreement (&gt; 90%) with the majority of the statements. The only items generating higher agreement ratings were those suggesting that the police are unlikely to take male sexual victimisation seriously and – where the offence in question</w:t>
      </w:r>
      <w:r>
        <w:rPr>
          <w:rFonts w:eastAsia="Times New Roman"/>
          <w:sz w:val="24"/>
          <w:szCs w:val="24"/>
        </w:rPr>
        <w:t xml:space="preserve"> was sexual assault or assault by penetration and the perpetrator female – that men should be able to defend themselves against such crimes. Those without any prior experience of male sexual victimisation tended to disagree more with the rape myths than th</w:t>
      </w:r>
      <w:r>
        <w:rPr>
          <w:rFonts w:eastAsia="Times New Roman"/>
          <w:sz w:val="24"/>
          <w:szCs w:val="24"/>
        </w:rPr>
        <w:t>ose with previous experience. When asked whether they would report these offences if they were to happen to them; participants said that they were more likely to report each of the types of offences when the perpetrator was male than when they were female.</w:t>
      </w:r>
      <w:r>
        <w:rPr>
          <w:rFonts w:eastAsia="Times New Roman"/>
          <w:sz w:val="24"/>
          <w:szCs w:val="24"/>
        </w:rPr>
        <w:t xml:space="preserve"> Potential implications of the findings, for male sex offence investigations and for the criminal justice system more generally, are discussed.</w:t>
      </w:r>
    </w:p>
    <w:p w:rsidR="00DD0303" w:rsidRDefault="00DD0303">
      <w:pPr>
        <w:spacing w:line="200" w:lineRule="exact"/>
        <w:rPr>
          <w:sz w:val="20"/>
          <w:szCs w:val="20"/>
        </w:rPr>
      </w:pPr>
    </w:p>
    <w:p w:rsidR="00DD0303" w:rsidRDefault="00DD0303">
      <w:pPr>
        <w:spacing w:line="329" w:lineRule="exact"/>
        <w:rPr>
          <w:sz w:val="20"/>
          <w:szCs w:val="20"/>
        </w:rPr>
      </w:pPr>
    </w:p>
    <w:p w:rsidR="00DD0303" w:rsidRDefault="00FB1377">
      <w:pPr>
        <w:rPr>
          <w:sz w:val="20"/>
          <w:szCs w:val="20"/>
        </w:rPr>
      </w:pPr>
      <w:r>
        <w:rPr>
          <w:rFonts w:eastAsia="Times New Roman"/>
          <w:b/>
          <w:bCs/>
          <w:sz w:val="24"/>
          <w:szCs w:val="24"/>
        </w:rPr>
        <w:t>Introduction</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11" w:lineRule="exact"/>
        <w:rPr>
          <w:sz w:val="20"/>
          <w:szCs w:val="20"/>
        </w:rPr>
      </w:pPr>
    </w:p>
    <w:p w:rsidR="00DD0303" w:rsidRDefault="00FB1377">
      <w:pPr>
        <w:ind w:right="6"/>
        <w:jc w:val="right"/>
        <w:rPr>
          <w:sz w:val="20"/>
          <w:szCs w:val="20"/>
        </w:rPr>
      </w:pPr>
      <w:r>
        <w:rPr>
          <w:rFonts w:eastAsia="Times New Roman"/>
        </w:rPr>
        <w:t>2</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 w:name="page4"/>
      <w:bookmarkEnd w:id="3"/>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106" w:firstLine="720"/>
        <w:rPr>
          <w:sz w:val="20"/>
          <w:szCs w:val="20"/>
        </w:rPr>
      </w:pPr>
      <w:r>
        <w:rPr>
          <w:rFonts w:eastAsia="Times New Roman"/>
          <w:sz w:val="24"/>
          <w:szCs w:val="24"/>
        </w:rPr>
        <w:t xml:space="preserve">Around 400,000 females </w:t>
      </w:r>
      <w:r>
        <w:rPr>
          <w:rFonts w:eastAsia="Times New Roman"/>
          <w:sz w:val="24"/>
          <w:szCs w:val="24"/>
        </w:rPr>
        <w:t>and around 72,000 males report being the victim of a sexual offence in the U.K. each year (Home Office, 2013). On average, of the total reported sex offences (including attempts) reported, around 85% are reported by women. Only 15% of all complaints of sex</w:t>
      </w:r>
      <w:r>
        <w:rPr>
          <w:rFonts w:eastAsia="Times New Roman"/>
          <w:sz w:val="24"/>
          <w:szCs w:val="24"/>
        </w:rPr>
        <w:t>ual assault, assault by penetration and rape are made by men.</w:t>
      </w:r>
    </w:p>
    <w:p w:rsidR="00DD0303" w:rsidRDefault="00FB1377">
      <w:pPr>
        <w:spacing w:line="480" w:lineRule="auto"/>
        <w:ind w:right="26" w:firstLine="720"/>
        <w:rPr>
          <w:sz w:val="20"/>
          <w:szCs w:val="20"/>
        </w:rPr>
      </w:pPr>
      <w:r>
        <w:rPr>
          <w:rFonts w:eastAsia="Times New Roman"/>
          <w:sz w:val="24"/>
          <w:szCs w:val="24"/>
        </w:rPr>
        <w:t>An extensive literature has examined female victimisation and sex offences (c.f. Hovarth, 2009), exploring the factors that lead women to report or prevent them from reporting (e.g. Wolitzjky-Ta</w:t>
      </w:r>
      <w:r>
        <w:rPr>
          <w:rFonts w:eastAsia="Times New Roman"/>
          <w:sz w:val="24"/>
          <w:szCs w:val="24"/>
        </w:rPr>
        <w:t>ylor, Resnick, McCauley, Amstadter, Kilpatrick &amp; Ruggiero, 2011), their engagement in the criminal justice process (e.g. Patterson &amp; Tringali, 2015), how complaints made by women are likely to be handled within the criminal justice system (e.g. Brown, Hami</w:t>
      </w:r>
      <w:r>
        <w:rPr>
          <w:rFonts w:eastAsia="Times New Roman"/>
          <w:sz w:val="24"/>
          <w:szCs w:val="24"/>
        </w:rPr>
        <w:t>lton &amp; O’Neill, 2007) and factors impacting upon the likely outcome of sex offences (e.g. Lea, Lanvers &amp; Shaw, 2003; Kelly, Lovett &amp; Regan, 2005).</w:t>
      </w:r>
    </w:p>
    <w:p w:rsidR="00DD0303" w:rsidRDefault="00FB1377">
      <w:pPr>
        <w:spacing w:line="480" w:lineRule="auto"/>
        <w:ind w:right="86" w:firstLine="720"/>
        <w:rPr>
          <w:sz w:val="20"/>
          <w:szCs w:val="20"/>
        </w:rPr>
      </w:pPr>
      <w:r>
        <w:rPr>
          <w:rFonts w:eastAsia="Times New Roman"/>
          <w:sz w:val="24"/>
          <w:szCs w:val="24"/>
        </w:rPr>
        <w:t>In contrast, relatively little empirical attention has been paid to male sex offence victimisation. As Chaple</w:t>
      </w:r>
      <w:r>
        <w:rPr>
          <w:rFonts w:eastAsia="Times New Roman"/>
          <w:sz w:val="24"/>
          <w:szCs w:val="24"/>
        </w:rPr>
        <w:t>au, Oswald and Russell (2008) discuss; although the need to examine male victims of sexual offences became apparent very quickly after researchers began examining female rape, researchers have been very slow to respond to these issues. Recently, there have</w:t>
      </w:r>
      <w:r>
        <w:rPr>
          <w:rFonts w:eastAsia="Times New Roman"/>
          <w:sz w:val="24"/>
          <w:szCs w:val="24"/>
        </w:rPr>
        <w:t xml:space="preserve"> been calls for more studies into male rape and sexual assault, in order to establish the actual prevalence of these offences (c.f. Burrowes &amp; Hovarth, 2013), to seek answers to the question of why so few males report sexual victimisation (e.g. Sable, Dani</w:t>
      </w:r>
      <w:r>
        <w:rPr>
          <w:rFonts w:eastAsia="Times New Roman"/>
          <w:sz w:val="24"/>
          <w:szCs w:val="24"/>
        </w:rPr>
        <w:t>s, Mauzy &amp; Gallagher, 2006), and to determine the factors that might impact upon the processing and likely outcomes of male rape and sexual assault (Hohl &amp; Stanko, 2015).</w:t>
      </w:r>
    </w:p>
    <w:p w:rsidR="00DD0303" w:rsidRDefault="00FB1377">
      <w:pPr>
        <w:spacing w:line="490" w:lineRule="auto"/>
        <w:ind w:right="266" w:firstLine="720"/>
        <w:rPr>
          <w:sz w:val="20"/>
          <w:szCs w:val="20"/>
        </w:rPr>
      </w:pPr>
      <w:r>
        <w:rPr>
          <w:rFonts w:eastAsia="Times New Roman"/>
          <w:sz w:val="24"/>
          <w:szCs w:val="24"/>
        </w:rPr>
        <w:t>It has long been recognised that the factors that influence male reporting of sex off</w:t>
      </w:r>
      <w:r>
        <w:rPr>
          <w:rFonts w:eastAsia="Times New Roman"/>
          <w:sz w:val="24"/>
          <w:szCs w:val="24"/>
        </w:rPr>
        <w:t>ences are likely to vary considerably from those that promote or hinder female reporting (Pino &amp; Meier, 1999), although there has been little research into what these differences might be, or into the factors or processes that might underlie such differenc</w:t>
      </w:r>
      <w:r>
        <w:rPr>
          <w:rFonts w:eastAsia="Times New Roman"/>
          <w:sz w:val="24"/>
          <w:szCs w:val="24"/>
        </w:rPr>
        <w:t>es.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ind w:right="6"/>
        <w:jc w:val="right"/>
        <w:rPr>
          <w:sz w:val="20"/>
          <w:szCs w:val="20"/>
        </w:rPr>
      </w:pPr>
      <w:r>
        <w:rPr>
          <w:rFonts w:eastAsia="Times New Roman"/>
        </w:rPr>
        <w:t>3</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4" w:name="page5"/>
      <w:bookmarkEnd w:id="4"/>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46" w:firstLine="720"/>
        <w:rPr>
          <w:sz w:val="20"/>
          <w:szCs w:val="20"/>
        </w:rPr>
      </w:pPr>
      <w:r>
        <w:rPr>
          <w:rFonts w:eastAsia="Times New Roman"/>
          <w:sz w:val="24"/>
          <w:szCs w:val="24"/>
        </w:rPr>
        <w:t xml:space="preserve">It has been suggested that one particularly pertinent factor that is likely to impact both upon whether male sexual victimisation is likely to be reported and how likely cases are </w:t>
      </w:r>
      <w:r>
        <w:rPr>
          <w:rFonts w:eastAsia="Times New Roman"/>
          <w:sz w:val="24"/>
          <w:szCs w:val="24"/>
        </w:rPr>
        <w:t>then to proceed and progress through the criminal justice process is the prevalence and acceptance of rape myths within society (Chapleau et al., 2008; Turchik &amp; Edwards (2012), for example, discuss how false stereotypes may lead to under-reporting of male</w:t>
      </w:r>
      <w:r>
        <w:rPr>
          <w:rFonts w:eastAsia="Times New Roman"/>
          <w:sz w:val="24"/>
          <w:szCs w:val="24"/>
        </w:rPr>
        <w:t xml:space="preserve"> rape and male sexual violence, as men may fear how they will be judged and expect that their complaint might not be taken seriously. Javaid (2014) too discusses how public perceptions and the gendering of sexual offences in society mean that male victims </w:t>
      </w:r>
      <w:r>
        <w:rPr>
          <w:rFonts w:eastAsia="Times New Roman"/>
          <w:sz w:val="24"/>
          <w:szCs w:val="24"/>
        </w:rPr>
        <w:t>tend to be either overlooked or under-represented in official figures on rape and sex offences.</w:t>
      </w:r>
    </w:p>
    <w:p w:rsidR="00DD0303" w:rsidRDefault="00FB1377">
      <w:pPr>
        <w:spacing w:line="488" w:lineRule="auto"/>
        <w:ind w:right="146" w:firstLine="720"/>
        <w:rPr>
          <w:sz w:val="20"/>
          <w:szCs w:val="20"/>
        </w:rPr>
      </w:pPr>
      <w:r>
        <w:rPr>
          <w:rFonts w:eastAsia="Times New Roman"/>
          <w:sz w:val="24"/>
          <w:szCs w:val="24"/>
        </w:rPr>
        <w:t>Research is needed to map the unchartered terror of male rape myth acceptance (Chapleau et al., 2008), in order to ascertain its impacts on male reporting of se</w:t>
      </w:r>
      <w:r>
        <w:rPr>
          <w:rFonts w:eastAsia="Times New Roman"/>
          <w:sz w:val="24"/>
          <w:szCs w:val="24"/>
        </w:rPr>
        <w:t>xual violence victimisation. Further, consideration needs to be given to how male rape myths are likely to feed into, and resonate throughout, criminal justice processes. It is these issues with which the present study is concerned.</w:t>
      </w:r>
    </w:p>
    <w:p w:rsidR="00DD0303" w:rsidRDefault="00DD0303">
      <w:pPr>
        <w:spacing w:line="200" w:lineRule="exact"/>
        <w:rPr>
          <w:sz w:val="20"/>
          <w:szCs w:val="20"/>
        </w:rPr>
      </w:pPr>
    </w:p>
    <w:p w:rsidR="00DD0303" w:rsidRDefault="00DD0303">
      <w:pPr>
        <w:spacing w:line="305" w:lineRule="exact"/>
        <w:rPr>
          <w:sz w:val="20"/>
          <w:szCs w:val="20"/>
        </w:rPr>
      </w:pPr>
    </w:p>
    <w:p w:rsidR="00DD0303" w:rsidRDefault="00FB1377">
      <w:pPr>
        <w:rPr>
          <w:sz w:val="20"/>
          <w:szCs w:val="20"/>
        </w:rPr>
      </w:pPr>
      <w:r>
        <w:rPr>
          <w:rFonts w:eastAsia="Times New Roman"/>
          <w:b/>
          <w:bCs/>
          <w:i/>
          <w:iCs/>
          <w:sz w:val="24"/>
          <w:szCs w:val="24"/>
        </w:rPr>
        <w:t>Definitions</w:t>
      </w:r>
    </w:p>
    <w:p w:rsidR="00DD0303" w:rsidRDefault="00DD0303">
      <w:pPr>
        <w:spacing w:line="270" w:lineRule="exact"/>
        <w:rPr>
          <w:sz w:val="20"/>
          <w:szCs w:val="20"/>
        </w:rPr>
      </w:pPr>
    </w:p>
    <w:p w:rsidR="00DD0303" w:rsidRDefault="00FB1377">
      <w:pPr>
        <w:spacing w:line="512" w:lineRule="auto"/>
        <w:ind w:right="166"/>
        <w:rPr>
          <w:sz w:val="20"/>
          <w:szCs w:val="20"/>
        </w:rPr>
      </w:pPr>
      <w:r>
        <w:rPr>
          <w:rFonts w:eastAsia="Times New Roman"/>
          <w:sz w:val="24"/>
          <w:szCs w:val="24"/>
        </w:rPr>
        <w:t>The foll</w:t>
      </w:r>
      <w:r>
        <w:rPr>
          <w:rFonts w:eastAsia="Times New Roman"/>
          <w:sz w:val="24"/>
          <w:szCs w:val="24"/>
        </w:rPr>
        <w:t>owing definitions are provided by Sexual Offences Act of 2003, and will be referred to throughout the ensuing discussion:</w:t>
      </w:r>
    </w:p>
    <w:p w:rsidR="00DD0303" w:rsidRDefault="00DD0303">
      <w:pPr>
        <w:spacing w:line="43" w:lineRule="exact"/>
        <w:rPr>
          <w:sz w:val="20"/>
          <w:szCs w:val="20"/>
        </w:rPr>
      </w:pPr>
    </w:p>
    <w:p w:rsidR="00DD0303" w:rsidRDefault="00FB1377">
      <w:pPr>
        <w:spacing w:line="516" w:lineRule="auto"/>
        <w:ind w:right="726"/>
        <w:rPr>
          <w:sz w:val="20"/>
          <w:szCs w:val="20"/>
        </w:rPr>
      </w:pPr>
      <w:r>
        <w:rPr>
          <w:rFonts w:eastAsia="Times New Roman"/>
          <w:sz w:val="24"/>
          <w:szCs w:val="24"/>
        </w:rPr>
        <w:t>Sexual Assault: “</w:t>
      </w:r>
      <w:r>
        <w:rPr>
          <w:rFonts w:eastAsia="Times New Roman"/>
          <w:i/>
          <w:iCs/>
          <w:sz w:val="24"/>
          <w:szCs w:val="24"/>
        </w:rPr>
        <w:t>A person commits the offence of sexual assault if he/she intentionally</w:t>
      </w:r>
      <w:r>
        <w:rPr>
          <w:rFonts w:eastAsia="Times New Roman"/>
          <w:sz w:val="24"/>
          <w:szCs w:val="24"/>
        </w:rPr>
        <w:t xml:space="preserve"> </w:t>
      </w:r>
      <w:r>
        <w:rPr>
          <w:rFonts w:eastAsia="Times New Roman"/>
          <w:i/>
          <w:iCs/>
          <w:sz w:val="24"/>
          <w:szCs w:val="24"/>
        </w:rPr>
        <w:t xml:space="preserve">sexually touches another person who does not </w:t>
      </w:r>
      <w:r>
        <w:rPr>
          <w:rFonts w:eastAsia="Times New Roman"/>
          <w:i/>
          <w:iCs/>
          <w:sz w:val="24"/>
          <w:szCs w:val="24"/>
        </w:rPr>
        <w:t>consent to the touching”.</w:t>
      </w:r>
    </w:p>
    <w:p w:rsidR="00DD0303" w:rsidRDefault="00DD0303">
      <w:pPr>
        <w:spacing w:line="37" w:lineRule="exact"/>
        <w:rPr>
          <w:sz w:val="20"/>
          <w:szCs w:val="20"/>
        </w:rPr>
      </w:pPr>
    </w:p>
    <w:p w:rsidR="00DD0303" w:rsidRDefault="00FB1377">
      <w:pPr>
        <w:spacing w:line="497" w:lineRule="auto"/>
        <w:ind w:right="106"/>
        <w:rPr>
          <w:sz w:val="20"/>
          <w:szCs w:val="20"/>
        </w:rPr>
      </w:pPr>
      <w:r>
        <w:rPr>
          <w:rFonts w:eastAsia="Times New Roman"/>
          <w:sz w:val="24"/>
          <w:szCs w:val="24"/>
        </w:rPr>
        <w:t>Assault by Penetration: “</w:t>
      </w:r>
      <w:r>
        <w:rPr>
          <w:rFonts w:eastAsia="Times New Roman"/>
          <w:i/>
          <w:iCs/>
          <w:sz w:val="24"/>
          <w:szCs w:val="24"/>
        </w:rPr>
        <w:t>A person commits the offence of assault by penetration when he/she</w:t>
      </w:r>
      <w:r>
        <w:rPr>
          <w:rFonts w:eastAsia="Times New Roman"/>
          <w:sz w:val="24"/>
          <w:szCs w:val="24"/>
        </w:rPr>
        <w:t xml:space="preserve"> </w:t>
      </w:r>
      <w:r>
        <w:rPr>
          <w:rFonts w:eastAsia="Times New Roman"/>
          <w:i/>
          <w:iCs/>
          <w:sz w:val="24"/>
          <w:szCs w:val="24"/>
        </w:rPr>
        <w:t>intentionally penetrates the vagina or anus of another person, who does not consent with a part of his/her body or anything else”.</w:t>
      </w:r>
    </w:p>
    <w:p w:rsidR="00DD0303" w:rsidRDefault="00DD0303">
      <w:pPr>
        <w:spacing w:line="59" w:lineRule="exact"/>
        <w:rPr>
          <w:sz w:val="20"/>
          <w:szCs w:val="20"/>
        </w:rPr>
      </w:pPr>
    </w:p>
    <w:p w:rsidR="00DD0303" w:rsidRDefault="00FB1377">
      <w:pPr>
        <w:spacing w:line="490" w:lineRule="auto"/>
        <w:ind w:right="246"/>
        <w:rPr>
          <w:sz w:val="20"/>
          <w:szCs w:val="20"/>
        </w:rPr>
      </w:pPr>
      <w:r>
        <w:rPr>
          <w:rFonts w:eastAsia="Times New Roman"/>
          <w:sz w:val="24"/>
          <w:szCs w:val="24"/>
        </w:rPr>
        <w:t xml:space="preserve">Rape: </w:t>
      </w:r>
      <w:r>
        <w:rPr>
          <w:rFonts w:eastAsia="Times New Roman"/>
          <w:i/>
          <w:iCs/>
          <w:sz w:val="24"/>
          <w:szCs w:val="24"/>
        </w:rPr>
        <w:t>“A person commits the offence of rape if he intentionally penetrates the vagina, anus</w:t>
      </w:r>
      <w:r>
        <w:rPr>
          <w:rFonts w:eastAsia="Times New Roman"/>
          <w:sz w:val="24"/>
          <w:szCs w:val="24"/>
        </w:rPr>
        <w:t xml:space="preserve"> </w:t>
      </w:r>
      <w:r>
        <w:rPr>
          <w:rFonts w:eastAsia="Times New Roman"/>
          <w:i/>
          <w:iCs/>
          <w:sz w:val="24"/>
          <w:szCs w:val="24"/>
        </w:rPr>
        <w:t>or mouth of another person, who does not consent to the penetration, with his penis”.</w:t>
      </w:r>
    </w:p>
    <w:p w:rsidR="00DD0303" w:rsidRDefault="00FB1377">
      <w:pPr>
        <w:ind w:right="6"/>
        <w:jc w:val="right"/>
        <w:rPr>
          <w:sz w:val="20"/>
          <w:szCs w:val="20"/>
        </w:rPr>
      </w:pPr>
      <w:r>
        <w:rPr>
          <w:rFonts w:eastAsia="Times New Roman"/>
        </w:rPr>
        <w:t>4</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5" w:name="page6"/>
      <w:bookmarkEnd w:id="5"/>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7" w:lineRule="exact"/>
        <w:rPr>
          <w:sz w:val="20"/>
          <w:szCs w:val="20"/>
        </w:rPr>
      </w:pPr>
    </w:p>
    <w:p w:rsidR="00DD0303" w:rsidRDefault="00FB1377">
      <w:pPr>
        <w:rPr>
          <w:sz w:val="20"/>
          <w:szCs w:val="20"/>
        </w:rPr>
      </w:pPr>
      <w:r>
        <w:rPr>
          <w:rFonts w:eastAsia="Times New Roman"/>
          <w:b/>
          <w:bCs/>
          <w:sz w:val="24"/>
          <w:szCs w:val="24"/>
        </w:rPr>
        <w:t>Background</w:t>
      </w:r>
    </w:p>
    <w:p w:rsidR="00DD0303" w:rsidRDefault="00DD0303">
      <w:pPr>
        <w:spacing w:line="392" w:lineRule="exact"/>
        <w:rPr>
          <w:sz w:val="20"/>
          <w:szCs w:val="20"/>
        </w:rPr>
      </w:pPr>
    </w:p>
    <w:p w:rsidR="00DD0303" w:rsidRDefault="00FB1377">
      <w:pPr>
        <w:rPr>
          <w:sz w:val="20"/>
          <w:szCs w:val="20"/>
        </w:rPr>
      </w:pPr>
      <w:r>
        <w:rPr>
          <w:rFonts w:eastAsia="Times New Roman"/>
          <w:i/>
          <w:iCs/>
          <w:sz w:val="24"/>
          <w:szCs w:val="24"/>
        </w:rPr>
        <w:t>The Classification of Male Sex Offences</w:t>
      </w:r>
    </w:p>
    <w:p w:rsidR="00DD0303" w:rsidRDefault="00DD0303">
      <w:pPr>
        <w:spacing w:line="400" w:lineRule="exact"/>
        <w:rPr>
          <w:sz w:val="20"/>
          <w:szCs w:val="20"/>
        </w:rPr>
      </w:pPr>
    </w:p>
    <w:p w:rsidR="00DD0303" w:rsidRDefault="00FB1377">
      <w:pPr>
        <w:spacing w:line="500" w:lineRule="auto"/>
        <w:ind w:right="126" w:firstLine="720"/>
        <w:rPr>
          <w:rFonts w:eastAsia="Times New Roman"/>
          <w:sz w:val="23"/>
          <w:szCs w:val="23"/>
        </w:rPr>
      </w:pPr>
      <w:r>
        <w:rPr>
          <w:rFonts w:eastAsia="Times New Roman"/>
          <w:sz w:val="23"/>
          <w:szCs w:val="23"/>
        </w:rPr>
        <w:t>Up until 1994 there was no such offence as male rape under English law; rather, the only related crime classification was that of buggery (unconsenting penile-anal penetration) (McLean, 2013). This carried a much le</w:t>
      </w:r>
      <w:r>
        <w:rPr>
          <w:rFonts w:eastAsia="Times New Roman"/>
          <w:sz w:val="23"/>
          <w:szCs w:val="23"/>
        </w:rPr>
        <w:t xml:space="preserve">sser charge than the equivalent offence of the rape of a female (a 10 year maximum sentence as opposed to life imprisonment). The Sex Offences Act (1956) was then amended in the </w:t>
      </w:r>
      <w:hyperlink r:id="rId6">
        <w:r>
          <w:rPr>
            <w:rFonts w:eastAsia="Times New Roman"/>
            <w:sz w:val="23"/>
            <w:szCs w:val="23"/>
          </w:rPr>
          <w:t xml:space="preserve">Criminal Justice and Public Order Act (1994) </w:t>
        </w:r>
      </w:hyperlink>
      <w:r>
        <w:rPr>
          <w:rFonts w:eastAsia="Times New Roman"/>
          <w:sz w:val="23"/>
          <w:szCs w:val="23"/>
        </w:rPr>
        <w:t>so as to include male rape. In the 2003 Sex Offences Act the current definitions were introduced.</w:t>
      </w:r>
    </w:p>
    <w:p w:rsidR="00DD0303" w:rsidRDefault="00DD0303">
      <w:pPr>
        <w:spacing w:line="6" w:lineRule="exact"/>
        <w:rPr>
          <w:sz w:val="20"/>
          <w:szCs w:val="20"/>
        </w:rPr>
      </w:pPr>
    </w:p>
    <w:p w:rsidR="00DD0303" w:rsidRDefault="00FB1377">
      <w:pPr>
        <w:spacing w:line="483" w:lineRule="auto"/>
        <w:ind w:right="6" w:firstLine="720"/>
        <w:rPr>
          <w:sz w:val="20"/>
          <w:szCs w:val="20"/>
        </w:rPr>
      </w:pPr>
      <w:r>
        <w:rPr>
          <w:rFonts w:eastAsia="Times New Roman"/>
          <w:sz w:val="24"/>
          <w:szCs w:val="24"/>
        </w:rPr>
        <w:t>The laying out of sexual assault and rape as offences for which males could too be victims was wel</w:t>
      </w:r>
      <w:r>
        <w:rPr>
          <w:rFonts w:eastAsia="Times New Roman"/>
          <w:sz w:val="24"/>
          <w:szCs w:val="24"/>
        </w:rPr>
        <w:t>comed by many, and has been suggested to have promoted a greater recognition of male sexual victimisation (c.f. Rumney, 2009). However, the new definitions have also caused a lot of controversy. McLean (2013) and others have argued that a lack of considera</w:t>
      </w:r>
      <w:r>
        <w:rPr>
          <w:rFonts w:eastAsia="Times New Roman"/>
          <w:sz w:val="24"/>
          <w:szCs w:val="24"/>
        </w:rPr>
        <w:t>tion of the full range of ways in which males might be victims of sexual offences has impacted upon both reporting and prosecution rates for such offences. By maintaining that the crime of rape can only be committed by penile penetration, they argue, the d</w:t>
      </w:r>
      <w:r>
        <w:rPr>
          <w:rFonts w:eastAsia="Times New Roman"/>
          <w:sz w:val="24"/>
          <w:szCs w:val="24"/>
        </w:rPr>
        <w:t>efinitions employed suggest that the offence can only be committed by males (McLean, 2013). This, they contend, denies the actuality of rape as an offence, and is likely to cause misunderstandings within society as to what the crime is constituted of (Abdu</w:t>
      </w:r>
      <w:r>
        <w:rPr>
          <w:rFonts w:eastAsia="Times New Roman"/>
          <w:sz w:val="24"/>
          <w:szCs w:val="24"/>
        </w:rPr>
        <w:t>llah-Khan, 2008), generating false perceptions as to the true nature of rape (Turchik &amp; Edwards, 2012).</w:t>
      </w:r>
    </w:p>
    <w:p w:rsidR="00DD0303" w:rsidRDefault="00DD0303">
      <w:pPr>
        <w:spacing w:line="83" w:lineRule="exact"/>
        <w:rPr>
          <w:sz w:val="20"/>
          <w:szCs w:val="20"/>
        </w:rPr>
      </w:pPr>
    </w:p>
    <w:p w:rsidR="00DD0303" w:rsidRDefault="00FB1377">
      <w:pPr>
        <w:spacing w:line="478" w:lineRule="auto"/>
        <w:ind w:right="206" w:firstLine="720"/>
        <w:rPr>
          <w:sz w:val="20"/>
          <w:szCs w:val="20"/>
        </w:rPr>
      </w:pPr>
      <w:r>
        <w:rPr>
          <w:rFonts w:eastAsia="Times New Roman"/>
          <w:sz w:val="24"/>
          <w:szCs w:val="24"/>
        </w:rPr>
        <w:t>A further complexity is the fact that different justice systems in different countries employ substantially different definitions in detailing the natu</w:t>
      </w:r>
      <w:r>
        <w:rPr>
          <w:rFonts w:eastAsia="Times New Roman"/>
          <w:sz w:val="24"/>
          <w:szCs w:val="24"/>
        </w:rPr>
        <w:t>re and forms that sex offences can take. For example, the U.S. Department of Justice defines rape as:</w:t>
      </w:r>
    </w:p>
    <w:p w:rsidR="00DD0303" w:rsidRDefault="00DD0303">
      <w:pPr>
        <w:spacing w:line="3" w:lineRule="exact"/>
        <w:rPr>
          <w:sz w:val="20"/>
          <w:szCs w:val="20"/>
        </w:rPr>
      </w:pPr>
    </w:p>
    <w:p w:rsidR="00DD0303" w:rsidRDefault="00FB1377">
      <w:pPr>
        <w:spacing w:line="481" w:lineRule="auto"/>
        <w:ind w:right="326" w:firstLine="60"/>
        <w:rPr>
          <w:sz w:val="20"/>
          <w:szCs w:val="20"/>
        </w:rPr>
      </w:pPr>
      <w:r>
        <w:rPr>
          <w:rFonts w:eastAsia="Times New Roman"/>
          <w:i/>
          <w:iCs/>
          <w:sz w:val="24"/>
          <w:szCs w:val="24"/>
        </w:rPr>
        <w:t>“Penetration, no matter how slight, of the vagina or anus with any body part or object, or oral penetration by a sex organ of another person, without the</w:t>
      </w:r>
      <w:r>
        <w:rPr>
          <w:rFonts w:eastAsia="Times New Roman"/>
          <w:i/>
          <w:iCs/>
          <w:sz w:val="24"/>
          <w:szCs w:val="24"/>
        </w:rPr>
        <w:t xml:space="preserve"> consent of the victim”</w:t>
      </w:r>
    </w:p>
    <w:p w:rsidR="00DD0303" w:rsidRDefault="00DD0303">
      <w:pPr>
        <w:spacing w:line="2" w:lineRule="exact"/>
        <w:rPr>
          <w:sz w:val="20"/>
          <w:szCs w:val="20"/>
        </w:rPr>
      </w:pPr>
    </w:p>
    <w:p w:rsidR="00DD0303" w:rsidRDefault="00FB1377">
      <w:pPr>
        <w:ind w:right="6"/>
        <w:jc w:val="right"/>
        <w:rPr>
          <w:sz w:val="20"/>
          <w:szCs w:val="20"/>
        </w:rPr>
      </w:pPr>
      <w:r>
        <w:rPr>
          <w:rFonts w:eastAsia="Times New Roman"/>
          <w:sz w:val="24"/>
          <w:szCs w:val="24"/>
        </w:rPr>
        <w:t>(The United States Department of Justice)</w:t>
      </w:r>
    </w:p>
    <w:p w:rsidR="00DD0303" w:rsidRDefault="00DD0303">
      <w:pPr>
        <w:spacing w:line="286" w:lineRule="exact"/>
        <w:rPr>
          <w:sz w:val="20"/>
          <w:szCs w:val="20"/>
        </w:rPr>
      </w:pPr>
    </w:p>
    <w:p w:rsidR="00DD0303" w:rsidRDefault="00FB1377">
      <w:pPr>
        <w:ind w:right="6"/>
        <w:jc w:val="right"/>
        <w:rPr>
          <w:sz w:val="20"/>
          <w:szCs w:val="20"/>
        </w:rPr>
      </w:pPr>
      <w:r>
        <w:rPr>
          <w:rFonts w:eastAsia="Times New Roman"/>
        </w:rPr>
        <w:t>5</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6" w:name="page7"/>
      <w:bookmarkEnd w:id="6"/>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90" w:lineRule="auto"/>
        <w:ind w:right="26" w:firstLine="720"/>
        <w:rPr>
          <w:sz w:val="20"/>
          <w:szCs w:val="20"/>
        </w:rPr>
      </w:pPr>
      <w:r>
        <w:rPr>
          <w:rFonts w:eastAsia="Times New Roman"/>
          <w:sz w:val="24"/>
          <w:szCs w:val="24"/>
        </w:rPr>
        <w:t xml:space="preserve">As such, offences that would be classified as a ‘sexual assault’ in the U.K. would be fall under the definition of ‘rape’ </w:t>
      </w:r>
      <w:r>
        <w:rPr>
          <w:rFonts w:eastAsia="Times New Roman"/>
          <w:sz w:val="24"/>
          <w:szCs w:val="24"/>
        </w:rPr>
        <w:t>in the U.S.. ‘Assault by Penetration’ is not a distinct offence category or a usable classification in most places; more typically it is included as part of the defined offence of rape.</w:t>
      </w:r>
    </w:p>
    <w:p w:rsidR="00DD0303" w:rsidRDefault="00DD0303">
      <w:pPr>
        <w:spacing w:line="74" w:lineRule="exact"/>
        <w:rPr>
          <w:sz w:val="20"/>
          <w:szCs w:val="20"/>
        </w:rPr>
      </w:pPr>
    </w:p>
    <w:p w:rsidR="00DD0303" w:rsidRDefault="00FB1377">
      <w:pPr>
        <w:spacing w:line="480" w:lineRule="auto"/>
        <w:ind w:right="326" w:firstLine="720"/>
        <w:rPr>
          <w:sz w:val="20"/>
          <w:szCs w:val="20"/>
        </w:rPr>
      </w:pPr>
      <w:r>
        <w:rPr>
          <w:rFonts w:eastAsia="Times New Roman"/>
          <w:sz w:val="24"/>
          <w:szCs w:val="24"/>
        </w:rPr>
        <w:t xml:space="preserve">Complicating matters further still, many states and countries do not </w:t>
      </w:r>
      <w:r>
        <w:rPr>
          <w:rFonts w:eastAsia="Times New Roman"/>
          <w:sz w:val="24"/>
          <w:szCs w:val="24"/>
        </w:rPr>
        <w:t>acknowledge female-perpetrated sexual coercion as a prosecutable type of sexual aggression, and do not recognize male rape or even male sexual assault if it is committed by a woman (Turchik &amp; Edwards, 2012).</w:t>
      </w:r>
    </w:p>
    <w:p w:rsidR="00DD0303" w:rsidRDefault="00FB1377">
      <w:pPr>
        <w:spacing w:line="490" w:lineRule="auto"/>
        <w:ind w:right="386" w:firstLine="720"/>
        <w:rPr>
          <w:sz w:val="20"/>
          <w:szCs w:val="20"/>
        </w:rPr>
      </w:pPr>
      <w:r>
        <w:rPr>
          <w:rFonts w:eastAsia="Times New Roman"/>
          <w:sz w:val="24"/>
          <w:szCs w:val="24"/>
        </w:rPr>
        <w:t>Such definitional ambiguities, Fisher and Pina (</w:t>
      </w:r>
      <w:r>
        <w:rPr>
          <w:rFonts w:eastAsia="Times New Roman"/>
          <w:sz w:val="24"/>
          <w:szCs w:val="24"/>
        </w:rPr>
        <w:t>2013) argue, serve to minimise the severity of male sexual victimisation, which in turn discourages reporting amongst male victims and has notable implications for the progression of complaints of male sexual violence through the criminal justice system.</w:t>
      </w:r>
    </w:p>
    <w:p w:rsidR="00DD0303" w:rsidRDefault="00DD0303">
      <w:pPr>
        <w:spacing w:line="200" w:lineRule="exact"/>
        <w:rPr>
          <w:sz w:val="20"/>
          <w:szCs w:val="20"/>
        </w:rPr>
      </w:pPr>
    </w:p>
    <w:p w:rsidR="00DD0303" w:rsidRDefault="00DD0303">
      <w:pPr>
        <w:spacing w:line="302" w:lineRule="exact"/>
        <w:rPr>
          <w:sz w:val="20"/>
          <w:szCs w:val="20"/>
        </w:rPr>
      </w:pPr>
    </w:p>
    <w:p w:rsidR="00DD0303" w:rsidRDefault="00FB1377">
      <w:pPr>
        <w:rPr>
          <w:sz w:val="20"/>
          <w:szCs w:val="20"/>
        </w:rPr>
      </w:pPr>
      <w:r>
        <w:rPr>
          <w:rFonts w:eastAsia="Times New Roman"/>
          <w:i/>
          <w:iCs/>
          <w:sz w:val="24"/>
          <w:szCs w:val="24"/>
        </w:rPr>
        <w:t>The Nature and Prevalence of Male Sexual Victimisation</w:t>
      </w:r>
    </w:p>
    <w:p w:rsidR="00DD0303" w:rsidRDefault="00DD0303">
      <w:pPr>
        <w:spacing w:line="400" w:lineRule="exact"/>
        <w:rPr>
          <w:sz w:val="20"/>
          <w:szCs w:val="20"/>
        </w:rPr>
      </w:pPr>
    </w:p>
    <w:p w:rsidR="00DD0303" w:rsidRDefault="00FB1377">
      <w:pPr>
        <w:spacing w:line="488" w:lineRule="auto"/>
        <w:ind w:right="86" w:firstLine="720"/>
        <w:rPr>
          <w:sz w:val="20"/>
          <w:szCs w:val="20"/>
        </w:rPr>
      </w:pPr>
      <w:r>
        <w:rPr>
          <w:rFonts w:eastAsia="Times New Roman"/>
          <w:sz w:val="24"/>
          <w:szCs w:val="24"/>
        </w:rPr>
        <w:t>These ambiguities regarding the definitions of sexual offences, and in particular the previous lack of legal recognition of male rape, have ensured that statistics regarding its prevalence have gener</w:t>
      </w:r>
      <w:r>
        <w:rPr>
          <w:rFonts w:eastAsia="Times New Roman"/>
          <w:sz w:val="24"/>
          <w:szCs w:val="24"/>
        </w:rPr>
        <w:t>ally been low (Gregory and Lees, 2002). As such, it is difficult to get an accurate estimate as to what the true prevalence of male sexual victimisation has been and what it currently is, or of how rates are changing over time.</w:t>
      </w:r>
    </w:p>
    <w:p w:rsidR="00DD0303" w:rsidRDefault="00DD0303">
      <w:pPr>
        <w:spacing w:line="74" w:lineRule="exact"/>
        <w:rPr>
          <w:sz w:val="20"/>
          <w:szCs w:val="20"/>
        </w:rPr>
      </w:pPr>
    </w:p>
    <w:p w:rsidR="00DD0303" w:rsidRDefault="00FB1377">
      <w:pPr>
        <w:spacing w:line="488" w:lineRule="auto"/>
        <w:ind w:right="126" w:firstLine="720"/>
        <w:rPr>
          <w:sz w:val="20"/>
          <w:szCs w:val="20"/>
        </w:rPr>
      </w:pPr>
      <w:r>
        <w:rPr>
          <w:rFonts w:eastAsia="Times New Roman"/>
          <w:sz w:val="24"/>
          <w:szCs w:val="24"/>
        </w:rPr>
        <w:t xml:space="preserve">Since it was first legally </w:t>
      </w:r>
      <w:r>
        <w:rPr>
          <w:rFonts w:eastAsia="Times New Roman"/>
          <w:sz w:val="24"/>
          <w:szCs w:val="24"/>
        </w:rPr>
        <w:t>recognised in 1994, there has been a significant increase in the number of offences of male rape recorded year-on-year by the police in England and Wales (Rumney 2009). In 1995, 150 offences of male rape recorded by the police. Ten years later, for 2004–05</w:t>
      </w:r>
      <w:r>
        <w:rPr>
          <w:rFonts w:eastAsia="Times New Roman"/>
          <w:sz w:val="24"/>
          <w:szCs w:val="24"/>
        </w:rPr>
        <w:t>, the figure was 1,135. In 2011-12, around 1,250 incidents of male rape were reported (Home Office Statistics).</w:t>
      </w:r>
    </w:p>
    <w:p w:rsidR="00DD0303" w:rsidRDefault="00DD0303">
      <w:pPr>
        <w:spacing w:line="200" w:lineRule="exact"/>
        <w:rPr>
          <w:sz w:val="20"/>
          <w:szCs w:val="20"/>
        </w:rPr>
      </w:pPr>
    </w:p>
    <w:p w:rsidR="00DD0303" w:rsidRDefault="00DD0303">
      <w:pPr>
        <w:spacing w:line="316" w:lineRule="exact"/>
        <w:rPr>
          <w:sz w:val="20"/>
          <w:szCs w:val="20"/>
        </w:rPr>
      </w:pPr>
    </w:p>
    <w:p w:rsidR="00DD0303" w:rsidRDefault="00FB1377">
      <w:pPr>
        <w:ind w:right="6"/>
        <w:jc w:val="right"/>
        <w:rPr>
          <w:sz w:val="20"/>
          <w:szCs w:val="20"/>
        </w:rPr>
      </w:pPr>
      <w:r>
        <w:rPr>
          <w:rFonts w:eastAsia="Times New Roman"/>
        </w:rPr>
        <w:t>6</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7" w:name="page8"/>
      <w:bookmarkEnd w:id="7"/>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86" w:firstLine="720"/>
        <w:rPr>
          <w:sz w:val="20"/>
          <w:szCs w:val="20"/>
        </w:rPr>
      </w:pPr>
      <w:r>
        <w:rPr>
          <w:rFonts w:eastAsia="Times New Roman"/>
          <w:sz w:val="24"/>
          <w:szCs w:val="24"/>
        </w:rPr>
        <w:t>However, numerous researchers propose that the actual prevalence of male rap</w:t>
      </w:r>
      <w:r>
        <w:rPr>
          <w:rFonts w:eastAsia="Times New Roman"/>
          <w:sz w:val="24"/>
          <w:szCs w:val="24"/>
        </w:rPr>
        <w:t xml:space="preserve">e, and of male sexual victimisation more generally, is likely to be far higher (Abdullah-Khan, 2008; Rumney, 2009; Burrowes &amp; Hovarth, 2013). Sexual crime is known to have a notoriously low reporting rate (Kelly et al., 2005; Burrowes &amp; Hovarth, 2013) and </w:t>
      </w:r>
      <w:r>
        <w:rPr>
          <w:rFonts w:eastAsia="Times New Roman"/>
          <w:sz w:val="24"/>
          <w:szCs w:val="24"/>
        </w:rPr>
        <w:t>research suggests that this is particularly true for male victims (Sable et al., 2006; Burrowes &amp; Hovarth, 2013).</w:t>
      </w:r>
    </w:p>
    <w:p w:rsidR="00DD0303" w:rsidRDefault="00FB1377">
      <w:pPr>
        <w:spacing w:line="480" w:lineRule="auto"/>
        <w:ind w:right="26" w:firstLine="720"/>
        <w:rPr>
          <w:sz w:val="20"/>
          <w:szCs w:val="20"/>
        </w:rPr>
      </w:pPr>
      <w:r>
        <w:rPr>
          <w:rFonts w:eastAsia="Times New Roman"/>
          <w:sz w:val="24"/>
          <w:szCs w:val="24"/>
        </w:rPr>
        <w:t xml:space="preserve">Coxell, King, Mezey and Gordon (1999) conducted a study of 2,474 males, and found that, of these, 3% had experienced non-consensual sex as </w:t>
      </w:r>
      <w:r>
        <w:rPr>
          <w:rFonts w:eastAsia="Times New Roman"/>
          <w:sz w:val="24"/>
          <w:szCs w:val="24"/>
        </w:rPr>
        <w:t>adults and 5% had experienced non-consensual sex as children. Only two of the forty men who reported having had non-consensual sex with men reported their victimisation to the police (Coxell et al., 1999). Abdullah-Khan (2008) finds a reporting rate for ma</w:t>
      </w:r>
      <w:r>
        <w:rPr>
          <w:rFonts w:eastAsia="Times New Roman"/>
          <w:sz w:val="24"/>
          <w:szCs w:val="24"/>
        </w:rPr>
        <w:t>le rape and sexual assault of between 8% and 44%. Rumney (2009), on the basis of a review of the literature, puts the reporting rate at between 12-20%, but cautions that we cannot fully gauge how reliable such figures are.</w:t>
      </w:r>
    </w:p>
    <w:p w:rsidR="00DD0303" w:rsidRDefault="00FB1377">
      <w:pPr>
        <w:spacing w:line="482" w:lineRule="auto"/>
        <w:ind w:right="26" w:firstLine="720"/>
        <w:rPr>
          <w:sz w:val="20"/>
          <w:szCs w:val="20"/>
        </w:rPr>
      </w:pPr>
      <w:r>
        <w:rPr>
          <w:rFonts w:eastAsia="Times New Roman"/>
          <w:sz w:val="24"/>
          <w:szCs w:val="24"/>
        </w:rPr>
        <w:t>Of the male rape and sexual assau</w:t>
      </w:r>
      <w:r>
        <w:rPr>
          <w:rFonts w:eastAsia="Times New Roman"/>
          <w:sz w:val="24"/>
          <w:szCs w:val="24"/>
        </w:rPr>
        <w:t xml:space="preserve">lt offences that are reported, most are perpetrated by other males (Turchik &amp; Edwards, 2012). Studies of male victims who sought treatment as a result of sexual victimisation show that only 6-15% of offences were committed by females. This might partly be </w:t>
      </w:r>
      <w:r>
        <w:rPr>
          <w:rFonts w:eastAsia="Times New Roman"/>
          <w:sz w:val="24"/>
          <w:szCs w:val="24"/>
        </w:rPr>
        <w:t>due to a reluctance to report victimisation at the hands of a woman (Chapleau et al., 2008), or down to how then men themselves view and define their victimisation experience. Research has shown that many men who experience something that would legally qua</w:t>
      </w:r>
      <w:r>
        <w:rPr>
          <w:rFonts w:eastAsia="Times New Roman"/>
          <w:sz w:val="24"/>
          <w:szCs w:val="24"/>
        </w:rPr>
        <w:t>lify as rape do not label their experiences as such, and that one of the main reasons for not labelling the experience as sexual abuse or rape is that the perpetrator of the offence was female (Artime, McCallum &amp; Peterson, 2014). Indeed, it has been conten</w:t>
      </w:r>
      <w:r>
        <w:rPr>
          <w:rFonts w:eastAsia="Times New Roman"/>
          <w:sz w:val="24"/>
          <w:szCs w:val="24"/>
        </w:rPr>
        <w:t>ded that one of the main reasons for not reporting victimisation and/or for not proceeding with a sexual victimisation complaint is that it is not acknowledged by the victim as having been a sexual crime (c.f. Artime et al., 2014). This, it is argued, rela</w:t>
      </w:r>
      <w:r>
        <w:rPr>
          <w:rFonts w:eastAsia="Times New Roman"/>
          <w:sz w:val="24"/>
          <w:szCs w:val="24"/>
        </w:rPr>
        <w:t>tes to the way in which victims, along with the rest of society, view and classify sexual offences.</w:t>
      </w:r>
    </w:p>
    <w:p w:rsidR="00DD0303" w:rsidRDefault="00DD0303">
      <w:pPr>
        <w:spacing w:line="340" w:lineRule="exact"/>
        <w:rPr>
          <w:sz w:val="20"/>
          <w:szCs w:val="20"/>
        </w:rPr>
      </w:pPr>
    </w:p>
    <w:p w:rsidR="00DD0303" w:rsidRDefault="00FB1377">
      <w:pPr>
        <w:ind w:right="6"/>
        <w:jc w:val="right"/>
        <w:rPr>
          <w:sz w:val="20"/>
          <w:szCs w:val="20"/>
        </w:rPr>
      </w:pPr>
      <w:r>
        <w:rPr>
          <w:rFonts w:eastAsia="Times New Roman"/>
        </w:rPr>
        <w:t>7</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8" w:name="page9"/>
      <w:bookmarkEnd w:id="8"/>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3" w:lineRule="exact"/>
        <w:rPr>
          <w:sz w:val="20"/>
          <w:szCs w:val="20"/>
        </w:rPr>
      </w:pPr>
    </w:p>
    <w:p w:rsidR="00DD0303" w:rsidRDefault="00FB1377">
      <w:pPr>
        <w:rPr>
          <w:sz w:val="20"/>
          <w:szCs w:val="20"/>
        </w:rPr>
      </w:pPr>
      <w:r>
        <w:rPr>
          <w:rFonts w:eastAsia="Times New Roman"/>
          <w:i/>
          <w:iCs/>
          <w:sz w:val="24"/>
          <w:szCs w:val="24"/>
        </w:rPr>
        <w:t>Male Rape Myths</w:t>
      </w:r>
    </w:p>
    <w:p w:rsidR="00DD0303" w:rsidRDefault="00DD0303">
      <w:pPr>
        <w:spacing w:line="280" w:lineRule="exact"/>
        <w:rPr>
          <w:sz w:val="20"/>
          <w:szCs w:val="20"/>
        </w:rPr>
      </w:pPr>
    </w:p>
    <w:p w:rsidR="00DD0303" w:rsidRDefault="00FB1377">
      <w:pPr>
        <w:spacing w:line="480" w:lineRule="auto"/>
        <w:ind w:right="26" w:firstLine="720"/>
        <w:rPr>
          <w:sz w:val="20"/>
          <w:szCs w:val="20"/>
        </w:rPr>
      </w:pPr>
      <w:r>
        <w:rPr>
          <w:rFonts w:eastAsia="Times New Roman"/>
          <w:sz w:val="24"/>
          <w:szCs w:val="24"/>
        </w:rPr>
        <w:t xml:space="preserve">Turchik and Edwards (2012) discuss how that the invisibility and </w:t>
      </w:r>
      <w:r>
        <w:rPr>
          <w:rFonts w:eastAsia="Times New Roman"/>
          <w:sz w:val="24"/>
          <w:szCs w:val="24"/>
        </w:rPr>
        <w:t xml:space="preserve">marginalization of male sexual victimisation results – in large part – from the prevalence and perpetuation of rape myths. Rape myths are “prejudicial, stereotyped or false beliefs about rape, rape victims, and rapists” (Burt, 1980, p. 217). These include </w:t>
      </w:r>
      <w:r>
        <w:rPr>
          <w:rFonts w:eastAsia="Times New Roman"/>
          <w:sz w:val="24"/>
          <w:szCs w:val="24"/>
        </w:rPr>
        <w:t>beliefs such as the victim deserving the act of rape or sexual assault as a consequence of their actions or choices, or that victims even encourage the offence (wholly or in part). Other myths make reference to the prevalence of false allegations and the l</w:t>
      </w:r>
      <w:r>
        <w:rPr>
          <w:rFonts w:eastAsia="Times New Roman"/>
          <w:sz w:val="24"/>
          <w:szCs w:val="24"/>
        </w:rPr>
        <w:t>ikely veracity of victims. Many revolve around false notions of what a ‘real rape’ constitutes, including what happens during the event and how the victim is expected to react.</w:t>
      </w:r>
    </w:p>
    <w:p w:rsidR="00DD0303" w:rsidRDefault="00FB1377">
      <w:pPr>
        <w:spacing w:line="480" w:lineRule="auto"/>
        <w:ind w:right="26" w:firstLine="720"/>
        <w:jc w:val="both"/>
        <w:rPr>
          <w:sz w:val="20"/>
          <w:szCs w:val="20"/>
        </w:rPr>
      </w:pPr>
      <w:r>
        <w:rPr>
          <w:rFonts w:eastAsia="Times New Roman"/>
          <w:sz w:val="24"/>
          <w:szCs w:val="24"/>
        </w:rPr>
        <w:t>Whilst mostly untrue, a considerable body of research has demonstrated that man</w:t>
      </w:r>
      <w:r>
        <w:rPr>
          <w:rFonts w:eastAsia="Times New Roman"/>
          <w:sz w:val="24"/>
          <w:szCs w:val="24"/>
        </w:rPr>
        <w:t>y of these myths are widely held in general populations (e.g. Grub &amp; Turner, 2012). Flowe, Shaw, Nye and Jamel (2009) discuss how such beliefs originate from a variety of sources, including the media. Acceptance of rape myths has also been shown to directl</w:t>
      </w:r>
      <w:r>
        <w:rPr>
          <w:rFonts w:eastAsia="Times New Roman"/>
          <w:sz w:val="24"/>
          <w:szCs w:val="24"/>
        </w:rPr>
        <w:t>y relate to past experience (Hammond &amp; Calhoun, 2007).</w:t>
      </w:r>
    </w:p>
    <w:p w:rsidR="00DD0303" w:rsidRDefault="00FB1377">
      <w:pPr>
        <w:spacing w:line="485" w:lineRule="auto"/>
        <w:ind w:right="46" w:firstLine="720"/>
        <w:rPr>
          <w:sz w:val="20"/>
          <w:szCs w:val="20"/>
        </w:rPr>
      </w:pPr>
      <w:r>
        <w:rPr>
          <w:rFonts w:eastAsia="Times New Roman"/>
          <w:sz w:val="24"/>
          <w:szCs w:val="24"/>
        </w:rPr>
        <w:t>Rape myths have been shown to play a central role in the misperceptions and treatment of female rape victims (Chapleau et al., 2008). However, as Turchik &amp; Edwards (2012) discuss; there has been a dear</w:t>
      </w:r>
      <w:r>
        <w:rPr>
          <w:rFonts w:eastAsia="Times New Roman"/>
          <w:sz w:val="24"/>
          <w:szCs w:val="24"/>
        </w:rPr>
        <w:t>th of scholarship about rape myths concerning male victims. Research in the area is lagging, particularly in comparison to work surrounding female-centred rape myths (Chapleau et al., 2008), and most of the studies that have explored male rape myths have e</w:t>
      </w:r>
      <w:r>
        <w:rPr>
          <w:rFonts w:eastAsia="Times New Roman"/>
          <w:sz w:val="24"/>
          <w:szCs w:val="24"/>
        </w:rPr>
        <w:t>ither been based on hypothetical conjecture, or have relied upon limited and non-generalisable samples (e.g. college samples) (Turchik &amp; Edwards, 2012).</w:t>
      </w:r>
    </w:p>
    <w:p w:rsidR="00DD0303" w:rsidRDefault="00DD0303">
      <w:pPr>
        <w:spacing w:line="80" w:lineRule="exact"/>
        <w:rPr>
          <w:sz w:val="20"/>
          <w:szCs w:val="20"/>
        </w:rPr>
      </w:pPr>
    </w:p>
    <w:p w:rsidR="00DD0303" w:rsidRDefault="00FB1377">
      <w:pPr>
        <w:spacing w:line="512" w:lineRule="auto"/>
        <w:ind w:right="326" w:firstLine="720"/>
        <w:rPr>
          <w:sz w:val="20"/>
          <w:szCs w:val="20"/>
        </w:rPr>
      </w:pPr>
      <w:r>
        <w:rPr>
          <w:rFonts w:eastAsia="Times New Roman"/>
          <w:sz w:val="24"/>
          <w:szCs w:val="24"/>
        </w:rPr>
        <w:t>A number of male rape myths have been posited to exist in the literature. These are summarised by Turc</w:t>
      </w:r>
      <w:r>
        <w:rPr>
          <w:rFonts w:eastAsia="Times New Roman"/>
          <w:sz w:val="24"/>
          <w:szCs w:val="24"/>
        </w:rPr>
        <w:t>hik &amp; Edwards (2012):</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28" w:lineRule="exact"/>
        <w:rPr>
          <w:sz w:val="20"/>
          <w:szCs w:val="20"/>
        </w:rPr>
      </w:pPr>
    </w:p>
    <w:p w:rsidR="00DD0303" w:rsidRDefault="00FB1377">
      <w:pPr>
        <w:ind w:right="6"/>
        <w:jc w:val="right"/>
        <w:rPr>
          <w:sz w:val="20"/>
          <w:szCs w:val="20"/>
        </w:rPr>
      </w:pPr>
      <w:r>
        <w:rPr>
          <w:rFonts w:eastAsia="Times New Roman"/>
        </w:rPr>
        <w:t>8</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9" w:name="page10"/>
      <w:bookmarkEnd w:id="9"/>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men cannot be raped</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‘Real’ men can defend themselves against rape</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only gay men are victims and/or perpetrators of rape</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men are not affected by</w:t>
      </w:r>
      <w:r>
        <w:rPr>
          <w:rFonts w:eastAsia="Times New Roman"/>
          <w:sz w:val="24"/>
          <w:szCs w:val="24"/>
        </w:rPr>
        <w:t xml:space="preserve"> rape (or not as affected as women are)</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a woman cannot sexually assault a man</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male rape only happens in prisons</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sexual assault by someone of the same sex causes homosexuality</w:t>
      </w:r>
    </w:p>
    <w:p w:rsidR="00DD0303" w:rsidRDefault="00DD0303">
      <w:pPr>
        <w:spacing w:line="276" w:lineRule="exact"/>
        <w:rPr>
          <w:rFonts w:eastAsia="Times New Roman"/>
          <w:sz w:val="24"/>
          <w:szCs w:val="24"/>
        </w:rPr>
      </w:pPr>
    </w:p>
    <w:p w:rsidR="00DD0303" w:rsidRDefault="00FB1377">
      <w:pPr>
        <w:numPr>
          <w:ilvl w:val="0"/>
          <w:numId w:val="2"/>
        </w:numPr>
        <w:tabs>
          <w:tab w:val="left" w:pos="720"/>
        </w:tabs>
        <w:spacing w:line="480" w:lineRule="auto"/>
        <w:ind w:left="720" w:right="306" w:hanging="360"/>
        <w:rPr>
          <w:rFonts w:eastAsia="Times New Roman"/>
          <w:sz w:val="24"/>
          <w:szCs w:val="24"/>
        </w:rPr>
      </w:pPr>
      <w:r>
        <w:rPr>
          <w:rFonts w:eastAsia="Times New Roman"/>
          <w:sz w:val="24"/>
          <w:szCs w:val="24"/>
        </w:rPr>
        <w:t>That homosexual and bisexual individuals deserve to be sexuall</w:t>
      </w:r>
      <w:r>
        <w:rPr>
          <w:rFonts w:eastAsia="Times New Roman"/>
          <w:sz w:val="24"/>
          <w:szCs w:val="24"/>
        </w:rPr>
        <w:t>y assaulted because they are immoral and deviant</w:t>
      </w:r>
    </w:p>
    <w:p w:rsidR="00DD0303" w:rsidRDefault="00FB1377">
      <w:pPr>
        <w:numPr>
          <w:ilvl w:val="0"/>
          <w:numId w:val="2"/>
        </w:numPr>
        <w:tabs>
          <w:tab w:val="left" w:pos="720"/>
        </w:tabs>
        <w:ind w:left="720" w:hanging="360"/>
        <w:rPr>
          <w:rFonts w:eastAsia="Times New Roman"/>
          <w:sz w:val="24"/>
          <w:szCs w:val="24"/>
        </w:rPr>
      </w:pPr>
      <w:r>
        <w:rPr>
          <w:rFonts w:eastAsia="Times New Roman"/>
          <w:sz w:val="24"/>
          <w:szCs w:val="24"/>
        </w:rPr>
        <w:t>That if a victim physically responds to an assault he must have wanted it</w:t>
      </w:r>
    </w:p>
    <w:p w:rsidR="00DD0303" w:rsidRDefault="00DD0303">
      <w:pPr>
        <w:spacing w:line="276" w:lineRule="exact"/>
        <w:rPr>
          <w:sz w:val="20"/>
          <w:szCs w:val="20"/>
        </w:rPr>
      </w:pPr>
    </w:p>
    <w:p w:rsidR="00DD0303" w:rsidRDefault="00FB1377">
      <w:pPr>
        <w:ind w:left="5200"/>
        <w:rPr>
          <w:sz w:val="20"/>
          <w:szCs w:val="20"/>
        </w:rPr>
      </w:pPr>
      <w:r>
        <w:rPr>
          <w:rFonts w:eastAsia="Times New Roman"/>
          <w:sz w:val="23"/>
          <w:szCs w:val="23"/>
        </w:rPr>
        <w:t>(Turchik &amp; Edwards, 2012; p. 211-212)</w:t>
      </w:r>
    </w:p>
    <w:p w:rsidR="00DD0303" w:rsidRDefault="00DD0303">
      <w:pPr>
        <w:spacing w:line="200" w:lineRule="exact"/>
        <w:rPr>
          <w:sz w:val="20"/>
          <w:szCs w:val="20"/>
        </w:rPr>
      </w:pPr>
    </w:p>
    <w:p w:rsidR="00DD0303" w:rsidRDefault="00DD0303">
      <w:pPr>
        <w:spacing w:line="208" w:lineRule="exact"/>
        <w:rPr>
          <w:sz w:val="20"/>
          <w:szCs w:val="20"/>
        </w:rPr>
      </w:pPr>
    </w:p>
    <w:p w:rsidR="00DD0303" w:rsidRDefault="00FB1377">
      <w:pPr>
        <w:spacing w:line="480" w:lineRule="auto"/>
        <w:ind w:right="106" w:firstLine="720"/>
        <w:rPr>
          <w:sz w:val="20"/>
          <w:szCs w:val="20"/>
        </w:rPr>
      </w:pPr>
      <w:r>
        <w:rPr>
          <w:rFonts w:eastAsia="Times New Roman"/>
          <w:sz w:val="24"/>
          <w:szCs w:val="24"/>
        </w:rPr>
        <w:t>Those myths that have been suggested by researchers to be the most prevalent are those revol</w:t>
      </w:r>
      <w:r>
        <w:rPr>
          <w:rFonts w:eastAsia="Times New Roman"/>
          <w:sz w:val="24"/>
          <w:szCs w:val="24"/>
        </w:rPr>
        <w:t>ving around the notion that it is impossible for a man to be sexually assaulted or raped by a woman (including related myths such as that male rape is something that only occurs between homosexual men, that men have to be aroused or to respond in order for</w:t>
      </w:r>
      <w:r>
        <w:rPr>
          <w:rFonts w:eastAsia="Times New Roman"/>
          <w:sz w:val="24"/>
          <w:szCs w:val="24"/>
        </w:rPr>
        <w:t xml:space="preserve"> anything to happen and that therefore they must have wanted it, or that a man would be strong enough to defend himself against a woman). Coxell and King (1996) propose that this is because people are socialised to believe that women are sexually passive a</w:t>
      </w:r>
      <w:r>
        <w:rPr>
          <w:rFonts w:eastAsia="Times New Roman"/>
          <w:sz w:val="24"/>
          <w:szCs w:val="24"/>
        </w:rPr>
        <w:t>nd men are sexual initiators, and it is therefore difficult for them to imagine a dominant woman coercing an unwilling man to have sex. Davies and Rogers (2006) suggest that many view the sexual assault and rape of men by women as implausible.</w:t>
      </w:r>
    </w:p>
    <w:p w:rsidR="00DD0303" w:rsidRDefault="00FB1377">
      <w:pPr>
        <w:spacing w:line="523" w:lineRule="auto"/>
        <w:ind w:right="26" w:firstLine="720"/>
        <w:jc w:val="both"/>
        <w:rPr>
          <w:sz w:val="20"/>
          <w:szCs w:val="20"/>
        </w:rPr>
      </w:pPr>
      <w:r>
        <w:rPr>
          <w:rFonts w:eastAsia="Times New Roman"/>
          <w:sz w:val="23"/>
          <w:szCs w:val="23"/>
        </w:rPr>
        <w:t>The findings</w:t>
      </w:r>
      <w:r>
        <w:rPr>
          <w:rFonts w:eastAsia="Times New Roman"/>
          <w:sz w:val="23"/>
          <w:szCs w:val="23"/>
        </w:rPr>
        <w:t xml:space="preserve"> of a study by Smith, Pine &amp; Hawley (1988) were the first to demonstrate the existence of such common misconceptions. When asked to rate a range of different sexual violence scenarios, participants perceived a male victim of a female-perpetrated assault as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29" w:lineRule="exact"/>
        <w:rPr>
          <w:sz w:val="20"/>
          <w:szCs w:val="20"/>
        </w:rPr>
      </w:pPr>
    </w:p>
    <w:p w:rsidR="00DD0303" w:rsidRDefault="00FB1377">
      <w:pPr>
        <w:ind w:left="8920"/>
        <w:rPr>
          <w:sz w:val="20"/>
          <w:szCs w:val="20"/>
        </w:rPr>
      </w:pPr>
      <w:r>
        <w:rPr>
          <w:rFonts w:eastAsia="Times New Roman"/>
          <w:sz w:val="20"/>
          <w:szCs w:val="20"/>
        </w:rPr>
        <w:t>9</w:t>
      </w:r>
    </w:p>
    <w:p w:rsidR="00DD0303" w:rsidRDefault="00DD0303">
      <w:pPr>
        <w:sectPr w:rsidR="00DD0303">
          <w:pgSz w:w="11900" w:h="16838"/>
          <w:pgMar w:top="684" w:right="1440" w:bottom="460" w:left="1440" w:header="0" w:footer="0" w:gutter="0"/>
          <w:cols w:space="720" w:equalWidth="0">
            <w:col w:w="9026"/>
          </w:cols>
        </w:sectPr>
      </w:pPr>
    </w:p>
    <w:p w:rsidR="00DD0303" w:rsidRDefault="00FB1377">
      <w:pPr>
        <w:rPr>
          <w:sz w:val="20"/>
          <w:szCs w:val="20"/>
        </w:rPr>
      </w:pPr>
      <w:bookmarkStart w:id="10" w:name="page11"/>
      <w:bookmarkEnd w:id="10"/>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1006"/>
        <w:rPr>
          <w:sz w:val="20"/>
          <w:szCs w:val="20"/>
        </w:rPr>
      </w:pPr>
      <w:r>
        <w:rPr>
          <w:rFonts w:eastAsia="Times New Roman"/>
          <w:sz w:val="24"/>
          <w:szCs w:val="24"/>
        </w:rPr>
        <w:t>more likely to have encouraged the assault, enjoyed the encounter, and thus to have experienced little trauma.</w:t>
      </w:r>
    </w:p>
    <w:p w:rsidR="00DD0303" w:rsidRDefault="00FB1377">
      <w:pPr>
        <w:spacing w:line="480" w:lineRule="auto"/>
        <w:ind w:right="66" w:firstLine="720"/>
        <w:rPr>
          <w:sz w:val="20"/>
          <w:szCs w:val="20"/>
        </w:rPr>
      </w:pPr>
      <w:r>
        <w:rPr>
          <w:rFonts w:eastAsia="Times New Roman"/>
          <w:sz w:val="24"/>
          <w:szCs w:val="24"/>
        </w:rPr>
        <w:t xml:space="preserve">To our knowledge, only two studies have examined rates of male rape myth </w:t>
      </w:r>
      <w:r>
        <w:rPr>
          <w:rFonts w:eastAsia="Times New Roman"/>
          <w:sz w:val="24"/>
          <w:szCs w:val="24"/>
        </w:rPr>
        <w:t>acceptance directly. The first of these was conducted by Struckman-Johnson and Struckman-Johnson in 1992. To assess the prevalence and acceptance of male rape myths, they developed a scale around three general beliefs: (a) that male rape does not happen; (</w:t>
      </w:r>
      <w:r>
        <w:rPr>
          <w:rFonts w:eastAsia="Times New Roman"/>
          <w:sz w:val="24"/>
          <w:szCs w:val="24"/>
        </w:rPr>
        <w:t>b) that rape is the victim’s fault, and; (c) that men would not be traumatized by rape victimisation. 315 college students (157 male and 158 female) rated their agreement with a number of statements reflecting these different beliefs, with the genders of t</w:t>
      </w:r>
      <w:r>
        <w:rPr>
          <w:rFonts w:eastAsia="Times New Roman"/>
          <w:sz w:val="24"/>
          <w:szCs w:val="24"/>
        </w:rPr>
        <w:t>he victims and perpetrators manipulated across the statements. They found that the majority of the sample disagreed with the statements, with respondents disagreeing most strongly with the myths surrounding traumatisation (or lack thereof). Females had sig</w:t>
      </w:r>
      <w:r>
        <w:rPr>
          <w:rFonts w:eastAsia="Times New Roman"/>
          <w:sz w:val="24"/>
          <w:szCs w:val="24"/>
        </w:rPr>
        <w:t>nificantly higher levels of disagreement across the statements than males. The myths that were most likely to be accepted (with the lowest levels of disagreement) were those in which the rape perpetrator was female and the victim male. There were no signif</w:t>
      </w:r>
      <w:r>
        <w:rPr>
          <w:rFonts w:eastAsia="Times New Roman"/>
          <w:sz w:val="24"/>
          <w:szCs w:val="24"/>
        </w:rPr>
        <w:t>icant effects of past experience with sexual coercion in relation to the ratings given.</w:t>
      </w:r>
    </w:p>
    <w:p w:rsidR="00DD0303" w:rsidRDefault="00DD0303">
      <w:pPr>
        <w:spacing w:line="1" w:lineRule="exact"/>
        <w:rPr>
          <w:sz w:val="20"/>
          <w:szCs w:val="20"/>
        </w:rPr>
      </w:pPr>
    </w:p>
    <w:p w:rsidR="00DD0303" w:rsidRDefault="00FB1377">
      <w:pPr>
        <w:spacing w:line="506" w:lineRule="auto"/>
        <w:ind w:right="46" w:firstLine="720"/>
        <w:rPr>
          <w:sz w:val="20"/>
          <w:szCs w:val="20"/>
        </w:rPr>
      </w:pPr>
      <w:r>
        <w:rPr>
          <w:rFonts w:eastAsia="Times New Roman"/>
          <w:sz w:val="23"/>
          <w:szCs w:val="23"/>
        </w:rPr>
        <w:t xml:space="preserve">A second study, conducted by Chapleau et al. in 2008, presented 423 college students (276 females and 147 males) with a range of male rape myths, and asked the </w:t>
      </w:r>
      <w:r>
        <w:rPr>
          <w:rFonts w:eastAsia="Times New Roman"/>
          <w:sz w:val="23"/>
          <w:szCs w:val="23"/>
        </w:rPr>
        <w:t>participants to indicate the degree to which they agreed with them. They found that the male respondents were significantly more supportive of male rape myths than the female respondents, particularly for those myths reflecting the idea that male rape vict</w:t>
      </w:r>
      <w:r>
        <w:rPr>
          <w:rFonts w:eastAsia="Times New Roman"/>
          <w:sz w:val="23"/>
          <w:szCs w:val="23"/>
        </w:rPr>
        <w:t>ims are responsible for their having been raped. The lowest levels of agreement were observed for statements reflecting the notion that ‘men cannon be raped’. Overall, between 2.7 - 45.9% of men and 1.5 - 23.4% of women indicated at least some level of agr</w:t>
      </w:r>
      <w:r>
        <w:rPr>
          <w:rFonts w:eastAsia="Times New Roman"/>
          <w:sz w:val="23"/>
          <w:szCs w:val="23"/>
        </w:rPr>
        <w:t>eement with the myths; rates similar to those observed in the earlier study by Struckman-Johnson and Struckman-Johnson (1992).</w:t>
      </w:r>
    </w:p>
    <w:p w:rsidR="00DD0303" w:rsidRDefault="00DD0303">
      <w:pPr>
        <w:spacing w:line="319" w:lineRule="exact"/>
        <w:rPr>
          <w:sz w:val="20"/>
          <w:szCs w:val="20"/>
        </w:rPr>
      </w:pPr>
    </w:p>
    <w:p w:rsidR="00DD0303" w:rsidRDefault="00FB1377">
      <w:pPr>
        <w:ind w:right="6"/>
        <w:jc w:val="right"/>
        <w:rPr>
          <w:sz w:val="20"/>
          <w:szCs w:val="20"/>
        </w:rPr>
      </w:pPr>
      <w:r>
        <w:rPr>
          <w:rFonts w:eastAsia="Times New Roman"/>
        </w:rPr>
        <w:t>10</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1" w:name="page12"/>
      <w:bookmarkEnd w:id="11"/>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86" w:firstLine="720"/>
        <w:rPr>
          <w:sz w:val="20"/>
          <w:szCs w:val="20"/>
        </w:rPr>
      </w:pPr>
      <w:r>
        <w:rPr>
          <w:rFonts w:eastAsia="Times New Roman"/>
          <w:sz w:val="24"/>
          <w:szCs w:val="24"/>
        </w:rPr>
        <w:t>Chapleau et al. (2008) concluded by suggesting that male rape</w:t>
      </w:r>
      <w:r>
        <w:rPr>
          <w:rFonts w:eastAsia="Times New Roman"/>
          <w:sz w:val="24"/>
          <w:szCs w:val="24"/>
        </w:rPr>
        <w:t xml:space="preserve"> myth scales need to be developed, so as to include more items reflecting other misconceptions that are likely to be prevalent in society. Further; they suggest that more detailed research into the area is certainly warranted, in order to ascertain how suc</w:t>
      </w:r>
      <w:r>
        <w:rPr>
          <w:rFonts w:eastAsia="Times New Roman"/>
          <w:sz w:val="24"/>
          <w:szCs w:val="24"/>
        </w:rPr>
        <w:t>h myths develop, who believes them, and how they function in determining attitudes towards male victims of rape.</w:t>
      </w:r>
    </w:p>
    <w:p w:rsidR="00DD0303" w:rsidRDefault="00FB1377">
      <w:pPr>
        <w:spacing w:line="488" w:lineRule="auto"/>
        <w:ind w:right="226" w:firstLine="720"/>
        <w:rPr>
          <w:sz w:val="20"/>
          <w:szCs w:val="20"/>
        </w:rPr>
      </w:pPr>
      <w:r>
        <w:rPr>
          <w:rFonts w:eastAsia="Times New Roman"/>
          <w:sz w:val="24"/>
          <w:szCs w:val="24"/>
        </w:rPr>
        <w:t xml:space="preserve">Turchik and Edwards (2012) suggest that research needs to employ larger and more diverse samples in order to more reliably estimate the </w:t>
      </w:r>
      <w:r>
        <w:rPr>
          <w:rFonts w:eastAsia="Times New Roman"/>
          <w:sz w:val="24"/>
          <w:szCs w:val="24"/>
        </w:rPr>
        <w:t>prevalence and general acceptance of male rape myths. Such samples, they propose, would allow differences amongst sub-groups to be examined, which would enable patterns of myth endorsement to be ascertained and tracked.</w:t>
      </w:r>
    </w:p>
    <w:p w:rsidR="00DD0303" w:rsidRDefault="00DD0303">
      <w:pPr>
        <w:spacing w:line="200" w:lineRule="exact"/>
        <w:rPr>
          <w:sz w:val="20"/>
          <w:szCs w:val="20"/>
        </w:rPr>
      </w:pPr>
    </w:p>
    <w:p w:rsidR="00DD0303" w:rsidRDefault="00DD0303">
      <w:pPr>
        <w:spacing w:line="302" w:lineRule="exact"/>
        <w:rPr>
          <w:sz w:val="20"/>
          <w:szCs w:val="20"/>
        </w:rPr>
      </w:pPr>
    </w:p>
    <w:p w:rsidR="00DD0303" w:rsidRDefault="00FB1377">
      <w:pPr>
        <w:rPr>
          <w:sz w:val="20"/>
          <w:szCs w:val="20"/>
        </w:rPr>
      </w:pPr>
      <w:r>
        <w:rPr>
          <w:rFonts w:eastAsia="Times New Roman"/>
          <w:i/>
          <w:iCs/>
          <w:sz w:val="24"/>
          <w:szCs w:val="24"/>
        </w:rPr>
        <w:t xml:space="preserve">Barriers to Reporting Male Sexual </w:t>
      </w:r>
      <w:r>
        <w:rPr>
          <w:rFonts w:eastAsia="Times New Roman"/>
          <w:i/>
          <w:iCs/>
          <w:sz w:val="24"/>
          <w:szCs w:val="24"/>
        </w:rPr>
        <w:t>Victimisation</w:t>
      </w:r>
    </w:p>
    <w:p w:rsidR="00DD0303" w:rsidRDefault="00DD0303">
      <w:pPr>
        <w:spacing w:line="200" w:lineRule="exact"/>
        <w:rPr>
          <w:sz w:val="20"/>
          <w:szCs w:val="20"/>
        </w:rPr>
      </w:pPr>
    </w:p>
    <w:p w:rsidR="00DD0303" w:rsidRDefault="00DD0303">
      <w:pPr>
        <w:spacing w:line="320" w:lineRule="exact"/>
        <w:rPr>
          <w:sz w:val="20"/>
          <w:szCs w:val="20"/>
        </w:rPr>
      </w:pPr>
    </w:p>
    <w:p w:rsidR="00DD0303" w:rsidRDefault="00FB1377">
      <w:pPr>
        <w:spacing w:line="480" w:lineRule="auto"/>
        <w:ind w:right="46" w:firstLine="780"/>
        <w:rPr>
          <w:sz w:val="20"/>
          <w:szCs w:val="20"/>
        </w:rPr>
      </w:pPr>
      <w:r>
        <w:rPr>
          <w:rFonts w:eastAsia="Times New Roman"/>
          <w:sz w:val="24"/>
          <w:szCs w:val="24"/>
        </w:rPr>
        <w:t>Chapleau et al. (2008) discuss how male rape myths are embedded into today’s society, and suggest that - even though untrue – they can escalate into barriers that prevent men from reporting sexual victimisation. The ways in which rape myths</w:t>
      </w:r>
      <w:r>
        <w:rPr>
          <w:rFonts w:eastAsia="Times New Roman"/>
          <w:sz w:val="24"/>
          <w:szCs w:val="24"/>
        </w:rPr>
        <w:t xml:space="preserve"> may serve to prevent males from reporting sexual assault or rape are two-fold; firstly, they might not themselves perceive what happened to actually constitute a sexual violation, or may not deem it important and/or serious enough to report. Secondly, the</w:t>
      </w:r>
      <w:r>
        <w:rPr>
          <w:rFonts w:eastAsia="Times New Roman"/>
          <w:sz w:val="24"/>
          <w:szCs w:val="24"/>
        </w:rPr>
        <w:t>y may fear how they will be judged by others; by their family and friends, by the police and by the general public.</w:t>
      </w:r>
    </w:p>
    <w:p w:rsidR="00DD0303" w:rsidRDefault="00FB1377">
      <w:pPr>
        <w:spacing w:line="486" w:lineRule="auto"/>
        <w:ind w:right="126" w:firstLine="720"/>
        <w:rPr>
          <w:sz w:val="20"/>
          <w:szCs w:val="20"/>
        </w:rPr>
      </w:pPr>
      <w:r>
        <w:rPr>
          <w:rFonts w:eastAsia="Times New Roman"/>
          <w:sz w:val="24"/>
          <w:szCs w:val="24"/>
        </w:rPr>
        <w:t>As evidence for the former; Artime et al. (2014), in their study of 323 men who completed an online survey found that only 24% of rape victi</w:t>
      </w:r>
      <w:r>
        <w:rPr>
          <w:rFonts w:eastAsia="Times New Roman"/>
          <w:sz w:val="24"/>
          <w:szCs w:val="24"/>
        </w:rPr>
        <w:t>ms used the labels of sexual abuse and rape. The majority of the sample did not view what had happened to them as a serious sexual violation (that warranted reporting and/or investigative/legal action). Correlates of acknowledgment of their victimisation i</w:t>
      </w:r>
      <w:r>
        <w:rPr>
          <w:rFonts w:eastAsia="Times New Roman"/>
          <w:sz w:val="24"/>
          <w:szCs w:val="24"/>
        </w:rPr>
        <w:t>ncluded the offender’s use of force and a male rather than a female perpetrator.</w:t>
      </w:r>
    </w:p>
    <w:p w:rsidR="00DD0303" w:rsidRDefault="00DD0303">
      <w:pPr>
        <w:spacing w:line="89" w:lineRule="exact"/>
        <w:rPr>
          <w:sz w:val="20"/>
          <w:szCs w:val="20"/>
        </w:rPr>
      </w:pPr>
    </w:p>
    <w:p w:rsidR="00DD0303" w:rsidRDefault="00FB1377">
      <w:pPr>
        <w:ind w:right="6"/>
        <w:jc w:val="right"/>
        <w:rPr>
          <w:sz w:val="20"/>
          <w:szCs w:val="20"/>
        </w:rPr>
      </w:pPr>
      <w:r>
        <w:rPr>
          <w:rFonts w:eastAsia="Times New Roman"/>
        </w:rPr>
        <w:t>11</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2" w:name="page13"/>
      <w:bookmarkEnd w:id="12"/>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26" w:firstLine="720"/>
        <w:rPr>
          <w:sz w:val="20"/>
          <w:szCs w:val="20"/>
        </w:rPr>
      </w:pPr>
      <w:r>
        <w:rPr>
          <w:rFonts w:eastAsia="Times New Roman"/>
          <w:sz w:val="24"/>
          <w:szCs w:val="24"/>
        </w:rPr>
        <w:t xml:space="preserve">With regards to the latter; Davis et al. (2009) discuss in detail how for many male victims embarrassment, </w:t>
      </w:r>
      <w:r>
        <w:rPr>
          <w:rFonts w:eastAsia="Times New Roman"/>
          <w:sz w:val="24"/>
          <w:szCs w:val="24"/>
        </w:rPr>
        <w:t xml:space="preserve">stigma or fear of not being believed stops them from reporting sexual offences. Biased legal definitions, myths, feminist theory, and stereotypical or negative beliefs, Fisher and Pina (2013) argue, create a problematic social environment for male victims </w:t>
      </w:r>
      <w:r>
        <w:rPr>
          <w:rFonts w:eastAsia="Times New Roman"/>
          <w:sz w:val="24"/>
          <w:szCs w:val="24"/>
        </w:rPr>
        <w:t>of sexual assault to report crimes. This is likely to be particularly true if the perpetrator of the assault is female.</w:t>
      </w:r>
    </w:p>
    <w:p w:rsidR="00DD0303" w:rsidRDefault="00FB1377">
      <w:pPr>
        <w:spacing w:line="480" w:lineRule="auto"/>
        <w:ind w:right="26" w:firstLine="720"/>
        <w:rPr>
          <w:sz w:val="20"/>
          <w:szCs w:val="20"/>
        </w:rPr>
      </w:pPr>
      <w:r>
        <w:rPr>
          <w:rFonts w:eastAsia="Times New Roman"/>
          <w:sz w:val="24"/>
          <w:szCs w:val="24"/>
        </w:rPr>
        <w:t>Davis et al. (2009) also suggest that many avoid reporting as they deem the assault to ‘not be serious enough’ for police involvement. T</w:t>
      </w:r>
      <w:r>
        <w:rPr>
          <w:rFonts w:eastAsia="Times New Roman"/>
          <w:sz w:val="24"/>
          <w:szCs w:val="24"/>
        </w:rPr>
        <w:t>hese propositions are supported by the findings of a number of studies which have shown that men are more likely to report a rape when they can demonstrate they could have not protected themselves and that they were overpowered by the perpetrator. For exam</w:t>
      </w:r>
      <w:r>
        <w:rPr>
          <w:rFonts w:eastAsia="Times New Roman"/>
          <w:sz w:val="24"/>
          <w:szCs w:val="24"/>
        </w:rPr>
        <w:t>ple; men (and – indeed women) have been found to be more likely to report victimisation when there is physical evidence of the crime to corroborate their claims (Pino &amp; Meier, 1999). Ellis (2002) discusses how male rape survivors often do not seek help unl</w:t>
      </w:r>
      <w:r>
        <w:rPr>
          <w:rFonts w:eastAsia="Times New Roman"/>
          <w:sz w:val="24"/>
          <w:szCs w:val="24"/>
        </w:rPr>
        <w:t>ess they consider that the trauma is severe enough to warrant attention. Tewksbury (2007) too suggests that often male victims only seek medical or mental health help if significant injuries are suffered during an assault and immediate care is necessary.</w:t>
      </w:r>
    </w:p>
    <w:p w:rsidR="00DD0303" w:rsidRDefault="00DD0303">
      <w:pPr>
        <w:spacing w:line="1" w:lineRule="exact"/>
        <w:rPr>
          <w:sz w:val="20"/>
          <w:szCs w:val="20"/>
        </w:rPr>
      </w:pPr>
    </w:p>
    <w:p w:rsidR="00DD0303" w:rsidRDefault="00FB1377">
      <w:pPr>
        <w:spacing w:line="480" w:lineRule="auto"/>
        <w:ind w:right="26" w:firstLine="720"/>
        <w:rPr>
          <w:sz w:val="20"/>
          <w:szCs w:val="20"/>
        </w:rPr>
      </w:pPr>
      <w:r>
        <w:rPr>
          <w:rFonts w:eastAsia="Times New Roman"/>
          <w:sz w:val="24"/>
          <w:szCs w:val="24"/>
        </w:rPr>
        <w:t>Another, related, reason that men may not report sexual victimisation is that they don’t believe that their case will be taken seriously by police or law enforcement agencies, and that – as such – it is unlikely to ever result in a prosecution or convictio</w:t>
      </w:r>
      <w:r>
        <w:rPr>
          <w:rFonts w:eastAsia="Times New Roman"/>
          <w:sz w:val="24"/>
          <w:szCs w:val="24"/>
        </w:rPr>
        <w:t>n. Jamel, Bull and Sheridan (2008) suggest that prevalence of commonly-held myths regarding the ways in which male victims are perceived and likely to be treated have led to male victims experiencing a lack of confidence in the judicial system.</w:t>
      </w:r>
    </w:p>
    <w:p w:rsidR="00DD0303" w:rsidRDefault="00FB1377">
      <w:pPr>
        <w:spacing w:line="545" w:lineRule="auto"/>
        <w:ind w:right="66" w:firstLine="720"/>
        <w:rPr>
          <w:sz w:val="20"/>
          <w:szCs w:val="20"/>
        </w:rPr>
      </w:pPr>
      <w:r>
        <w:rPr>
          <w:rFonts w:eastAsia="Times New Roman"/>
          <w:sz w:val="23"/>
          <w:szCs w:val="23"/>
        </w:rPr>
        <w:t xml:space="preserve">Another </w:t>
      </w:r>
      <w:r>
        <w:rPr>
          <w:rFonts w:eastAsia="Times New Roman"/>
          <w:sz w:val="23"/>
          <w:szCs w:val="23"/>
        </w:rPr>
        <w:t>possible factor impacting upon reporting rates for male sexual offences is the severe lack of information on male sexual assault and rape available within the public realm</w:t>
      </w:r>
    </w:p>
    <w:p w:rsidR="00DD0303" w:rsidRDefault="00DD0303">
      <w:pPr>
        <w:spacing w:line="273" w:lineRule="exact"/>
        <w:rPr>
          <w:sz w:val="20"/>
          <w:szCs w:val="20"/>
        </w:rPr>
      </w:pPr>
    </w:p>
    <w:p w:rsidR="00DD0303" w:rsidRDefault="00FB1377">
      <w:pPr>
        <w:ind w:right="6"/>
        <w:jc w:val="right"/>
        <w:rPr>
          <w:sz w:val="20"/>
          <w:szCs w:val="20"/>
        </w:rPr>
      </w:pPr>
      <w:r>
        <w:rPr>
          <w:rFonts w:eastAsia="Times New Roman"/>
        </w:rPr>
        <w:t>12</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3" w:name="page14"/>
      <w:bookmarkEnd w:id="13"/>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96" w:lineRule="auto"/>
        <w:ind w:right="166"/>
        <w:rPr>
          <w:sz w:val="20"/>
          <w:szCs w:val="20"/>
        </w:rPr>
      </w:pPr>
      <w:r>
        <w:rPr>
          <w:rFonts w:eastAsia="Times New Roman"/>
          <w:sz w:val="24"/>
          <w:szCs w:val="24"/>
        </w:rPr>
        <w:t xml:space="preserve">and, relatedly, </w:t>
      </w:r>
      <w:r>
        <w:rPr>
          <w:rFonts w:eastAsia="Times New Roman"/>
          <w:sz w:val="24"/>
          <w:szCs w:val="24"/>
        </w:rPr>
        <w:t>the lack of appropriate support services available to male victims (Scarce, 1997). These societal shortfalls, Chapleau et al. (2008) argue, are likely to have a notable impact on the decision of whether or not to go to the police or to seek help for victim</w:t>
      </w:r>
      <w:r>
        <w:rPr>
          <w:rFonts w:eastAsia="Times New Roman"/>
          <w:sz w:val="24"/>
          <w:szCs w:val="24"/>
        </w:rPr>
        <w:t>isation.</w:t>
      </w:r>
    </w:p>
    <w:p w:rsidR="00DD0303" w:rsidRDefault="00DD0303">
      <w:pPr>
        <w:spacing w:line="65" w:lineRule="exact"/>
        <w:rPr>
          <w:sz w:val="20"/>
          <w:szCs w:val="20"/>
        </w:rPr>
      </w:pPr>
    </w:p>
    <w:p w:rsidR="00DD0303" w:rsidRDefault="00FB1377">
      <w:pPr>
        <w:spacing w:line="483" w:lineRule="auto"/>
        <w:ind w:right="6" w:firstLine="720"/>
        <w:rPr>
          <w:sz w:val="20"/>
          <w:szCs w:val="20"/>
        </w:rPr>
      </w:pPr>
      <w:r>
        <w:rPr>
          <w:rFonts w:eastAsia="Times New Roman"/>
          <w:sz w:val="24"/>
          <w:szCs w:val="24"/>
        </w:rPr>
        <w:t>One of the first of the few studies which have directly examined the reasons why men do not report incidents of sexual victimisation was conducted by King and Woollett in 1997. They examined the cases of 115 male victims of rape and sexual assaul</w:t>
      </w:r>
      <w:r>
        <w:rPr>
          <w:rFonts w:eastAsia="Times New Roman"/>
          <w:sz w:val="24"/>
          <w:szCs w:val="24"/>
        </w:rPr>
        <w:t>t. Of these, only 17 victims reported their victimisation to the police and/or authorities. Eight of those who did report said that they found the police to have been helpful, and five said that they felt that the police reaction had been negative. The fin</w:t>
      </w:r>
      <w:r>
        <w:rPr>
          <w:rFonts w:eastAsia="Times New Roman"/>
          <w:sz w:val="24"/>
          <w:szCs w:val="24"/>
        </w:rPr>
        <w:t>dings of Walker, Archer and Davies (2005) portray a similar picture; in their study of 40 male rape victims, only five reported the offence to the police. Only one of these said that he found the police to be responsive and helpful; the others all reported</w:t>
      </w:r>
      <w:r>
        <w:rPr>
          <w:rFonts w:eastAsia="Times New Roman"/>
          <w:sz w:val="24"/>
          <w:szCs w:val="24"/>
        </w:rPr>
        <w:t xml:space="preserve"> that the found the police to be unsympathetic, disinterested, and homophobic, and overall, felt that their complaint was not taken seriously.</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34" w:lineRule="exact"/>
        <w:rPr>
          <w:sz w:val="20"/>
          <w:szCs w:val="20"/>
        </w:rPr>
      </w:pPr>
    </w:p>
    <w:p w:rsidR="00DD0303" w:rsidRDefault="00FB1377">
      <w:pPr>
        <w:rPr>
          <w:sz w:val="20"/>
          <w:szCs w:val="20"/>
        </w:rPr>
      </w:pPr>
      <w:r>
        <w:rPr>
          <w:rFonts w:eastAsia="Times New Roman"/>
          <w:i/>
          <w:iCs/>
          <w:sz w:val="24"/>
          <w:szCs w:val="24"/>
        </w:rPr>
        <w:t>The Present Study</w:t>
      </w:r>
    </w:p>
    <w:p w:rsidR="00DD0303" w:rsidRDefault="00DD0303">
      <w:pPr>
        <w:spacing w:line="400" w:lineRule="exact"/>
        <w:rPr>
          <w:sz w:val="20"/>
          <w:szCs w:val="20"/>
        </w:rPr>
      </w:pPr>
    </w:p>
    <w:p w:rsidR="00DD0303" w:rsidRDefault="00FB1377">
      <w:pPr>
        <w:spacing w:line="480" w:lineRule="auto"/>
        <w:ind w:right="66" w:firstLine="720"/>
        <w:jc w:val="both"/>
        <w:rPr>
          <w:sz w:val="20"/>
          <w:szCs w:val="20"/>
        </w:rPr>
      </w:pPr>
      <w:r>
        <w:rPr>
          <w:rFonts w:eastAsia="Times New Roman"/>
          <w:sz w:val="24"/>
          <w:szCs w:val="24"/>
        </w:rPr>
        <w:t>From the preceding discussion, it is clear that official figures on rates of male sexual vi</w:t>
      </w:r>
      <w:r>
        <w:rPr>
          <w:rFonts w:eastAsia="Times New Roman"/>
          <w:sz w:val="24"/>
          <w:szCs w:val="24"/>
        </w:rPr>
        <w:t>ctimisation are likely to underestimate the true prevalence of male sexual assault and rape. This is likely to be, in large part, down to the reluctance of men to report their victimisations; figures from previous research support this proposition.</w:t>
      </w:r>
    </w:p>
    <w:p w:rsidR="00DD0303" w:rsidRDefault="00FB1377">
      <w:pPr>
        <w:spacing w:line="490" w:lineRule="auto"/>
        <w:ind w:right="86" w:firstLine="720"/>
        <w:rPr>
          <w:sz w:val="20"/>
          <w:szCs w:val="20"/>
        </w:rPr>
      </w:pPr>
      <w:r>
        <w:rPr>
          <w:rFonts w:eastAsia="Times New Roman"/>
          <w:sz w:val="24"/>
          <w:szCs w:val="24"/>
        </w:rPr>
        <w:t>Initial</w:t>
      </w:r>
      <w:r>
        <w:rPr>
          <w:rFonts w:eastAsia="Times New Roman"/>
          <w:sz w:val="24"/>
          <w:szCs w:val="24"/>
        </w:rPr>
        <w:t xml:space="preserve"> findings from studies looking at the prevalence and rates of acceptance of male rape myths provide one means of explicating potential barriers to reporting; however, research has yet to empirically examine the relationship(s) between male rape myth accept</w:t>
      </w:r>
      <w:r>
        <w:rPr>
          <w:rFonts w:eastAsia="Times New Roman"/>
          <w:sz w:val="24"/>
          <w:szCs w:val="24"/>
        </w:rPr>
        <w:t>ance and likelihood of reporting.</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68" w:lineRule="exact"/>
        <w:rPr>
          <w:sz w:val="20"/>
          <w:szCs w:val="20"/>
        </w:rPr>
      </w:pPr>
    </w:p>
    <w:p w:rsidR="00DD0303" w:rsidRDefault="00FB1377">
      <w:pPr>
        <w:ind w:right="6"/>
        <w:jc w:val="right"/>
        <w:rPr>
          <w:sz w:val="20"/>
          <w:szCs w:val="20"/>
        </w:rPr>
      </w:pPr>
      <w:r>
        <w:rPr>
          <w:rFonts w:eastAsia="Times New Roman"/>
        </w:rPr>
        <w:t>13</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4" w:name="page15"/>
      <w:bookmarkEnd w:id="14"/>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146" w:firstLine="720"/>
        <w:rPr>
          <w:sz w:val="20"/>
          <w:szCs w:val="20"/>
        </w:rPr>
      </w:pPr>
      <w:r>
        <w:rPr>
          <w:rFonts w:eastAsia="Times New Roman"/>
          <w:sz w:val="24"/>
          <w:szCs w:val="24"/>
        </w:rPr>
        <w:t xml:space="preserve">The present study sought to evaluate levels of acceptance of rape myths in a general population sample. In addition to those myths examined in </w:t>
      </w:r>
      <w:r>
        <w:rPr>
          <w:rFonts w:eastAsia="Times New Roman"/>
          <w:sz w:val="24"/>
          <w:szCs w:val="24"/>
        </w:rPr>
        <w:t xml:space="preserve">previous studies (c.f. Struckman-Johnson and Struckman-Johnson, 1992; Chapleau et al., 2008), separate myths relating to sexual assault, assault by penetration and rape were included, in order to see whether the specific offence category had any impact on </w:t>
      </w:r>
      <w:r>
        <w:rPr>
          <w:rFonts w:eastAsia="Times New Roman"/>
          <w:sz w:val="24"/>
          <w:szCs w:val="24"/>
        </w:rPr>
        <w:t>rates of acceptance of different forms of rape myth. In addition, the gender of the perpetrator was manipulated across the different rape myths presented, in order to ascertain whether this impacted upon levels and likelihood of rape myth subscription.</w:t>
      </w:r>
    </w:p>
    <w:p w:rsidR="00DD0303" w:rsidRDefault="00FB1377">
      <w:pPr>
        <w:spacing w:line="480" w:lineRule="auto"/>
        <w:ind w:right="6" w:firstLine="720"/>
        <w:rPr>
          <w:sz w:val="20"/>
          <w:szCs w:val="20"/>
        </w:rPr>
      </w:pPr>
      <w:r>
        <w:rPr>
          <w:rFonts w:eastAsia="Times New Roman"/>
          <w:sz w:val="24"/>
          <w:szCs w:val="24"/>
        </w:rPr>
        <w:t>Rel</w:t>
      </w:r>
      <w:r>
        <w:rPr>
          <w:rFonts w:eastAsia="Times New Roman"/>
          <w:sz w:val="24"/>
          <w:szCs w:val="24"/>
        </w:rPr>
        <w:t>ationships between rape myth acceptance and likelihood of reporting were subsequently examined. Respondents were asked whether they would report each of these offences if they were to happen to them, and in instances where they said that they would not rep</w:t>
      </w:r>
      <w:r>
        <w:rPr>
          <w:rFonts w:eastAsia="Times New Roman"/>
          <w:sz w:val="24"/>
          <w:szCs w:val="24"/>
        </w:rPr>
        <w:t>ort they were asked to explicate the reasons why. This qualitative approach was adopted in order to provide a more detailed understanding of when and under what circumstances men would or would not report sexual victimisation.</w:t>
      </w:r>
    </w:p>
    <w:p w:rsidR="00DD0303" w:rsidRDefault="00FB1377">
      <w:pPr>
        <w:spacing w:line="488" w:lineRule="auto"/>
        <w:ind w:right="166" w:firstLine="720"/>
        <w:rPr>
          <w:sz w:val="20"/>
          <w:szCs w:val="20"/>
        </w:rPr>
      </w:pPr>
      <w:r>
        <w:rPr>
          <w:rFonts w:eastAsia="Times New Roman"/>
          <w:sz w:val="24"/>
          <w:szCs w:val="24"/>
        </w:rPr>
        <w:t>The impacts of prior experien</w:t>
      </w:r>
      <w:r>
        <w:rPr>
          <w:rFonts w:eastAsia="Times New Roman"/>
          <w:sz w:val="24"/>
          <w:szCs w:val="24"/>
        </w:rPr>
        <w:t>ce of male sexual victimisation were also explored; participants were asked about their direct and indirect previous experience of male sexual crime, and the responses of those with experience compared to those without. This was with the aim of obtaining f</w:t>
      </w:r>
      <w:r>
        <w:rPr>
          <w:rFonts w:eastAsia="Times New Roman"/>
          <w:sz w:val="24"/>
          <w:szCs w:val="24"/>
        </w:rPr>
        <w:t>urther insights into potential sources of rape myths and individual factors that might make an individual more or less susceptible to believing them.</w:t>
      </w:r>
    </w:p>
    <w:p w:rsidR="00DD0303" w:rsidRDefault="00DD0303">
      <w:pPr>
        <w:spacing w:line="74" w:lineRule="exact"/>
        <w:rPr>
          <w:sz w:val="20"/>
          <w:szCs w:val="20"/>
        </w:rPr>
      </w:pPr>
    </w:p>
    <w:p w:rsidR="00DD0303" w:rsidRDefault="00FB1377">
      <w:pPr>
        <w:spacing w:line="486" w:lineRule="auto"/>
        <w:ind w:right="86" w:firstLine="720"/>
        <w:rPr>
          <w:sz w:val="20"/>
          <w:szCs w:val="20"/>
        </w:rPr>
      </w:pPr>
      <w:r>
        <w:rPr>
          <w:rFonts w:eastAsia="Times New Roman"/>
          <w:sz w:val="24"/>
          <w:szCs w:val="24"/>
        </w:rPr>
        <w:t>A general population sample was used, as – to date – studies have only used college samples which, as Tur</w:t>
      </w:r>
      <w:r>
        <w:rPr>
          <w:rFonts w:eastAsia="Times New Roman"/>
          <w:sz w:val="24"/>
          <w:szCs w:val="24"/>
        </w:rPr>
        <w:t>chik &amp; Edwards (2012) discuss, might be biased or unrepresentative for a variety of reasons. This sample was drawn from the U.K.; at present, there are no published figures on rates of male rape myth acceptance for British samples, and so an additional aim</w:t>
      </w:r>
      <w:r>
        <w:rPr>
          <w:rFonts w:eastAsia="Times New Roman"/>
          <w:sz w:val="24"/>
          <w:szCs w:val="24"/>
        </w:rPr>
        <w:t xml:space="preserve"> of the research was to determine how rates vary compared with those reported for U.S. samples.</w:t>
      </w:r>
    </w:p>
    <w:p w:rsidR="00DD0303" w:rsidRDefault="00DD0303">
      <w:pPr>
        <w:spacing w:line="209" w:lineRule="exact"/>
        <w:rPr>
          <w:sz w:val="20"/>
          <w:szCs w:val="20"/>
        </w:rPr>
      </w:pPr>
    </w:p>
    <w:p w:rsidR="00DD0303" w:rsidRDefault="00FB1377">
      <w:pPr>
        <w:ind w:right="6"/>
        <w:jc w:val="right"/>
        <w:rPr>
          <w:sz w:val="20"/>
          <w:szCs w:val="20"/>
        </w:rPr>
      </w:pPr>
      <w:r>
        <w:rPr>
          <w:rFonts w:eastAsia="Times New Roman"/>
        </w:rPr>
        <w:t>14</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5" w:name="page16"/>
      <w:bookmarkEnd w:id="15"/>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7" w:lineRule="exact"/>
        <w:rPr>
          <w:sz w:val="20"/>
          <w:szCs w:val="20"/>
        </w:rPr>
      </w:pPr>
    </w:p>
    <w:p w:rsidR="00DD0303" w:rsidRDefault="00FB1377">
      <w:pPr>
        <w:rPr>
          <w:sz w:val="20"/>
          <w:szCs w:val="20"/>
        </w:rPr>
      </w:pPr>
      <w:r>
        <w:rPr>
          <w:rFonts w:eastAsia="Times New Roman"/>
          <w:b/>
          <w:bCs/>
          <w:sz w:val="24"/>
          <w:szCs w:val="24"/>
        </w:rPr>
        <w:t>Method</w:t>
      </w:r>
    </w:p>
    <w:p w:rsidR="00DD0303" w:rsidRDefault="00DD0303">
      <w:pPr>
        <w:spacing w:line="354" w:lineRule="exact"/>
        <w:rPr>
          <w:sz w:val="20"/>
          <w:szCs w:val="20"/>
        </w:rPr>
      </w:pPr>
    </w:p>
    <w:p w:rsidR="00DD0303" w:rsidRDefault="00FB1377">
      <w:pPr>
        <w:rPr>
          <w:sz w:val="20"/>
          <w:szCs w:val="20"/>
        </w:rPr>
      </w:pPr>
      <w:r>
        <w:rPr>
          <w:rFonts w:eastAsia="Times New Roman"/>
          <w:i/>
          <w:iCs/>
          <w:sz w:val="24"/>
          <w:szCs w:val="24"/>
        </w:rPr>
        <w:t>Sample</w:t>
      </w:r>
    </w:p>
    <w:p w:rsidR="00DD0303" w:rsidRDefault="00DD0303">
      <w:pPr>
        <w:spacing w:line="270" w:lineRule="exact"/>
        <w:rPr>
          <w:sz w:val="20"/>
          <w:szCs w:val="20"/>
        </w:rPr>
      </w:pPr>
    </w:p>
    <w:p w:rsidR="00DD0303" w:rsidRDefault="00FB1377">
      <w:pPr>
        <w:spacing w:line="483" w:lineRule="auto"/>
        <w:ind w:right="26" w:firstLine="720"/>
        <w:rPr>
          <w:sz w:val="20"/>
          <w:szCs w:val="20"/>
        </w:rPr>
      </w:pPr>
      <w:r>
        <w:rPr>
          <w:rFonts w:eastAsia="Times New Roman"/>
          <w:sz w:val="24"/>
          <w:szCs w:val="24"/>
        </w:rPr>
        <w:t xml:space="preserve">Participants were recruited via adverts on social media sites and through </w:t>
      </w:r>
      <w:r>
        <w:rPr>
          <w:rFonts w:eastAsia="Times New Roman"/>
          <w:sz w:val="24"/>
          <w:szCs w:val="24"/>
        </w:rPr>
        <w:t>email distribution, using a snowball sampling method. The final sample consisted of 98 male participants, all currently resident in the U.K., ranging from 19 to 58 years of age (</w:t>
      </w:r>
      <w:r>
        <w:rPr>
          <w:rFonts w:eastAsia="Times New Roman"/>
          <w:i/>
          <w:iCs/>
          <w:sz w:val="24"/>
          <w:szCs w:val="24"/>
        </w:rPr>
        <w:t>M</w:t>
      </w:r>
      <w:r>
        <w:rPr>
          <w:rFonts w:eastAsia="Times New Roman"/>
          <w:sz w:val="24"/>
          <w:szCs w:val="24"/>
        </w:rPr>
        <w:t xml:space="preserve"> = 26.17; S.D. = 4.176). In terms of ethnicity; the majority of the sample (9</w:t>
      </w:r>
      <w:r>
        <w:rPr>
          <w:rFonts w:eastAsia="Times New Roman"/>
          <w:sz w:val="24"/>
          <w:szCs w:val="24"/>
        </w:rPr>
        <w:t xml:space="preserve">5%) were white, three (3%) were black and 2 (2%) were ‘other’. Eighty-one (83%) of the sample classified themselves as heterosexual, 8 (8%) as homosexual, seven (7%) as bisexual and two (2%) were ‘other’. Almost half of the sample (44; 45%) were currently </w:t>
      </w:r>
      <w:r>
        <w:rPr>
          <w:rFonts w:eastAsia="Times New Roman"/>
          <w:sz w:val="24"/>
          <w:szCs w:val="24"/>
        </w:rPr>
        <w:t>employed, eight (8%) were self-employed, 45 (46%) were currently students and one was retired. For most, the highest level of education was a university undergraduate degree (60%); 19% listed sixth form as their highest level of education, 18 had completed</w:t>
      </w:r>
      <w:r>
        <w:rPr>
          <w:rFonts w:eastAsia="Times New Roman"/>
          <w:sz w:val="24"/>
          <w:szCs w:val="24"/>
        </w:rPr>
        <w:t xml:space="preserve"> postgraduate education or doctorates, one specified that they had attained other forms of qualification and one reported his highest level of education as secondary school.</w:t>
      </w:r>
    </w:p>
    <w:p w:rsidR="00DD0303" w:rsidRDefault="00DD0303">
      <w:pPr>
        <w:spacing w:line="313" w:lineRule="exact"/>
        <w:rPr>
          <w:sz w:val="20"/>
          <w:szCs w:val="20"/>
        </w:rPr>
      </w:pPr>
    </w:p>
    <w:p w:rsidR="00DD0303" w:rsidRDefault="00FB1377">
      <w:pPr>
        <w:rPr>
          <w:sz w:val="20"/>
          <w:szCs w:val="20"/>
        </w:rPr>
      </w:pPr>
      <w:r>
        <w:rPr>
          <w:rFonts w:eastAsia="Times New Roman"/>
          <w:i/>
          <w:iCs/>
          <w:sz w:val="24"/>
          <w:szCs w:val="24"/>
        </w:rPr>
        <w:t>Procedure</w:t>
      </w:r>
    </w:p>
    <w:p w:rsidR="00DD0303" w:rsidRDefault="00DD0303">
      <w:pPr>
        <w:spacing w:line="200" w:lineRule="exact"/>
        <w:rPr>
          <w:sz w:val="20"/>
          <w:szCs w:val="20"/>
        </w:rPr>
      </w:pPr>
    </w:p>
    <w:p w:rsidR="00DD0303" w:rsidRDefault="00DD0303">
      <w:pPr>
        <w:spacing w:line="387" w:lineRule="exact"/>
        <w:rPr>
          <w:sz w:val="20"/>
          <w:szCs w:val="20"/>
        </w:rPr>
      </w:pPr>
    </w:p>
    <w:p w:rsidR="00DD0303" w:rsidRDefault="00FB1377">
      <w:pPr>
        <w:spacing w:line="443" w:lineRule="auto"/>
        <w:ind w:right="26" w:firstLine="720"/>
        <w:rPr>
          <w:rFonts w:eastAsia="Times New Roman"/>
          <w:sz w:val="24"/>
          <w:szCs w:val="24"/>
        </w:rPr>
      </w:pPr>
      <w:r>
        <w:rPr>
          <w:rFonts w:eastAsia="Times New Roman"/>
          <w:sz w:val="24"/>
          <w:szCs w:val="24"/>
        </w:rPr>
        <w:t>Participants completed an online survey comprised of sets of myths ab</w:t>
      </w:r>
      <w:r>
        <w:rPr>
          <w:rFonts w:eastAsia="Times New Roman"/>
          <w:sz w:val="24"/>
          <w:szCs w:val="24"/>
        </w:rPr>
        <w:t>out male sexual assault, assault by penetration and rape. Statements reflecting commonly-held rape myths were derived from a review of the literature</w:t>
      </w:r>
      <w:hyperlink w:anchor="page16">
        <w:r>
          <w:rPr>
            <w:rFonts w:eastAsia="Times New Roman"/>
            <w:sz w:val="32"/>
            <w:szCs w:val="32"/>
            <w:vertAlign w:val="superscript"/>
          </w:rPr>
          <w:t>1</w:t>
        </w:r>
      </w:hyperlink>
      <w:r>
        <w:rPr>
          <w:rFonts w:eastAsia="Times New Roman"/>
          <w:sz w:val="24"/>
          <w:szCs w:val="24"/>
        </w:rPr>
        <w:t>, and presented in three sub-sections of the questionnaire, one for each of t</w:t>
      </w:r>
      <w:r>
        <w:rPr>
          <w:rFonts w:eastAsia="Times New Roman"/>
          <w:sz w:val="24"/>
          <w:szCs w:val="24"/>
        </w:rPr>
        <w:t>he three offence types.</w:t>
      </w:r>
    </w:p>
    <w:p w:rsidR="00DD0303" w:rsidRDefault="00DD0303">
      <w:pPr>
        <w:spacing w:line="1" w:lineRule="exact"/>
        <w:rPr>
          <w:sz w:val="20"/>
          <w:szCs w:val="20"/>
        </w:rPr>
      </w:pPr>
    </w:p>
    <w:p w:rsidR="00DD0303" w:rsidRDefault="00FB1377">
      <w:pPr>
        <w:spacing w:line="496" w:lineRule="auto"/>
        <w:ind w:right="6" w:firstLine="720"/>
        <w:rPr>
          <w:sz w:val="20"/>
          <w:szCs w:val="20"/>
        </w:rPr>
      </w:pPr>
      <w:r>
        <w:rPr>
          <w:rFonts w:eastAsia="Times New Roman"/>
          <w:sz w:val="24"/>
          <w:szCs w:val="24"/>
        </w:rPr>
        <w:t>In each sub-section, the legal definition of that offence classification (i.e. sexual assault, assault by penetration and rape) was provided, and participants were asked to indicate their level of agreement (on a scale of 1 – 5; st</w:t>
      </w:r>
      <w:r>
        <w:rPr>
          <w:rFonts w:eastAsia="Times New Roman"/>
          <w:sz w:val="24"/>
          <w:szCs w:val="24"/>
        </w:rPr>
        <w:t>rongly agree – strongly disagree) with each of</w:t>
      </w:r>
    </w:p>
    <w:p w:rsidR="00DD0303" w:rsidRDefault="00FB1377">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148590</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5E62EF4" id="Shap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1.7pt" to="2in,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" o:allowincell="f" filled="t" strokeweight=".72pt">
                <v:stroke joinstyle="miter"/>
                <o:lock v:ext="edit" shapetype="f"/>
              </v:line>
            </w:pict>
          </mc:Fallback>
        </mc:AlternateContent>
      </w:r>
    </w:p>
    <w:p w:rsidR="00DD0303" w:rsidRDefault="00DD0303">
      <w:pPr>
        <w:spacing w:line="312" w:lineRule="exact"/>
        <w:rPr>
          <w:sz w:val="20"/>
          <w:szCs w:val="20"/>
        </w:rPr>
      </w:pPr>
    </w:p>
    <w:p w:rsidR="00DD0303" w:rsidRDefault="00FB1377">
      <w:pPr>
        <w:numPr>
          <w:ilvl w:val="0"/>
          <w:numId w:val="3"/>
        </w:numPr>
        <w:tabs>
          <w:tab w:val="left" w:pos="111"/>
        </w:tabs>
        <w:spacing w:line="224" w:lineRule="auto"/>
        <w:ind w:right="86"/>
        <w:rPr>
          <w:rFonts w:ascii="Calibri" w:eastAsia="Calibri" w:hAnsi="Calibri" w:cs="Calibri"/>
          <w:sz w:val="26"/>
          <w:szCs w:val="26"/>
          <w:vertAlign w:val="superscript"/>
        </w:rPr>
      </w:pPr>
      <w:r>
        <w:rPr>
          <w:rFonts w:eastAsia="Times New Roman"/>
          <w:sz w:val="20"/>
          <w:szCs w:val="20"/>
        </w:rPr>
        <w:t>Many of these were adapted from the Struckman-Johnson and Struckman-Johnson (1992) Male Rape Myth Acceptance Scale, but more recently identified myths – such as those discussed by Turchik &amp; Edwards (2012) -</w:t>
      </w:r>
      <w:r>
        <w:rPr>
          <w:rFonts w:eastAsia="Times New Roman"/>
          <w:sz w:val="20"/>
          <w:szCs w:val="20"/>
        </w:rPr>
        <w:t xml:space="preserve"> were also included.</w:t>
      </w:r>
    </w:p>
    <w:p w:rsidR="00DD0303" w:rsidRDefault="00DD0303">
      <w:pPr>
        <w:spacing w:line="177" w:lineRule="exact"/>
        <w:rPr>
          <w:sz w:val="20"/>
          <w:szCs w:val="20"/>
        </w:rPr>
      </w:pPr>
    </w:p>
    <w:p w:rsidR="00DD0303" w:rsidRDefault="00FB1377">
      <w:pPr>
        <w:ind w:right="6"/>
        <w:jc w:val="right"/>
        <w:rPr>
          <w:sz w:val="20"/>
          <w:szCs w:val="20"/>
        </w:rPr>
      </w:pPr>
      <w:r>
        <w:rPr>
          <w:rFonts w:eastAsia="Times New Roman"/>
        </w:rPr>
        <w:t>15</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6" w:name="page17"/>
      <w:bookmarkEnd w:id="16"/>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166"/>
        <w:rPr>
          <w:sz w:val="20"/>
          <w:szCs w:val="20"/>
        </w:rPr>
      </w:pPr>
      <w:r>
        <w:rPr>
          <w:rFonts w:eastAsia="Times New Roman"/>
          <w:sz w:val="24"/>
          <w:szCs w:val="24"/>
        </w:rPr>
        <w:t xml:space="preserve">the statements presented (e.g. “The police would not take it seriously if a man were sexually assaulted by a woman”). They were also asked whether, if they were the </w:t>
      </w:r>
      <w:r>
        <w:rPr>
          <w:rFonts w:eastAsia="Times New Roman"/>
          <w:sz w:val="24"/>
          <w:szCs w:val="24"/>
        </w:rPr>
        <w:t>victim of such offences (perpetrated by both a female and by a male), they would report their victimisation (Yes/No), and what their reasons were for this decision.</w:t>
      </w:r>
    </w:p>
    <w:p w:rsidR="00DD0303" w:rsidRDefault="00FB1377">
      <w:pPr>
        <w:spacing w:line="496" w:lineRule="auto"/>
        <w:ind w:right="166" w:firstLine="720"/>
        <w:rPr>
          <w:sz w:val="20"/>
          <w:szCs w:val="20"/>
        </w:rPr>
      </w:pPr>
      <w:r>
        <w:rPr>
          <w:rFonts w:eastAsia="Times New Roman"/>
          <w:sz w:val="24"/>
          <w:szCs w:val="24"/>
        </w:rPr>
        <w:t>Basic demographic information was collected from each participant, and they were also asked</w:t>
      </w:r>
      <w:r>
        <w:rPr>
          <w:rFonts w:eastAsia="Times New Roman"/>
          <w:sz w:val="24"/>
          <w:szCs w:val="24"/>
        </w:rPr>
        <w:t xml:space="preserve"> to indicate a) whether they themselves had been a victim of any of these offences or b) whether anyone they knew had been a victim of these offences.</w:t>
      </w:r>
    </w:p>
    <w:p w:rsidR="00DD0303" w:rsidRDefault="00DD0303">
      <w:pPr>
        <w:spacing w:line="200" w:lineRule="exact"/>
        <w:rPr>
          <w:sz w:val="20"/>
          <w:szCs w:val="20"/>
        </w:rPr>
      </w:pPr>
    </w:p>
    <w:p w:rsidR="00DD0303" w:rsidRDefault="00DD0303">
      <w:pPr>
        <w:spacing w:line="297" w:lineRule="exact"/>
        <w:rPr>
          <w:sz w:val="20"/>
          <w:szCs w:val="20"/>
        </w:rPr>
      </w:pPr>
    </w:p>
    <w:p w:rsidR="00DD0303" w:rsidRDefault="00FB1377">
      <w:pPr>
        <w:spacing w:line="496" w:lineRule="auto"/>
        <w:ind w:right="346" w:firstLine="720"/>
        <w:jc w:val="both"/>
        <w:rPr>
          <w:sz w:val="20"/>
          <w:szCs w:val="20"/>
        </w:rPr>
      </w:pPr>
      <w:r>
        <w:rPr>
          <w:rFonts w:eastAsia="Times New Roman"/>
          <w:sz w:val="24"/>
          <w:szCs w:val="24"/>
        </w:rPr>
        <w:t>Participation was entirely voluntary, and it was made clear to participants that they could stop at any</w:t>
      </w:r>
      <w:r>
        <w:rPr>
          <w:rFonts w:eastAsia="Times New Roman"/>
          <w:sz w:val="24"/>
          <w:szCs w:val="24"/>
        </w:rPr>
        <w:t xml:space="preserve"> time, and that they did not to answer any questions that they did not feel comfortable with.</w:t>
      </w:r>
    </w:p>
    <w:p w:rsidR="00DD0303" w:rsidRDefault="00DD0303">
      <w:pPr>
        <w:spacing w:line="200" w:lineRule="exact"/>
        <w:rPr>
          <w:sz w:val="20"/>
          <w:szCs w:val="20"/>
        </w:rPr>
      </w:pPr>
    </w:p>
    <w:p w:rsidR="00DD0303" w:rsidRDefault="00DD0303">
      <w:pPr>
        <w:spacing w:line="297" w:lineRule="exact"/>
        <w:rPr>
          <w:sz w:val="20"/>
          <w:szCs w:val="20"/>
        </w:rPr>
      </w:pPr>
    </w:p>
    <w:p w:rsidR="00DD0303" w:rsidRDefault="00FB1377">
      <w:pPr>
        <w:rPr>
          <w:sz w:val="20"/>
          <w:szCs w:val="20"/>
        </w:rPr>
      </w:pPr>
      <w:r>
        <w:rPr>
          <w:rFonts w:eastAsia="Times New Roman"/>
          <w:b/>
          <w:bCs/>
          <w:sz w:val="24"/>
          <w:szCs w:val="24"/>
        </w:rPr>
        <w:t>Results</w:t>
      </w:r>
    </w:p>
    <w:p w:rsidR="00DD0303" w:rsidRDefault="00DD0303">
      <w:pPr>
        <w:spacing w:line="272" w:lineRule="exact"/>
        <w:rPr>
          <w:sz w:val="20"/>
          <w:szCs w:val="20"/>
        </w:rPr>
      </w:pPr>
    </w:p>
    <w:p w:rsidR="00DD0303" w:rsidRDefault="00FB1377">
      <w:pPr>
        <w:rPr>
          <w:sz w:val="20"/>
          <w:szCs w:val="20"/>
        </w:rPr>
      </w:pPr>
      <w:r>
        <w:rPr>
          <w:rFonts w:eastAsia="Times New Roman"/>
          <w:i/>
          <w:iCs/>
          <w:sz w:val="24"/>
          <w:szCs w:val="24"/>
        </w:rPr>
        <w:t>Direct and Indirect Experience of Victimisation Reported by Participants</w:t>
      </w:r>
    </w:p>
    <w:p w:rsidR="00DD0303" w:rsidRDefault="00DD0303">
      <w:pPr>
        <w:spacing w:line="280" w:lineRule="exact"/>
        <w:rPr>
          <w:sz w:val="20"/>
          <w:szCs w:val="20"/>
        </w:rPr>
      </w:pPr>
    </w:p>
    <w:p w:rsidR="00DD0303" w:rsidRDefault="00FB1377">
      <w:pPr>
        <w:spacing w:line="480" w:lineRule="auto"/>
        <w:ind w:right="386" w:firstLine="720"/>
        <w:rPr>
          <w:sz w:val="20"/>
          <w:szCs w:val="20"/>
        </w:rPr>
      </w:pPr>
      <w:r>
        <w:rPr>
          <w:rFonts w:eastAsia="Times New Roman"/>
          <w:sz w:val="24"/>
          <w:szCs w:val="24"/>
        </w:rPr>
        <w:t>In terms of direct experience of sexual violence victimisation; twelve of the</w:t>
      </w:r>
      <w:r>
        <w:rPr>
          <w:rFonts w:eastAsia="Times New Roman"/>
          <w:sz w:val="24"/>
          <w:szCs w:val="24"/>
        </w:rPr>
        <w:t xml:space="preserve"> respondents (12%) reported that they had previously been a victim of sexual assault, one respondent said that they had been a victim of assault by penetration, and two participants indicated that they had previously been raped.</w:t>
      </w:r>
    </w:p>
    <w:p w:rsidR="00DD0303" w:rsidRDefault="00FB1377">
      <w:pPr>
        <w:spacing w:line="480" w:lineRule="auto"/>
        <w:ind w:right="246" w:firstLine="720"/>
        <w:rPr>
          <w:sz w:val="20"/>
          <w:szCs w:val="20"/>
        </w:rPr>
      </w:pPr>
      <w:r>
        <w:rPr>
          <w:rFonts w:eastAsia="Times New Roman"/>
          <w:sz w:val="24"/>
          <w:szCs w:val="24"/>
        </w:rPr>
        <w:t>In total, 46% of the sample</w:t>
      </w:r>
      <w:r>
        <w:rPr>
          <w:rFonts w:eastAsia="Times New Roman"/>
          <w:sz w:val="24"/>
          <w:szCs w:val="24"/>
        </w:rPr>
        <w:t xml:space="preserve"> reported having had some indirect experience of sexual violence victimisation (Table 1), with 23 (24%) stating that they knew someone who had been the victim of male sexual assault, 10 (10%) indicating that they knew a male victim of assault by penetratio</w:t>
      </w:r>
      <w:r>
        <w:rPr>
          <w:rFonts w:eastAsia="Times New Roman"/>
          <w:sz w:val="24"/>
          <w:szCs w:val="24"/>
        </w:rPr>
        <w:t>n, and 12 (12%) reporting that they knew someone who had been a victim of male rape.</w:t>
      </w:r>
    </w:p>
    <w:p w:rsidR="00DD0303" w:rsidRDefault="00FB1377">
      <w:pPr>
        <w:ind w:right="6"/>
        <w:jc w:val="center"/>
        <w:rPr>
          <w:sz w:val="20"/>
          <w:szCs w:val="20"/>
        </w:rPr>
      </w:pPr>
      <w:r>
        <w:rPr>
          <w:rFonts w:eastAsia="Times New Roman"/>
          <w:sz w:val="24"/>
          <w:szCs w:val="24"/>
        </w:rPr>
        <w:t>Table 1</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98" w:lineRule="exact"/>
        <w:rPr>
          <w:sz w:val="20"/>
          <w:szCs w:val="20"/>
        </w:rPr>
      </w:pPr>
    </w:p>
    <w:p w:rsidR="00DD0303" w:rsidRDefault="00FB1377">
      <w:pPr>
        <w:ind w:right="6"/>
        <w:jc w:val="right"/>
        <w:rPr>
          <w:sz w:val="20"/>
          <w:szCs w:val="20"/>
        </w:rPr>
      </w:pPr>
      <w:r>
        <w:rPr>
          <w:rFonts w:eastAsia="Times New Roman"/>
        </w:rPr>
        <w:t>16</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7" w:name="page18"/>
      <w:bookmarkEnd w:id="17"/>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3" w:lineRule="exact"/>
        <w:rPr>
          <w:sz w:val="20"/>
          <w:szCs w:val="20"/>
        </w:rPr>
      </w:pPr>
    </w:p>
    <w:p w:rsidR="00DD0303" w:rsidRDefault="00FB1377">
      <w:pPr>
        <w:rPr>
          <w:sz w:val="20"/>
          <w:szCs w:val="20"/>
        </w:rPr>
      </w:pPr>
      <w:r>
        <w:rPr>
          <w:rFonts w:eastAsia="Times New Roman"/>
          <w:i/>
          <w:iCs/>
          <w:sz w:val="24"/>
          <w:szCs w:val="24"/>
        </w:rPr>
        <w:t>Levels of Agreement with Sexual Assault Myths</w:t>
      </w:r>
    </w:p>
    <w:p w:rsidR="00DD0303" w:rsidRDefault="00DD0303">
      <w:pPr>
        <w:spacing w:line="400" w:lineRule="exact"/>
        <w:rPr>
          <w:sz w:val="20"/>
          <w:szCs w:val="20"/>
        </w:rPr>
      </w:pPr>
    </w:p>
    <w:p w:rsidR="00DD0303" w:rsidRDefault="00FB1377">
      <w:pPr>
        <w:spacing w:line="545" w:lineRule="auto"/>
        <w:ind w:right="1126" w:firstLine="720"/>
        <w:rPr>
          <w:sz w:val="20"/>
          <w:szCs w:val="20"/>
        </w:rPr>
      </w:pPr>
      <w:r>
        <w:rPr>
          <w:rFonts w:eastAsia="Times New Roman"/>
          <w:sz w:val="23"/>
          <w:szCs w:val="23"/>
        </w:rPr>
        <w:t>Participants responses regarding their accep</w:t>
      </w:r>
      <w:r>
        <w:rPr>
          <w:rFonts w:eastAsia="Times New Roman"/>
          <w:sz w:val="23"/>
          <w:szCs w:val="23"/>
        </w:rPr>
        <w:t>tance of myths relating to male victimisation and perpetration of sexual assault are summarised below in Table 2.</w:t>
      </w:r>
    </w:p>
    <w:p w:rsidR="00DD0303" w:rsidRDefault="00DD0303">
      <w:pPr>
        <w:spacing w:line="200" w:lineRule="exact"/>
        <w:rPr>
          <w:sz w:val="20"/>
          <w:szCs w:val="20"/>
        </w:rPr>
      </w:pPr>
    </w:p>
    <w:p w:rsidR="00DD0303" w:rsidRDefault="00DD0303">
      <w:pPr>
        <w:spacing w:line="255" w:lineRule="exact"/>
        <w:rPr>
          <w:sz w:val="20"/>
          <w:szCs w:val="20"/>
        </w:rPr>
      </w:pPr>
    </w:p>
    <w:p w:rsidR="00DD0303" w:rsidRDefault="00FB1377">
      <w:pPr>
        <w:ind w:right="6"/>
        <w:jc w:val="center"/>
        <w:rPr>
          <w:sz w:val="20"/>
          <w:szCs w:val="20"/>
        </w:rPr>
      </w:pPr>
      <w:r>
        <w:rPr>
          <w:rFonts w:eastAsia="Times New Roman"/>
          <w:sz w:val="24"/>
          <w:szCs w:val="24"/>
        </w:rPr>
        <w:t>Table 2</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28" w:lineRule="exact"/>
        <w:rPr>
          <w:sz w:val="20"/>
          <w:szCs w:val="20"/>
        </w:rPr>
      </w:pPr>
    </w:p>
    <w:p w:rsidR="00DD0303" w:rsidRDefault="00FB1377">
      <w:pPr>
        <w:spacing w:line="483" w:lineRule="auto"/>
        <w:ind w:right="6" w:firstLine="720"/>
        <w:rPr>
          <w:sz w:val="20"/>
          <w:szCs w:val="20"/>
        </w:rPr>
      </w:pPr>
      <w:r>
        <w:rPr>
          <w:rFonts w:eastAsia="Times New Roman"/>
          <w:sz w:val="24"/>
          <w:szCs w:val="24"/>
        </w:rPr>
        <w:t xml:space="preserve">On the whole, acceptance of the different myths was low, with more than 90% either indicating that they either ‘disagreed’ or </w:t>
      </w:r>
      <w:r>
        <w:rPr>
          <w:rFonts w:eastAsia="Times New Roman"/>
          <w:sz w:val="24"/>
          <w:szCs w:val="24"/>
        </w:rPr>
        <w:t>‘strongly disagreed’ with the majority of the statements. The main exceptions to this trend were the following two statements: ‘</w:t>
      </w:r>
      <w:r>
        <w:rPr>
          <w:rFonts w:eastAsia="Times New Roman"/>
          <w:i/>
          <w:iCs/>
          <w:sz w:val="24"/>
          <w:szCs w:val="24"/>
        </w:rPr>
        <w:t>Men can</w:t>
      </w:r>
      <w:r>
        <w:rPr>
          <w:rFonts w:eastAsia="Times New Roman"/>
          <w:sz w:val="24"/>
          <w:szCs w:val="24"/>
        </w:rPr>
        <w:t xml:space="preserve"> </w:t>
      </w:r>
      <w:r>
        <w:rPr>
          <w:rFonts w:eastAsia="Times New Roman"/>
          <w:i/>
          <w:iCs/>
          <w:sz w:val="24"/>
          <w:szCs w:val="24"/>
        </w:rPr>
        <w:t xml:space="preserve">defend themselves from sexual assaults’, </w:t>
      </w:r>
      <w:r>
        <w:rPr>
          <w:rFonts w:eastAsia="Times New Roman"/>
          <w:sz w:val="24"/>
          <w:szCs w:val="24"/>
        </w:rPr>
        <w:t>with which more than a third of the sample ‘agreed’</w:t>
      </w:r>
      <w:r>
        <w:rPr>
          <w:rFonts w:eastAsia="Times New Roman"/>
          <w:i/>
          <w:iCs/>
          <w:sz w:val="24"/>
          <w:szCs w:val="24"/>
        </w:rPr>
        <w:t xml:space="preserve"> </w:t>
      </w:r>
      <w:r>
        <w:rPr>
          <w:rFonts w:eastAsia="Times New Roman"/>
          <w:sz w:val="24"/>
          <w:szCs w:val="24"/>
        </w:rPr>
        <w:t>or ‘strongly agreed’ (and a</w:t>
      </w:r>
      <w:r>
        <w:rPr>
          <w:rFonts w:eastAsia="Times New Roman"/>
          <w:sz w:val="24"/>
          <w:szCs w:val="24"/>
        </w:rPr>
        <w:t xml:space="preserve"> further 20% indicated that they were unsure about), and ‘</w:t>
      </w:r>
      <w:r>
        <w:rPr>
          <w:rFonts w:eastAsia="Times New Roman"/>
          <w:i/>
          <w:iCs/>
          <w:sz w:val="24"/>
          <w:szCs w:val="24"/>
        </w:rPr>
        <w:t>The</w:t>
      </w:r>
      <w:r>
        <w:rPr>
          <w:rFonts w:eastAsia="Times New Roman"/>
          <w:sz w:val="24"/>
          <w:szCs w:val="24"/>
        </w:rPr>
        <w:t xml:space="preserve"> </w:t>
      </w:r>
      <w:r>
        <w:rPr>
          <w:rFonts w:eastAsia="Times New Roman"/>
          <w:i/>
          <w:iCs/>
          <w:sz w:val="24"/>
          <w:szCs w:val="24"/>
        </w:rPr>
        <w:t xml:space="preserve">police won’t take it seriously if a woman sexually assaults a man’, </w:t>
      </w:r>
      <w:r>
        <w:rPr>
          <w:rFonts w:eastAsia="Times New Roman"/>
          <w:sz w:val="24"/>
          <w:szCs w:val="24"/>
        </w:rPr>
        <w:t>with which more almost</w:t>
      </w:r>
      <w:r>
        <w:rPr>
          <w:rFonts w:eastAsia="Times New Roman"/>
          <w:i/>
          <w:iCs/>
          <w:sz w:val="24"/>
          <w:szCs w:val="24"/>
        </w:rPr>
        <w:t xml:space="preserve"> </w:t>
      </w:r>
      <w:r>
        <w:rPr>
          <w:rFonts w:eastAsia="Times New Roman"/>
          <w:sz w:val="24"/>
          <w:szCs w:val="24"/>
        </w:rPr>
        <w:t>60% either ‘agreed’ or ‘strongly agreed’, and about which another 20% were unsure. There was also moder</w:t>
      </w:r>
      <w:r>
        <w:rPr>
          <w:rFonts w:eastAsia="Times New Roman"/>
          <w:sz w:val="24"/>
          <w:szCs w:val="24"/>
        </w:rPr>
        <w:t>ate agreement (with 18% of the sample indicating agreement and 21% indicating uncertainty) with the statement ‘</w:t>
      </w:r>
      <w:r>
        <w:rPr>
          <w:rFonts w:eastAsia="Times New Roman"/>
          <w:i/>
          <w:iCs/>
          <w:sz w:val="24"/>
          <w:szCs w:val="24"/>
        </w:rPr>
        <w:t>The police won’t take it seriously if a man sexually</w:t>
      </w:r>
      <w:r>
        <w:rPr>
          <w:rFonts w:eastAsia="Times New Roman"/>
          <w:sz w:val="24"/>
          <w:szCs w:val="24"/>
        </w:rPr>
        <w:t xml:space="preserve"> </w:t>
      </w:r>
      <w:r>
        <w:rPr>
          <w:rFonts w:eastAsia="Times New Roman"/>
          <w:i/>
          <w:iCs/>
          <w:sz w:val="24"/>
          <w:szCs w:val="24"/>
        </w:rPr>
        <w:t>assaults another man’.</w:t>
      </w:r>
    </w:p>
    <w:p w:rsidR="00DD0303" w:rsidRDefault="00DD0303">
      <w:pPr>
        <w:spacing w:line="200" w:lineRule="exact"/>
        <w:rPr>
          <w:sz w:val="20"/>
          <w:szCs w:val="20"/>
        </w:rPr>
      </w:pPr>
    </w:p>
    <w:p w:rsidR="00DD0303" w:rsidRDefault="00DD0303">
      <w:pPr>
        <w:spacing w:line="314" w:lineRule="exact"/>
        <w:rPr>
          <w:sz w:val="20"/>
          <w:szCs w:val="20"/>
        </w:rPr>
      </w:pPr>
    </w:p>
    <w:p w:rsidR="00DD0303" w:rsidRDefault="00FB1377">
      <w:pPr>
        <w:rPr>
          <w:sz w:val="20"/>
          <w:szCs w:val="20"/>
        </w:rPr>
      </w:pPr>
      <w:r>
        <w:rPr>
          <w:rFonts w:eastAsia="Times New Roman"/>
          <w:i/>
          <w:iCs/>
          <w:sz w:val="24"/>
          <w:szCs w:val="24"/>
        </w:rPr>
        <w:t>Levels of Agreement with Assault by Penetration Myths</w:t>
      </w:r>
    </w:p>
    <w:p w:rsidR="00DD0303" w:rsidRDefault="00DD0303">
      <w:pPr>
        <w:spacing w:line="280" w:lineRule="exact"/>
        <w:rPr>
          <w:sz w:val="20"/>
          <w:szCs w:val="20"/>
        </w:rPr>
      </w:pPr>
    </w:p>
    <w:p w:rsidR="00DD0303" w:rsidRDefault="00FB1377">
      <w:pPr>
        <w:spacing w:line="508" w:lineRule="auto"/>
        <w:ind w:right="26" w:firstLine="720"/>
        <w:rPr>
          <w:sz w:val="20"/>
          <w:szCs w:val="20"/>
        </w:rPr>
      </w:pPr>
      <w:r>
        <w:rPr>
          <w:rFonts w:eastAsia="Times New Roman"/>
          <w:sz w:val="23"/>
          <w:szCs w:val="23"/>
        </w:rPr>
        <w:t>With regards</w:t>
      </w:r>
      <w:r>
        <w:rPr>
          <w:rFonts w:eastAsia="Times New Roman"/>
          <w:sz w:val="23"/>
          <w:szCs w:val="23"/>
        </w:rPr>
        <w:t xml:space="preserve"> to statements reflecting myths regarding assault by penetration, there was only one statement for which participants reported high agreement ratings: ‘</w:t>
      </w:r>
      <w:r>
        <w:rPr>
          <w:rFonts w:eastAsia="Times New Roman"/>
          <w:i/>
          <w:iCs/>
          <w:sz w:val="23"/>
          <w:szCs w:val="23"/>
        </w:rPr>
        <w:t>The police</w:t>
      </w:r>
      <w:r>
        <w:rPr>
          <w:rFonts w:eastAsia="Times New Roman"/>
          <w:sz w:val="23"/>
          <w:szCs w:val="23"/>
        </w:rPr>
        <w:t xml:space="preserve"> </w:t>
      </w:r>
      <w:r>
        <w:rPr>
          <w:rFonts w:eastAsia="Times New Roman"/>
          <w:i/>
          <w:iCs/>
          <w:sz w:val="23"/>
          <w:szCs w:val="23"/>
        </w:rPr>
        <w:t xml:space="preserve">won’t take it seriously if a woman assaulted a man by penetration’. </w:t>
      </w:r>
      <w:r>
        <w:rPr>
          <w:rFonts w:eastAsia="Times New Roman"/>
          <w:sz w:val="23"/>
          <w:szCs w:val="23"/>
        </w:rPr>
        <w:t>A quarter of the sample</w:t>
      </w:r>
      <w:r>
        <w:rPr>
          <w:rFonts w:eastAsia="Times New Roman"/>
          <w:i/>
          <w:iCs/>
          <w:sz w:val="23"/>
          <w:szCs w:val="23"/>
        </w:rPr>
        <w:t xml:space="preserve"> </w:t>
      </w:r>
      <w:r>
        <w:rPr>
          <w:rFonts w:eastAsia="Times New Roman"/>
          <w:sz w:val="23"/>
          <w:szCs w:val="23"/>
        </w:rPr>
        <w:t>s</w:t>
      </w:r>
      <w:r>
        <w:rPr>
          <w:rFonts w:eastAsia="Times New Roman"/>
          <w:sz w:val="23"/>
          <w:szCs w:val="23"/>
        </w:rPr>
        <w:t>tated that they ‘agreed’ with this statement, and a further 14% said that they strongly agreed with it. Another 25% indicated that they were ‘uncertain’ with regards to whether they agreed or disagreed with this statement. Lower levels of agreement were re</w:t>
      </w:r>
      <w:r>
        <w:rPr>
          <w:rFonts w:eastAsia="Times New Roman"/>
          <w:sz w:val="23"/>
          <w:szCs w:val="23"/>
        </w:rPr>
        <w:t>ported for the statement ‘</w:t>
      </w:r>
      <w:r>
        <w:rPr>
          <w:rFonts w:eastAsia="Times New Roman"/>
          <w:i/>
          <w:iCs/>
          <w:sz w:val="23"/>
          <w:szCs w:val="23"/>
        </w:rPr>
        <w:t>The police won’t take it seriously if a man assaulted another man by penetration’</w:t>
      </w:r>
      <w:r>
        <w:rPr>
          <w:rFonts w:eastAsia="Times New Roman"/>
          <w:sz w:val="23"/>
          <w:szCs w:val="23"/>
        </w:rPr>
        <w:t xml:space="preserve"> (with 15%</w:t>
      </w:r>
    </w:p>
    <w:p w:rsidR="00DD0303" w:rsidRDefault="00DD0303">
      <w:pPr>
        <w:spacing w:line="195" w:lineRule="exact"/>
        <w:rPr>
          <w:sz w:val="20"/>
          <w:szCs w:val="20"/>
        </w:rPr>
      </w:pPr>
    </w:p>
    <w:p w:rsidR="00DD0303" w:rsidRDefault="00FB1377">
      <w:pPr>
        <w:ind w:right="6"/>
        <w:jc w:val="right"/>
        <w:rPr>
          <w:sz w:val="20"/>
          <w:szCs w:val="20"/>
        </w:rPr>
      </w:pPr>
      <w:r>
        <w:rPr>
          <w:rFonts w:eastAsia="Times New Roman"/>
        </w:rPr>
        <w:t>17</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8" w:name="page19"/>
      <w:bookmarkEnd w:id="18"/>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266"/>
        <w:rPr>
          <w:sz w:val="20"/>
          <w:szCs w:val="20"/>
        </w:rPr>
      </w:pPr>
      <w:r>
        <w:rPr>
          <w:rFonts w:eastAsia="Times New Roman"/>
          <w:sz w:val="24"/>
          <w:szCs w:val="24"/>
        </w:rPr>
        <w:t xml:space="preserve">of the sample indicating that they either agreed or strongly agreed), </w:t>
      </w:r>
      <w:r>
        <w:rPr>
          <w:rFonts w:eastAsia="Times New Roman"/>
          <w:sz w:val="24"/>
          <w:szCs w:val="24"/>
        </w:rPr>
        <w:t>although these were higher than those for any of the other four statements (which each had agreement ratings of less than 10%); see Table 3.</w:t>
      </w:r>
    </w:p>
    <w:p w:rsidR="00DD0303" w:rsidRDefault="00DD0303">
      <w:pPr>
        <w:spacing w:line="3" w:lineRule="exact"/>
        <w:rPr>
          <w:sz w:val="20"/>
          <w:szCs w:val="20"/>
        </w:rPr>
      </w:pPr>
    </w:p>
    <w:p w:rsidR="00DD0303" w:rsidRDefault="00FB1377">
      <w:pPr>
        <w:ind w:right="6"/>
        <w:jc w:val="center"/>
        <w:rPr>
          <w:sz w:val="20"/>
          <w:szCs w:val="20"/>
        </w:rPr>
      </w:pPr>
      <w:r>
        <w:rPr>
          <w:rFonts w:eastAsia="Times New Roman"/>
          <w:sz w:val="24"/>
          <w:szCs w:val="24"/>
        </w:rPr>
        <w:t>Table 3</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71" w:lineRule="exact"/>
        <w:rPr>
          <w:sz w:val="20"/>
          <w:szCs w:val="20"/>
        </w:rPr>
      </w:pPr>
    </w:p>
    <w:p w:rsidR="00DD0303" w:rsidRDefault="00FB1377">
      <w:pPr>
        <w:rPr>
          <w:sz w:val="20"/>
          <w:szCs w:val="20"/>
        </w:rPr>
      </w:pPr>
      <w:r>
        <w:rPr>
          <w:rFonts w:eastAsia="Times New Roman"/>
          <w:i/>
          <w:iCs/>
          <w:sz w:val="24"/>
          <w:szCs w:val="24"/>
        </w:rPr>
        <w:t>Levels of Agreement with Rape Myths</w:t>
      </w:r>
    </w:p>
    <w:p w:rsidR="00DD0303" w:rsidRDefault="00DD0303">
      <w:pPr>
        <w:spacing w:line="400" w:lineRule="exact"/>
        <w:rPr>
          <w:sz w:val="20"/>
          <w:szCs w:val="20"/>
        </w:rPr>
      </w:pPr>
    </w:p>
    <w:p w:rsidR="00DD0303" w:rsidRDefault="00FB1377">
      <w:pPr>
        <w:spacing w:line="483" w:lineRule="auto"/>
        <w:ind w:right="86" w:firstLine="720"/>
        <w:rPr>
          <w:sz w:val="20"/>
          <w:szCs w:val="20"/>
        </w:rPr>
      </w:pPr>
      <w:r>
        <w:rPr>
          <w:rFonts w:eastAsia="Times New Roman"/>
          <w:sz w:val="24"/>
          <w:szCs w:val="24"/>
        </w:rPr>
        <w:t xml:space="preserve">Levels of agreement with male-focused rape myths are presented in </w:t>
      </w:r>
      <w:r>
        <w:rPr>
          <w:rFonts w:eastAsia="Times New Roman"/>
          <w:sz w:val="24"/>
          <w:szCs w:val="24"/>
        </w:rPr>
        <w:t>Table 4. Seventeen participants (17%) indicated that they either ‘agreed’ or ‘strongly agreed’ with the statement ‘</w:t>
      </w:r>
      <w:r>
        <w:rPr>
          <w:rFonts w:eastAsia="Times New Roman"/>
          <w:i/>
          <w:iCs/>
          <w:sz w:val="24"/>
          <w:szCs w:val="24"/>
        </w:rPr>
        <w:t>Rape is just unwanted sex’</w:t>
      </w:r>
      <w:r>
        <w:rPr>
          <w:rFonts w:eastAsia="Times New Roman"/>
          <w:sz w:val="24"/>
          <w:szCs w:val="24"/>
        </w:rPr>
        <w:t>. Whilst the majority of the sample either disagreed (36%) or strongly disagreed (37%) with the statement ‘</w:t>
      </w:r>
      <w:r>
        <w:rPr>
          <w:rFonts w:eastAsia="Times New Roman"/>
          <w:i/>
          <w:iCs/>
          <w:sz w:val="24"/>
          <w:szCs w:val="24"/>
        </w:rPr>
        <w:t>The poli</w:t>
      </w:r>
      <w:r>
        <w:rPr>
          <w:rFonts w:eastAsia="Times New Roman"/>
          <w:i/>
          <w:iCs/>
          <w:sz w:val="24"/>
          <w:szCs w:val="24"/>
        </w:rPr>
        <w:t>ce won’t take it seriously if a</w:t>
      </w:r>
      <w:r>
        <w:rPr>
          <w:rFonts w:eastAsia="Times New Roman"/>
          <w:sz w:val="24"/>
          <w:szCs w:val="24"/>
        </w:rPr>
        <w:t xml:space="preserve"> </w:t>
      </w:r>
      <w:r>
        <w:rPr>
          <w:rFonts w:eastAsia="Times New Roman"/>
          <w:i/>
          <w:iCs/>
          <w:sz w:val="24"/>
          <w:szCs w:val="24"/>
        </w:rPr>
        <w:t>man is raped by another man’</w:t>
      </w:r>
      <w:r>
        <w:rPr>
          <w:rFonts w:eastAsia="Times New Roman"/>
          <w:sz w:val="24"/>
          <w:szCs w:val="24"/>
        </w:rPr>
        <w:t>, 11% of the sample indicated that a level of agreement with it</w:t>
      </w:r>
      <w:r>
        <w:rPr>
          <w:rFonts w:eastAsia="Times New Roman"/>
          <w:i/>
          <w:iCs/>
          <w:sz w:val="24"/>
          <w:szCs w:val="24"/>
        </w:rPr>
        <w:t xml:space="preserve"> </w:t>
      </w:r>
      <w:r>
        <w:rPr>
          <w:rFonts w:eastAsia="Times New Roman"/>
          <w:sz w:val="24"/>
          <w:szCs w:val="24"/>
        </w:rPr>
        <w:t>(9% agreed and 2% strongly agreed). However, for the statement ‘</w:t>
      </w:r>
      <w:r>
        <w:rPr>
          <w:rFonts w:eastAsia="Times New Roman"/>
          <w:i/>
          <w:iCs/>
          <w:sz w:val="24"/>
          <w:szCs w:val="24"/>
        </w:rPr>
        <w:t>The police won’t take it</w:t>
      </w:r>
      <w:r>
        <w:rPr>
          <w:rFonts w:eastAsia="Times New Roman"/>
          <w:sz w:val="24"/>
          <w:szCs w:val="24"/>
        </w:rPr>
        <w:t xml:space="preserve"> </w:t>
      </w:r>
      <w:r>
        <w:rPr>
          <w:rFonts w:eastAsia="Times New Roman"/>
          <w:i/>
          <w:iCs/>
          <w:sz w:val="24"/>
          <w:szCs w:val="24"/>
        </w:rPr>
        <w:t xml:space="preserve">seriously if a man is raped by a woman’, </w:t>
      </w:r>
      <w:r>
        <w:rPr>
          <w:rFonts w:eastAsia="Times New Roman"/>
          <w:sz w:val="24"/>
          <w:szCs w:val="24"/>
        </w:rPr>
        <w:t>mu</w:t>
      </w:r>
      <w:r>
        <w:rPr>
          <w:rFonts w:eastAsia="Times New Roman"/>
          <w:sz w:val="24"/>
          <w:szCs w:val="24"/>
        </w:rPr>
        <w:t>ch higher levels of agreement were observed</w:t>
      </w:r>
      <w:r>
        <w:rPr>
          <w:rFonts w:eastAsia="Times New Roman"/>
          <w:i/>
          <w:iCs/>
          <w:sz w:val="24"/>
          <w:szCs w:val="24"/>
        </w:rPr>
        <w:t xml:space="preserve"> </w:t>
      </w:r>
      <w:r>
        <w:rPr>
          <w:rFonts w:eastAsia="Times New Roman"/>
          <w:sz w:val="24"/>
          <w:szCs w:val="24"/>
        </w:rPr>
        <w:t>(with 25% indicating that they ‘agreed’ with it and a further 15% stating that they ‘strongly agreed’ with it).</w:t>
      </w:r>
    </w:p>
    <w:p w:rsidR="00DD0303" w:rsidRDefault="00DD0303">
      <w:pPr>
        <w:spacing w:line="87" w:lineRule="exact"/>
        <w:rPr>
          <w:sz w:val="20"/>
          <w:szCs w:val="20"/>
        </w:rPr>
      </w:pPr>
    </w:p>
    <w:p w:rsidR="00DD0303" w:rsidRDefault="00FB1377">
      <w:pPr>
        <w:ind w:right="6"/>
        <w:jc w:val="center"/>
        <w:rPr>
          <w:sz w:val="20"/>
          <w:szCs w:val="20"/>
        </w:rPr>
      </w:pPr>
      <w:r>
        <w:rPr>
          <w:rFonts w:eastAsia="Times New Roman"/>
          <w:sz w:val="24"/>
          <w:szCs w:val="24"/>
        </w:rPr>
        <w:t>Table 4</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80" w:lineRule="exact"/>
        <w:rPr>
          <w:sz w:val="20"/>
          <w:szCs w:val="20"/>
        </w:rPr>
      </w:pPr>
    </w:p>
    <w:p w:rsidR="00DD0303" w:rsidRDefault="00FB1377">
      <w:pPr>
        <w:spacing w:line="486" w:lineRule="auto"/>
        <w:ind w:right="106" w:firstLine="720"/>
        <w:rPr>
          <w:sz w:val="20"/>
          <w:szCs w:val="20"/>
        </w:rPr>
      </w:pPr>
      <w:r>
        <w:rPr>
          <w:rFonts w:eastAsia="Times New Roman"/>
          <w:sz w:val="24"/>
          <w:szCs w:val="24"/>
        </w:rPr>
        <w:t>Chi-square analyses showed that there were no significant differences in the agreemen</w:t>
      </w:r>
      <w:r>
        <w:rPr>
          <w:rFonts w:eastAsia="Times New Roman"/>
          <w:sz w:val="24"/>
          <w:szCs w:val="24"/>
        </w:rPr>
        <w:t>t ratings provided in relation for the sexual assault, assault by penetration or rape myths between those respondents who classified themselves as ‘heterosexual’ and those who indicated that their sexual orientation was ‘homosexual’, ‘bisexual’ or ‘other’.</w:t>
      </w:r>
      <w:r>
        <w:rPr>
          <w:rFonts w:eastAsia="Times New Roman"/>
          <w:sz w:val="24"/>
          <w:szCs w:val="24"/>
        </w:rPr>
        <w:t xml:space="preserve"> In addition, chi-square analyses found no significant differences in relation to any of the other demographic characteristics recorded for the sample.</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94" w:lineRule="exact"/>
        <w:rPr>
          <w:sz w:val="20"/>
          <w:szCs w:val="20"/>
        </w:rPr>
      </w:pPr>
    </w:p>
    <w:p w:rsidR="00DD0303" w:rsidRDefault="00FB1377">
      <w:pPr>
        <w:ind w:right="6"/>
        <w:jc w:val="right"/>
        <w:rPr>
          <w:sz w:val="20"/>
          <w:szCs w:val="20"/>
        </w:rPr>
      </w:pPr>
      <w:r>
        <w:rPr>
          <w:rFonts w:eastAsia="Times New Roman"/>
        </w:rPr>
        <w:t>18</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19" w:name="page20"/>
      <w:bookmarkEnd w:id="19"/>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3" w:lineRule="exact"/>
        <w:rPr>
          <w:sz w:val="20"/>
          <w:szCs w:val="20"/>
        </w:rPr>
      </w:pPr>
    </w:p>
    <w:p w:rsidR="00DD0303" w:rsidRDefault="00FB1377">
      <w:pPr>
        <w:rPr>
          <w:sz w:val="20"/>
          <w:szCs w:val="20"/>
        </w:rPr>
      </w:pPr>
      <w:r>
        <w:rPr>
          <w:rFonts w:eastAsia="Times New Roman"/>
          <w:i/>
          <w:iCs/>
          <w:sz w:val="24"/>
          <w:szCs w:val="24"/>
        </w:rPr>
        <w:t xml:space="preserve">Determining the Impact of Prior </w:t>
      </w:r>
      <w:r>
        <w:rPr>
          <w:rFonts w:eastAsia="Times New Roman"/>
          <w:i/>
          <w:iCs/>
          <w:sz w:val="24"/>
          <w:szCs w:val="24"/>
        </w:rPr>
        <w:t>Experience or Victimisation</w:t>
      </w:r>
    </w:p>
    <w:p w:rsidR="00DD0303" w:rsidRDefault="00DD0303">
      <w:pPr>
        <w:spacing w:line="280" w:lineRule="exact"/>
        <w:rPr>
          <w:sz w:val="20"/>
          <w:szCs w:val="20"/>
        </w:rPr>
      </w:pPr>
    </w:p>
    <w:p w:rsidR="00DD0303" w:rsidRDefault="00FB1377">
      <w:pPr>
        <w:spacing w:line="496" w:lineRule="auto"/>
        <w:ind w:right="6" w:firstLine="720"/>
        <w:jc w:val="both"/>
        <w:rPr>
          <w:sz w:val="20"/>
          <w:szCs w:val="20"/>
        </w:rPr>
      </w:pPr>
      <w:r>
        <w:rPr>
          <w:rFonts w:eastAsia="Times New Roman"/>
          <w:sz w:val="24"/>
          <w:szCs w:val="24"/>
        </w:rPr>
        <w:t>Mann-Whitney U tests were used to compare the average levels of agreement between those who had any previous experience of male sexual victimisation (either direct or indirect) and those who reported no previous experience of s</w:t>
      </w:r>
      <w:r>
        <w:rPr>
          <w:rFonts w:eastAsia="Times New Roman"/>
          <w:sz w:val="24"/>
          <w:szCs w:val="24"/>
        </w:rPr>
        <w:t>uch offences.</w:t>
      </w:r>
    </w:p>
    <w:p w:rsidR="00DD0303" w:rsidRDefault="00DD0303">
      <w:pPr>
        <w:spacing w:line="65" w:lineRule="exact"/>
        <w:rPr>
          <w:sz w:val="20"/>
          <w:szCs w:val="20"/>
        </w:rPr>
      </w:pPr>
    </w:p>
    <w:p w:rsidR="00DD0303" w:rsidRDefault="00FB1377">
      <w:pPr>
        <w:spacing w:line="512" w:lineRule="auto"/>
        <w:ind w:right="66" w:firstLine="720"/>
        <w:rPr>
          <w:sz w:val="20"/>
          <w:szCs w:val="20"/>
        </w:rPr>
      </w:pPr>
      <w:r>
        <w:rPr>
          <w:rFonts w:eastAsia="Times New Roman"/>
          <w:sz w:val="24"/>
          <w:szCs w:val="24"/>
        </w:rPr>
        <w:t>There were significantly higher levels of agreement for those with prior experience of male sexual victimisation for the following male sexual assault myths:</w:t>
      </w:r>
    </w:p>
    <w:p w:rsidR="00DD0303" w:rsidRDefault="00DD0303">
      <w:pPr>
        <w:spacing w:line="66" w:lineRule="exact"/>
        <w:rPr>
          <w:sz w:val="20"/>
          <w:szCs w:val="20"/>
        </w:rPr>
      </w:pPr>
    </w:p>
    <w:p w:rsidR="00DD0303" w:rsidRDefault="00FB1377">
      <w:pPr>
        <w:numPr>
          <w:ilvl w:val="0"/>
          <w:numId w:val="4"/>
        </w:numPr>
        <w:tabs>
          <w:tab w:val="left" w:pos="280"/>
        </w:tabs>
        <w:ind w:left="280" w:hanging="280"/>
        <w:rPr>
          <w:rFonts w:ascii="Arial" w:eastAsia="Arial" w:hAnsi="Arial" w:cs="Arial"/>
          <w:sz w:val="24"/>
          <w:szCs w:val="24"/>
        </w:rPr>
      </w:pPr>
      <w:r>
        <w:rPr>
          <w:rFonts w:eastAsia="Times New Roman"/>
          <w:sz w:val="24"/>
          <w:szCs w:val="24"/>
        </w:rPr>
        <w:t>‘Men cannot be sexually assaulted’ (U = 786.00 (Z = -2.54); p &lt; 0.05)</w:t>
      </w:r>
    </w:p>
    <w:p w:rsidR="00DD0303" w:rsidRDefault="00DD0303">
      <w:pPr>
        <w:spacing w:line="291" w:lineRule="exact"/>
        <w:rPr>
          <w:rFonts w:ascii="Arial" w:eastAsia="Arial" w:hAnsi="Arial" w:cs="Arial"/>
          <w:sz w:val="24"/>
          <w:szCs w:val="24"/>
        </w:rPr>
      </w:pPr>
    </w:p>
    <w:p w:rsidR="00DD0303" w:rsidRDefault="00FB1377">
      <w:pPr>
        <w:numPr>
          <w:ilvl w:val="0"/>
          <w:numId w:val="4"/>
        </w:numPr>
        <w:tabs>
          <w:tab w:val="left" w:pos="280"/>
        </w:tabs>
        <w:spacing w:line="486" w:lineRule="auto"/>
        <w:ind w:left="280" w:right="266" w:hanging="280"/>
        <w:rPr>
          <w:rFonts w:ascii="Arial" w:eastAsia="Arial" w:hAnsi="Arial" w:cs="Arial"/>
          <w:sz w:val="24"/>
          <w:szCs w:val="24"/>
        </w:rPr>
      </w:pPr>
      <w:r>
        <w:rPr>
          <w:rFonts w:eastAsia="Times New Roman"/>
          <w:sz w:val="24"/>
          <w:szCs w:val="24"/>
        </w:rPr>
        <w:t>‘If a man i</w:t>
      </w:r>
      <w:r>
        <w:rPr>
          <w:rFonts w:eastAsia="Times New Roman"/>
          <w:sz w:val="24"/>
          <w:szCs w:val="24"/>
        </w:rPr>
        <w:t>s sexually assaulted by another man, he is likely to become homosexual’ (U = 695.00 (Z = -2.97); p &lt; 0.001)</w:t>
      </w:r>
    </w:p>
    <w:p w:rsidR="00DD0303" w:rsidRDefault="00FB1377">
      <w:pPr>
        <w:numPr>
          <w:ilvl w:val="0"/>
          <w:numId w:val="4"/>
        </w:numPr>
        <w:tabs>
          <w:tab w:val="left" w:pos="280"/>
        </w:tabs>
        <w:spacing w:line="486" w:lineRule="auto"/>
        <w:ind w:left="280" w:right="386" w:hanging="280"/>
        <w:rPr>
          <w:rFonts w:ascii="Arial" w:eastAsia="Arial" w:hAnsi="Arial" w:cs="Arial"/>
          <w:sz w:val="24"/>
          <w:szCs w:val="24"/>
        </w:rPr>
      </w:pPr>
      <w:r>
        <w:rPr>
          <w:rFonts w:eastAsia="Times New Roman"/>
          <w:sz w:val="24"/>
          <w:szCs w:val="24"/>
        </w:rPr>
        <w:t>‘An erection or ejaculation during a sexual assault means that you “really wanted it” or consented to it’ (U = 737.50 (Z = -2.15); p &lt; 0.05)</w:t>
      </w:r>
    </w:p>
    <w:p w:rsidR="00DD0303" w:rsidRDefault="00FB1377">
      <w:pPr>
        <w:numPr>
          <w:ilvl w:val="0"/>
          <w:numId w:val="4"/>
        </w:numPr>
        <w:tabs>
          <w:tab w:val="left" w:pos="280"/>
        </w:tabs>
        <w:ind w:left="280" w:hanging="280"/>
        <w:rPr>
          <w:rFonts w:ascii="Arial" w:eastAsia="Arial" w:hAnsi="Arial" w:cs="Arial"/>
          <w:sz w:val="24"/>
          <w:szCs w:val="24"/>
        </w:rPr>
      </w:pPr>
      <w:r>
        <w:rPr>
          <w:rFonts w:eastAsia="Times New Roman"/>
          <w:sz w:val="24"/>
          <w:szCs w:val="24"/>
        </w:rPr>
        <w:t>‘Only h</w:t>
      </w:r>
      <w:r>
        <w:rPr>
          <w:rFonts w:eastAsia="Times New Roman"/>
          <w:sz w:val="24"/>
          <w:szCs w:val="24"/>
        </w:rPr>
        <w:t>omosexual men are sexually assaulted’ (U = 769.50 (Z = -2.19); p &lt; 0.05)</w:t>
      </w:r>
    </w:p>
    <w:p w:rsidR="00DD0303" w:rsidRDefault="00DD0303">
      <w:pPr>
        <w:spacing w:line="291" w:lineRule="exact"/>
        <w:rPr>
          <w:rFonts w:ascii="Arial" w:eastAsia="Arial" w:hAnsi="Arial" w:cs="Arial"/>
          <w:sz w:val="24"/>
          <w:szCs w:val="24"/>
        </w:rPr>
      </w:pPr>
    </w:p>
    <w:p w:rsidR="00DD0303" w:rsidRDefault="00FB1377">
      <w:pPr>
        <w:numPr>
          <w:ilvl w:val="0"/>
          <w:numId w:val="4"/>
        </w:numPr>
        <w:tabs>
          <w:tab w:val="left" w:pos="280"/>
        </w:tabs>
        <w:spacing w:line="511" w:lineRule="auto"/>
        <w:ind w:left="280" w:right="106" w:hanging="280"/>
        <w:rPr>
          <w:rFonts w:ascii="Arial" w:eastAsia="Arial" w:hAnsi="Arial" w:cs="Arial"/>
          <w:sz w:val="24"/>
          <w:szCs w:val="24"/>
        </w:rPr>
      </w:pPr>
      <w:r>
        <w:rPr>
          <w:rFonts w:eastAsia="Times New Roman"/>
          <w:sz w:val="24"/>
          <w:szCs w:val="24"/>
        </w:rPr>
        <w:t>‘Men are less traumatised from the experience of sexual assault than women’ (U = 770.00 (Z = -2.12); p &lt; 0.05)</w:t>
      </w:r>
    </w:p>
    <w:p w:rsidR="00DD0303" w:rsidRDefault="00DD0303">
      <w:pPr>
        <w:spacing w:line="47" w:lineRule="exact"/>
        <w:rPr>
          <w:sz w:val="20"/>
          <w:szCs w:val="20"/>
        </w:rPr>
      </w:pPr>
    </w:p>
    <w:p w:rsidR="00DD0303" w:rsidRDefault="00FB1377">
      <w:pPr>
        <w:spacing w:line="496" w:lineRule="auto"/>
        <w:ind w:right="266" w:firstLine="720"/>
        <w:rPr>
          <w:sz w:val="20"/>
          <w:szCs w:val="20"/>
        </w:rPr>
      </w:pPr>
      <w:r>
        <w:rPr>
          <w:rFonts w:eastAsia="Times New Roman"/>
          <w:sz w:val="24"/>
          <w:szCs w:val="24"/>
        </w:rPr>
        <w:t xml:space="preserve">For only one statement were the levels of agreement significantly </w:t>
      </w:r>
      <w:r>
        <w:rPr>
          <w:rFonts w:eastAsia="Times New Roman"/>
          <w:sz w:val="24"/>
          <w:szCs w:val="24"/>
        </w:rPr>
        <w:t>higher for those with no prior experience; ‘The police won’t take it seriously if a woman sexually assaults a man’ (U = 695.50 (Z = -2.39); p &lt; 0.05).</w:t>
      </w:r>
    </w:p>
    <w:p w:rsidR="00DD0303" w:rsidRDefault="00DD0303">
      <w:pPr>
        <w:spacing w:line="200" w:lineRule="exact"/>
        <w:rPr>
          <w:sz w:val="20"/>
          <w:szCs w:val="20"/>
        </w:rPr>
      </w:pPr>
    </w:p>
    <w:p w:rsidR="00DD0303" w:rsidRDefault="00DD0303">
      <w:pPr>
        <w:spacing w:line="297" w:lineRule="exact"/>
        <w:rPr>
          <w:sz w:val="20"/>
          <w:szCs w:val="20"/>
        </w:rPr>
      </w:pPr>
    </w:p>
    <w:p w:rsidR="00DD0303" w:rsidRDefault="00FB1377">
      <w:pPr>
        <w:spacing w:line="512" w:lineRule="auto"/>
        <w:ind w:right="386" w:firstLine="360"/>
        <w:rPr>
          <w:sz w:val="20"/>
          <w:szCs w:val="20"/>
        </w:rPr>
      </w:pPr>
      <w:r>
        <w:rPr>
          <w:rFonts w:eastAsia="Times New Roman"/>
          <w:sz w:val="24"/>
          <w:szCs w:val="24"/>
        </w:rPr>
        <w:t xml:space="preserve">For statements relating to assault by penetration, those with prior experience of sexual victimisation </w:t>
      </w:r>
      <w:r>
        <w:rPr>
          <w:rFonts w:eastAsia="Times New Roman"/>
          <w:sz w:val="24"/>
          <w:szCs w:val="24"/>
        </w:rPr>
        <w:t>reported significantly higher levels of agreement with the following;</w:t>
      </w:r>
    </w:p>
    <w:p w:rsidR="00DD0303" w:rsidRDefault="00DD0303">
      <w:pPr>
        <w:spacing w:line="63" w:lineRule="exact"/>
        <w:rPr>
          <w:sz w:val="20"/>
          <w:szCs w:val="20"/>
        </w:rPr>
      </w:pPr>
    </w:p>
    <w:p w:rsidR="00DD0303" w:rsidRDefault="00FB1377">
      <w:pPr>
        <w:numPr>
          <w:ilvl w:val="0"/>
          <w:numId w:val="5"/>
        </w:numPr>
        <w:tabs>
          <w:tab w:val="left" w:pos="280"/>
        </w:tabs>
        <w:spacing w:line="487" w:lineRule="auto"/>
        <w:ind w:left="280" w:right="66" w:hanging="280"/>
        <w:rPr>
          <w:rFonts w:ascii="Arial" w:eastAsia="Arial" w:hAnsi="Arial" w:cs="Arial"/>
          <w:sz w:val="24"/>
          <w:szCs w:val="24"/>
        </w:rPr>
      </w:pPr>
      <w:r>
        <w:rPr>
          <w:rFonts w:eastAsia="Times New Roman"/>
          <w:sz w:val="24"/>
          <w:szCs w:val="24"/>
        </w:rPr>
        <w:t>‘If you are assaulted by penetration you definitely wanted it to happen’ (U = 743.00 (Z = - 3.05); p &lt; 0.01)</w:t>
      </w:r>
    </w:p>
    <w:p w:rsidR="00DD0303" w:rsidRDefault="00DD0303">
      <w:pPr>
        <w:spacing w:line="1" w:lineRule="exact"/>
        <w:rPr>
          <w:rFonts w:ascii="Arial" w:eastAsia="Arial" w:hAnsi="Arial" w:cs="Arial"/>
          <w:sz w:val="24"/>
          <w:szCs w:val="24"/>
        </w:rPr>
      </w:pPr>
    </w:p>
    <w:p w:rsidR="00DD0303" w:rsidRDefault="00FB1377">
      <w:pPr>
        <w:numPr>
          <w:ilvl w:val="0"/>
          <w:numId w:val="5"/>
        </w:numPr>
        <w:tabs>
          <w:tab w:val="left" w:pos="280"/>
        </w:tabs>
        <w:spacing w:line="509" w:lineRule="auto"/>
        <w:ind w:left="280" w:right="706" w:hanging="280"/>
        <w:rPr>
          <w:rFonts w:ascii="Arial" w:eastAsia="Arial" w:hAnsi="Arial" w:cs="Arial"/>
          <w:sz w:val="24"/>
          <w:szCs w:val="24"/>
        </w:rPr>
      </w:pPr>
      <w:r>
        <w:rPr>
          <w:rFonts w:eastAsia="Times New Roman"/>
          <w:sz w:val="24"/>
          <w:szCs w:val="24"/>
        </w:rPr>
        <w:t>‘The police won’t take it seriously if a woman assaulted a man by penetrati</w:t>
      </w:r>
      <w:r>
        <w:rPr>
          <w:rFonts w:eastAsia="Times New Roman"/>
          <w:sz w:val="24"/>
          <w:szCs w:val="24"/>
        </w:rPr>
        <w:t>on’ (U = 704.00 (Z = -2.37); p &lt; 0.05)</w:t>
      </w:r>
    </w:p>
    <w:p w:rsidR="00DD0303" w:rsidRDefault="00DD0303">
      <w:pPr>
        <w:spacing w:line="250" w:lineRule="exact"/>
        <w:rPr>
          <w:sz w:val="20"/>
          <w:szCs w:val="20"/>
        </w:rPr>
      </w:pPr>
    </w:p>
    <w:p w:rsidR="00DD0303" w:rsidRDefault="00FB1377">
      <w:pPr>
        <w:ind w:right="6"/>
        <w:jc w:val="right"/>
        <w:rPr>
          <w:sz w:val="20"/>
          <w:szCs w:val="20"/>
        </w:rPr>
      </w:pPr>
      <w:r>
        <w:rPr>
          <w:rFonts w:eastAsia="Times New Roman"/>
        </w:rPr>
        <w:t>19</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0" w:name="page21"/>
      <w:bookmarkEnd w:id="20"/>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64" w:lineRule="exact"/>
        <w:rPr>
          <w:sz w:val="20"/>
          <w:szCs w:val="20"/>
        </w:rPr>
      </w:pPr>
    </w:p>
    <w:p w:rsidR="00DD0303" w:rsidRDefault="00FB1377">
      <w:pPr>
        <w:numPr>
          <w:ilvl w:val="0"/>
          <w:numId w:val="6"/>
        </w:numPr>
        <w:tabs>
          <w:tab w:val="left" w:pos="280"/>
        </w:tabs>
        <w:spacing w:line="509" w:lineRule="auto"/>
        <w:ind w:left="280" w:right="386" w:hanging="280"/>
        <w:rPr>
          <w:rFonts w:ascii="Arial" w:eastAsia="Arial" w:hAnsi="Arial" w:cs="Arial"/>
          <w:sz w:val="24"/>
          <w:szCs w:val="24"/>
        </w:rPr>
      </w:pPr>
      <w:r>
        <w:rPr>
          <w:rFonts w:eastAsia="Times New Roman"/>
          <w:sz w:val="24"/>
          <w:szCs w:val="24"/>
        </w:rPr>
        <w:t>‘The police won’t take it seriously if a man assaulted another man by penetration’ (U = 683.50 (Z = -2.57); p &lt; 0.05)</w:t>
      </w:r>
    </w:p>
    <w:p w:rsidR="00DD0303" w:rsidRDefault="00DD0303">
      <w:pPr>
        <w:spacing w:line="49" w:lineRule="exact"/>
        <w:rPr>
          <w:sz w:val="20"/>
          <w:szCs w:val="20"/>
        </w:rPr>
      </w:pPr>
    </w:p>
    <w:p w:rsidR="00DD0303" w:rsidRDefault="00FB1377">
      <w:pPr>
        <w:spacing w:line="512" w:lineRule="auto"/>
        <w:ind w:right="386" w:firstLine="720"/>
        <w:rPr>
          <w:sz w:val="20"/>
          <w:szCs w:val="20"/>
        </w:rPr>
      </w:pPr>
      <w:r>
        <w:rPr>
          <w:rFonts w:eastAsia="Times New Roman"/>
          <w:sz w:val="24"/>
          <w:szCs w:val="24"/>
        </w:rPr>
        <w:t>For the male rape myths there</w:t>
      </w:r>
      <w:r>
        <w:rPr>
          <w:rFonts w:eastAsia="Times New Roman"/>
          <w:sz w:val="24"/>
          <w:szCs w:val="24"/>
        </w:rPr>
        <w:t xml:space="preserve"> were significant differences between those with and without prior experience of male sexual victimisation for the following;</w:t>
      </w:r>
    </w:p>
    <w:p w:rsidR="00DD0303" w:rsidRDefault="00DD0303">
      <w:pPr>
        <w:spacing w:line="66" w:lineRule="exact"/>
        <w:rPr>
          <w:sz w:val="20"/>
          <w:szCs w:val="20"/>
        </w:rPr>
      </w:pPr>
    </w:p>
    <w:p w:rsidR="00DD0303" w:rsidRDefault="00FB1377">
      <w:pPr>
        <w:numPr>
          <w:ilvl w:val="0"/>
          <w:numId w:val="7"/>
        </w:numPr>
        <w:tabs>
          <w:tab w:val="left" w:pos="280"/>
        </w:tabs>
        <w:ind w:left="280" w:hanging="280"/>
        <w:rPr>
          <w:rFonts w:ascii="Arial" w:eastAsia="Arial" w:hAnsi="Arial" w:cs="Arial"/>
          <w:sz w:val="24"/>
          <w:szCs w:val="24"/>
        </w:rPr>
      </w:pPr>
      <w:r>
        <w:rPr>
          <w:rFonts w:eastAsia="Times New Roman"/>
          <w:sz w:val="24"/>
          <w:szCs w:val="24"/>
        </w:rPr>
        <w:t>‘When rape happens, the individual was asking for it’ (U = 729.00 (Z = -2.80); p &lt; 0.01)</w:t>
      </w:r>
    </w:p>
    <w:p w:rsidR="00DD0303" w:rsidRDefault="00DD0303">
      <w:pPr>
        <w:spacing w:line="291" w:lineRule="exact"/>
        <w:rPr>
          <w:rFonts w:ascii="Arial" w:eastAsia="Arial" w:hAnsi="Arial" w:cs="Arial"/>
          <w:sz w:val="24"/>
          <w:szCs w:val="24"/>
        </w:rPr>
      </w:pPr>
    </w:p>
    <w:p w:rsidR="00DD0303" w:rsidRDefault="00FB1377">
      <w:pPr>
        <w:numPr>
          <w:ilvl w:val="0"/>
          <w:numId w:val="7"/>
        </w:numPr>
        <w:tabs>
          <w:tab w:val="left" w:pos="280"/>
        </w:tabs>
        <w:spacing w:line="478" w:lineRule="auto"/>
        <w:ind w:left="280" w:right="146" w:hanging="280"/>
        <w:rPr>
          <w:rFonts w:ascii="Arial" w:eastAsia="Arial" w:hAnsi="Arial" w:cs="Arial"/>
          <w:sz w:val="24"/>
          <w:szCs w:val="24"/>
        </w:rPr>
      </w:pPr>
      <w:r>
        <w:rPr>
          <w:rFonts w:eastAsia="Times New Roman"/>
          <w:sz w:val="24"/>
          <w:szCs w:val="24"/>
        </w:rPr>
        <w:t xml:space="preserve">‘The police won’t take it seriously of </w:t>
      </w:r>
      <w:r>
        <w:rPr>
          <w:rFonts w:eastAsia="Times New Roman"/>
          <w:sz w:val="24"/>
          <w:szCs w:val="24"/>
        </w:rPr>
        <w:t>a woman raped a man’ (U = 709.00 (Z = -2.10); p &lt; 0.05).</w:t>
      </w:r>
    </w:p>
    <w:p w:rsidR="00DD0303" w:rsidRDefault="00FB1377">
      <w:pPr>
        <w:ind w:left="720"/>
        <w:rPr>
          <w:rFonts w:ascii="Arial" w:eastAsia="Arial" w:hAnsi="Arial" w:cs="Arial"/>
          <w:sz w:val="24"/>
          <w:szCs w:val="24"/>
        </w:rPr>
      </w:pPr>
      <w:r>
        <w:rPr>
          <w:rFonts w:eastAsia="Times New Roman"/>
          <w:sz w:val="24"/>
          <w:szCs w:val="24"/>
        </w:rPr>
        <w:t>Those with prior experience displayed higher levels of agreement with both of these</w:t>
      </w:r>
    </w:p>
    <w:p w:rsidR="00DD0303" w:rsidRDefault="00DD0303">
      <w:pPr>
        <w:spacing w:line="276" w:lineRule="exact"/>
        <w:rPr>
          <w:sz w:val="20"/>
          <w:szCs w:val="20"/>
        </w:rPr>
      </w:pPr>
    </w:p>
    <w:p w:rsidR="00DD0303" w:rsidRDefault="00FB1377">
      <w:pPr>
        <w:rPr>
          <w:sz w:val="20"/>
          <w:szCs w:val="20"/>
        </w:rPr>
      </w:pPr>
      <w:r>
        <w:rPr>
          <w:rFonts w:eastAsia="Times New Roman"/>
          <w:sz w:val="24"/>
          <w:szCs w:val="24"/>
        </w:rPr>
        <w:t>statements.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24" w:lineRule="exact"/>
        <w:rPr>
          <w:sz w:val="20"/>
          <w:szCs w:val="20"/>
        </w:rPr>
      </w:pPr>
    </w:p>
    <w:p w:rsidR="00DD0303" w:rsidRDefault="00FB1377">
      <w:pPr>
        <w:rPr>
          <w:sz w:val="20"/>
          <w:szCs w:val="20"/>
        </w:rPr>
      </w:pPr>
      <w:r>
        <w:rPr>
          <w:rFonts w:eastAsia="Times New Roman"/>
          <w:i/>
          <w:iCs/>
          <w:sz w:val="24"/>
          <w:szCs w:val="24"/>
        </w:rPr>
        <w:t>Reporting to the Police</w:t>
      </w:r>
    </w:p>
    <w:p w:rsidR="00DD0303" w:rsidRDefault="00DD0303">
      <w:pPr>
        <w:spacing w:line="280" w:lineRule="exact"/>
        <w:rPr>
          <w:sz w:val="20"/>
          <w:szCs w:val="20"/>
        </w:rPr>
      </w:pPr>
    </w:p>
    <w:p w:rsidR="00DD0303" w:rsidRDefault="00FB1377">
      <w:pPr>
        <w:spacing w:line="482" w:lineRule="auto"/>
        <w:ind w:right="66" w:firstLine="720"/>
        <w:rPr>
          <w:sz w:val="20"/>
          <w:szCs w:val="20"/>
        </w:rPr>
      </w:pPr>
      <w:r>
        <w:rPr>
          <w:rFonts w:eastAsia="Times New Roman"/>
          <w:sz w:val="24"/>
          <w:szCs w:val="24"/>
        </w:rPr>
        <w:t xml:space="preserve">When asked “If you were to be sexually assaulted by a woman, would you </w:t>
      </w:r>
      <w:r>
        <w:rPr>
          <w:rFonts w:eastAsia="Times New Roman"/>
          <w:sz w:val="24"/>
          <w:szCs w:val="24"/>
        </w:rPr>
        <w:t>report the incident to the police?”, 44 (45%) of the men stated that they would not. The primary reason cited for not reporting was that they did not think that the police would take the complaint seriously and did not think that they would take any action</w:t>
      </w:r>
      <w:r>
        <w:rPr>
          <w:rFonts w:eastAsia="Times New Roman"/>
          <w:sz w:val="24"/>
          <w:szCs w:val="24"/>
        </w:rPr>
        <w:t xml:space="preserve"> with regards to the allegation (12 respondents). Five of the men said that they would not report the offence due to feelings of embarrassment or shame, and the remainder did not provide a reason for why they would not report the crime. When asked the same</w:t>
      </w:r>
      <w:r>
        <w:rPr>
          <w:rFonts w:eastAsia="Times New Roman"/>
          <w:sz w:val="24"/>
          <w:szCs w:val="24"/>
        </w:rPr>
        <w:t xml:space="preserve"> question but with a male perpetrator (i.e. “if you were to be sexually assaulted by a man, would you report the incident to the police?”), 23 (23.5%) of the sample stated that they would not. Five said that this was because they did not believe that the p</w:t>
      </w:r>
      <w:r>
        <w:rPr>
          <w:rFonts w:eastAsia="Times New Roman"/>
          <w:sz w:val="24"/>
          <w:szCs w:val="24"/>
        </w:rPr>
        <w:t>olice would take it seriously or act on the report, and three said that they would be too embarrassed or ashamed to tell anyone what had happened. To this question many of the respondents indicated that whether or not they would report the offence dependin</w:t>
      </w:r>
      <w:r>
        <w:rPr>
          <w:rFonts w:eastAsia="Times New Roman"/>
          <w:sz w:val="24"/>
          <w:szCs w:val="24"/>
        </w:rPr>
        <w:t>g on both the circumstances and severity of the assault.</w:t>
      </w:r>
    </w:p>
    <w:p w:rsidR="00DD0303" w:rsidRDefault="00DD0303">
      <w:pPr>
        <w:spacing w:line="333" w:lineRule="exact"/>
        <w:rPr>
          <w:sz w:val="20"/>
          <w:szCs w:val="20"/>
        </w:rPr>
      </w:pPr>
    </w:p>
    <w:p w:rsidR="00DD0303" w:rsidRDefault="00FB1377">
      <w:pPr>
        <w:ind w:right="6"/>
        <w:jc w:val="right"/>
        <w:rPr>
          <w:sz w:val="20"/>
          <w:szCs w:val="20"/>
        </w:rPr>
      </w:pPr>
      <w:r>
        <w:rPr>
          <w:rFonts w:eastAsia="Times New Roman"/>
        </w:rPr>
        <w:t>20</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1" w:name="page22"/>
      <w:bookmarkEnd w:id="21"/>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126" w:firstLine="720"/>
        <w:rPr>
          <w:sz w:val="20"/>
          <w:szCs w:val="20"/>
        </w:rPr>
      </w:pPr>
      <w:r>
        <w:rPr>
          <w:rFonts w:eastAsia="Times New Roman"/>
          <w:sz w:val="24"/>
          <w:szCs w:val="24"/>
        </w:rPr>
        <w:t>To the question “If you were to be assaulted by penetration by a woman, would you report the incident to the police?”, 32 of the re</w:t>
      </w:r>
      <w:r>
        <w:rPr>
          <w:rFonts w:eastAsia="Times New Roman"/>
          <w:sz w:val="24"/>
          <w:szCs w:val="24"/>
        </w:rPr>
        <w:t>spondents (33%) answered no. Thirteen said that they didn’t believe that the police would take it seriously, and/or feared that they wouldn’t be believed. Eight described how the shame embarrassment that they believed they would experience in those circums</w:t>
      </w:r>
      <w:r>
        <w:rPr>
          <w:rFonts w:eastAsia="Times New Roman"/>
          <w:sz w:val="24"/>
          <w:szCs w:val="24"/>
        </w:rPr>
        <w:t>tances had impacted upon their decision that they would not report. When the perpetrator of an assault by penetration was male, fourteen participants said that they would not report the offence; five of these because they didn’t think that they would be be</w:t>
      </w:r>
      <w:r>
        <w:rPr>
          <w:rFonts w:eastAsia="Times New Roman"/>
          <w:sz w:val="24"/>
          <w:szCs w:val="24"/>
        </w:rPr>
        <w:t>lieved, and five because they felt they would be too embarrassed.</w:t>
      </w:r>
    </w:p>
    <w:p w:rsidR="00DD0303" w:rsidRDefault="00FB1377">
      <w:pPr>
        <w:spacing w:line="483" w:lineRule="auto"/>
        <w:ind w:right="26" w:firstLine="720"/>
        <w:rPr>
          <w:sz w:val="20"/>
          <w:szCs w:val="20"/>
        </w:rPr>
      </w:pPr>
      <w:r>
        <w:rPr>
          <w:rFonts w:eastAsia="Times New Roman"/>
          <w:sz w:val="24"/>
          <w:szCs w:val="24"/>
        </w:rPr>
        <w:t>Finally, when asked about reporting rape offences; 32 (33%) said that they wouldn’t report the offence to the police if it was committed by a woman, and 11 (11%) said that they wouldn’t repo</w:t>
      </w:r>
      <w:r>
        <w:rPr>
          <w:rFonts w:eastAsia="Times New Roman"/>
          <w:sz w:val="24"/>
          <w:szCs w:val="24"/>
        </w:rPr>
        <w:t>rt the crime if the perpetrator was male. As explanation as to why they wouldn’t report female-perpetrated rape victimisation, fifteen of the men said that they didn’t think the complaint would be taken seriously and that no action would be taken because o</w:t>
      </w:r>
      <w:r>
        <w:rPr>
          <w:rFonts w:eastAsia="Times New Roman"/>
          <w:sz w:val="24"/>
          <w:szCs w:val="24"/>
        </w:rPr>
        <w:t>f the difficulty of proving rape/lack of supportive evidence, and five said that they would be too embarrassed to report the crime. A further five said that they believed the police would be gender-biased, and would not be likely to place much impetus on t</w:t>
      </w:r>
      <w:r>
        <w:rPr>
          <w:rFonts w:eastAsia="Times New Roman"/>
          <w:sz w:val="24"/>
          <w:szCs w:val="24"/>
        </w:rPr>
        <w:t>he severity of the offence. When the perpetrator of the rape was male, five men explained that they wouldn’t report the incident to the police as they didn’t think it would be taken seriously, and three said that they wouldn’t report for reasons of shame/e</w:t>
      </w:r>
      <w:r>
        <w:rPr>
          <w:rFonts w:eastAsia="Times New Roman"/>
          <w:sz w:val="24"/>
          <w:szCs w:val="24"/>
        </w:rPr>
        <w:t>mbarrassment.</w:t>
      </w:r>
    </w:p>
    <w:p w:rsidR="00DD0303" w:rsidRDefault="00DD0303">
      <w:pPr>
        <w:spacing w:line="200" w:lineRule="exact"/>
        <w:rPr>
          <w:sz w:val="20"/>
          <w:szCs w:val="20"/>
        </w:rPr>
      </w:pPr>
    </w:p>
    <w:p w:rsidR="00DD0303" w:rsidRDefault="00DD0303">
      <w:pPr>
        <w:spacing w:line="298" w:lineRule="exact"/>
        <w:rPr>
          <w:sz w:val="20"/>
          <w:szCs w:val="20"/>
        </w:rPr>
      </w:pPr>
    </w:p>
    <w:p w:rsidR="00DD0303" w:rsidRDefault="00FB1377">
      <w:pPr>
        <w:rPr>
          <w:sz w:val="20"/>
          <w:szCs w:val="20"/>
        </w:rPr>
      </w:pPr>
      <w:r>
        <w:rPr>
          <w:rFonts w:eastAsia="Times New Roman"/>
          <w:b/>
          <w:bCs/>
          <w:sz w:val="24"/>
          <w:szCs w:val="24"/>
        </w:rPr>
        <w:t>Discussion</w:t>
      </w:r>
    </w:p>
    <w:p w:rsidR="00DD0303" w:rsidRDefault="00DD0303">
      <w:pPr>
        <w:spacing w:line="276" w:lineRule="exact"/>
        <w:rPr>
          <w:sz w:val="20"/>
          <w:szCs w:val="20"/>
        </w:rPr>
      </w:pPr>
    </w:p>
    <w:p w:rsidR="00DD0303" w:rsidRDefault="00FB1377">
      <w:pPr>
        <w:spacing w:line="490" w:lineRule="auto"/>
        <w:ind w:right="26" w:firstLine="720"/>
        <w:rPr>
          <w:sz w:val="20"/>
          <w:szCs w:val="20"/>
        </w:rPr>
      </w:pPr>
      <w:r>
        <w:rPr>
          <w:rFonts w:eastAsia="Times New Roman"/>
          <w:sz w:val="24"/>
          <w:szCs w:val="24"/>
        </w:rPr>
        <w:t>Overall, the mean levels for support for the male rape myths examined in the present study were relatively low. Most of the participants either disagreed or strongly disagreed with the majority of the statements presented. As su</w:t>
      </w:r>
      <w:r>
        <w:rPr>
          <w:rFonts w:eastAsia="Times New Roman"/>
          <w:sz w:val="24"/>
          <w:szCs w:val="24"/>
        </w:rPr>
        <w:t>ch, acceptance of rape myths was lower than might be expected on the basis of previous works in the area.</w:t>
      </w:r>
    </w:p>
    <w:p w:rsidR="00DD0303" w:rsidRDefault="00DD0303">
      <w:pPr>
        <w:spacing w:line="341" w:lineRule="exact"/>
        <w:rPr>
          <w:sz w:val="20"/>
          <w:szCs w:val="20"/>
        </w:rPr>
      </w:pPr>
    </w:p>
    <w:p w:rsidR="00DD0303" w:rsidRDefault="00FB1377">
      <w:pPr>
        <w:ind w:right="6"/>
        <w:jc w:val="right"/>
        <w:rPr>
          <w:sz w:val="20"/>
          <w:szCs w:val="20"/>
        </w:rPr>
      </w:pPr>
      <w:r>
        <w:rPr>
          <w:rFonts w:eastAsia="Times New Roman"/>
        </w:rPr>
        <w:t>21</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2" w:name="page23"/>
      <w:bookmarkEnd w:id="22"/>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66" w:firstLine="720"/>
        <w:rPr>
          <w:sz w:val="20"/>
          <w:szCs w:val="20"/>
        </w:rPr>
      </w:pPr>
      <w:r>
        <w:rPr>
          <w:rFonts w:eastAsia="Times New Roman"/>
          <w:sz w:val="24"/>
          <w:szCs w:val="24"/>
        </w:rPr>
        <w:t xml:space="preserve">However, there were a number of the rape myths that participants were found to be </w:t>
      </w:r>
      <w:r>
        <w:rPr>
          <w:rFonts w:eastAsia="Times New Roman"/>
          <w:sz w:val="24"/>
          <w:szCs w:val="24"/>
        </w:rPr>
        <w:t>more likely to subscribe to, which were seemingly more commonly-held across the sample. For sexual assault, participants were likely to agree or strongly agree with statements regarding the fact that the police would not take such offences seriously. Agree</w:t>
      </w:r>
      <w:r>
        <w:rPr>
          <w:rFonts w:eastAsia="Times New Roman"/>
          <w:sz w:val="24"/>
          <w:szCs w:val="24"/>
        </w:rPr>
        <w:t xml:space="preserve">ment ratings were highest when the perpetrator of these offences was female. Participants were less likely to agree with these myths when the offence was assault by penetration, although again agreement ratings were higher when the perpetrator was female. </w:t>
      </w:r>
      <w:r>
        <w:rPr>
          <w:rFonts w:eastAsia="Times New Roman"/>
          <w:sz w:val="24"/>
          <w:szCs w:val="24"/>
        </w:rPr>
        <w:t>For rape, the majority of the sample believed that the police would take a complaint seriously if a man were raped by another man, but almost half of the participants did not think that a complaint would be taken seriously if a man were raped by a woman.</w:t>
      </w:r>
    </w:p>
    <w:p w:rsidR="00DD0303" w:rsidRDefault="00FB1377">
      <w:pPr>
        <w:spacing w:line="490" w:lineRule="auto"/>
        <w:ind w:right="26" w:firstLine="720"/>
        <w:rPr>
          <w:sz w:val="20"/>
          <w:szCs w:val="20"/>
        </w:rPr>
      </w:pPr>
      <w:r>
        <w:rPr>
          <w:rFonts w:eastAsia="Times New Roman"/>
          <w:sz w:val="24"/>
          <w:szCs w:val="24"/>
        </w:rPr>
        <w:t>F</w:t>
      </w:r>
      <w:r>
        <w:rPr>
          <w:rFonts w:eastAsia="Times New Roman"/>
          <w:sz w:val="24"/>
          <w:szCs w:val="24"/>
        </w:rPr>
        <w:t>urther; when the offence in question was sexual assault, participants indicated higher levels of agreement with statements such as ‘Men can defend themselves from sexual assault’, showing that there is a persistent belief that male victims have a degree of</w:t>
      </w:r>
      <w:r>
        <w:rPr>
          <w:rFonts w:eastAsia="Times New Roman"/>
          <w:sz w:val="24"/>
          <w:szCs w:val="24"/>
        </w:rPr>
        <w:t xml:space="preserve"> responsibility for their victimisation of such offences.</w:t>
      </w:r>
    </w:p>
    <w:p w:rsidR="00DD0303" w:rsidRDefault="00DD0303">
      <w:pPr>
        <w:spacing w:line="200" w:lineRule="exact"/>
        <w:rPr>
          <w:sz w:val="20"/>
          <w:szCs w:val="20"/>
        </w:rPr>
      </w:pPr>
    </w:p>
    <w:p w:rsidR="00DD0303" w:rsidRDefault="00DD0303">
      <w:pPr>
        <w:spacing w:line="306" w:lineRule="exact"/>
        <w:rPr>
          <w:sz w:val="20"/>
          <w:szCs w:val="20"/>
        </w:rPr>
      </w:pPr>
    </w:p>
    <w:p w:rsidR="00DD0303" w:rsidRDefault="00FB1377">
      <w:pPr>
        <w:spacing w:line="480" w:lineRule="auto"/>
        <w:ind w:right="26" w:firstLine="720"/>
        <w:rPr>
          <w:sz w:val="20"/>
          <w:szCs w:val="20"/>
        </w:rPr>
      </w:pPr>
      <w:r>
        <w:rPr>
          <w:rFonts w:eastAsia="Times New Roman"/>
          <w:sz w:val="24"/>
          <w:szCs w:val="24"/>
        </w:rPr>
        <w:t>These findings are similar to those reported by both Struckman-Johnson &amp; Struckman-Johnson (1992) and Chapleau et al. (2008). Both of these studies found that members of the general public were mo</w:t>
      </w:r>
      <w:r>
        <w:rPr>
          <w:rFonts w:eastAsia="Times New Roman"/>
          <w:sz w:val="24"/>
          <w:szCs w:val="24"/>
        </w:rPr>
        <w:t>re likely to accept myths in which the perpetrators were female rather than male. They also found that notable proportions of their samples endorsed the opinion that a man should be able to protect themselves from becoming a victim of such offences.</w:t>
      </w:r>
    </w:p>
    <w:p w:rsidR="00DD0303" w:rsidRDefault="00FB1377">
      <w:pPr>
        <w:spacing w:line="496" w:lineRule="auto"/>
        <w:ind w:right="66" w:firstLine="720"/>
        <w:rPr>
          <w:sz w:val="20"/>
          <w:szCs w:val="20"/>
        </w:rPr>
      </w:pPr>
      <w:r>
        <w:rPr>
          <w:rFonts w:eastAsia="Times New Roman"/>
          <w:sz w:val="24"/>
          <w:szCs w:val="24"/>
        </w:rPr>
        <w:t xml:space="preserve">These </w:t>
      </w:r>
      <w:r>
        <w:rPr>
          <w:rFonts w:eastAsia="Times New Roman"/>
          <w:sz w:val="24"/>
          <w:szCs w:val="24"/>
        </w:rPr>
        <w:t>kinds of myths, Turchik and Edwards (2012) argue, are those that stem directly from prevalent gender stereotypes and social norms regarding masculinity and male sexuality.</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67" w:lineRule="exact"/>
        <w:rPr>
          <w:sz w:val="20"/>
          <w:szCs w:val="20"/>
        </w:rPr>
      </w:pPr>
    </w:p>
    <w:p w:rsidR="00DD0303" w:rsidRDefault="00FB1377">
      <w:pPr>
        <w:ind w:right="6"/>
        <w:jc w:val="right"/>
        <w:rPr>
          <w:sz w:val="20"/>
          <w:szCs w:val="20"/>
        </w:rPr>
      </w:pPr>
      <w:r>
        <w:rPr>
          <w:rFonts w:eastAsia="Times New Roman"/>
        </w:rPr>
        <w:t>22</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3" w:name="page24"/>
      <w:bookmarkEnd w:id="23"/>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500" w:lineRule="auto"/>
        <w:ind w:right="46" w:firstLine="720"/>
        <w:rPr>
          <w:sz w:val="20"/>
          <w:szCs w:val="20"/>
        </w:rPr>
      </w:pPr>
      <w:r>
        <w:rPr>
          <w:rFonts w:eastAsia="Times New Roman"/>
          <w:sz w:val="23"/>
          <w:szCs w:val="23"/>
        </w:rPr>
        <w:t xml:space="preserve">The findings </w:t>
      </w:r>
      <w:r>
        <w:rPr>
          <w:rFonts w:eastAsia="Times New Roman"/>
          <w:sz w:val="23"/>
          <w:szCs w:val="23"/>
        </w:rPr>
        <w:t>presented here offer notable insights into the ways in which male sexual victimisation is currently viewed by men in the United Kingdom. In particular, many seem to believe that the police are unlikely to do anything about complaints of male sexual assault</w:t>
      </w:r>
      <w:r>
        <w:rPr>
          <w:rFonts w:eastAsia="Times New Roman"/>
          <w:sz w:val="23"/>
          <w:szCs w:val="23"/>
        </w:rPr>
        <w:t xml:space="preserve"> or rape, expressing doubts as to whether those reporting victimisation would be likely to be believed and/or taken seriously (particularly if the assailant were female). These perceptual biases manifested in responses given by participants as to whether o</w:t>
      </w:r>
      <w:r>
        <w:rPr>
          <w:rFonts w:eastAsia="Times New Roman"/>
          <w:sz w:val="23"/>
          <w:szCs w:val="23"/>
        </w:rPr>
        <w:t>r not they would report victimisation of any of these offences; across the board a high proportion indicated that if they were the victim of a sexual assault or rape they wouldn’t report the offence to the police.</w:t>
      </w:r>
    </w:p>
    <w:p w:rsidR="00DD0303" w:rsidRDefault="00DD0303">
      <w:pPr>
        <w:spacing w:line="8" w:lineRule="exact"/>
        <w:rPr>
          <w:sz w:val="20"/>
          <w:szCs w:val="20"/>
        </w:rPr>
      </w:pPr>
    </w:p>
    <w:p w:rsidR="00DD0303" w:rsidRDefault="00FB1377">
      <w:pPr>
        <w:spacing w:line="480" w:lineRule="auto"/>
        <w:ind w:right="46" w:firstLine="720"/>
        <w:rPr>
          <w:sz w:val="20"/>
          <w:szCs w:val="20"/>
        </w:rPr>
      </w:pPr>
      <w:r>
        <w:rPr>
          <w:rFonts w:eastAsia="Times New Roman"/>
          <w:sz w:val="24"/>
          <w:szCs w:val="24"/>
        </w:rPr>
        <w:t>The most frequently cited reason for this</w:t>
      </w:r>
      <w:r>
        <w:rPr>
          <w:rFonts w:eastAsia="Times New Roman"/>
          <w:sz w:val="24"/>
          <w:szCs w:val="24"/>
        </w:rPr>
        <w:t xml:space="preserve"> was that they did not believe that the police would take them seriously, or that the case was likely to progress and/or result in a prosecution. One participant said </w:t>
      </w:r>
      <w:r>
        <w:rPr>
          <w:rFonts w:eastAsia="Times New Roman"/>
          <w:i/>
          <w:iCs/>
          <w:sz w:val="24"/>
          <w:szCs w:val="24"/>
        </w:rPr>
        <w:t>“I believe there is a lot of stigma around reporting to the</w:t>
      </w:r>
      <w:r>
        <w:rPr>
          <w:rFonts w:eastAsia="Times New Roman"/>
          <w:sz w:val="24"/>
          <w:szCs w:val="24"/>
        </w:rPr>
        <w:t xml:space="preserve"> </w:t>
      </w:r>
      <w:r>
        <w:rPr>
          <w:rFonts w:eastAsia="Times New Roman"/>
          <w:i/>
          <w:iCs/>
          <w:sz w:val="24"/>
          <w:szCs w:val="24"/>
        </w:rPr>
        <w:t>police and do not believe the</w:t>
      </w:r>
      <w:r>
        <w:rPr>
          <w:rFonts w:eastAsia="Times New Roman"/>
          <w:i/>
          <w:iCs/>
          <w:sz w:val="24"/>
          <w:szCs w:val="24"/>
        </w:rPr>
        <w:t xml:space="preserve">y would take appropriate action”. </w:t>
      </w:r>
      <w:r>
        <w:rPr>
          <w:rFonts w:eastAsia="Times New Roman"/>
          <w:sz w:val="24"/>
          <w:szCs w:val="24"/>
        </w:rPr>
        <w:t>Another felt that the police</w:t>
      </w:r>
      <w:r>
        <w:rPr>
          <w:rFonts w:eastAsia="Times New Roman"/>
          <w:i/>
          <w:iCs/>
          <w:sz w:val="24"/>
          <w:szCs w:val="24"/>
        </w:rPr>
        <w:t xml:space="preserve"> “wouldn't take it seriously and if they did, it's unlikely to get to trial”. </w:t>
      </w:r>
      <w:r>
        <w:rPr>
          <w:rFonts w:eastAsia="Times New Roman"/>
          <w:sz w:val="24"/>
          <w:szCs w:val="24"/>
        </w:rPr>
        <w:t>Many felt that it would</w:t>
      </w:r>
      <w:r>
        <w:rPr>
          <w:rFonts w:eastAsia="Times New Roman"/>
          <w:i/>
          <w:iCs/>
          <w:sz w:val="24"/>
          <w:szCs w:val="24"/>
        </w:rPr>
        <w:t xml:space="preserve"> </w:t>
      </w:r>
      <w:r>
        <w:rPr>
          <w:rFonts w:eastAsia="Times New Roman"/>
          <w:sz w:val="24"/>
          <w:szCs w:val="24"/>
        </w:rPr>
        <w:t xml:space="preserve">difficult to prove that the offence occurred. For example, one respondent said that </w:t>
      </w:r>
      <w:r>
        <w:rPr>
          <w:rFonts w:eastAsia="Times New Roman"/>
          <w:i/>
          <w:iCs/>
          <w:sz w:val="24"/>
          <w:szCs w:val="24"/>
        </w:rPr>
        <w:t xml:space="preserve">“It </w:t>
      </w:r>
      <w:r>
        <w:rPr>
          <w:rFonts w:eastAsia="Times New Roman"/>
          <w:i/>
          <w:iCs/>
          <w:sz w:val="24"/>
          <w:szCs w:val="24"/>
        </w:rPr>
        <w:t>would</w:t>
      </w:r>
      <w:r>
        <w:rPr>
          <w:rFonts w:eastAsia="Times New Roman"/>
          <w:sz w:val="24"/>
          <w:szCs w:val="24"/>
        </w:rPr>
        <w:t xml:space="preserve"> </w:t>
      </w:r>
      <w:r>
        <w:rPr>
          <w:rFonts w:eastAsia="Times New Roman"/>
          <w:i/>
          <w:iCs/>
          <w:sz w:val="24"/>
          <w:szCs w:val="24"/>
        </w:rPr>
        <w:t xml:space="preserve">be very difficult to prove that the act was non-consensual even if reported”. </w:t>
      </w:r>
      <w:r>
        <w:rPr>
          <w:rFonts w:eastAsia="Times New Roman"/>
          <w:sz w:val="24"/>
          <w:szCs w:val="24"/>
        </w:rPr>
        <w:t>Another said that</w:t>
      </w:r>
      <w:r>
        <w:rPr>
          <w:rFonts w:eastAsia="Times New Roman"/>
          <w:i/>
          <w:iCs/>
          <w:sz w:val="24"/>
          <w:szCs w:val="24"/>
        </w:rPr>
        <w:t xml:space="preserve"> “based on the definition of rape provided by the Sexual Offences Act 2003, I would have to have an erection in order to be raped by a woman. I don't think</w:t>
      </w:r>
      <w:r>
        <w:rPr>
          <w:rFonts w:eastAsia="Times New Roman"/>
          <w:i/>
          <w:iCs/>
          <w:sz w:val="24"/>
          <w:szCs w:val="24"/>
        </w:rPr>
        <w:t xml:space="preserve"> I would be taken seriously as a result”. </w:t>
      </w:r>
      <w:r>
        <w:rPr>
          <w:rFonts w:eastAsia="Times New Roman"/>
          <w:sz w:val="24"/>
          <w:szCs w:val="24"/>
        </w:rPr>
        <w:t>This all accords with the propositions of Pino &amp; Meir (1999), who suggested that</w:t>
      </w:r>
      <w:r>
        <w:rPr>
          <w:rFonts w:eastAsia="Times New Roman"/>
          <w:i/>
          <w:iCs/>
          <w:sz w:val="24"/>
          <w:szCs w:val="24"/>
        </w:rPr>
        <w:t xml:space="preserve"> </w:t>
      </w:r>
      <w:r>
        <w:rPr>
          <w:rFonts w:eastAsia="Times New Roman"/>
          <w:sz w:val="24"/>
          <w:szCs w:val="24"/>
        </w:rPr>
        <w:t xml:space="preserve">general perceptions of sexual offences in society, stemming from media portrayals and general media coverage as well as from a range </w:t>
      </w:r>
      <w:r>
        <w:rPr>
          <w:rFonts w:eastAsia="Times New Roman"/>
          <w:sz w:val="24"/>
          <w:szCs w:val="24"/>
        </w:rPr>
        <w:t>of other sources, were likely to lead to common misconceptions regarding how offences will be viewed and treated within investigative or judicial contexts.</w:t>
      </w:r>
    </w:p>
    <w:p w:rsidR="00DD0303" w:rsidRDefault="00DD0303">
      <w:pPr>
        <w:spacing w:line="1" w:lineRule="exact"/>
        <w:rPr>
          <w:sz w:val="20"/>
          <w:szCs w:val="20"/>
        </w:rPr>
      </w:pPr>
    </w:p>
    <w:p w:rsidR="00DD0303" w:rsidRDefault="00FB1377">
      <w:pPr>
        <w:spacing w:line="523" w:lineRule="auto"/>
        <w:ind w:right="266" w:firstLine="720"/>
        <w:jc w:val="both"/>
        <w:rPr>
          <w:sz w:val="20"/>
          <w:szCs w:val="20"/>
        </w:rPr>
      </w:pPr>
      <w:r>
        <w:rPr>
          <w:rFonts w:eastAsia="Times New Roman"/>
          <w:sz w:val="23"/>
          <w:szCs w:val="23"/>
        </w:rPr>
        <w:t>Another frequently cited reason was that the respondents felt that they would be too embarrassed or</w:t>
      </w:r>
      <w:r>
        <w:rPr>
          <w:rFonts w:eastAsia="Times New Roman"/>
          <w:sz w:val="23"/>
          <w:szCs w:val="23"/>
        </w:rPr>
        <w:t xml:space="preserve"> ashamed to report their victimisation. One of the men said that </w:t>
      </w:r>
      <w:r>
        <w:rPr>
          <w:rFonts w:eastAsia="Times New Roman"/>
          <w:i/>
          <w:iCs/>
          <w:sz w:val="23"/>
          <w:szCs w:val="23"/>
        </w:rPr>
        <w:t>“I would be</w:t>
      </w:r>
      <w:r>
        <w:rPr>
          <w:rFonts w:eastAsia="Times New Roman"/>
          <w:sz w:val="23"/>
          <w:szCs w:val="23"/>
        </w:rPr>
        <w:t xml:space="preserve"> </w:t>
      </w:r>
      <w:r>
        <w:rPr>
          <w:rFonts w:eastAsia="Times New Roman"/>
          <w:i/>
          <w:iCs/>
          <w:sz w:val="23"/>
          <w:szCs w:val="23"/>
        </w:rPr>
        <w:t xml:space="preserve">too ashamed to speak up”. </w:t>
      </w:r>
      <w:r>
        <w:rPr>
          <w:rFonts w:eastAsia="Times New Roman"/>
          <w:sz w:val="23"/>
          <w:szCs w:val="23"/>
        </w:rPr>
        <w:t>Another said that</w:t>
      </w:r>
      <w:r>
        <w:rPr>
          <w:rFonts w:eastAsia="Times New Roman"/>
          <w:i/>
          <w:iCs/>
          <w:sz w:val="23"/>
          <w:szCs w:val="23"/>
        </w:rPr>
        <w:t xml:space="preserve"> “It would be degrading and embarrassing”.</w:t>
      </w:r>
    </w:p>
    <w:p w:rsidR="00DD0303" w:rsidRDefault="00DD0303">
      <w:pPr>
        <w:spacing w:line="297" w:lineRule="exact"/>
        <w:rPr>
          <w:sz w:val="20"/>
          <w:szCs w:val="20"/>
        </w:rPr>
      </w:pPr>
    </w:p>
    <w:p w:rsidR="00DD0303" w:rsidRDefault="00FB1377">
      <w:pPr>
        <w:ind w:right="6"/>
        <w:jc w:val="right"/>
        <w:rPr>
          <w:sz w:val="20"/>
          <w:szCs w:val="20"/>
        </w:rPr>
      </w:pPr>
      <w:r>
        <w:rPr>
          <w:rFonts w:eastAsia="Times New Roman"/>
        </w:rPr>
        <w:t>23</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4" w:name="page25"/>
      <w:bookmarkEnd w:id="24"/>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3" w:lineRule="exact"/>
        <w:rPr>
          <w:sz w:val="20"/>
          <w:szCs w:val="20"/>
        </w:rPr>
      </w:pPr>
    </w:p>
    <w:p w:rsidR="00DD0303" w:rsidRDefault="00FB1377">
      <w:pPr>
        <w:spacing w:line="480" w:lineRule="auto"/>
        <w:ind w:right="66"/>
        <w:rPr>
          <w:sz w:val="20"/>
          <w:szCs w:val="20"/>
        </w:rPr>
      </w:pPr>
      <w:r>
        <w:rPr>
          <w:rFonts w:eastAsia="Times New Roman"/>
          <w:sz w:val="24"/>
          <w:szCs w:val="24"/>
        </w:rPr>
        <w:t xml:space="preserve">One respondent said that </w:t>
      </w:r>
      <w:r>
        <w:rPr>
          <w:rFonts w:eastAsia="Times New Roman"/>
          <w:i/>
          <w:iCs/>
          <w:sz w:val="24"/>
          <w:szCs w:val="24"/>
        </w:rPr>
        <w:t>“It would be like hell - I would rather die</w:t>
      </w:r>
      <w:r>
        <w:rPr>
          <w:rFonts w:eastAsia="Times New Roman"/>
          <w:sz w:val="24"/>
          <w:szCs w:val="24"/>
        </w:rPr>
        <w:t xml:space="preserve"> [than report it]</w:t>
      </w:r>
      <w:r>
        <w:rPr>
          <w:rFonts w:eastAsia="Times New Roman"/>
          <w:i/>
          <w:iCs/>
          <w:sz w:val="24"/>
          <w:szCs w:val="24"/>
        </w:rPr>
        <w:t>”.</w:t>
      </w:r>
      <w:r>
        <w:rPr>
          <w:rFonts w:eastAsia="Times New Roman"/>
          <w:sz w:val="24"/>
          <w:szCs w:val="24"/>
        </w:rPr>
        <w:t xml:space="preserve"> As such, the results support the arguments made by Turchik &amp; Edwards (2012), who suggested that one of the main reasons for men not reporting offences is the fear of how they will be seen or ju</w:t>
      </w:r>
      <w:r>
        <w:rPr>
          <w:rFonts w:eastAsia="Times New Roman"/>
          <w:sz w:val="24"/>
          <w:szCs w:val="24"/>
        </w:rPr>
        <w:t>dged, both by those around them and by society more generally.</w:t>
      </w:r>
    </w:p>
    <w:p w:rsidR="00DD0303" w:rsidRDefault="00DD0303">
      <w:pPr>
        <w:spacing w:line="4" w:lineRule="exact"/>
        <w:rPr>
          <w:sz w:val="20"/>
          <w:szCs w:val="20"/>
        </w:rPr>
      </w:pPr>
    </w:p>
    <w:p w:rsidR="00DD0303" w:rsidRDefault="00FB1377">
      <w:pPr>
        <w:spacing w:line="486" w:lineRule="auto"/>
        <w:ind w:right="26" w:firstLine="720"/>
        <w:rPr>
          <w:sz w:val="20"/>
          <w:szCs w:val="20"/>
        </w:rPr>
      </w:pPr>
      <w:r>
        <w:rPr>
          <w:rFonts w:eastAsia="Times New Roman"/>
          <w:sz w:val="24"/>
          <w:szCs w:val="24"/>
        </w:rPr>
        <w:t xml:space="preserve">In their responses, participants also indicated that they worried about the potential repercussions of their reporting their victimisation. One respondent said: </w:t>
      </w:r>
      <w:r>
        <w:rPr>
          <w:rFonts w:eastAsia="Times New Roman"/>
          <w:i/>
          <w:iCs/>
          <w:sz w:val="24"/>
          <w:szCs w:val="24"/>
        </w:rPr>
        <w:t>“I believe there is a</w:t>
      </w:r>
      <w:r>
        <w:rPr>
          <w:rFonts w:eastAsia="Times New Roman"/>
          <w:sz w:val="24"/>
          <w:szCs w:val="24"/>
        </w:rPr>
        <w:t xml:space="preserve"> </w:t>
      </w:r>
      <w:r>
        <w:rPr>
          <w:rFonts w:eastAsia="Times New Roman"/>
          <w:i/>
          <w:iCs/>
          <w:sz w:val="24"/>
          <w:szCs w:val="24"/>
        </w:rPr>
        <w:t>lot of st</w:t>
      </w:r>
      <w:r>
        <w:rPr>
          <w:rFonts w:eastAsia="Times New Roman"/>
          <w:i/>
          <w:iCs/>
          <w:sz w:val="24"/>
          <w:szCs w:val="24"/>
        </w:rPr>
        <w:t>igma around it, and would worry my family and friends would look at me differently”</w:t>
      </w:r>
      <w:r>
        <w:rPr>
          <w:rFonts w:eastAsia="Times New Roman"/>
          <w:sz w:val="24"/>
          <w:szCs w:val="24"/>
        </w:rPr>
        <w:t>.</w:t>
      </w:r>
      <w:r>
        <w:rPr>
          <w:rFonts w:eastAsia="Times New Roman"/>
          <w:i/>
          <w:iCs/>
          <w:sz w:val="24"/>
          <w:szCs w:val="24"/>
        </w:rPr>
        <w:t xml:space="preserve"> </w:t>
      </w:r>
      <w:r>
        <w:rPr>
          <w:rFonts w:eastAsia="Times New Roman"/>
          <w:sz w:val="24"/>
          <w:szCs w:val="24"/>
        </w:rPr>
        <w:t xml:space="preserve">Another said that he would not report </w:t>
      </w:r>
      <w:r>
        <w:rPr>
          <w:rFonts w:eastAsia="Times New Roman"/>
          <w:i/>
          <w:iCs/>
          <w:sz w:val="24"/>
          <w:szCs w:val="24"/>
        </w:rPr>
        <w:t>“Due to social stigma; no one wants to be known as</w:t>
      </w:r>
      <w:r>
        <w:rPr>
          <w:rFonts w:eastAsia="Times New Roman"/>
          <w:sz w:val="24"/>
          <w:szCs w:val="24"/>
        </w:rPr>
        <w:t xml:space="preserve"> </w:t>
      </w:r>
      <w:r>
        <w:rPr>
          <w:rFonts w:eastAsia="Times New Roman"/>
          <w:i/>
          <w:iCs/>
          <w:sz w:val="24"/>
          <w:szCs w:val="24"/>
        </w:rPr>
        <w:t xml:space="preserve">"that guy". </w:t>
      </w:r>
      <w:r>
        <w:rPr>
          <w:rFonts w:eastAsia="Times New Roman"/>
          <w:sz w:val="24"/>
          <w:szCs w:val="24"/>
        </w:rPr>
        <w:t>Others said that they would feel emasculated as a result of victimisat</w:t>
      </w:r>
      <w:r>
        <w:rPr>
          <w:rFonts w:eastAsia="Times New Roman"/>
          <w:sz w:val="24"/>
          <w:szCs w:val="24"/>
        </w:rPr>
        <w:t>ion – for</w:t>
      </w:r>
      <w:r>
        <w:rPr>
          <w:rFonts w:eastAsia="Times New Roman"/>
          <w:i/>
          <w:iCs/>
          <w:sz w:val="24"/>
          <w:szCs w:val="24"/>
        </w:rPr>
        <w:t xml:space="preserve"> </w:t>
      </w:r>
      <w:r>
        <w:rPr>
          <w:rFonts w:eastAsia="Times New Roman"/>
          <w:sz w:val="24"/>
          <w:szCs w:val="24"/>
        </w:rPr>
        <w:t xml:space="preserve">example; </w:t>
      </w:r>
      <w:r>
        <w:rPr>
          <w:rFonts w:eastAsia="Times New Roman"/>
          <w:i/>
          <w:iCs/>
          <w:sz w:val="24"/>
          <w:szCs w:val="24"/>
        </w:rPr>
        <w:t>“I would feel emasculated and I believe people would treat me differently”.</w:t>
      </w:r>
    </w:p>
    <w:p w:rsidR="00DD0303" w:rsidRDefault="00DD0303">
      <w:pPr>
        <w:spacing w:line="79" w:lineRule="exact"/>
        <w:rPr>
          <w:sz w:val="20"/>
          <w:szCs w:val="20"/>
        </w:rPr>
      </w:pPr>
    </w:p>
    <w:p w:rsidR="00DD0303" w:rsidRDefault="00FB1377">
      <w:pPr>
        <w:spacing w:line="483" w:lineRule="auto"/>
        <w:ind w:right="46" w:firstLine="720"/>
        <w:rPr>
          <w:sz w:val="20"/>
          <w:szCs w:val="20"/>
        </w:rPr>
      </w:pPr>
      <w:r>
        <w:rPr>
          <w:rFonts w:eastAsia="Times New Roman"/>
          <w:sz w:val="24"/>
          <w:szCs w:val="24"/>
        </w:rPr>
        <w:t>Many of the respondents said that whether or not they would report being the victim of a sexual offence would depend on the circumstances surrounding the event.</w:t>
      </w:r>
      <w:r>
        <w:rPr>
          <w:rFonts w:eastAsia="Times New Roman"/>
          <w:sz w:val="24"/>
          <w:szCs w:val="24"/>
        </w:rPr>
        <w:t xml:space="preserve"> One participant said, regarding sexual assault, “</w:t>
      </w:r>
      <w:r>
        <w:rPr>
          <w:rFonts w:eastAsia="Times New Roman"/>
          <w:i/>
          <w:iCs/>
          <w:sz w:val="24"/>
          <w:szCs w:val="24"/>
        </w:rPr>
        <w:t>Depending on the circumstances I would probably</w:t>
      </w:r>
      <w:r>
        <w:rPr>
          <w:rFonts w:eastAsia="Times New Roman"/>
          <w:sz w:val="24"/>
          <w:szCs w:val="24"/>
        </w:rPr>
        <w:t xml:space="preserve"> </w:t>
      </w:r>
      <w:r>
        <w:rPr>
          <w:rFonts w:eastAsia="Times New Roman"/>
          <w:i/>
          <w:iCs/>
          <w:sz w:val="24"/>
          <w:szCs w:val="24"/>
        </w:rPr>
        <w:t xml:space="preserve">not report it unless it was particularly vicious and malicious and there was evidence that could lead to prosecution”. </w:t>
      </w:r>
      <w:r>
        <w:rPr>
          <w:rFonts w:eastAsia="Times New Roman"/>
          <w:sz w:val="24"/>
          <w:szCs w:val="24"/>
        </w:rPr>
        <w:t>Davies, Smith and Rogers (2009) also fo</w:t>
      </w:r>
      <w:r>
        <w:rPr>
          <w:rFonts w:eastAsia="Times New Roman"/>
          <w:sz w:val="24"/>
          <w:szCs w:val="24"/>
        </w:rPr>
        <w:t>und that males were</w:t>
      </w:r>
      <w:r>
        <w:rPr>
          <w:rFonts w:eastAsia="Times New Roman"/>
          <w:i/>
          <w:iCs/>
          <w:sz w:val="24"/>
          <w:szCs w:val="24"/>
        </w:rPr>
        <w:t xml:space="preserve"> </w:t>
      </w:r>
      <w:r>
        <w:rPr>
          <w:rFonts w:eastAsia="Times New Roman"/>
          <w:sz w:val="24"/>
          <w:szCs w:val="24"/>
        </w:rPr>
        <w:t>more likely not to report an offence if they deemed it not to be serious enough for the police to be likely to take it seriously. This also accords with the findings of Ellis (2002) and Tewksbury (2007), who showed that men were more li</w:t>
      </w:r>
      <w:r>
        <w:rPr>
          <w:rFonts w:eastAsia="Times New Roman"/>
          <w:sz w:val="24"/>
          <w:szCs w:val="24"/>
        </w:rPr>
        <w:t>kely to report vicitimisation when there was corroborative evidence or evidence of injury and/or serious physical harm. This, as Davis et al. (2009) discuss, is a harmful situation, as it means that all but the most severe cases are unlikely to be reported</w:t>
      </w:r>
      <w:r>
        <w:rPr>
          <w:rFonts w:eastAsia="Times New Roman"/>
          <w:sz w:val="24"/>
          <w:szCs w:val="24"/>
        </w:rPr>
        <w:t>.</w:t>
      </w:r>
    </w:p>
    <w:p w:rsidR="00DD0303" w:rsidRDefault="00DD0303">
      <w:pPr>
        <w:spacing w:line="83" w:lineRule="exact"/>
        <w:rPr>
          <w:sz w:val="20"/>
          <w:szCs w:val="20"/>
        </w:rPr>
      </w:pPr>
    </w:p>
    <w:p w:rsidR="00DD0303" w:rsidRDefault="00FB1377">
      <w:pPr>
        <w:spacing w:line="490" w:lineRule="auto"/>
        <w:ind w:right="26" w:firstLine="720"/>
        <w:rPr>
          <w:sz w:val="20"/>
          <w:szCs w:val="20"/>
        </w:rPr>
      </w:pPr>
      <w:r>
        <w:rPr>
          <w:rFonts w:eastAsia="Times New Roman"/>
          <w:sz w:val="24"/>
          <w:szCs w:val="24"/>
        </w:rPr>
        <w:t>Across the board, respondents indicated that they were more likely to report if they were assaulted or raped by a male than by a female. Many of them felt that offences were less likely to be taken seriously if the perpetrator were female. Responses lik</w:t>
      </w:r>
      <w:r>
        <w:rPr>
          <w:rFonts w:eastAsia="Times New Roman"/>
          <w:sz w:val="24"/>
          <w:szCs w:val="24"/>
        </w:rPr>
        <w:t>e “</w:t>
      </w:r>
      <w:r>
        <w:rPr>
          <w:rFonts w:eastAsia="Times New Roman"/>
          <w:i/>
          <w:iCs/>
          <w:sz w:val="24"/>
          <w:szCs w:val="24"/>
        </w:rPr>
        <w:t>Who would</w:t>
      </w:r>
      <w:r>
        <w:rPr>
          <w:rFonts w:eastAsia="Times New Roman"/>
          <w:sz w:val="24"/>
          <w:szCs w:val="24"/>
        </w:rPr>
        <w:t xml:space="preserve"> </w:t>
      </w:r>
      <w:r>
        <w:rPr>
          <w:rFonts w:eastAsia="Times New Roman"/>
          <w:i/>
          <w:iCs/>
          <w:sz w:val="24"/>
          <w:szCs w:val="24"/>
        </w:rPr>
        <w:t xml:space="preserve">believe that ‘she raped me’?" </w:t>
      </w:r>
      <w:r>
        <w:rPr>
          <w:rFonts w:eastAsia="Times New Roman"/>
          <w:sz w:val="24"/>
          <w:szCs w:val="24"/>
        </w:rPr>
        <w:t>were common.</w:t>
      </w:r>
    </w:p>
    <w:p w:rsidR="00DD0303" w:rsidRDefault="00DD0303">
      <w:pPr>
        <w:spacing w:line="84" w:lineRule="exact"/>
        <w:rPr>
          <w:sz w:val="20"/>
          <w:szCs w:val="20"/>
        </w:rPr>
      </w:pPr>
    </w:p>
    <w:p w:rsidR="00DD0303" w:rsidRDefault="00FB1377">
      <w:pPr>
        <w:ind w:right="6"/>
        <w:jc w:val="right"/>
        <w:rPr>
          <w:sz w:val="20"/>
          <w:szCs w:val="20"/>
        </w:rPr>
      </w:pPr>
      <w:r>
        <w:rPr>
          <w:rFonts w:eastAsia="Times New Roman"/>
        </w:rPr>
        <w:t>24</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5" w:name="page26"/>
      <w:bookmarkEnd w:id="25"/>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146" w:firstLine="720"/>
        <w:rPr>
          <w:sz w:val="20"/>
          <w:szCs w:val="20"/>
        </w:rPr>
      </w:pPr>
      <w:r>
        <w:rPr>
          <w:rFonts w:eastAsia="Times New Roman"/>
          <w:sz w:val="24"/>
          <w:szCs w:val="24"/>
        </w:rPr>
        <w:t xml:space="preserve">Some felt that the law (and those involved in enforcing it) might be more likely to favour the side of the woman. For example; one man said that </w:t>
      </w:r>
      <w:r>
        <w:rPr>
          <w:rFonts w:eastAsia="Times New Roman"/>
          <w:i/>
          <w:iCs/>
          <w:sz w:val="24"/>
          <w:szCs w:val="24"/>
        </w:rPr>
        <w:t>“I feel it would spin out of</w:t>
      </w:r>
      <w:r>
        <w:rPr>
          <w:rFonts w:eastAsia="Times New Roman"/>
          <w:sz w:val="24"/>
          <w:szCs w:val="24"/>
        </w:rPr>
        <w:t xml:space="preserve"> </w:t>
      </w:r>
      <w:r>
        <w:rPr>
          <w:rFonts w:eastAsia="Times New Roman"/>
          <w:i/>
          <w:iCs/>
          <w:sz w:val="24"/>
          <w:szCs w:val="24"/>
        </w:rPr>
        <w:t>control with he-said she-said accusations and currently I think the law system/pub</w:t>
      </w:r>
      <w:r>
        <w:rPr>
          <w:rFonts w:eastAsia="Times New Roman"/>
          <w:i/>
          <w:iCs/>
          <w:sz w:val="24"/>
          <w:szCs w:val="24"/>
        </w:rPr>
        <w:t xml:space="preserve">lic perception is in slight favour of the woman's view”. </w:t>
      </w:r>
      <w:r>
        <w:rPr>
          <w:rFonts w:eastAsia="Times New Roman"/>
          <w:sz w:val="24"/>
          <w:szCs w:val="24"/>
        </w:rPr>
        <w:t>Another said that he’d worry that</w:t>
      </w:r>
      <w:r>
        <w:rPr>
          <w:rFonts w:eastAsia="Times New Roman"/>
          <w:i/>
          <w:iCs/>
          <w:sz w:val="24"/>
          <w:szCs w:val="24"/>
        </w:rPr>
        <w:t xml:space="preserve"> </w:t>
      </w:r>
      <w:r>
        <w:rPr>
          <w:rFonts w:eastAsia="Times New Roman"/>
          <w:sz w:val="24"/>
          <w:szCs w:val="24"/>
        </w:rPr>
        <w:t>“</w:t>
      </w:r>
      <w:r>
        <w:rPr>
          <w:rFonts w:eastAsia="Times New Roman"/>
          <w:i/>
          <w:iCs/>
          <w:sz w:val="24"/>
          <w:szCs w:val="24"/>
        </w:rPr>
        <w:t>fighting her off would then land me charges of assault!”.</w:t>
      </w:r>
      <w:r>
        <w:rPr>
          <w:rFonts w:eastAsia="Times New Roman"/>
          <w:sz w:val="24"/>
          <w:szCs w:val="24"/>
        </w:rPr>
        <w:t xml:space="preserve"> One participant said that </w:t>
      </w:r>
      <w:r>
        <w:rPr>
          <w:rFonts w:eastAsia="Times New Roman"/>
          <w:i/>
          <w:iCs/>
          <w:sz w:val="24"/>
          <w:szCs w:val="24"/>
        </w:rPr>
        <w:t xml:space="preserve">“Everyone knows that there is still inequality between the sexes, and one major </w:t>
      </w:r>
      <w:r>
        <w:rPr>
          <w:rFonts w:eastAsia="Times New Roman"/>
          <w:i/>
          <w:iCs/>
          <w:sz w:val="24"/>
          <w:szCs w:val="24"/>
        </w:rPr>
        <w:t>inequality is how the law room favours the women”</w:t>
      </w:r>
    </w:p>
    <w:p w:rsidR="00DD0303" w:rsidRDefault="00FB1377">
      <w:pPr>
        <w:spacing w:line="480" w:lineRule="auto"/>
        <w:ind w:right="6" w:firstLine="720"/>
        <w:rPr>
          <w:sz w:val="20"/>
          <w:szCs w:val="20"/>
        </w:rPr>
      </w:pPr>
      <w:r>
        <w:rPr>
          <w:rFonts w:eastAsia="Times New Roman"/>
          <w:sz w:val="24"/>
          <w:szCs w:val="24"/>
        </w:rPr>
        <w:t xml:space="preserve">Some of the men made reference to the gendering of sexual offences in society, and how that impacted on their likelihood of reporting an offence. One participant said that he felt that there is a prevalent </w:t>
      </w:r>
      <w:r>
        <w:rPr>
          <w:rFonts w:eastAsia="Times New Roman"/>
          <w:sz w:val="24"/>
          <w:szCs w:val="24"/>
        </w:rPr>
        <w:t>attitude, “</w:t>
      </w:r>
      <w:r>
        <w:rPr>
          <w:rFonts w:eastAsia="Times New Roman"/>
          <w:i/>
          <w:iCs/>
          <w:sz w:val="24"/>
          <w:szCs w:val="24"/>
        </w:rPr>
        <w:t>That only women can be raped and only men are rapists”.</w:t>
      </w:r>
      <w:r>
        <w:rPr>
          <w:rFonts w:eastAsia="Times New Roman"/>
          <w:sz w:val="24"/>
          <w:szCs w:val="24"/>
        </w:rPr>
        <w:t xml:space="preserve"> Another believed that </w:t>
      </w:r>
      <w:r>
        <w:rPr>
          <w:rFonts w:eastAsia="Times New Roman"/>
          <w:i/>
          <w:iCs/>
          <w:sz w:val="24"/>
          <w:szCs w:val="24"/>
        </w:rPr>
        <w:t>“British society still puts a certain emphasis on men being the strong</w:t>
      </w:r>
      <w:r>
        <w:rPr>
          <w:rFonts w:eastAsia="Times New Roman"/>
          <w:sz w:val="24"/>
          <w:szCs w:val="24"/>
        </w:rPr>
        <w:t xml:space="preserve"> </w:t>
      </w:r>
      <w:r>
        <w:rPr>
          <w:rFonts w:eastAsia="Times New Roman"/>
          <w:i/>
          <w:iCs/>
          <w:sz w:val="24"/>
          <w:szCs w:val="24"/>
        </w:rPr>
        <w:t>ones that should be able to defend themselves from those considered weaker. Unfortunately for bo</w:t>
      </w:r>
      <w:r>
        <w:rPr>
          <w:rFonts w:eastAsia="Times New Roman"/>
          <w:i/>
          <w:iCs/>
          <w:sz w:val="24"/>
          <w:szCs w:val="24"/>
        </w:rPr>
        <w:t xml:space="preserve">th men and women, Britain still practices gender inequality and women are some of those considered to be weaker than men”. </w:t>
      </w:r>
      <w:r>
        <w:rPr>
          <w:rFonts w:eastAsia="Times New Roman"/>
          <w:sz w:val="24"/>
          <w:szCs w:val="24"/>
        </w:rPr>
        <w:t>Quotes like these support the arguments made by</w:t>
      </w:r>
      <w:r>
        <w:rPr>
          <w:rFonts w:eastAsia="Times New Roman"/>
          <w:i/>
          <w:iCs/>
          <w:sz w:val="24"/>
          <w:szCs w:val="24"/>
        </w:rPr>
        <w:t xml:space="preserve"> </w:t>
      </w:r>
      <w:r>
        <w:rPr>
          <w:rFonts w:eastAsia="Times New Roman"/>
          <w:sz w:val="24"/>
          <w:szCs w:val="24"/>
        </w:rPr>
        <w:t>Javiad (2014), who suggested that low reporting rates and the consequent under-repres</w:t>
      </w:r>
      <w:r>
        <w:rPr>
          <w:rFonts w:eastAsia="Times New Roman"/>
          <w:sz w:val="24"/>
          <w:szCs w:val="24"/>
        </w:rPr>
        <w:t>entation of male victimisation in official figures on rape and sexual offences were likely to stem directly from the gendering and gender-biased perceptions of sexual offences within society.</w:t>
      </w:r>
    </w:p>
    <w:p w:rsidR="00DD0303" w:rsidRDefault="00DD0303">
      <w:pPr>
        <w:spacing w:line="1" w:lineRule="exact"/>
        <w:rPr>
          <w:sz w:val="20"/>
          <w:szCs w:val="20"/>
        </w:rPr>
      </w:pPr>
    </w:p>
    <w:p w:rsidR="00DD0303" w:rsidRDefault="00FB1377">
      <w:pPr>
        <w:spacing w:line="485" w:lineRule="auto"/>
        <w:ind w:right="126" w:firstLine="720"/>
        <w:rPr>
          <w:sz w:val="20"/>
          <w:szCs w:val="20"/>
        </w:rPr>
      </w:pPr>
      <w:r>
        <w:rPr>
          <w:rFonts w:eastAsia="Times New Roman"/>
          <w:sz w:val="24"/>
          <w:szCs w:val="24"/>
        </w:rPr>
        <w:t>Some respondents felt that if the perpetrator of the offence we</w:t>
      </w:r>
      <w:r>
        <w:rPr>
          <w:rFonts w:eastAsia="Times New Roman"/>
          <w:sz w:val="24"/>
          <w:szCs w:val="24"/>
        </w:rPr>
        <w:t xml:space="preserve">re female then the stigma and associated feelings of shame or embarrassment would be greater. For example, one said that: </w:t>
      </w:r>
      <w:r>
        <w:rPr>
          <w:rFonts w:eastAsia="Times New Roman"/>
          <w:i/>
          <w:iCs/>
          <w:sz w:val="24"/>
          <w:szCs w:val="24"/>
        </w:rPr>
        <w:t>“If the woman was stronger than me, forced herself on me and I was unable to</w:t>
      </w:r>
      <w:r>
        <w:rPr>
          <w:rFonts w:eastAsia="Times New Roman"/>
          <w:sz w:val="24"/>
          <w:szCs w:val="24"/>
        </w:rPr>
        <w:t xml:space="preserve"> </w:t>
      </w:r>
      <w:r>
        <w:rPr>
          <w:rFonts w:eastAsia="Times New Roman"/>
          <w:i/>
          <w:iCs/>
          <w:sz w:val="24"/>
          <w:szCs w:val="24"/>
        </w:rPr>
        <w:t xml:space="preserve">physically resist her I would probably be less likely to </w:t>
      </w:r>
      <w:r>
        <w:rPr>
          <w:rFonts w:eastAsia="Times New Roman"/>
          <w:i/>
          <w:iCs/>
          <w:sz w:val="24"/>
          <w:szCs w:val="24"/>
        </w:rPr>
        <w:t xml:space="preserve">tell anyone due to the feeling of shame”. </w:t>
      </w:r>
      <w:r>
        <w:rPr>
          <w:rFonts w:eastAsia="Times New Roman"/>
          <w:sz w:val="24"/>
          <w:szCs w:val="24"/>
        </w:rPr>
        <w:t>Another felt that</w:t>
      </w:r>
      <w:r>
        <w:rPr>
          <w:rFonts w:eastAsia="Times New Roman"/>
          <w:i/>
          <w:iCs/>
          <w:sz w:val="24"/>
          <w:szCs w:val="24"/>
        </w:rPr>
        <w:t xml:space="preserve"> “Questions about masculinity would be brought up; for example - why I didn’t have the strength to fight her off in the first place”. </w:t>
      </w:r>
      <w:r>
        <w:rPr>
          <w:rFonts w:eastAsia="Times New Roman"/>
          <w:sz w:val="24"/>
          <w:szCs w:val="24"/>
        </w:rPr>
        <w:t>Some participants even</w:t>
      </w:r>
      <w:r>
        <w:rPr>
          <w:rFonts w:eastAsia="Times New Roman"/>
          <w:i/>
          <w:iCs/>
          <w:sz w:val="24"/>
          <w:szCs w:val="24"/>
        </w:rPr>
        <w:t xml:space="preserve"> </w:t>
      </w:r>
      <w:r>
        <w:rPr>
          <w:rFonts w:eastAsia="Times New Roman"/>
          <w:sz w:val="24"/>
          <w:szCs w:val="24"/>
        </w:rPr>
        <w:t>indicated that the general perception wo</w:t>
      </w:r>
      <w:r>
        <w:rPr>
          <w:rFonts w:eastAsia="Times New Roman"/>
          <w:sz w:val="24"/>
          <w:szCs w:val="24"/>
        </w:rPr>
        <w:t>uld be that they should enjoy it if a woman were to</w:t>
      </w:r>
    </w:p>
    <w:p w:rsidR="00DD0303" w:rsidRDefault="00DD0303">
      <w:pPr>
        <w:spacing w:line="330" w:lineRule="exact"/>
        <w:rPr>
          <w:sz w:val="20"/>
          <w:szCs w:val="20"/>
        </w:rPr>
      </w:pPr>
    </w:p>
    <w:p w:rsidR="00DD0303" w:rsidRDefault="00FB1377">
      <w:pPr>
        <w:ind w:right="6"/>
        <w:jc w:val="right"/>
        <w:rPr>
          <w:sz w:val="20"/>
          <w:szCs w:val="20"/>
        </w:rPr>
      </w:pPr>
      <w:r>
        <w:rPr>
          <w:rFonts w:eastAsia="Times New Roman"/>
        </w:rPr>
        <w:t>25</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6" w:name="page27"/>
      <w:bookmarkEnd w:id="26"/>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3" w:lineRule="exact"/>
        <w:rPr>
          <w:sz w:val="20"/>
          <w:szCs w:val="20"/>
        </w:rPr>
      </w:pPr>
    </w:p>
    <w:p w:rsidR="00DD0303" w:rsidRDefault="00FB1377">
      <w:pPr>
        <w:spacing w:line="481" w:lineRule="auto"/>
        <w:ind w:right="306"/>
        <w:rPr>
          <w:sz w:val="20"/>
          <w:szCs w:val="20"/>
        </w:rPr>
      </w:pPr>
      <w:r>
        <w:rPr>
          <w:rFonts w:eastAsia="Times New Roman"/>
          <w:sz w:val="24"/>
          <w:szCs w:val="24"/>
        </w:rPr>
        <w:t xml:space="preserve">sexually assault them; one said that </w:t>
      </w:r>
      <w:r>
        <w:rPr>
          <w:rFonts w:eastAsia="Times New Roman"/>
          <w:i/>
          <w:iCs/>
          <w:sz w:val="24"/>
          <w:szCs w:val="24"/>
        </w:rPr>
        <w:t>“Some might believe that I ought to be grateful for</w:t>
      </w:r>
      <w:r>
        <w:rPr>
          <w:rFonts w:eastAsia="Times New Roman"/>
          <w:sz w:val="24"/>
          <w:szCs w:val="24"/>
        </w:rPr>
        <w:t xml:space="preserve"> </w:t>
      </w:r>
      <w:r>
        <w:rPr>
          <w:rFonts w:eastAsia="Times New Roman"/>
          <w:i/>
          <w:iCs/>
          <w:sz w:val="24"/>
          <w:szCs w:val="24"/>
        </w:rPr>
        <w:t xml:space="preserve">aggressive sexual attention from a woman”. </w:t>
      </w:r>
      <w:r>
        <w:rPr>
          <w:rFonts w:eastAsia="Times New Roman"/>
          <w:sz w:val="24"/>
          <w:szCs w:val="24"/>
        </w:rPr>
        <w:t>Another felt that</w:t>
      </w:r>
      <w:r>
        <w:rPr>
          <w:rFonts w:eastAsia="Times New Roman"/>
          <w:i/>
          <w:iCs/>
          <w:sz w:val="24"/>
          <w:szCs w:val="24"/>
        </w:rPr>
        <w:t xml:space="preserve"> “I'd be laughed at, or told to stop complaining”</w:t>
      </w:r>
    </w:p>
    <w:p w:rsidR="00DD0303" w:rsidRDefault="00DD0303">
      <w:pPr>
        <w:spacing w:line="1" w:lineRule="exact"/>
        <w:rPr>
          <w:sz w:val="20"/>
          <w:szCs w:val="20"/>
        </w:rPr>
      </w:pPr>
    </w:p>
    <w:p w:rsidR="00DD0303" w:rsidRDefault="00FB1377">
      <w:pPr>
        <w:spacing w:line="480" w:lineRule="auto"/>
        <w:ind w:right="6" w:firstLine="720"/>
        <w:rPr>
          <w:sz w:val="20"/>
          <w:szCs w:val="20"/>
        </w:rPr>
      </w:pPr>
      <w:r>
        <w:rPr>
          <w:rFonts w:eastAsia="Times New Roman"/>
          <w:sz w:val="24"/>
          <w:szCs w:val="24"/>
        </w:rPr>
        <w:t xml:space="preserve">A number of men also said they feared what family and friends would think or say about the incident because of the perpetrator being female. One man said, </w:t>
      </w:r>
      <w:r>
        <w:rPr>
          <w:rFonts w:eastAsia="Times New Roman"/>
          <w:i/>
          <w:iCs/>
          <w:sz w:val="24"/>
          <w:szCs w:val="24"/>
        </w:rPr>
        <w:t>“I doubt my friends</w:t>
      </w:r>
      <w:r>
        <w:rPr>
          <w:rFonts w:eastAsia="Times New Roman"/>
          <w:sz w:val="24"/>
          <w:szCs w:val="24"/>
        </w:rPr>
        <w:t xml:space="preserve"> </w:t>
      </w:r>
      <w:r>
        <w:rPr>
          <w:rFonts w:eastAsia="Times New Roman"/>
          <w:i/>
          <w:iCs/>
          <w:sz w:val="24"/>
          <w:szCs w:val="24"/>
        </w:rPr>
        <w:t>or family wou</w:t>
      </w:r>
      <w:r>
        <w:rPr>
          <w:rFonts w:eastAsia="Times New Roman"/>
          <w:i/>
          <w:iCs/>
          <w:sz w:val="24"/>
          <w:szCs w:val="24"/>
        </w:rPr>
        <w:t xml:space="preserve">ld take it the same way as a male rapist”. </w:t>
      </w:r>
      <w:r>
        <w:rPr>
          <w:rFonts w:eastAsia="Times New Roman"/>
          <w:sz w:val="24"/>
          <w:szCs w:val="24"/>
        </w:rPr>
        <w:t>Another man stated,</w:t>
      </w:r>
      <w:r>
        <w:rPr>
          <w:rFonts w:eastAsia="Times New Roman"/>
          <w:i/>
          <w:iCs/>
          <w:sz w:val="24"/>
          <w:szCs w:val="24"/>
        </w:rPr>
        <w:t xml:space="preserve"> “Only a few would believe me if I said it, but all would still have questions about how</w:t>
      </w:r>
      <w:r>
        <w:rPr>
          <w:rFonts w:eastAsia="Times New Roman"/>
          <w:sz w:val="24"/>
          <w:szCs w:val="24"/>
        </w:rPr>
        <w:t>”.</w:t>
      </w:r>
    </w:p>
    <w:p w:rsidR="00DD0303" w:rsidRDefault="00FB1377">
      <w:pPr>
        <w:spacing w:line="488" w:lineRule="auto"/>
        <w:ind w:right="146" w:firstLine="720"/>
        <w:rPr>
          <w:sz w:val="20"/>
          <w:szCs w:val="20"/>
        </w:rPr>
      </w:pPr>
      <w:r>
        <w:rPr>
          <w:rFonts w:eastAsia="Times New Roman"/>
          <w:sz w:val="24"/>
          <w:szCs w:val="24"/>
        </w:rPr>
        <w:t>This all accords with the way in which female-perpetrated male sexual victimisation has been shown to b</w:t>
      </w:r>
      <w:r>
        <w:rPr>
          <w:rFonts w:eastAsia="Times New Roman"/>
          <w:sz w:val="24"/>
          <w:szCs w:val="24"/>
        </w:rPr>
        <w:t>e perceived by the general public in the previous literature, for example; in the studies of Smith et al. (1988) and Chapleau et al. (2008). These have shown that such offences are perceived to be less serious in nature, with many individuals questioning h</w:t>
      </w:r>
      <w:r>
        <w:rPr>
          <w:rFonts w:eastAsia="Times New Roman"/>
          <w:sz w:val="24"/>
          <w:szCs w:val="24"/>
        </w:rPr>
        <w:t>ow and in what ways it is possible for a female to assault or rape a male (Fisher &amp; Pina, 2013).</w:t>
      </w:r>
    </w:p>
    <w:p w:rsidR="00DD0303" w:rsidRDefault="00DD0303">
      <w:pPr>
        <w:spacing w:line="200" w:lineRule="exact"/>
        <w:rPr>
          <w:sz w:val="20"/>
          <w:szCs w:val="20"/>
        </w:rPr>
      </w:pPr>
    </w:p>
    <w:p w:rsidR="00DD0303" w:rsidRDefault="00DD0303">
      <w:pPr>
        <w:spacing w:line="306" w:lineRule="exact"/>
        <w:rPr>
          <w:sz w:val="20"/>
          <w:szCs w:val="20"/>
        </w:rPr>
      </w:pPr>
    </w:p>
    <w:p w:rsidR="00DD0303" w:rsidRDefault="00FB1377">
      <w:pPr>
        <w:spacing w:line="480" w:lineRule="auto"/>
        <w:ind w:right="546" w:firstLine="720"/>
        <w:rPr>
          <w:sz w:val="20"/>
          <w:szCs w:val="20"/>
        </w:rPr>
      </w:pPr>
      <w:r>
        <w:rPr>
          <w:rFonts w:eastAsia="Times New Roman"/>
          <w:sz w:val="24"/>
          <w:szCs w:val="24"/>
        </w:rPr>
        <w:t>It was found that whether or not participants had prior experience of male sexual victimisation affected the responses that they gave.</w:t>
      </w:r>
    </w:p>
    <w:p w:rsidR="00DD0303" w:rsidRDefault="00FB1377">
      <w:pPr>
        <w:spacing w:line="480" w:lineRule="auto"/>
        <w:ind w:right="66" w:firstLine="720"/>
        <w:rPr>
          <w:sz w:val="20"/>
          <w:szCs w:val="20"/>
        </w:rPr>
      </w:pPr>
      <w:r>
        <w:rPr>
          <w:rFonts w:eastAsia="Times New Roman"/>
          <w:sz w:val="24"/>
          <w:szCs w:val="24"/>
        </w:rPr>
        <w:t>In general, those with</w:t>
      </w:r>
      <w:r>
        <w:rPr>
          <w:rFonts w:eastAsia="Times New Roman"/>
          <w:sz w:val="24"/>
          <w:szCs w:val="24"/>
        </w:rPr>
        <w:t xml:space="preserve"> previous experience were more likely to agree with some of the statements relating to how cases of male victimisation might be dealt with by the police, suggesting that prior exposure has a negative impact on the perceived likelihood of positive outcomes </w:t>
      </w:r>
      <w:r>
        <w:rPr>
          <w:rFonts w:eastAsia="Times New Roman"/>
          <w:sz w:val="24"/>
          <w:szCs w:val="24"/>
        </w:rPr>
        <w:t>for reported offences.</w:t>
      </w:r>
    </w:p>
    <w:p w:rsidR="00DD0303" w:rsidRDefault="00FB1377">
      <w:pPr>
        <w:spacing w:line="488" w:lineRule="auto"/>
        <w:ind w:right="126" w:firstLine="720"/>
        <w:rPr>
          <w:sz w:val="20"/>
          <w:szCs w:val="20"/>
        </w:rPr>
      </w:pPr>
      <w:r>
        <w:rPr>
          <w:rFonts w:eastAsia="Times New Roman"/>
          <w:sz w:val="24"/>
          <w:szCs w:val="24"/>
        </w:rPr>
        <w:t>This might be the result of a negative experience; a possibility that Turchik and Edwards (2012) discuss. Findings suggest that less than half of male rape victims who report their assaults to the police feel that the police were hel</w:t>
      </w:r>
      <w:r>
        <w:rPr>
          <w:rFonts w:eastAsia="Times New Roman"/>
          <w:sz w:val="24"/>
          <w:szCs w:val="24"/>
        </w:rPr>
        <w:t>pful and that they dealt with their case appropriately. Many victims report that they found the police to be unsympathetic, disinterested and homophobic (Walker et al., 2005).</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ind w:right="6"/>
        <w:jc w:val="right"/>
        <w:rPr>
          <w:sz w:val="20"/>
          <w:szCs w:val="20"/>
        </w:rPr>
      </w:pPr>
      <w:r>
        <w:rPr>
          <w:rFonts w:eastAsia="Times New Roman"/>
        </w:rPr>
        <w:t>26</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7" w:name="page28"/>
      <w:bookmarkEnd w:id="27"/>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6" w:lineRule="auto"/>
        <w:ind w:right="106" w:firstLine="720"/>
        <w:rPr>
          <w:sz w:val="20"/>
          <w:szCs w:val="20"/>
        </w:rPr>
      </w:pPr>
      <w:r>
        <w:rPr>
          <w:rFonts w:eastAsia="Times New Roman"/>
          <w:sz w:val="24"/>
          <w:szCs w:val="24"/>
        </w:rPr>
        <w:t>This also</w:t>
      </w:r>
      <w:r>
        <w:rPr>
          <w:rFonts w:eastAsia="Times New Roman"/>
          <w:sz w:val="24"/>
          <w:szCs w:val="24"/>
        </w:rPr>
        <w:t xml:space="preserve"> ties in with commonly reported findings regarding post-victimisation experiences of males, such as those presented by Walker, Archer &amp; Davies (2005); male victims have been shown to suffer more long-term effects as a result of sexual victimisation than wo</w:t>
      </w:r>
      <w:r>
        <w:rPr>
          <w:rFonts w:eastAsia="Times New Roman"/>
          <w:sz w:val="24"/>
          <w:szCs w:val="24"/>
        </w:rPr>
        <w:t>men, and one reason for this might be that the experience of reporting and the response that they receive after the fact is more negative for males, generating more negative post-event feelings and perceptions.</w:t>
      </w:r>
    </w:p>
    <w:p w:rsidR="00DD0303" w:rsidRDefault="00DD0303">
      <w:pPr>
        <w:spacing w:line="200" w:lineRule="exact"/>
        <w:rPr>
          <w:sz w:val="20"/>
          <w:szCs w:val="20"/>
        </w:rPr>
      </w:pPr>
    </w:p>
    <w:p w:rsidR="00DD0303" w:rsidRDefault="00DD0303">
      <w:pPr>
        <w:spacing w:line="307" w:lineRule="exact"/>
        <w:rPr>
          <w:sz w:val="20"/>
          <w:szCs w:val="20"/>
        </w:rPr>
      </w:pPr>
    </w:p>
    <w:p w:rsidR="00DD0303" w:rsidRDefault="00FB1377">
      <w:pPr>
        <w:rPr>
          <w:sz w:val="20"/>
          <w:szCs w:val="20"/>
        </w:rPr>
      </w:pPr>
      <w:r>
        <w:rPr>
          <w:rFonts w:eastAsia="Times New Roman"/>
          <w:i/>
          <w:iCs/>
          <w:sz w:val="24"/>
          <w:szCs w:val="24"/>
        </w:rPr>
        <w:t>The Implications and Potential Impacts of B</w:t>
      </w:r>
      <w:r>
        <w:rPr>
          <w:rFonts w:eastAsia="Times New Roman"/>
          <w:i/>
          <w:iCs/>
          <w:sz w:val="24"/>
          <w:szCs w:val="24"/>
        </w:rPr>
        <w:t>iased Perceptions of Male Sexual Victimisation</w:t>
      </w:r>
    </w:p>
    <w:p w:rsidR="00DD0303" w:rsidRDefault="00DD0303">
      <w:pPr>
        <w:spacing w:line="400" w:lineRule="exact"/>
        <w:rPr>
          <w:sz w:val="20"/>
          <w:szCs w:val="20"/>
        </w:rPr>
      </w:pPr>
    </w:p>
    <w:p w:rsidR="00DD0303" w:rsidRDefault="00FB1377">
      <w:pPr>
        <w:spacing w:line="483" w:lineRule="auto"/>
        <w:ind w:right="146" w:firstLine="720"/>
        <w:rPr>
          <w:sz w:val="20"/>
          <w:szCs w:val="20"/>
        </w:rPr>
      </w:pPr>
      <w:r>
        <w:rPr>
          <w:rFonts w:eastAsia="Times New Roman"/>
          <w:sz w:val="24"/>
          <w:szCs w:val="24"/>
        </w:rPr>
        <w:t xml:space="preserve">The findings presented here have notable implications for the recognition, reporting, investigation and processing of male sexual offences throughout all of the different stages of the criminal justice </w:t>
      </w:r>
      <w:r>
        <w:rPr>
          <w:rFonts w:eastAsia="Times New Roman"/>
          <w:sz w:val="24"/>
          <w:szCs w:val="24"/>
        </w:rPr>
        <w:t xml:space="preserve">system. Firstly, they provide insight into potential barriers for the recognition of male rape and sexual assault as serious offences, ones that warrant reporting, investigative action, and/or prosecution. Both as a consequence of and in addition to this, </w:t>
      </w:r>
      <w:r>
        <w:rPr>
          <w:rFonts w:eastAsia="Times New Roman"/>
          <w:sz w:val="24"/>
          <w:szCs w:val="24"/>
        </w:rPr>
        <w:t>they also demonstrate barriers to reporting male sexual victimisation. Many of these barriers take the form of widely prevalent rape myths. The combinatory effects of these different barriers are likely to contribute greatly to low reporting, low prosecuti</w:t>
      </w:r>
      <w:r>
        <w:rPr>
          <w:rFonts w:eastAsia="Times New Roman"/>
          <w:sz w:val="24"/>
          <w:szCs w:val="24"/>
        </w:rPr>
        <w:t>on and low conviction rates for male sexual offences. These rates, in turn, are likely to generate higher levels of subscription to commonly held rape myths (such as those suggesting that the police won’t take such crimes seriously or that these offences a</w:t>
      </w:r>
      <w:r>
        <w:rPr>
          <w:rFonts w:eastAsia="Times New Roman"/>
          <w:sz w:val="24"/>
          <w:szCs w:val="24"/>
        </w:rPr>
        <w:t>re likely to result in a conviction), thereby generating a self-perpetuating circle.</w:t>
      </w:r>
    </w:p>
    <w:p w:rsidR="00DD0303" w:rsidRDefault="00DD0303">
      <w:pPr>
        <w:spacing w:line="79" w:lineRule="exact"/>
        <w:rPr>
          <w:sz w:val="20"/>
          <w:szCs w:val="20"/>
        </w:rPr>
      </w:pPr>
    </w:p>
    <w:p w:rsidR="00DD0303" w:rsidRDefault="00FB1377">
      <w:pPr>
        <w:spacing w:line="488" w:lineRule="auto"/>
        <w:ind w:right="426" w:firstLine="720"/>
        <w:rPr>
          <w:sz w:val="20"/>
          <w:szCs w:val="20"/>
        </w:rPr>
      </w:pPr>
      <w:r>
        <w:rPr>
          <w:rFonts w:eastAsia="Times New Roman"/>
          <w:sz w:val="24"/>
          <w:szCs w:val="24"/>
        </w:rPr>
        <w:t>The sample utilised in the present study was comprised of a general population sample, and the views displayed are therefore likely to be – at least to some extent – refl</w:t>
      </w:r>
      <w:r>
        <w:rPr>
          <w:rFonts w:eastAsia="Times New Roman"/>
          <w:sz w:val="24"/>
          <w:szCs w:val="24"/>
        </w:rPr>
        <w:t>ective of those that prevail in general society. These may well manifest in groups of individuals who deal with victims of male sexual violence on a daily basis, such as police officers and law enforcement officials, lawyers, judges and jury members.</w:t>
      </w:r>
    </w:p>
    <w:p w:rsidR="00DD0303" w:rsidRDefault="00DD0303">
      <w:pPr>
        <w:spacing w:line="84" w:lineRule="exact"/>
        <w:rPr>
          <w:sz w:val="20"/>
          <w:szCs w:val="20"/>
        </w:rPr>
      </w:pPr>
    </w:p>
    <w:p w:rsidR="00DD0303" w:rsidRDefault="00FB1377">
      <w:pPr>
        <w:ind w:right="6"/>
        <w:jc w:val="right"/>
        <w:rPr>
          <w:sz w:val="20"/>
          <w:szCs w:val="20"/>
        </w:rPr>
      </w:pPr>
      <w:r>
        <w:rPr>
          <w:rFonts w:eastAsia="Times New Roman"/>
        </w:rPr>
        <w:t>27</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8" w:name="page29"/>
      <w:bookmarkEnd w:id="28"/>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500" w:lineRule="auto"/>
        <w:ind w:right="46" w:firstLine="720"/>
        <w:rPr>
          <w:sz w:val="20"/>
          <w:szCs w:val="20"/>
        </w:rPr>
      </w:pPr>
      <w:r>
        <w:rPr>
          <w:rFonts w:eastAsia="Times New Roman"/>
          <w:sz w:val="23"/>
          <w:szCs w:val="23"/>
        </w:rPr>
        <w:t xml:space="preserve">Flowe et al. (2009), for example, discuss how media representations of rape and associated public beliefs might impact upon rape prosecution on multiple levels, potentially influencing </w:t>
      </w:r>
      <w:r>
        <w:rPr>
          <w:rFonts w:eastAsia="Times New Roman"/>
          <w:sz w:val="23"/>
          <w:szCs w:val="23"/>
        </w:rPr>
        <w:t>whether legal officials, from the police to jurors, find the victim believable and the perpetrator culpable. Turchik and Edwards (2012) suggest that male rape myths are not only prevalent among the general public and college students, but among counselors,</w:t>
      </w:r>
      <w:r>
        <w:rPr>
          <w:rFonts w:eastAsia="Times New Roman"/>
          <w:sz w:val="23"/>
          <w:szCs w:val="23"/>
        </w:rPr>
        <w:t xml:space="preserve"> medical trainees, law enforcement, and rape crisis workers as well, citing the work of Anderson &amp; Quinn (2009), Donnelly &amp; Kenyon (1996) and Kassing &amp; Prieto (2003) as evidence.</w:t>
      </w:r>
    </w:p>
    <w:p w:rsidR="00DD0303" w:rsidRDefault="00DD0303">
      <w:pPr>
        <w:spacing w:line="7" w:lineRule="exact"/>
        <w:rPr>
          <w:sz w:val="20"/>
          <w:szCs w:val="20"/>
        </w:rPr>
      </w:pPr>
    </w:p>
    <w:p w:rsidR="00DD0303" w:rsidRDefault="00FB1377">
      <w:pPr>
        <w:spacing w:line="480" w:lineRule="auto"/>
        <w:ind w:right="166" w:firstLine="720"/>
        <w:rPr>
          <w:sz w:val="20"/>
          <w:szCs w:val="20"/>
        </w:rPr>
      </w:pPr>
      <w:r>
        <w:rPr>
          <w:rFonts w:eastAsia="Times New Roman"/>
          <w:sz w:val="24"/>
          <w:szCs w:val="24"/>
        </w:rPr>
        <w:t>Rumney (2009) reviewed the research on law enforcement services and attitude</w:t>
      </w:r>
      <w:r>
        <w:rPr>
          <w:rFonts w:eastAsia="Times New Roman"/>
          <w:sz w:val="24"/>
          <w:szCs w:val="24"/>
        </w:rPr>
        <w:t>s toward male rape victims (particularly homosexual victims) and noted three main barriers to the recognition of male rape: (a) denying or minimizing male rape; (b) viewing male rape as less serious than other crimes, especially when homosexual victims are</w:t>
      </w:r>
      <w:r>
        <w:rPr>
          <w:rFonts w:eastAsia="Times New Roman"/>
          <w:sz w:val="24"/>
          <w:szCs w:val="24"/>
        </w:rPr>
        <w:t xml:space="preserve"> involved; and (c) blaming the victim.</w:t>
      </w:r>
    </w:p>
    <w:p w:rsidR="00DD0303" w:rsidRDefault="00FB1377">
      <w:pPr>
        <w:spacing w:line="490" w:lineRule="auto"/>
        <w:ind w:right="186" w:firstLine="720"/>
        <w:jc w:val="both"/>
        <w:rPr>
          <w:sz w:val="20"/>
          <w:szCs w:val="20"/>
        </w:rPr>
      </w:pPr>
      <w:r>
        <w:rPr>
          <w:rFonts w:eastAsia="Times New Roman"/>
          <w:sz w:val="24"/>
          <w:szCs w:val="24"/>
        </w:rPr>
        <w:t>Research needs to assess these impacts and influences of such barriers, establishing just how prevalent rape myths are amongst these groups, and to tackle head-on the potential repercussions of general rape myth accep</w:t>
      </w:r>
      <w:r>
        <w:rPr>
          <w:rFonts w:eastAsia="Times New Roman"/>
          <w:sz w:val="24"/>
          <w:szCs w:val="24"/>
        </w:rPr>
        <w:t>tance in the management of male rape cases and in the treatment of male rape victims.</w:t>
      </w:r>
    </w:p>
    <w:p w:rsidR="00DD0303" w:rsidRDefault="00DD0303">
      <w:pPr>
        <w:spacing w:line="200" w:lineRule="exact"/>
        <w:rPr>
          <w:sz w:val="20"/>
          <w:szCs w:val="20"/>
        </w:rPr>
      </w:pPr>
    </w:p>
    <w:p w:rsidR="00DD0303" w:rsidRDefault="00DD0303">
      <w:pPr>
        <w:spacing w:line="306" w:lineRule="exact"/>
        <w:rPr>
          <w:sz w:val="20"/>
          <w:szCs w:val="20"/>
        </w:rPr>
      </w:pPr>
    </w:p>
    <w:p w:rsidR="00DD0303" w:rsidRDefault="00FB1377">
      <w:pPr>
        <w:spacing w:line="500" w:lineRule="auto"/>
        <w:ind w:right="366" w:firstLine="720"/>
        <w:jc w:val="both"/>
        <w:rPr>
          <w:sz w:val="20"/>
          <w:szCs w:val="20"/>
        </w:rPr>
      </w:pPr>
      <w:r>
        <w:rPr>
          <w:rFonts w:eastAsia="Times New Roman"/>
          <w:sz w:val="23"/>
          <w:szCs w:val="23"/>
        </w:rPr>
        <w:t>These findings for a sample of men in the UK suggest that many do not realise the severity of male sexual victimisation, and that most do not believe that they would re</w:t>
      </w:r>
      <w:r>
        <w:rPr>
          <w:rFonts w:eastAsia="Times New Roman"/>
          <w:sz w:val="23"/>
          <w:szCs w:val="23"/>
        </w:rPr>
        <w:t>ceive appropriate support or treatment were they to be victimised and report their victimisation.</w:t>
      </w:r>
    </w:p>
    <w:p w:rsidR="00DD0303" w:rsidRDefault="00DD0303">
      <w:pPr>
        <w:spacing w:line="3" w:lineRule="exact"/>
        <w:rPr>
          <w:sz w:val="20"/>
          <w:szCs w:val="20"/>
        </w:rPr>
      </w:pPr>
    </w:p>
    <w:p w:rsidR="00DD0303" w:rsidRDefault="00FB1377">
      <w:pPr>
        <w:spacing w:line="496" w:lineRule="auto"/>
        <w:ind w:right="106" w:firstLine="720"/>
        <w:rPr>
          <w:sz w:val="20"/>
          <w:szCs w:val="20"/>
        </w:rPr>
      </w:pPr>
      <w:r>
        <w:rPr>
          <w:rFonts w:eastAsia="Times New Roman"/>
          <w:sz w:val="24"/>
          <w:szCs w:val="24"/>
        </w:rPr>
        <w:t xml:space="preserve">This emphasises the need for increased public awareness campaigns, to provide more accurate information about such offences and to encourage male victims to </w:t>
      </w:r>
      <w:r>
        <w:rPr>
          <w:rFonts w:eastAsia="Times New Roman"/>
          <w:sz w:val="24"/>
          <w:szCs w:val="24"/>
        </w:rPr>
        <w:t>seek help, offering assurances that their cases will be taken seriously and dealt with appropriately.</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19" w:lineRule="exact"/>
        <w:rPr>
          <w:sz w:val="20"/>
          <w:szCs w:val="20"/>
        </w:rPr>
      </w:pPr>
    </w:p>
    <w:p w:rsidR="00DD0303" w:rsidRDefault="00FB1377">
      <w:pPr>
        <w:ind w:right="6"/>
        <w:jc w:val="right"/>
        <w:rPr>
          <w:sz w:val="20"/>
          <w:szCs w:val="20"/>
        </w:rPr>
      </w:pPr>
      <w:r>
        <w:rPr>
          <w:rFonts w:eastAsia="Times New Roman"/>
        </w:rPr>
        <w:t>28</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29" w:name="page30"/>
      <w:bookmarkEnd w:id="29"/>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8" w:lineRule="auto"/>
        <w:ind w:right="226" w:firstLine="720"/>
        <w:rPr>
          <w:sz w:val="20"/>
          <w:szCs w:val="20"/>
        </w:rPr>
      </w:pPr>
      <w:r>
        <w:rPr>
          <w:rFonts w:eastAsia="Times New Roman"/>
          <w:sz w:val="24"/>
          <w:szCs w:val="24"/>
        </w:rPr>
        <w:t xml:space="preserve">Du Mont, MacDonald, White and Turner (2013) propose that male-specific services </w:t>
      </w:r>
      <w:r>
        <w:rPr>
          <w:rFonts w:eastAsia="Times New Roman"/>
          <w:sz w:val="24"/>
          <w:szCs w:val="24"/>
        </w:rPr>
        <w:t>and targeted support should be made more readily available. Enhanced support and more overt acceptance and recognition of male sexual victimisation would, as McLean, Balding and White (2004) discuss, leader to greater levels of reporting, as males find tha</w:t>
      </w:r>
      <w:r>
        <w:rPr>
          <w:rFonts w:eastAsia="Times New Roman"/>
          <w:sz w:val="24"/>
          <w:szCs w:val="24"/>
        </w:rPr>
        <w:t>t their experiences and needs for assistance are acknowledged (McLean et al., 2004).</w:t>
      </w:r>
    </w:p>
    <w:p w:rsidR="00DD0303" w:rsidRDefault="00DD0303">
      <w:pPr>
        <w:spacing w:line="74" w:lineRule="exact"/>
        <w:rPr>
          <w:sz w:val="20"/>
          <w:szCs w:val="20"/>
        </w:rPr>
      </w:pPr>
    </w:p>
    <w:p w:rsidR="00DD0303" w:rsidRDefault="00FB1377">
      <w:pPr>
        <w:spacing w:line="488" w:lineRule="auto"/>
        <w:ind w:right="46" w:firstLine="720"/>
        <w:rPr>
          <w:sz w:val="20"/>
          <w:szCs w:val="20"/>
        </w:rPr>
      </w:pPr>
      <w:r>
        <w:rPr>
          <w:rFonts w:eastAsia="Times New Roman"/>
          <w:sz w:val="24"/>
          <w:szCs w:val="24"/>
        </w:rPr>
        <w:t>More recently, a number of positive changes have taken place in the UK which seek to promote accurate recognition of male sexual victimisation and better support for vict</w:t>
      </w:r>
      <w:r>
        <w:rPr>
          <w:rFonts w:eastAsia="Times New Roman"/>
          <w:sz w:val="24"/>
          <w:szCs w:val="24"/>
        </w:rPr>
        <w:t>ims of male sexual violence. These are summarised by Turchik and Edwards (2012), and include the portrayal of male sexual victimisation in the popular literature and the implementation of targeted strategies for dealing with male sexual violence by the Min</w:t>
      </w:r>
      <w:r>
        <w:rPr>
          <w:rFonts w:eastAsia="Times New Roman"/>
          <w:sz w:val="24"/>
          <w:szCs w:val="24"/>
        </w:rPr>
        <w:t>istry of Justice.</w:t>
      </w:r>
    </w:p>
    <w:p w:rsidR="00DD0303" w:rsidRDefault="00DD0303">
      <w:pPr>
        <w:spacing w:line="74" w:lineRule="exact"/>
        <w:rPr>
          <w:sz w:val="20"/>
          <w:szCs w:val="20"/>
        </w:rPr>
      </w:pPr>
    </w:p>
    <w:p w:rsidR="00DD0303" w:rsidRDefault="00FB1377">
      <w:pPr>
        <w:spacing w:line="490" w:lineRule="auto"/>
        <w:ind w:right="166" w:firstLine="720"/>
        <w:rPr>
          <w:sz w:val="20"/>
          <w:szCs w:val="20"/>
        </w:rPr>
      </w:pPr>
      <w:r>
        <w:rPr>
          <w:rFonts w:eastAsia="Times New Roman"/>
          <w:sz w:val="24"/>
          <w:szCs w:val="24"/>
        </w:rPr>
        <w:t xml:space="preserve">Research now needs, then, to assess the impact that changes are having on service provision and associated uptake (Du Mont et al., 2013). It is suggested that future research monitors these issues, and it is hoped that by providing some </w:t>
      </w:r>
      <w:r>
        <w:rPr>
          <w:rFonts w:eastAsia="Times New Roman"/>
          <w:sz w:val="24"/>
          <w:szCs w:val="24"/>
        </w:rPr>
        <w:t>initial base rate figures that the present study will provide valuable assistance to such endeavours.</w:t>
      </w:r>
    </w:p>
    <w:p w:rsidR="00DD0303" w:rsidRDefault="00DD0303">
      <w:pPr>
        <w:spacing w:line="200" w:lineRule="exact"/>
        <w:rPr>
          <w:sz w:val="20"/>
          <w:szCs w:val="20"/>
        </w:rPr>
      </w:pPr>
    </w:p>
    <w:p w:rsidR="00DD0303" w:rsidRDefault="00DD0303">
      <w:pPr>
        <w:spacing w:line="302" w:lineRule="exact"/>
        <w:rPr>
          <w:sz w:val="20"/>
          <w:szCs w:val="20"/>
        </w:rPr>
      </w:pPr>
    </w:p>
    <w:p w:rsidR="00DD0303" w:rsidRDefault="00FB1377">
      <w:pPr>
        <w:rPr>
          <w:sz w:val="20"/>
          <w:szCs w:val="20"/>
        </w:rPr>
      </w:pPr>
      <w:r>
        <w:rPr>
          <w:rFonts w:eastAsia="Times New Roman"/>
          <w:i/>
          <w:iCs/>
          <w:sz w:val="24"/>
          <w:szCs w:val="24"/>
        </w:rPr>
        <w:t>Limitations and Directions For Further Research</w:t>
      </w:r>
    </w:p>
    <w:p w:rsidR="00DD0303" w:rsidRDefault="00DD0303">
      <w:pPr>
        <w:spacing w:line="400" w:lineRule="exact"/>
        <w:rPr>
          <w:sz w:val="20"/>
          <w:szCs w:val="20"/>
        </w:rPr>
      </w:pPr>
    </w:p>
    <w:p w:rsidR="00DD0303" w:rsidRDefault="00FB1377">
      <w:pPr>
        <w:spacing w:line="480" w:lineRule="auto"/>
        <w:ind w:right="106" w:firstLine="720"/>
        <w:rPr>
          <w:sz w:val="20"/>
          <w:szCs w:val="20"/>
        </w:rPr>
      </w:pPr>
      <w:r>
        <w:rPr>
          <w:rFonts w:eastAsia="Times New Roman"/>
          <w:sz w:val="24"/>
          <w:szCs w:val="24"/>
        </w:rPr>
        <w:t>The bulk of the limitations of the present research relate to the nature of the sample employed. Firstl</w:t>
      </w:r>
      <w:r>
        <w:rPr>
          <w:rFonts w:eastAsia="Times New Roman"/>
          <w:sz w:val="24"/>
          <w:szCs w:val="24"/>
        </w:rPr>
        <w:t>y, the sample was relatively small; further replications with larger samples are certainly warranted. Secondly, the sample was quite homogenous, in terms of characteristics and backgrounds. It would be interesting to see how acceptance of rape myths varies</w:t>
      </w:r>
      <w:r>
        <w:rPr>
          <w:rFonts w:eastAsia="Times New Roman"/>
          <w:sz w:val="24"/>
          <w:szCs w:val="24"/>
        </w:rPr>
        <w:t xml:space="preserve">, for example; by background, profession, age and a range of other factors. Cultural comparisons would also be a fruitful direction for further research, as this might enable the sources of such rape myths to be explored to a greater extent. It could also </w:t>
      </w:r>
      <w:r>
        <w:rPr>
          <w:rFonts w:eastAsia="Times New Roman"/>
          <w:sz w:val="24"/>
          <w:szCs w:val="24"/>
        </w:rPr>
        <w:t>be interesting to compare the findings from the present study with those for a general population sample of women.</w:t>
      </w:r>
    </w:p>
    <w:p w:rsidR="00DD0303" w:rsidRDefault="00DD0303">
      <w:pPr>
        <w:spacing w:line="10" w:lineRule="exact"/>
        <w:rPr>
          <w:sz w:val="20"/>
          <w:szCs w:val="20"/>
        </w:rPr>
      </w:pPr>
    </w:p>
    <w:p w:rsidR="00DD0303" w:rsidRDefault="00FB1377">
      <w:pPr>
        <w:ind w:right="6"/>
        <w:jc w:val="right"/>
        <w:rPr>
          <w:sz w:val="20"/>
          <w:szCs w:val="20"/>
        </w:rPr>
      </w:pPr>
      <w:r>
        <w:rPr>
          <w:rFonts w:eastAsia="Times New Roman"/>
        </w:rPr>
        <w:t>29</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0" w:name="page31"/>
      <w:bookmarkEnd w:id="30"/>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80" w:lineRule="auto"/>
        <w:ind w:right="46" w:firstLine="720"/>
        <w:rPr>
          <w:sz w:val="20"/>
          <w:szCs w:val="20"/>
        </w:rPr>
      </w:pPr>
      <w:r>
        <w:rPr>
          <w:rFonts w:eastAsia="Times New Roman"/>
          <w:sz w:val="24"/>
          <w:szCs w:val="24"/>
        </w:rPr>
        <w:t xml:space="preserve">Limitations also arise in relation to potential expectancy effects and </w:t>
      </w:r>
      <w:r>
        <w:rPr>
          <w:rFonts w:eastAsia="Times New Roman"/>
          <w:sz w:val="24"/>
          <w:szCs w:val="24"/>
        </w:rPr>
        <w:t xml:space="preserve">social desirability factors. The possibility that participants provided what they deemed to be more socially acceptable responses cannot be ignored. This might be part of the reason why levels of myth acceptance were generally low. Quite how these effects </w:t>
      </w:r>
      <w:r>
        <w:rPr>
          <w:rFonts w:eastAsia="Times New Roman"/>
          <w:sz w:val="24"/>
          <w:szCs w:val="24"/>
        </w:rPr>
        <w:t>might be countered in research paradigms is a challenge that future studies might seek to tackle in the methodologies that they utilise.</w:t>
      </w:r>
    </w:p>
    <w:p w:rsidR="00DD0303" w:rsidRDefault="00FB1377">
      <w:pPr>
        <w:spacing w:line="480" w:lineRule="auto"/>
        <w:ind w:right="66" w:firstLine="720"/>
        <w:rPr>
          <w:sz w:val="20"/>
          <w:szCs w:val="20"/>
        </w:rPr>
      </w:pPr>
      <w:r>
        <w:rPr>
          <w:rFonts w:eastAsia="Times New Roman"/>
          <w:sz w:val="24"/>
          <w:szCs w:val="24"/>
        </w:rPr>
        <w:t>It must also be noted that, when discussing whether they would report male sexual victimisation if it were to happen to</w:t>
      </w:r>
      <w:r>
        <w:rPr>
          <w:rFonts w:eastAsia="Times New Roman"/>
          <w:sz w:val="24"/>
          <w:szCs w:val="24"/>
        </w:rPr>
        <w:t xml:space="preserve"> them, respondents were making their decisions in relation to hypothetical actions and on the basis of theoretical outcomes. It might be the case that their feelings and attitudes towards reporting may differ substantially if they had actually experienced </w:t>
      </w:r>
      <w:r>
        <w:rPr>
          <w:rFonts w:eastAsia="Times New Roman"/>
          <w:sz w:val="24"/>
          <w:szCs w:val="24"/>
        </w:rPr>
        <w:t>victimisation. For this reason, the inferences made as to potential barriers to reporting are only tentative suggestions, and no firm conclusions as to the factors affecting male reporting behaviour can be drawn from the findings presented here.</w:t>
      </w:r>
    </w:p>
    <w:p w:rsidR="00DD0303" w:rsidRDefault="00FB1377">
      <w:pPr>
        <w:spacing w:line="480" w:lineRule="auto"/>
        <w:ind w:right="46" w:firstLine="720"/>
        <w:rPr>
          <w:sz w:val="20"/>
          <w:szCs w:val="20"/>
        </w:rPr>
      </w:pPr>
      <w:r>
        <w:rPr>
          <w:rFonts w:eastAsia="Times New Roman"/>
          <w:sz w:val="24"/>
          <w:szCs w:val="24"/>
        </w:rPr>
        <w:t>Another po</w:t>
      </w:r>
      <w:r>
        <w:rPr>
          <w:rFonts w:eastAsia="Times New Roman"/>
          <w:sz w:val="24"/>
          <w:szCs w:val="24"/>
        </w:rPr>
        <w:t>tential reason for the low levels of male sexual assault and rape myth acceptance observed might also be the fact that participants were provided with definitions of each of the offences prior to completing the survey. Struckman-Johnson and Struckman-Johns</w:t>
      </w:r>
      <w:r>
        <w:rPr>
          <w:rFonts w:eastAsia="Times New Roman"/>
          <w:sz w:val="24"/>
          <w:szCs w:val="24"/>
        </w:rPr>
        <w:t>on (1992), in explicating similarly high levels of rape myth rejection, posited that by providing a definition of male rape in the instructions, they had “educated” their participants and dissipated the associated myths. Future research might employ a cont</w:t>
      </w:r>
      <w:r>
        <w:rPr>
          <w:rFonts w:eastAsia="Times New Roman"/>
          <w:sz w:val="24"/>
          <w:szCs w:val="24"/>
        </w:rPr>
        <w:t>rol group given no such definitions, in order to assess and counteract any such effects.</w:t>
      </w:r>
    </w:p>
    <w:p w:rsidR="00DD0303" w:rsidRDefault="00FB1377">
      <w:pPr>
        <w:spacing w:line="488" w:lineRule="auto"/>
        <w:ind w:right="106" w:firstLine="720"/>
        <w:rPr>
          <w:sz w:val="20"/>
          <w:szCs w:val="20"/>
        </w:rPr>
      </w:pPr>
      <w:r>
        <w:rPr>
          <w:rFonts w:eastAsia="Times New Roman"/>
          <w:sz w:val="24"/>
          <w:szCs w:val="24"/>
        </w:rPr>
        <w:t>Finally, future studies could explore the potential benefits of information and education on levels of rape myth acceptance; for example – by providing different level</w:t>
      </w:r>
      <w:r>
        <w:rPr>
          <w:rFonts w:eastAsia="Times New Roman"/>
          <w:sz w:val="24"/>
          <w:szCs w:val="24"/>
        </w:rPr>
        <w:t>s of factual information or explanatory materials and seeing how these impact upon the ratings of participants. This might enable the most productive means of countering rape myths and breaking down barriers to recognition and reporting to be established.</w:t>
      </w:r>
    </w:p>
    <w:p w:rsidR="00DD0303" w:rsidRDefault="00DD0303">
      <w:pPr>
        <w:spacing w:line="324" w:lineRule="exact"/>
        <w:rPr>
          <w:sz w:val="20"/>
          <w:szCs w:val="20"/>
        </w:rPr>
      </w:pPr>
    </w:p>
    <w:p w:rsidR="00DD0303" w:rsidRDefault="00FB1377">
      <w:pPr>
        <w:ind w:right="6"/>
        <w:jc w:val="right"/>
        <w:rPr>
          <w:sz w:val="20"/>
          <w:szCs w:val="20"/>
        </w:rPr>
      </w:pPr>
      <w:r>
        <w:rPr>
          <w:rFonts w:eastAsia="Times New Roman"/>
        </w:rPr>
        <w:t>30</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1" w:name="page32"/>
      <w:bookmarkEnd w:id="31"/>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29" w:lineRule="exact"/>
        <w:rPr>
          <w:sz w:val="20"/>
          <w:szCs w:val="20"/>
        </w:rPr>
      </w:pPr>
    </w:p>
    <w:p w:rsidR="00DD0303" w:rsidRDefault="00FB1377">
      <w:pPr>
        <w:rPr>
          <w:sz w:val="20"/>
          <w:szCs w:val="20"/>
        </w:rPr>
      </w:pPr>
      <w:r>
        <w:rPr>
          <w:rFonts w:eastAsia="Times New Roman"/>
          <w:b/>
          <w:bCs/>
          <w:sz w:val="24"/>
          <w:szCs w:val="24"/>
        </w:rPr>
        <w:t>References</w:t>
      </w:r>
    </w:p>
    <w:p w:rsidR="00DD0303" w:rsidRDefault="00DD0303">
      <w:pPr>
        <w:spacing w:line="272" w:lineRule="exact"/>
        <w:rPr>
          <w:sz w:val="20"/>
          <w:szCs w:val="20"/>
        </w:rPr>
      </w:pPr>
    </w:p>
    <w:p w:rsidR="00DD0303" w:rsidRDefault="00FB1377">
      <w:pPr>
        <w:rPr>
          <w:sz w:val="20"/>
          <w:szCs w:val="20"/>
        </w:rPr>
      </w:pPr>
      <w:r>
        <w:rPr>
          <w:rFonts w:eastAsia="Times New Roman"/>
          <w:sz w:val="24"/>
          <w:szCs w:val="24"/>
        </w:rPr>
        <w:t xml:space="preserve">Abdullah-Khan, N. (2008) </w:t>
      </w:r>
      <w:r>
        <w:rPr>
          <w:rFonts w:eastAsia="Times New Roman"/>
          <w:i/>
          <w:iCs/>
          <w:sz w:val="24"/>
          <w:szCs w:val="24"/>
        </w:rPr>
        <w:t>Male Rape: The Emergence of a Social and Legal Issue.</w:t>
      </w:r>
      <w:r>
        <w:rPr>
          <w:rFonts w:eastAsia="Times New Roman"/>
          <w:sz w:val="24"/>
          <w:szCs w:val="24"/>
        </w:rPr>
        <w:t xml:space="preserve"> London:</w:t>
      </w:r>
    </w:p>
    <w:p w:rsidR="00DD0303" w:rsidRDefault="00DD0303">
      <w:pPr>
        <w:spacing w:line="280" w:lineRule="exact"/>
        <w:rPr>
          <w:sz w:val="20"/>
          <w:szCs w:val="20"/>
        </w:rPr>
      </w:pPr>
    </w:p>
    <w:p w:rsidR="00DD0303" w:rsidRDefault="00FB1377">
      <w:pPr>
        <w:ind w:left="720"/>
        <w:rPr>
          <w:sz w:val="20"/>
          <w:szCs w:val="20"/>
        </w:rPr>
      </w:pPr>
      <w:r>
        <w:rPr>
          <w:rFonts w:eastAsia="Times New Roman"/>
          <w:sz w:val="24"/>
          <w:szCs w:val="24"/>
        </w:rPr>
        <w:t>Palgrave-MacMillan.</w:t>
      </w:r>
    </w:p>
    <w:p w:rsidR="00DD0303" w:rsidRDefault="00DD0303">
      <w:pPr>
        <w:spacing w:line="396" w:lineRule="exact"/>
        <w:rPr>
          <w:sz w:val="20"/>
          <w:szCs w:val="20"/>
        </w:rPr>
      </w:pPr>
    </w:p>
    <w:p w:rsidR="00DD0303" w:rsidRDefault="00FB1377">
      <w:pPr>
        <w:spacing w:line="512" w:lineRule="auto"/>
        <w:ind w:left="720" w:right="386" w:hanging="719"/>
        <w:rPr>
          <w:sz w:val="20"/>
          <w:szCs w:val="20"/>
        </w:rPr>
      </w:pPr>
      <w:r>
        <w:rPr>
          <w:rFonts w:eastAsia="Times New Roman"/>
          <w:sz w:val="24"/>
          <w:szCs w:val="24"/>
        </w:rPr>
        <w:t>Anderson, I. &amp;</w:t>
      </w:r>
      <w:r>
        <w:rPr>
          <w:rFonts w:eastAsia="Times New Roman"/>
          <w:sz w:val="24"/>
          <w:szCs w:val="24"/>
        </w:rPr>
        <w:t xml:space="preserve"> Quinn, A. (2009) Gender differences in medical students’ attitudes toward male and female rape victims. </w:t>
      </w:r>
      <w:r>
        <w:rPr>
          <w:rFonts w:eastAsia="Times New Roman"/>
          <w:i/>
          <w:iCs/>
          <w:sz w:val="24"/>
          <w:szCs w:val="24"/>
        </w:rPr>
        <w:t>Psychology, Health and Medicine, 14;</w:t>
      </w:r>
      <w:r>
        <w:rPr>
          <w:rFonts w:eastAsia="Times New Roman"/>
          <w:sz w:val="24"/>
          <w:szCs w:val="24"/>
        </w:rPr>
        <w:t xml:space="preserve"> 105-110.</w:t>
      </w:r>
    </w:p>
    <w:p w:rsidR="00DD0303" w:rsidRDefault="00DD0303">
      <w:pPr>
        <w:spacing w:line="47" w:lineRule="exact"/>
        <w:rPr>
          <w:sz w:val="20"/>
          <w:szCs w:val="20"/>
        </w:rPr>
      </w:pPr>
    </w:p>
    <w:p w:rsidR="00DD0303" w:rsidRDefault="00FB1377">
      <w:pPr>
        <w:spacing w:line="496" w:lineRule="auto"/>
        <w:ind w:left="720" w:right="346" w:hanging="719"/>
        <w:rPr>
          <w:sz w:val="20"/>
          <w:szCs w:val="20"/>
        </w:rPr>
      </w:pPr>
      <w:r>
        <w:rPr>
          <w:rFonts w:eastAsia="Times New Roman"/>
          <w:sz w:val="24"/>
          <w:szCs w:val="24"/>
        </w:rPr>
        <w:t xml:space="preserve">Artime, T.M., McCallum, E.B. &amp; Peterson, Z.D. (2014) Men’s acknowledgment of their sexual victimisation </w:t>
      </w:r>
      <w:r>
        <w:rPr>
          <w:rFonts w:eastAsia="Times New Roman"/>
          <w:sz w:val="24"/>
          <w:szCs w:val="24"/>
        </w:rPr>
        <w:t xml:space="preserve">experiences. </w:t>
      </w:r>
      <w:r>
        <w:rPr>
          <w:rFonts w:eastAsia="Times New Roman"/>
          <w:i/>
          <w:iCs/>
          <w:sz w:val="24"/>
          <w:szCs w:val="24"/>
        </w:rPr>
        <w:t>Psychology of Men and Masculinity, 15 (3);</w:t>
      </w:r>
      <w:r>
        <w:rPr>
          <w:rFonts w:eastAsia="Times New Roman"/>
          <w:sz w:val="24"/>
          <w:szCs w:val="24"/>
        </w:rPr>
        <w:t xml:space="preserve"> 313-323.</w:t>
      </w:r>
    </w:p>
    <w:p w:rsidR="00DD0303" w:rsidRDefault="00DD0303">
      <w:pPr>
        <w:spacing w:line="65" w:lineRule="exact"/>
        <w:rPr>
          <w:sz w:val="20"/>
          <w:szCs w:val="20"/>
        </w:rPr>
      </w:pPr>
    </w:p>
    <w:p w:rsidR="00DD0303" w:rsidRDefault="00FB1377">
      <w:pPr>
        <w:spacing w:line="496" w:lineRule="auto"/>
        <w:ind w:left="720" w:right="46" w:hanging="719"/>
        <w:rPr>
          <w:sz w:val="20"/>
          <w:szCs w:val="20"/>
        </w:rPr>
      </w:pPr>
      <w:r>
        <w:rPr>
          <w:rFonts w:eastAsia="Times New Roman"/>
          <w:sz w:val="24"/>
          <w:szCs w:val="24"/>
        </w:rPr>
        <w:t xml:space="preserve">Brown, J.M., Hamilton, C. &amp; O’Neill, D. (2007) Characteristics associated with rape attrition and the role played by scepticism or legal rationality by investigators or prosecutors. </w:t>
      </w:r>
      <w:r>
        <w:rPr>
          <w:rFonts w:eastAsia="Times New Roman"/>
          <w:i/>
          <w:iCs/>
          <w:sz w:val="24"/>
          <w:szCs w:val="24"/>
        </w:rPr>
        <w:t>Psycholo</w:t>
      </w:r>
      <w:r>
        <w:rPr>
          <w:rFonts w:eastAsia="Times New Roman"/>
          <w:i/>
          <w:iCs/>
          <w:sz w:val="24"/>
          <w:szCs w:val="24"/>
        </w:rPr>
        <w:t xml:space="preserve">gy, Crime and Law, 13 (4); </w:t>
      </w:r>
      <w:r>
        <w:rPr>
          <w:rFonts w:eastAsia="Times New Roman"/>
          <w:sz w:val="24"/>
          <w:szCs w:val="24"/>
        </w:rPr>
        <w:t>355-370.</w:t>
      </w:r>
    </w:p>
    <w:p w:rsidR="00DD0303" w:rsidRDefault="00DD0303">
      <w:pPr>
        <w:spacing w:line="61" w:lineRule="exact"/>
        <w:rPr>
          <w:sz w:val="20"/>
          <w:szCs w:val="20"/>
        </w:rPr>
      </w:pPr>
    </w:p>
    <w:p w:rsidR="00DD0303" w:rsidRDefault="00FB1377">
      <w:pPr>
        <w:spacing w:line="516" w:lineRule="auto"/>
        <w:ind w:left="720" w:right="326" w:hanging="719"/>
        <w:rPr>
          <w:sz w:val="20"/>
          <w:szCs w:val="20"/>
        </w:rPr>
      </w:pPr>
      <w:r>
        <w:rPr>
          <w:rFonts w:eastAsia="Times New Roman"/>
          <w:sz w:val="24"/>
          <w:szCs w:val="24"/>
        </w:rPr>
        <w:t xml:space="preserve">Burrowes, N. &amp; Horvath, T. (2013) </w:t>
      </w:r>
      <w:r>
        <w:rPr>
          <w:rFonts w:eastAsia="Times New Roman"/>
          <w:i/>
          <w:iCs/>
          <w:sz w:val="24"/>
          <w:szCs w:val="24"/>
        </w:rPr>
        <w:t>The Rape and Sexual Assault of Men - A Review of the</w:t>
      </w:r>
      <w:r>
        <w:rPr>
          <w:rFonts w:eastAsia="Times New Roman"/>
          <w:sz w:val="24"/>
          <w:szCs w:val="24"/>
        </w:rPr>
        <w:t xml:space="preserve"> </w:t>
      </w:r>
      <w:r>
        <w:rPr>
          <w:rFonts w:eastAsia="Times New Roman"/>
          <w:i/>
          <w:iCs/>
          <w:sz w:val="24"/>
          <w:szCs w:val="24"/>
        </w:rPr>
        <w:t xml:space="preserve">Literature. </w:t>
      </w:r>
      <w:r>
        <w:rPr>
          <w:rFonts w:eastAsia="Times New Roman"/>
          <w:sz w:val="24"/>
          <w:szCs w:val="24"/>
        </w:rPr>
        <w:t>London: Survivors UK.</w:t>
      </w:r>
    </w:p>
    <w:p w:rsidR="00DD0303" w:rsidRDefault="00DD0303">
      <w:pPr>
        <w:spacing w:line="37" w:lineRule="exact"/>
        <w:rPr>
          <w:sz w:val="20"/>
          <w:szCs w:val="20"/>
        </w:rPr>
      </w:pPr>
    </w:p>
    <w:p w:rsidR="00DD0303" w:rsidRDefault="00FB1377">
      <w:pPr>
        <w:spacing w:line="516" w:lineRule="auto"/>
        <w:ind w:left="720" w:right="226" w:hanging="719"/>
        <w:rPr>
          <w:sz w:val="20"/>
          <w:szCs w:val="20"/>
        </w:rPr>
      </w:pPr>
      <w:r>
        <w:rPr>
          <w:rFonts w:eastAsia="Times New Roman"/>
          <w:sz w:val="24"/>
          <w:szCs w:val="24"/>
        </w:rPr>
        <w:t xml:space="preserve">Burt, M. R. (1980). Cultural myths and supports for rape.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w:t>
      </w:r>
      <w:r>
        <w:rPr>
          <w:rFonts w:eastAsia="Times New Roman"/>
          <w:i/>
          <w:iCs/>
          <w:sz w:val="24"/>
          <w:szCs w:val="24"/>
        </w:rPr>
        <w:t>ology</w:t>
      </w:r>
      <w:r>
        <w:rPr>
          <w:rFonts w:eastAsia="Times New Roman"/>
          <w:sz w:val="24"/>
          <w:szCs w:val="24"/>
        </w:rPr>
        <w:t>,</w:t>
      </w:r>
      <w:r>
        <w:rPr>
          <w:rFonts w:eastAsia="Times New Roman"/>
          <w:i/>
          <w:iCs/>
          <w:sz w:val="24"/>
          <w:szCs w:val="24"/>
        </w:rPr>
        <w:t xml:space="preserve"> 38 (2); </w:t>
      </w:r>
      <w:r>
        <w:rPr>
          <w:rFonts w:eastAsia="Times New Roman"/>
          <w:sz w:val="24"/>
          <w:szCs w:val="24"/>
        </w:rPr>
        <w:t>217-230</w:t>
      </w:r>
    </w:p>
    <w:p w:rsidR="00DD0303" w:rsidRDefault="00DD0303">
      <w:pPr>
        <w:spacing w:line="41" w:lineRule="exact"/>
        <w:rPr>
          <w:sz w:val="20"/>
          <w:szCs w:val="20"/>
        </w:rPr>
      </w:pPr>
    </w:p>
    <w:p w:rsidR="00DD0303" w:rsidRDefault="00FB1377">
      <w:pPr>
        <w:spacing w:line="512" w:lineRule="auto"/>
        <w:ind w:left="720" w:right="506" w:hanging="719"/>
        <w:rPr>
          <w:sz w:val="20"/>
          <w:szCs w:val="20"/>
        </w:rPr>
      </w:pPr>
      <w:r>
        <w:rPr>
          <w:rFonts w:eastAsia="Times New Roman"/>
          <w:sz w:val="24"/>
          <w:szCs w:val="24"/>
        </w:rPr>
        <w:t xml:space="preserve">Chapleau, K. M., Oswald, D. L., &amp; Russell, B. L. (2008). Male rape myths: The role of gender, violence, and sexism. </w:t>
      </w:r>
      <w:r>
        <w:rPr>
          <w:rFonts w:eastAsia="Times New Roman"/>
          <w:i/>
          <w:iCs/>
          <w:sz w:val="24"/>
          <w:szCs w:val="24"/>
        </w:rPr>
        <w:t>Journal of Interpersonal Violence, 23(5);</w:t>
      </w:r>
      <w:r>
        <w:rPr>
          <w:rFonts w:eastAsia="Times New Roman"/>
          <w:sz w:val="24"/>
          <w:szCs w:val="24"/>
        </w:rPr>
        <w:t xml:space="preserve"> 600-615.</w:t>
      </w:r>
    </w:p>
    <w:p w:rsidR="00DD0303" w:rsidRDefault="00DD0303">
      <w:pPr>
        <w:spacing w:line="43" w:lineRule="exact"/>
        <w:rPr>
          <w:sz w:val="20"/>
          <w:szCs w:val="20"/>
        </w:rPr>
      </w:pPr>
    </w:p>
    <w:p w:rsidR="00DD0303" w:rsidRDefault="00FB1377">
      <w:pPr>
        <w:spacing w:line="516" w:lineRule="auto"/>
        <w:ind w:left="720" w:right="146" w:hanging="719"/>
        <w:rPr>
          <w:sz w:val="20"/>
          <w:szCs w:val="20"/>
        </w:rPr>
      </w:pPr>
      <w:r>
        <w:rPr>
          <w:rFonts w:eastAsia="Times New Roman"/>
          <w:sz w:val="24"/>
          <w:szCs w:val="24"/>
        </w:rPr>
        <w:t>Coxell, A.W. &amp;</w:t>
      </w:r>
      <w:r>
        <w:rPr>
          <w:rFonts w:eastAsia="Times New Roman"/>
          <w:sz w:val="24"/>
          <w:szCs w:val="24"/>
        </w:rPr>
        <w:t xml:space="preserve"> King, M. (1996) Male victims of rape and sexual abuse. </w:t>
      </w:r>
      <w:r>
        <w:rPr>
          <w:rFonts w:eastAsia="Times New Roman"/>
          <w:i/>
          <w:iCs/>
          <w:sz w:val="24"/>
          <w:szCs w:val="24"/>
        </w:rPr>
        <w:t>Sexual and Marital</w:t>
      </w:r>
      <w:r>
        <w:rPr>
          <w:rFonts w:eastAsia="Times New Roman"/>
          <w:sz w:val="24"/>
          <w:szCs w:val="24"/>
        </w:rPr>
        <w:t xml:space="preserve"> </w:t>
      </w:r>
      <w:r>
        <w:rPr>
          <w:rFonts w:eastAsia="Times New Roman"/>
          <w:i/>
          <w:iCs/>
          <w:sz w:val="24"/>
          <w:szCs w:val="24"/>
        </w:rPr>
        <w:t xml:space="preserve">Therapy, 11; </w:t>
      </w:r>
      <w:r>
        <w:rPr>
          <w:rFonts w:eastAsia="Times New Roman"/>
          <w:sz w:val="24"/>
          <w:szCs w:val="24"/>
        </w:rPr>
        <w:t>297-308.</w:t>
      </w:r>
    </w:p>
    <w:p w:rsidR="00DD0303" w:rsidRDefault="00DD0303">
      <w:pPr>
        <w:spacing w:line="41" w:lineRule="exact"/>
        <w:rPr>
          <w:sz w:val="20"/>
          <w:szCs w:val="20"/>
        </w:rPr>
      </w:pPr>
    </w:p>
    <w:p w:rsidR="00DD0303" w:rsidRDefault="00FB1377">
      <w:pPr>
        <w:spacing w:line="496" w:lineRule="auto"/>
        <w:ind w:left="720" w:right="146" w:hanging="719"/>
        <w:rPr>
          <w:sz w:val="20"/>
          <w:szCs w:val="20"/>
        </w:rPr>
      </w:pPr>
      <w:r>
        <w:rPr>
          <w:rFonts w:eastAsia="Times New Roman"/>
          <w:sz w:val="24"/>
          <w:szCs w:val="24"/>
        </w:rPr>
        <w:t xml:space="preserve">Coxell, A., King, M., Mezey, G. &amp; Gordon, D. (1999) Lifetime prevalence, characteristics and associated problems of non-consensual sex in men. </w:t>
      </w:r>
      <w:r>
        <w:rPr>
          <w:rFonts w:eastAsia="Times New Roman"/>
          <w:i/>
          <w:iCs/>
          <w:sz w:val="24"/>
          <w:szCs w:val="24"/>
        </w:rPr>
        <w:t>British Medical</w:t>
      </w:r>
      <w:r>
        <w:rPr>
          <w:rFonts w:eastAsia="Times New Roman"/>
          <w:i/>
          <w:iCs/>
          <w:sz w:val="24"/>
          <w:szCs w:val="24"/>
        </w:rPr>
        <w:t xml:space="preserve"> Journal, 318</w:t>
      </w:r>
      <w:r>
        <w:rPr>
          <w:rFonts w:eastAsia="Times New Roman"/>
          <w:sz w:val="24"/>
          <w:szCs w:val="24"/>
        </w:rPr>
        <w:t xml:space="preserve"> </w:t>
      </w:r>
      <w:r>
        <w:rPr>
          <w:rFonts w:eastAsia="Times New Roman"/>
          <w:i/>
          <w:iCs/>
          <w:sz w:val="24"/>
          <w:szCs w:val="24"/>
        </w:rPr>
        <w:t xml:space="preserve">(7187); </w:t>
      </w:r>
      <w:r>
        <w:rPr>
          <w:rFonts w:eastAsia="Times New Roman"/>
          <w:sz w:val="24"/>
          <w:szCs w:val="24"/>
        </w:rPr>
        <w:t>846-50.</w:t>
      </w:r>
    </w:p>
    <w:p w:rsidR="00DD0303" w:rsidRDefault="00DD0303">
      <w:pPr>
        <w:spacing w:line="200" w:lineRule="exact"/>
        <w:rPr>
          <w:sz w:val="20"/>
          <w:szCs w:val="20"/>
        </w:rPr>
      </w:pPr>
    </w:p>
    <w:p w:rsidR="00DD0303" w:rsidRDefault="00DD0303">
      <w:pPr>
        <w:spacing w:line="259" w:lineRule="exact"/>
        <w:rPr>
          <w:sz w:val="20"/>
          <w:szCs w:val="20"/>
        </w:rPr>
      </w:pPr>
    </w:p>
    <w:p w:rsidR="00DD0303" w:rsidRDefault="00FB1377">
      <w:pPr>
        <w:ind w:right="6"/>
        <w:jc w:val="right"/>
        <w:rPr>
          <w:sz w:val="20"/>
          <w:szCs w:val="20"/>
        </w:rPr>
      </w:pPr>
      <w:r>
        <w:rPr>
          <w:rFonts w:eastAsia="Times New Roman"/>
        </w:rPr>
        <w:t>31</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2" w:name="page33"/>
      <w:bookmarkEnd w:id="32"/>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512" w:lineRule="auto"/>
        <w:ind w:left="720" w:right="206" w:hanging="719"/>
        <w:rPr>
          <w:sz w:val="20"/>
          <w:szCs w:val="20"/>
        </w:rPr>
      </w:pPr>
      <w:r>
        <w:rPr>
          <w:rFonts w:eastAsia="Times New Roman"/>
          <w:sz w:val="24"/>
          <w:szCs w:val="24"/>
          <w:highlight w:val="white"/>
        </w:rPr>
        <w:t xml:space="preserve">Davies, M., &amp; Rogers, P. (2006). Perceptions of male victims in depicted sexual assaults: A review of the literature. </w:t>
      </w:r>
      <w:r>
        <w:rPr>
          <w:rFonts w:eastAsia="Times New Roman"/>
          <w:i/>
          <w:iCs/>
          <w:sz w:val="24"/>
          <w:szCs w:val="24"/>
          <w:highlight w:val="white"/>
        </w:rPr>
        <w:t>Aggression and Violent Behavior, 11 (4)</w:t>
      </w:r>
      <w:r>
        <w:rPr>
          <w:rFonts w:eastAsia="Times New Roman"/>
          <w:i/>
          <w:iCs/>
          <w:sz w:val="24"/>
          <w:szCs w:val="24"/>
          <w:highlight w:val="white"/>
        </w:rPr>
        <w:t>;</w:t>
      </w:r>
      <w:r>
        <w:rPr>
          <w:rFonts w:eastAsia="Times New Roman"/>
          <w:sz w:val="24"/>
          <w:szCs w:val="24"/>
          <w:highlight w:val="white"/>
        </w:rPr>
        <w:t xml:space="preserve"> 367-377.</w:t>
      </w:r>
    </w:p>
    <w:p w:rsidR="00DD0303" w:rsidRDefault="00DD0303">
      <w:pPr>
        <w:spacing w:line="46" w:lineRule="exact"/>
        <w:rPr>
          <w:sz w:val="20"/>
          <w:szCs w:val="20"/>
        </w:rPr>
      </w:pPr>
    </w:p>
    <w:p w:rsidR="00DD0303" w:rsidRDefault="00FB1377">
      <w:pPr>
        <w:spacing w:line="512" w:lineRule="auto"/>
        <w:ind w:right="66"/>
        <w:jc w:val="right"/>
        <w:rPr>
          <w:sz w:val="20"/>
          <w:szCs w:val="20"/>
        </w:rPr>
      </w:pPr>
      <w:r>
        <w:rPr>
          <w:rFonts w:eastAsia="Times New Roman"/>
          <w:sz w:val="24"/>
          <w:szCs w:val="24"/>
        </w:rPr>
        <w:t xml:space="preserve">Davies, M., Smith, R. &amp; Rogers, P. (2009). Police perceptions of rape as a function of victim gender and sexuality. </w:t>
      </w:r>
      <w:r>
        <w:rPr>
          <w:rFonts w:eastAsia="Times New Roman"/>
          <w:i/>
          <w:iCs/>
          <w:sz w:val="24"/>
          <w:szCs w:val="24"/>
        </w:rPr>
        <w:t>Police Journal: Theories, Practice and Principles, 82 (1);</w:t>
      </w:r>
      <w:r>
        <w:rPr>
          <w:rFonts w:eastAsia="Times New Roman"/>
          <w:sz w:val="24"/>
          <w:szCs w:val="24"/>
        </w:rPr>
        <w:t xml:space="preserve"> 4-12.</w:t>
      </w:r>
    </w:p>
    <w:p w:rsidR="00DD0303" w:rsidRDefault="00DD0303">
      <w:pPr>
        <w:spacing w:line="47" w:lineRule="exact"/>
        <w:rPr>
          <w:sz w:val="20"/>
          <w:szCs w:val="20"/>
        </w:rPr>
      </w:pPr>
    </w:p>
    <w:p w:rsidR="00DD0303" w:rsidRDefault="00FB1377">
      <w:pPr>
        <w:spacing w:line="496" w:lineRule="auto"/>
        <w:ind w:left="720" w:right="86" w:hanging="719"/>
        <w:jc w:val="both"/>
        <w:rPr>
          <w:sz w:val="20"/>
          <w:szCs w:val="20"/>
        </w:rPr>
      </w:pPr>
      <w:r>
        <w:rPr>
          <w:rFonts w:eastAsia="Times New Roman"/>
          <w:sz w:val="24"/>
          <w:szCs w:val="24"/>
        </w:rPr>
        <w:t>Donnelly, D.A. &amp;</w:t>
      </w:r>
      <w:r>
        <w:rPr>
          <w:rFonts w:eastAsia="Times New Roman"/>
          <w:sz w:val="24"/>
          <w:szCs w:val="24"/>
        </w:rPr>
        <w:t xml:space="preserve"> Kenyon, S. (1996) “Honey, we don’t do men”. Gender stereotypes and the provision of services to sexually assaulted males. </w:t>
      </w:r>
      <w:r>
        <w:rPr>
          <w:rFonts w:eastAsia="Times New Roman"/>
          <w:i/>
          <w:iCs/>
          <w:sz w:val="24"/>
          <w:szCs w:val="24"/>
        </w:rPr>
        <w:t>Journal of Interpersonal Violence,</w:t>
      </w:r>
      <w:r>
        <w:rPr>
          <w:rFonts w:eastAsia="Times New Roman"/>
          <w:sz w:val="24"/>
          <w:szCs w:val="24"/>
        </w:rPr>
        <w:t xml:space="preserve"> </w:t>
      </w:r>
      <w:r>
        <w:rPr>
          <w:rFonts w:eastAsia="Times New Roman"/>
          <w:i/>
          <w:iCs/>
          <w:sz w:val="24"/>
          <w:szCs w:val="24"/>
        </w:rPr>
        <w:t xml:space="preserve">11; </w:t>
      </w:r>
      <w:r>
        <w:rPr>
          <w:rFonts w:eastAsia="Times New Roman"/>
          <w:sz w:val="24"/>
          <w:szCs w:val="24"/>
        </w:rPr>
        <w:t>441-448.</w:t>
      </w:r>
    </w:p>
    <w:p w:rsidR="00DD0303" w:rsidRDefault="00DD0303">
      <w:pPr>
        <w:spacing w:line="65" w:lineRule="exact"/>
        <w:rPr>
          <w:sz w:val="20"/>
          <w:szCs w:val="20"/>
        </w:rPr>
      </w:pPr>
    </w:p>
    <w:p w:rsidR="00DD0303" w:rsidRDefault="00FB1377">
      <w:pPr>
        <w:spacing w:line="496" w:lineRule="auto"/>
        <w:ind w:left="720" w:right="426" w:hanging="719"/>
        <w:rPr>
          <w:sz w:val="20"/>
          <w:szCs w:val="20"/>
        </w:rPr>
      </w:pPr>
      <w:r>
        <w:rPr>
          <w:rFonts w:eastAsia="Times New Roman"/>
          <w:sz w:val="24"/>
          <w:szCs w:val="24"/>
        </w:rPr>
        <w:t>Du Mont, J., MacDonald, S., White, M. &amp;</w:t>
      </w:r>
      <w:r>
        <w:rPr>
          <w:rFonts w:eastAsia="Times New Roman"/>
          <w:sz w:val="24"/>
          <w:szCs w:val="24"/>
        </w:rPr>
        <w:t xml:space="preserve"> Turner, L. (2013) Male victims of adult sexual assault: A descriptive study of survivor’s use of sexual assault treatment centres. </w:t>
      </w:r>
      <w:r>
        <w:rPr>
          <w:rFonts w:eastAsia="Times New Roman"/>
          <w:i/>
          <w:iCs/>
          <w:sz w:val="24"/>
          <w:szCs w:val="24"/>
        </w:rPr>
        <w:t xml:space="preserve">Journal of Interpersonal Violence, 28 (13); </w:t>
      </w:r>
      <w:r>
        <w:rPr>
          <w:rFonts w:eastAsia="Times New Roman"/>
          <w:sz w:val="24"/>
          <w:szCs w:val="24"/>
        </w:rPr>
        <w:t>2676-2694.</w:t>
      </w:r>
    </w:p>
    <w:p w:rsidR="00DD0303" w:rsidRDefault="00DD0303">
      <w:pPr>
        <w:spacing w:line="61" w:lineRule="exact"/>
        <w:rPr>
          <w:sz w:val="20"/>
          <w:szCs w:val="20"/>
        </w:rPr>
      </w:pPr>
    </w:p>
    <w:p w:rsidR="00DD0303" w:rsidRDefault="00FB1377">
      <w:pPr>
        <w:rPr>
          <w:sz w:val="20"/>
          <w:szCs w:val="20"/>
        </w:rPr>
      </w:pPr>
      <w:r>
        <w:rPr>
          <w:rFonts w:eastAsia="Times New Roman"/>
          <w:sz w:val="24"/>
          <w:szCs w:val="24"/>
          <w:highlight w:val="white"/>
        </w:rPr>
        <w:t xml:space="preserve">Ellis, C. D. (2002). Male rape – the silent victims. </w:t>
      </w:r>
      <w:r>
        <w:rPr>
          <w:rFonts w:eastAsia="Times New Roman"/>
          <w:i/>
          <w:iCs/>
          <w:sz w:val="24"/>
          <w:szCs w:val="24"/>
          <w:highlight w:val="white"/>
        </w:rPr>
        <w:t>Collegian</w:t>
      </w:r>
      <w:r>
        <w:rPr>
          <w:rFonts w:eastAsia="Times New Roman"/>
          <w:sz w:val="24"/>
          <w:szCs w:val="24"/>
          <w:highlight w:val="white"/>
        </w:rPr>
        <w:t xml:space="preserve">, </w:t>
      </w:r>
      <w:r>
        <w:rPr>
          <w:rFonts w:eastAsia="Times New Roman"/>
          <w:i/>
          <w:iCs/>
          <w:sz w:val="24"/>
          <w:szCs w:val="24"/>
          <w:highlight w:val="white"/>
        </w:rPr>
        <w:t>9 (4</w:t>
      </w:r>
      <w:r>
        <w:rPr>
          <w:rFonts w:eastAsia="Times New Roman"/>
          <w:i/>
          <w:iCs/>
          <w:sz w:val="24"/>
          <w:szCs w:val="24"/>
          <w:highlight w:val="white"/>
        </w:rPr>
        <w:t>)</w:t>
      </w:r>
      <w:r>
        <w:rPr>
          <w:rFonts w:eastAsia="Times New Roman"/>
          <w:sz w:val="24"/>
          <w:szCs w:val="24"/>
          <w:highlight w:val="white"/>
        </w:rPr>
        <w:t>; 34-39.</w:t>
      </w:r>
    </w:p>
    <w:p w:rsidR="00DD0303" w:rsidRDefault="00DD0303">
      <w:pPr>
        <w:spacing w:line="400" w:lineRule="exact"/>
        <w:rPr>
          <w:sz w:val="20"/>
          <w:szCs w:val="20"/>
        </w:rPr>
      </w:pPr>
    </w:p>
    <w:p w:rsidR="00DD0303" w:rsidRDefault="00FB1377">
      <w:pPr>
        <w:spacing w:line="512" w:lineRule="auto"/>
        <w:ind w:right="346"/>
        <w:jc w:val="center"/>
        <w:rPr>
          <w:sz w:val="20"/>
          <w:szCs w:val="20"/>
        </w:rPr>
      </w:pPr>
      <w:r>
        <w:rPr>
          <w:rFonts w:eastAsia="Times New Roman"/>
          <w:sz w:val="24"/>
          <w:szCs w:val="24"/>
          <w:highlight w:val="white"/>
        </w:rPr>
        <w:t xml:space="preserve">Fisher, N. L., &amp; Pina, A. (2013). An overview of the literature on female-perpetrated adult male sexual victimisation. </w:t>
      </w:r>
      <w:r>
        <w:rPr>
          <w:rFonts w:eastAsia="Times New Roman"/>
          <w:i/>
          <w:iCs/>
          <w:sz w:val="24"/>
          <w:szCs w:val="24"/>
          <w:highlight w:val="white"/>
        </w:rPr>
        <w:t>Aggression and Violent Behavior</w:t>
      </w:r>
      <w:r>
        <w:rPr>
          <w:rFonts w:eastAsia="Times New Roman"/>
          <w:sz w:val="24"/>
          <w:szCs w:val="24"/>
          <w:highlight w:val="white"/>
        </w:rPr>
        <w:t xml:space="preserve">, </w:t>
      </w:r>
      <w:r>
        <w:rPr>
          <w:rFonts w:eastAsia="Times New Roman"/>
          <w:i/>
          <w:iCs/>
          <w:sz w:val="24"/>
          <w:szCs w:val="24"/>
          <w:highlight w:val="white"/>
        </w:rPr>
        <w:t>18 (1);</w:t>
      </w:r>
      <w:r>
        <w:rPr>
          <w:rFonts w:eastAsia="Times New Roman"/>
          <w:sz w:val="24"/>
          <w:szCs w:val="24"/>
          <w:highlight w:val="white"/>
        </w:rPr>
        <w:t xml:space="preserve"> 54-61.</w:t>
      </w:r>
    </w:p>
    <w:p w:rsidR="00DD0303" w:rsidRDefault="00DD0303">
      <w:pPr>
        <w:spacing w:line="47" w:lineRule="exact"/>
        <w:rPr>
          <w:sz w:val="20"/>
          <w:szCs w:val="20"/>
        </w:rPr>
      </w:pPr>
    </w:p>
    <w:p w:rsidR="00DD0303" w:rsidRDefault="00FB1377">
      <w:pPr>
        <w:rPr>
          <w:sz w:val="20"/>
          <w:szCs w:val="20"/>
        </w:rPr>
      </w:pPr>
      <w:r>
        <w:rPr>
          <w:rFonts w:eastAsia="Times New Roman"/>
          <w:sz w:val="23"/>
          <w:szCs w:val="23"/>
        </w:rPr>
        <w:t xml:space="preserve">Flowe, H. D., Shaw, S. E., Nye, E., &amp; Jamel, J. (2009) Rape stereotyping and </w:t>
      </w:r>
      <w:r>
        <w:rPr>
          <w:rFonts w:eastAsia="Times New Roman"/>
          <w:sz w:val="23"/>
          <w:szCs w:val="23"/>
        </w:rPr>
        <w:t>public delusion.</w:t>
      </w:r>
    </w:p>
    <w:p w:rsidR="00DD0303" w:rsidRDefault="00DD0303">
      <w:pPr>
        <w:spacing w:line="284" w:lineRule="exact"/>
        <w:rPr>
          <w:sz w:val="20"/>
          <w:szCs w:val="20"/>
        </w:rPr>
      </w:pPr>
    </w:p>
    <w:p w:rsidR="00DD0303" w:rsidRDefault="00FB1377">
      <w:pPr>
        <w:ind w:left="720"/>
        <w:rPr>
          <w:sz w:val="20"/>
          <w:szCs w:val="20"/>
        </w:rPr>
      </w:pPr>
      <w:r>
        <w:rPr>
          <w:rFonts w:eastAsia="Times New Roman"/>
          <w:i/>
          <w:iCs/>
          <w:sz w:val="24"/>
          <w:szCs w:val="24"/>
        </w:rPr>
        <w:t>British Journalism Review</w:t>
      </w:r>
      <w:r>
        <w:rPr>
          <w:rFonts w:eastAsia="Times New Roman"/>
          <w:sz w:val="24"/>
          <w:szCs w:val="24"/>
        </w:rPr>
        <w:t>, 20(4), pp. 21-25.</w:t>
      </w:r>
    </w:p>
    <w:p w:rsidR="00DD0303" w:rsidRDefault="00DD0303">
      <w:pPr>
        <w:spacing w:line="396" w:lineRule="exact"/>
        <w:rPr>
          <w:sz w:val="20"/>
          <w:szCs w:val="20"/>
        </w:rPr>
      </w:pPr>
    </w:p>
    <w:p w:rsidR="00DD0303" w:rsidRDefault="00FB1377">
      <w:pPr>
        <w:rPr>
          <w:sz w:val="20"/>
          <w:szCs w:val="20"/>
        </w:rPr>
      </w:pPr>
      <w:r>
        <w:rPr>
          <w:rFonts w:eastAsia="Times New Roman"/>
          <w:sz w:val="24"/>
          <w:szCs w:val="24"/>
          <w:highlight w:val="white"/>
        </w:rPr>
        <w:t xml:space="preserve">Gregory, J. &amp; Lees, S. (2002). </w:t>
      </w:r>
      <w:r>
        <w:rPr>
          <w:rFonts w:eastAsia="Times New Roman"/>
          <w:i/>
          <w:iCs/>
          <w:sz w:val="24"/>
          <w:szCs w:val="24"/>
          <w:highlight w:val="white"/>
        </w:rPr>
        <w:t>Policing Sexual Assault</w:t>
      </w:r>
      <w:r>
        <w:rPr>
          <w:rFonts w:eastAsia="Times New Roman"/>
          <w:sz w:val="24"/>
          <w:szCs w:val="24"/>
          <w:highlight w:val="white"/>
        </w:rPr>
        <w:t>. New York; London: Routledge.</w:t>
      </w:r>
    </w:p>
    <w:p w:rsidR="00DD0303" w:rsidRDefault="00DD0303">
      <w:pPr>
        <w:spacing w:line="400" w:lineRule="exact"/>
        <w:rPr>
          <w:sz w:val="20"/>
          <w:szCs w:val="20"/>
        </w:rPr>
      </w:pPr>
    </w:p>
    <w:p w:rsidR="00DD0303" w:rsidRDefault="00FB1377">
      <w:pPr>
        <w:spacing w:line="496" w:lineRule="auto"/>
        <w:ind w:left="720" w:right="166" w:hanging="719"/>
        <w:jc w:val="both"/>
        <w:rPr>
          <w:sz w:val="20"/>
          <w:szCs w:val="20"/>
        </w:rPr>
      </w:pPr>
      <w:r>
        <w:rPr>
          <w:rFonts w:eastAsia="Times New Roman"/>
          <w:sz w:val="24"/>
          <w:szCs w:val="24"/>
        </w:rPr>
        <w:t>Grubb, A. &amp; Turner, E. (2012) Attribution of blame in rape cases: A review of the impact of rape myth acce</w:t>
      </w:r>
      <w:r>
        <w:rPr>
          <w:rFonts w:eastAsia="Times New Roman"/>
          <w:sz w:val="24"/>
          <w:szCs w:val="24"/>
        </w:rPr>
        <w:t xml:space="preserve">ptance, gender role conformity and substance use on victim blaming. </w:t>
      </w:r>
      <w:r>
        <w:rPr>
          <w:rFonts w:eastAsia="Times New Roman"/>
          <w:i/>
          <w:iCs/>
          <w:sz w:val="24"/>
          <w:szCs w:val="24"/>
        </w:rPr>
        <w:t xml:space="preserve">Aggression and Violent Behavior, 17 (5); </w:t>
      </w:r>
      <w:r>
        <w:rPr>
          <w:rFonts w:eastAsia="Times New Roman"/>
          <w:sz w:val="24"/>
          <w:szCs w:val="24"/>
        </w:rPr>
        <w:t>443-452.</w:t>
      </w:r>
    </w:p>
    <w:p w:rsidR="00DD0303" w:rsidRDefault="00DD0303">
      <w:pPr>
        <w:spacing w:line="65" w:lineRule="exact"/>
        <w:rPr>
          <w:sz w:val="20"/>
          <w:szCs w:val="20"/>
        </w:rPr>
      </w:pPr>
    </w:p>
    <w:p w:rsidR="00DD0303" w:rsidRDefault="00FB1377">
      <w:pPr>
        <w:spacing w:line="512" w:lineRule="auto"/>
        <w:ind w:left="720" w:right="26" w:hanging="719"/>
        <w:rPr>
          <w:sz w:val="20"/>
          <w:szCs w:val="20"/>
        </w:rPr>
      </w:pPr>
      <w:r>
        <w:rPr>
          <w:rFonts w:eastAsia="Times New Roman"/>
          <w:sz w:val="24"/>
          <w:szCs w:val="24"/>
        </w:rPr>
        <w:t xml:space="preserve">Hammond, C.B. &amp; Calhoun, K.S. (2007) Labelling of abuse victims’ experiences and rates of victimisation. </w:t>
      </w:r>
      <w:r>
        <w:rPr>
          <w:rFonts w:eastAsia="Times New Roman"/>
          <w:i/>
          <w:iCs/>
          <w:sz w:val="24"/>
          <w:szCs w:val="24"/>
        </w:rPr>
        <w:t xml:space="preserve">Psychology of Women Quarterly, </w:t>
      </w:r>
      <w:r>
        <w:rPr>
          <w:rFonts w:eastAsia="Times New Roman"/>
          <w:i/>
          <w:iCs/>
          <w:sz w:val="24"/>
          <w:szCs w:val="24"/>
        </w:rPr>
        <w:t>31 (4);</w:t>
      </w:r>
      <w:r>
        <w:rPr>
          <w:rFonts w:eastAsia="Times New Roman"/>
          <w:sz w:val="24"/>
          <w:szCs w:val="24"/>
        </w:rPr>
        <w:t xml:space="preserve"> 371-380.</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24" w:lineRule="exact"/>
        <w:rPr>
          <w:sz w:val="20"/>
          <w:szCs w:val="20"/>
        </w:rPr>
      </w:pPr>
    </w:p>
    <w:p w:rsidR="00DD0303" w:rsidRDefault="00FB1377">
      <w:pPr>
        <w:ind w:left="8800"/>
        <w:rPr>
          <w:sz w:val="20"/>
          <w:szCs w:val="20"/>
        </w:rPr>
      </w:pPr>
      <w:r>
        <w:rPr>
          <w:rFonts w:eastAsia="Times New Roman"/>
        </w:rPr>
        <w:t>32</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3" w:name="page34"/>
      <w:bookmarkEnd w:id="33"/>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spacing w:line="496" w:lineRule="auto"/>
        <w:ind w:left="720" w:right="306" w:hanging="719"/>
        <w:rPr>
          <w:sz w:val="20"/>
          <w:szCs w:val="20"/>
        </w:rPr>
      </w:pPr>
      <w:r>
        <w:rPr>
          <w:rFonts w:eastAsia="Times New Roman"/>
          <w:sz w:val="24"/>
          <w:szCs w:val="24"/>
        </w:rPr>
        <w:t xml:space="preserve">Hohl, K. &amp; Stanko, E.A. (2015). Complaints of rape and the criminal justice system: Fresh evidence on the attrition problem in England and Wales. </w:t>
      </w:r>
      <w:r>
        <w:rPr>
          <w:rFonts w:eastAsia="Times New Roman"/>
          <w:i/>
          <w:iCs/>
          <w:sz w:val="24"/>
          <w:szCs w:val="24"/>
        </w:rPr>
        <w:t>European Journal of</w:t>
      </w:r>
      <w:r>
        <w:rPr>
          <w:rFonts w:eastAsia="Times New Roman"/>
          <w:sz w:val="24"/>
          <w:szCs w:val="24"/>
        </w:rPr>
        <w:t xml:space="preserve"> </w:t>
      </w:r>
      <w:r>
        <w:rPr>
          <w:rFonts w:eastAsia="Times New Roman"/>
          <w:i/>
          <w:iCs/>
          <w:sz w:val="24"/>
          <w:szCs w:val="24"/>
        </w:rPr>
        <w:t xml:space="preserve">Criminology, 12 (3); </w:t>
      </w:r>
      <w:r>
        <w:rPr>
          <w:rFonts w:eastAsia="Times New Roman"/>
          <w:sz w:val="24"/>
          <w:szCs w:val="24"/>
        </w:rPr>
        <w:t>324-341.</w:t>
      </w:r>
    </w:p>
    <w:p w:rsidR="00DD0303" w:rsidRDefault="00DD0303">
      <w:pPr>
        <w:spacing w:line="61" w:lineRule="exact"/>
        <w:rPr>
          <w:sz w:val="20"/>
          <w:szCs w:val="20"/>
        </w:rPr>
      </w:pPr>
    </w:p>
    <w:p w:rsidR="00DD0303" w:rsidRDefault="00FB1377">
      <w:pPr>
        <w:spacing w:line="498" w:lineRule="auto"/>
        <w:ind w:left="720" w:right="166" w:hanging="719"/>
        <w:rPr>
          <w:sz w:val="20"/>
          <w:szCs w:val="20"/>
        </w:rPr>
      </w:pPr>
      <w:r>
        <w:rPr>
          <w:rFonts w:eastAsia="Times New Roman"/>
          <w:sz w:val="24"/>
          <w:szCs w:val="24"/>
        </w:rPr>
        <w:t xml:space="preserve">Home Office (2013). </w:t>
      </w:r>
      <w:r>
        <w:rPr>
          <w:rFonts w:eastAsia="Times New Roman"/>
          <w:i/>
          <w:iCs/>
          <w:sz w:val="24"/>
          <w:szCs w:val="24"/>
        </w:rPr>
        <w:t>An Overview of Sexual Offending in England and Wales.</w:t>
      </w:r>
      <w:r>
        <w:rPr>
          <w:rFonts w:eastAsia="Times New Roman"/>
          <w:sz w:val="24"/>
          <w:szCs w:val="24"/>
        </w:rPr>
        <w:t xml:space="preserve"> Ministry of Justice, Home Office and Office for National Statistics – Statistics Bulletin. London: Home Office.</w:t>
      </w:r>
    </w:p>
    <w:p w:rsidR="00DD0303" w:rsidRDefault="00DD0303">
      <w:pPr>
        <w:spacing w:line="58" w:lineRule="exact"/>
        <w:rPr>
          <w:sz w:val="20"/>
          <w:szCs w:val="20"/>
        </w:rPr>
      </w:pPr>
    </w:p>
    <w:p w:rsidR="00DD0303" w:rsidRDefault="00FB1377">
      <w:pPr>
        <w:rPr>
          <w:sz w:val="20"/>
          <w:szCs w:val="20"/>
        </w:rPr>
      </w:pPr>
      <w:r>
        <w:rPr>
          <w:rFonts w:eastAsia="Times New Roman"/>
          <w:sz w:val="24"/>
          <w:szCs w:val="24"/>
        </w:rPr>
        <w:t xml:space="preserve">Hovarth, M. (Ed). (2009). </w:t>
      </w:r>
      <w:r>
        <w:rPr>
          <w:rFonts w:eastAsia="Times New Roman"/>
          <w:i/>
          <w:iCs/>
          <w:sz w:val="24"/>
          <w:szCs w:val="24"/>
        </w:rPr>
        <w:t>Rape</w:t>
      </w:r>
      <w:r>
        <w:rPr>
          <w:rFonts w:eastAsia="Times New Roman"/>
          <w:sz w:val="24"/>
          <w:szCs w:val="24"/>
        </w:rPr>
        <w:t xml:space="preserve">. </w:t>
      </w:r>
      <w:r>
        <w:rPr>
          <w:rFonts w:eastAsia="Times New Roman"/>
          <w:sz w:val="24"/>
          <w:szCs w:val="24"/>
        </w:rPr>
        <w:t>Cullumpton, Devon: Willan Publishing.</w:t>
      </w:r>
    </w:p>
    <w:p w:rsidR="00DD0303" w:rsidRDefault="00DD0303">
      <w:pPr>
        <w:spacing w:line="400" w:lineRule="exact"/>
        <w:rPr>
          <w:sz w:val="20"/>
          <w:szCs w:val="20"/>
        </w:rPr>
      </w:pPr>
    </w:p>
    <w:p w:rsidR="00DD0303" w:rsidRDefault="00FB1377">
      <w:pPr>
        <w:ind w:right="406"/>
        <w:jc w:val="center"/>
        <w:rPr>
          <w:sz w:val="20"/>
          <w:szCs w:val="20"/>
        </w:rPr>
      </w:pPr>
      <w:r>
        <w:rPr>
          <w:rFonts w:eastAsia="Times New Roman"/>
          <w:sz w:val="24"/>
          <w:szCs w:val="24"/>
          <w:highlight w:val="white"/>
        </w:rPr>
        <w:t>Jamel, J., Bull, R., &amp; Sheridan, L. (2008). An investigation of the specialist police service</w:t>
      </w:r>
    </w:p>
    <w:p w:rsidR="00DD0303" w:rsidRDefault="00DD0303">
      <w:pPr>
        <w:spacing w:line="272" w:lineRule="exact"/>
        <w:rPr>
          <w:sz w:val="20"/>
          <w:szCs w:val="20"/>
        </w:rPr>
      </w:pPr>
    </w:p>
    <w:p w:rsidR="00DD0303" w:rsidRDefault="00FB1377">
      <w:pPr>
        <w:spacing w:line="516" w:lineRule="auto"/>
        <w:ind w:left="720" w:right="1106"/>
        <w:rPr>
          <w:sz w:val="20"/>
          <w:szCs w:val="20"/>
        </w:rPr>
      </w:pPr>
      <w:r>
        <w:rPr>
          <w:rFonts w:eastAsia="Times New Roman"/>
          <w:sz w:val="24"/>
          <w:szCs w:val="24"/>
          <w:highlight w:val="white"/>
        </w:rPr>
        <w:t xml:space="preserve">provided to male rape survivors. </w:t>
      </w:r>
      <w:r>
        <w:rPr>
          <w:rFonts w:eastAsia="Times New Roman"/>
          <w:i/>
          <w:iCs/>
          <w:sz w:val="24"/>
          <w:szCs w:val="24"/>
          <w:highlight w:val="white"/>
        </w:rPr>
        <w:t>International Journal of Police Science &amp;</w:t>
      </w:r>
      <w:r>
        <w:rPr>
          <w:rFonts w:eastAsia="Times New Roman"/>
          <w:sz w:val="24"/>
          <w:szCs w:val="24"/>
          <w:highlight w:val="white"/>
        </w:rPr>
        <w:t xml:space="preserve"> </w:t>
      </w:r>
      <w:r>
        <w:rPr>
          <w:rFonts w:eastAsia="Times New Roman"/>
          <w:i/>
          <w:iCs/>
          <w:sz w:val="24"/>
          <w:szCs w:val="24"/>
          <w:highlight w:val="white"/>
        </w:rPr>
        <w:t>Management, 10 (4)</w:t>
      </w:r>
      <w:r>
        <w:rPr>
          <w:rFonts w:eastAsia="Times New Roman"/>
          <w:sz w:val="24"/>
          <w:szCs w:val="24"/>
          <w:highlight w:val="white"/>
        </w:rPr>
        <w:t>; 486-508.</w:t>
      </w:r>
    </w:p>
    <w:p w:rsidR="00DD0303" w:rsidRDefault="00DD0303">
      <w:pPr>
        <w:spacing w:line="37" w:lineRule="exact"/>
        <w:rPr>
          <w:sz w:val="20"/>
          <w:szCs w:val="20"/>
        </w:rPr>
      </w:pPr>
    </w:p>
    <w:p w:rsidR="00DD0303" w:rsidRDefault="00FB1377">
      <w:pPr>
        <w:rPr>
          <w:sz w:val="20"/>
          <w:szCs w:val="20"/>
        </w:rPr>
      </w:pPr>
      <w:r>
        <w:rPr>
          <w:rFonts w:eastAsia="Times New Roman"/>
          <w:sz w:val="24"/>
          <w:szCs w:val="24"/>
          <w:highlight w:val="white"/>
        </w:rPr>
        <w:t xml:space="preserve">Javaid, A. (2014). </w:t>
      </w:r>
      <w:r>
        <w:rPr>
          <w:rFonts w:eastAsia="Times New Roman"/>
          <w:i/>
          <w:iCs/>
          <w:sz w:val="24"/>
          <w:szCs w:val="24"/>
        </w:rPr>
        <w:t>Male Rape: The ‘Invisible’ Male.</w:t>
      </w:r>
      <w:r>
        <w:rPr>
          <w:rFonts w:eastAsia="Times New Roman"/>
          <w:sz w:val="24"/>
          <w:szCs w:val="24"/>
          <w:highlight w:val="white"/>
        </w:rPr>
        <w:t xml:space="preserve"> </w:t>
      </w:r>
      <w:r>
        <w:rPr>
          <w:rFonts w:eastAsia="Times New Roman"/>
          <w:sz w:val="24"/>
          <w:szCs w:val="24"/>
        </w:rPr>
        <w:t>Unpublished Dissertation. Retreived</w:t>
      </w:r>
    </w:p>
    <w:p w:rsidR="00DD0303" w:rsidRDefault="00DD0303">
      <w:pPr>
        <w:spacing w:line="280" w:lineRule="exact"/>
        <w:rPr>
          <w:sz w:val="20"/>
          <w:szCs w:val="20"/>
        </w:rPr>
      </w:pPr>
    </w:p>
    <w:p w:rsidR="00DD0303" w:rsidRDefault="00FB1377">
      <w:pPr>
        <w:ind w:left="720"/>
        <w:rPr>
          <w:sz w:val="20"/>
          <w:szCs w:val="20"/>
        </w:rPr>
      </w:pPr>
      <w:r>
        <w:rPr>
          <w:rFonts w:eastAsia="Times New Roman"/>
          <w:sz w:val="24"/>
          <w:szCs w:val="24"/>
        </w:rPr>
        <w:t>from:</w:t>
      </w:r>
    </w:p>
    <w:p w:rsidR="00DD0303" w:rsidRDefault="00DD0303">
      <w:pPr>
        <w:spacing w:line="276" w:lineRule="exact"/>
        <w:rPr>
          <w:sz w:val="20"/>
          <w:szCs w:val="20"/>
        </w:rPr>
      </w:pPr>
    </w:p>
    <w:p w:rsidR="00DD0303" w:rsidRDefault="00FB1377">
      <w:pPr>
        <w:ind w:left="720"/>
        <w:rPr>
          <w:rFonts w:eastAsia="Times New Roman"/>
          <w:color w:val="0000FF"/>
          <w:sz w:val="24"/>
          <w:szCs w:val="24"/>
          <w:u w:val="single"/>
        </w:rPr>
      </w:pPr>
      <w:hyperlink r:id="rId7">
        <w:r>
          <w:rPr>
            <w:rFonts w:eastAsia="Times New Roman"/>
            <w:color w:val="0000FF"/>
            <w:sz w:val="24"/>
            <w:szCs w:val="24"/>
            <w:u w:val="single"/>
          </w:rPr>
          <w:t>http://www.internetjournalofcriminology.com/</w:t>
        </w:r>
        <w:r>
          <w:rPr>
            <w:rFonts w:eastAsia="Times New Roman"/>
            <w:color w:val="0000FF"/>
            <w:sz w:val="24"/>
            <w:szCs w:val="24"/>
            <w:u w:val="single"/>
          </w:rPr>
          <w:t>javaid_male_rape_the_invisible_male_</w:t>
        </w:r>
      </w:hyperlink>
    </w:p>
    <w:p w:rsidR="00DD0303" w:rsidRDefault="00DD0303">
      <w:pPr>
        <w:spacing w:line="276" w:lineRule="exact"/>
        <w:rPr>
          <w:sz w:val="20"/>
          <w:szCs w:val="20"/>
        </w:rPr>
      </w:pPr>
    </w:p>
    <w:p w:rsidR="00DD0303" w:rsidRDefault="00FB1377">
      <w:pPr>
        <w:ind w:left="720"/>
        <w:rPr>
          <w:rFonts w:eastAsia="Times New Roman"/>
          <w:color w:val="0000FF"/>
          <w:sz w:val="24"/>
          <w:szCs w:val="24"/>
          <w:u w:val="single"/>
        </w:rPr>
      </w:pPr>
      <w:hyperlink r:id="rId8">
        <w:r>
          <w:rPr>
            <w:rFonts w:eastAsia="Times New Roman"/>
            <w:color w:val="0000FF"/>
            <w:sz w:val="24"/>
            <w:szCs w:val="24"/>
            <w:u w:val="single"/>
          </w:rPr>
          <w:t>ijc_jan_2014.pdf.</w:t>
        </w:r>
      </w:hyperlink>
    </w:p>
    <w:p w:rsidR="00DD0303" w:rsidRDefault="00DD0303">
      <w:pPr>
        <w:spacing w:line="396" w:lineRule="exact"/>
        <w:rPr>
          <w:sz w:val="20"/>
          <w:szCs w:val="20"/>
        </w:rPr>
      </w:pPr>
    </w:p>
    <w:p w:rsidR="00DD0303" w:rsidRDefault="00FB1377">
      <w:pPr>
        <w:spacing w:line="496" w:lineRule="auto"/>
        <w:ind w:left="720" w:right="86" w:hanging="719"/>
        <w:rPr>
          <w:sz w:val="20"/>
          <w:szCs w:val="20"/>
        </w:rPr>
      </w:pPr>
      <w:r>
        <w:rPr>
          <w:rFonts w:eastAsia="Times New Roman"/>
          <w:sz w:val="24"/>
          <w:szCs w:val="24"/>
        </w:rPr>
        <w:t>Kassing, L.R. &amp; Prieto, L.R. (2003) The rape myth and blame-based beliefs of counse</w:t>
      </w:r>
      <w:r>
        <w:rPr>
          <w:rFonts w:eastAsia="Times New Roman"/>
          <w:sz w:val="24"/>
          <w:szCs w:val="24"/>
        </w:rPr>
        <w:t xml:space="preserve">llors-in-training toward male victims of rape. </w:t>
      </w:r>
      <w:r>
        <w:rPr>
          <w:rFonts w:eastAsia="Times New Roman"/>
          <w:i/>
          <w:iCs/>
          <w:sz w:val="24"/>
          <w:szCs w:val="24"/>
        </w:rPr>
        <w:t>Journal of Counseling and Development, 81;</w:t>
      </w:r>
      <w:r>
        <w:rPr>
          <w:rFonts w:eastAsia="Times New Roman"/>
          <w:sz w:val="24"/>
          <w:szCs w:val="24"/>
        </w:rPr>
        <w:t xml:space="preserve"> 455-461.</w:t>
      </w:r>
    </w:p>
    <w:p w:rsidR="00DD0303" w:rsidRDefault="00DD0303">
      <w:pPr>
        <w:spacing w:line="61" w:lineRule="exact"/>
        <w:rPr>
          <w:sz w:val="20"/>
          <w:szCs w:val="20"/>
        </w:rPr>
      </w:pPr>
    </w:p>
    <w:p w:rsidR="00DD0303" w:rsidRDefault="00FB1377">
      <w:pPr>
        <w:rPr>
          <w:sz w:val="20"/>
          <w:szCs w:val="20"/>
        </w:rPr>
      </w:pPr>
      <w:r>
        <w:rPr>
          <w:rFonts w:eastAsia="Times New Roman"/>
          <w:sz w:val="24"/>
          <w:szCs w:val="24"/>
        </w:rPr>
        <w:t xml:space="preserve">Kelly, L., Lovett, J. &amp; Regan, L. (2005) </w:t>
      </w:r>
      <w:r>
        <w:rPr>
          <w:rFonts w:eastAsia="Times New Roman"/>
          <w:i/>
          <w:iCs/>
          <w:sz w:val="24"/>
          <w:szCs w:val="24"/>
        </w:rPr>
        <w:t>Gap or a Chasm? Attrition in Reported Rape Cases.</w:t>
      </w:r>
    </w:p>
    <w:p w:rsidR="00DD0303" w:rsidRDefault="00DD0303">
      <w:pPr>
        <w:spacing w:line="280" w:lineRule="exact"/>
        <w:rPr>
          <w:sz w:val="20"/>
          <w:szCs w:val="20"/>
        </w:rPr>
      </w:pPr>
    </w:p>
    <w:p w:rsidR="00DD0303" w:rsidRDefault="00FB1377">
      <w:pPr>
        <w:ind w:left="720"/>
        <w:rPr>
          <w:sz w:val="20"/>
          <w:szCs w:val="20"/>
        </w:rPr>
      </w:pPr>
      <w:r>
        <w:rPr>
          <w:rFonts w:eastAsia="Times New Roman"/>
          <w:sz w:val="24"/>
          <w:szCs w:val="24"/>
        </w:rPr>
        <w:t>London: Great Britain Home Office Research Development and Stati</w:t>
      </w:r>
      <w:r>
        <w:rPr>
          <w:rFonts w:eastAsia="Times New Roman"/>
          <w:sz w:val="24"/>
          <w:szCs w:val="24"/>
        </w:rPr>
        <w:t>stics Directorate.</w:t>
      </w:r>
    </w:p>
    <w:p w:rsidR="00DD0303" w:rsidRDefault="00DD0303">
      <w:pPr>
        <w:spacing w:line="396" w:lineRule="exact"/>
        <w:rPr>
          <w:sz w:val="20"/>
          <w:szCs w:val="20"/>
        </w:rPr>
      </w:pPr>
    </w:p>
    <w:p w:rsidR="00DD0303" w:rsidRDefault="00FB1377">
      <w:pPr>
        <w:spacing w:line="512" w:lineRule="auto"/>
        <w:ind w:left="720" w:right="166" w:hanging="719"/>
        <w:rPr>
          <w:sz w:val="20"/>
          <w:szCs w:val="20"/>
        </w:rPr>
      </w:pPr>
      <w:r>
        <w:rPr>
          <w:rFonts w:eastAsia="Times New Roman"/>
          <w:sz w:val="24"/>
          <w:szCs w:val="24"/>
        </w:rPr>
        <w:t xml:space="preserve">King, M. &amp; Woollett, E. (1997) Sexually assaulted males: 115 men consulting a counselling service. </w:t>
      </w:r>
      <w:r>
        <w:rPr>
          <w:rFonts w:eastAsia="Times New Roman"/>
          <w:i/>
          <w:iCs/>
          <w:sz w:val="24"/>
          <w:szCs w:val="24"/>
        </w:rPr>
        <w:t>Archives of Sexual Behavior, 26;</w:t>
      </w:r>
      <w:r>
        <w:rPr>
          <w:rFonts w:eastAsia="Times New Roman"/>
          <w:sz w:val="24"/>
          <w:szCs w:val="24"/>
        </w:rPr>
        <w:t xml:space="preserve"> 579-588.</w:t>
      </w:r>
    </w:p>
    <w:p w:rsidR="00DD0303" w:rsidRDefault="00DD0303">
      <w:pPr>
        <w:spacing w:line="46" w:lineRule="exact"/>
        <w:rPr>
          <w:sz w:val="20"/>
          <w:szCs w:val="20"/>
        </w:rPr>
      </w:pPr>
    </w:p>
    <w:p w:rsidR="00DD0303" w:rsidRDefault="00FB1377">
      <w:pPr>
        <w:spacing w:line="512" w:lineRule="auto"/>
        <w:ind w:left="720" w:right="406" w:hanging="719"/>
        <w:rPr>
          <w:sz w:val="20"/>
          <w:szCs w:val="20"/>
        </w:rPr>
      </w:pPr>
      <w:r>
        <w:rPr>
          <w:rFonts w:eastAsia="Times New Roman"/>
          <w:sz w:val="24"/>
          <w:szCs w:val="24"/>
        </w:rPr>
        <w:t>Lea, S.J., Lanvers, U. &amp;</w:t>
      </w:r>
      <w:r>
        <w:rPr>
          <w:rFonts w:eastAsia="Times New Roman"/>
          <w:sz w:val="24"/>
          <w:szCs w:val="24"/>
        </w:rPr>
        <w:t xml:space="preserve"> Shaw, S. (2003) Attrition in rape cases: Developing a profile and identifying relevant factors. </w:t>
      </w:r>
      <w:r>
        <w:rPr>
          <w:rFonts w:eastAsia="Times New Roman"/>
          <w:i/>
          <w:iCs/>
          <w:sz w:val="24"/>
          <w:szCs w:val="24"/>
        </w:rPr>
        <w:t>British Journal of Criminology, 43 (3),</w:t>
      </w:r>
      <w:r>
        <w:rPr>
          <w:rFonts w:eastAsia="Times New Roman"/>
          <w:sz w:val="24"/>
          <w:szCs w:val="24"/>
        </w:rPr>
        <w:t xml:space="preserve"> 583-599.</w:t>
      </w:r>
    </w:p>
    <w:p w:rsidR="00DD0303" w:rsidRDefault="00DD0303">
      <w:pPr>
        <w:spacing w:line="200" w:lineRule="exact"/>
        <w:rPr>
          <w:sz w:val="20"/>
          <w:szCs w:val="20"/>
        </w:rPr>
      </w:pPr>
    </w:p>
    <w:p w:rsidR="00DD0303" w:rsidRDefault="00DD0303">
      <w:pPr>
        <w:spacing w:line="240" w:lineRule="exact"/>
        <w:rPr>
          <w:sz w:val="20"/>
          <w:szCs w:val="20"/>
        </w:rPr>
      </w:pPr>
    </w:p>
    <w:p w:rsidR="00DD0303" w:rsidRDefault="00FB1377">
      <w:pPr>
        <w:ind w:right="6"/>
        <w:jc w:val="right"/>
        <w:rPr>
          <w:sz w:val="20"/>
          <w:szCs w:val="20"/>
        </w:rPr>
      </w:pPr>
      <w:r>
        <w:rPr>
          <w:rFonts w:eastAsia="Times New Roman"/>
        </w:rPr>
        <w:t>33</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4" w:name="page35"/>
      <w:bookmarkEnd w:id="34"/>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3" w:lineRule="exact"/>
        <w:rPr>
          <w:sz w:val="20"/>
          <w:szCs w:val="20"/>
        </w:rPr>
      </w:pPr>
    </w:p>
    <w:p w:rsidR="00DD0303" w:rsidRDefault="00FB1377">
      <w:pPr>
        <w:rPr>
          <w:sz w:val="20"/>
          <w:szCs w:val="20"/>
        </w:rPr>
      </w:pPr>
      <w:r>
        <w:rPr>
          <w:rFonts w:eastAsia="Times New Roman"/>
          <w:sz w:val="24"/>
          <w:szCs w:val="24"/>
          <w:highlight w:val="white"/>
        </w:rPr>
        <w:t xml:space="preserve">McLean, I. A. (2013). The male victim of sexual assault. </w:t>
      </w:r>
      <w:r>
        <w:rPr>
          <w:rFonts w:eastAsia="Times New Roman"/>
          <w:i/>
          <w:iCs/>
          <w:sz w:val="24"/>
          <w:szCs w:val="24"/>
          <w:highlight w:val="white"/>
        </w:rPr>
        <w:t>Best Practice and Research:</w:t>
      </w:r>
    </w:p>
    <w:p w:rsidR="00DD0303" w:rsidRDefault="00DD0303">
      <w:pPr>
        <w:spacing w:line="276" w:lineRule="exact"/>
        <w:rPr>
          <w:sz w:val="20"/>
          <w:szCs w:val="20"/>
        </w:rPr>
      </w:pPr>
    </w:p>
    <w:p w:rsidR="00DD0303" w:rsidRDefault="00FB1377">
      <w:pPr>
        <w:ind w:left="720"/>
        <w:rPr>
          <w:sz w:val="20"/>
          <w:szCs w:val="20"/>
        </w:rPr>
      </w:pPr>
      <w:r>
        <w:rPr>
          <w:rFonts w:eastAsia="Times New Roman"/>
          <w:i/>
          <w:iCs/>
          <w:sz w:val="24"/>
          <w:szCs w:val="24"/>
          <w:highlight w:val="white"/>
        </w:rPr>
        <w:t>Clinical Obstetrics and Gynaecology</w:t>
      </w:r>
      <w:r>
        <w:rPr>
          <w:rFonts w:eastAsia="Times New Roman"/>
          <w:sz w:val="24"/>
          <w:szCs w:val="24"/>
          <w:highlight w:val="white"/>
        </w:rPr>
        <w:t>,</w:t>
      </w:r>
      <w:r>
        <w:rPr>
          <w:rFonts w:eastAsia="Times New Roman"/>
          <w:i/>
          <w:iCs/>
          <w:sz w:val="24"/>
          <w:szCs w:val="24"/>
          <w:highlight w:val="white"/>
        </w:rPr>
        <w:t xml:space="preserve"> 27 (1); </w:t>
      </w:r>
      <w:r>
        <w:rPr>
          <w:rFonts w:eastAsia="Times New Roman"/>
          <w:sz w:val="24"/>
          <w:szCs w:val="24"/>
          <w:highlight w:val="white"/>
        </w:rPr>
        <w:t>39-46.</w:t>
      </w:r>
    </w:p>
    <w:p w:rsidR="00DD0303" w:rsidRDefault="00DD0303">
      <w:pPr>
        <w:spacing w:line="400" w:lineRule="exact"/>
        <w:rPr>
          <w:sz w:val="20"/>
          <w:szCs w:val="20"/>
        </w:rPr>
      </w:pPr>
    </w:p>
    <w:p w:rsidR="00DD0303" w:rsidRDefault="00FB1377">
      <w:pPr>
        <w:spacing w:line="512" w:lineRule="auto"/>
        <w:ind w:right="186"/>
        <w:jc w:val="right"/>
        <w:rPr>
          <w:sz w:val="20"/>
          <w:szCs w:val="20"/>
        </w:rPr>
      </w:pPr>
      <w:r>
        <w:rPr>
          <w:rFonts w:eastAsia="Times New Roman"/>
          <w:sz w:val="24"/>
          <w:szCs w:val="24"/>
        </w:rPr>
        <w:t>McLean, I., Balding, V. &amp; White, C. (2004) Forensic medical aspects of male-on-male rape and sexual assault in Greate</w:t>
      </w:r>
      <w:r>
        <w:rPr>
          <w:rFonts w:eastAsia="Times New Roman"/>
          <w:sz w:val="24"/>
          <w:szCs w:val="24"/>
        </w:rPr>
        <w:t xml:space="preserve">r Manchester. </w:t>
      </w:r>
      <w:r>
        <w:rPr>
          <w:rFonts w:eastAsia="Times New Roman"/>
          <w:i/>
          <w:iCs/>
          <w:sz w:val="24"/>
          <w:szCs w:val="24"/>
        </w:rPr>
        <w:t>Medicine, Science and Law, 44;</w:t>
      </w:r>
      <w:r>
        <w:rPr>
          <w:rFonts w:eastAsia="Times New Roman"/>
          <w:sz w:val="24"/>
          <w:szCs w:val="24"/>
        </w:rPr>
        <w:t xml:space="preserve"> 165-169..</w:t>
      </w:r>
    </w:p>
    <w:p w:rsidR="00DD0303" w:rsidRDefault="00DD0303">
      <w:pPr>
        <w:spacing w:line="47" w:lineRule="exact"/>
        <w:rPr>
          <w:sz w:val="20"/>
          <w:szCs w:val="20"/>
        </w:rPr>
      </w:pPr>
    </w:p>
    <w:p w:rsidR="00DD0303" w:rsidRDefault="00FB1377">
      <w:pPr>
        <w:spacing w:line="496" w:lineRule="auto"/>
        <w:ind w:left="720" w:right="106" w:hanging="719"/>
        <w:rPr>
          <w:sz w:val="20"/>
          <w:szCs w:val="20"/>
        </w:rPr>
      </w:pPr>
      <w:r>
        <w:rPr>
          <w:rFonts w:eastAsia="Times New Roman"/>
          <w:sz w:val="24"/>
          <w:szCs w:val="24"/>
        </w:rPr>
        <w:t xml:space="preserve">Patterson, D. &amp; Tringali, B. (2015) Understanding how advocates can affect sexual assault victim engagement in the criminal justice process. </w:t>
      </w:r>
      <w:r>
        <w:rPr>
          <w:rFonts w:eastAsia="Times New Roman"/>
          <w:i/>
          <w:iCs/>
          <w:sz w:val="24"/>
          <w:szCs w:val="24"/>
        </w:rPr>
        <w:t>Journal of Interpersonal Violence,</w:t>
      </w:r>
      <w:r>
        <w:rPr>
          <w:rFonts w:eastAsia="Times New Roman"/>
          <w:sz w:val="24"/>
          <w:szCs w:val="24"/>
        </w:rPr>
        <w:t xml:space="preserve"> </w:t>
      </w:r>
      <w:r>
        <w:rPr>
          <w:rFonts w:eastAsia="Times New Roman"/>
          <w:i/>
          <w:iCs/>
          <w:sz w:val="24"/>
          <w:szCs w:val="24"/>
        </w:rPr>
        <w:t xml:space="preserve">30 (12); </w:t>
      </w:r>
      <w:r>
        <w:rPr>
          <w:rFonts w:eastAsia="Times New Roman"/>
          <w:sz w:val="24"/>
          <w:szCs w:val="24"/>
        </w:rPr>
        <w:t>1987-1997.</w:t>
      </w:r>
    </w:p>
    <w:p w:rsidR="00DD0303" w:rsidRDefault="00DD0303">
      <w:pPr>
        <w:spacing w:line="61" w:lineRule="exact"/>
        <w:rPr>
          <w:sz w:val="20"/>
          <w:szCs w:val="20"/>
        </w:rPr>
      </w:pPr>
    </w:p>
    <w:p w:rsidR="00DD0303" w:rsidRDefault="00FB1377">
      <w:pPr>
        <w:spacing w:line="516" w:lineRule="auto"/>
        <w:ind w:left="720" w:right="286" w:hanging="719"/>
        <w:rPr>
          <w:sz w:val="20"/>
          <w:szCs w:val="20"/>
        </w:rPr>
      </w:pPr>
      <w:r>
        <w:rPr>
          <w:rFonts w:eastAsia="Times New Roman"/>
          <w:sz w:val="24"/>
          <w:szCs w:val="24"/>
        </w:rPr>
        <w:t xml:space="preserve">Pino, N.W. &amp; Meier, R.F. (1999) Gender differences in rape reporting. </w:t>
      </w:r>
      <w:r>
        <w:rPr>
          <w:rFonts w:eastAsia="Times New Roman"/>
          <w:i/>
          <w:iCs/>
          <w:sz w:val="24"/>
          <w:szCs w:val="24"/>
        </w:rPr>
        <w:t>Sex Roles, 40;</w:t>
      </w:r>
      <w:r>
        <w:rPr>
          <w:rFonts w:eastAsia="Times New Roman"/>
          <w:sz w:val="24"/>
          <w:szCs w:val="24"/>
        </w:rPr>
        <w:t xml:space="preserve"> 979-990.</w:t>
      </w:r>
    </w:p>
    <w:p w:rsidR="00DD0303" w:rsidRDefault="00DD0303">
      <w:pPr>
        <w:spacing w:line="41" w:lineRule="exact"/>
        <w:rPr>
          <w:sz w:val="20"/>
          <w:szCs w:val="20"/>
        </w:rPr>
      </w:pPr>
    </w:p>
    <w:p w:rsidR="00DD0303" w:rsidRDefault="00FB1377">
      <w:pPr>
        <w:spacing w:line="512" w:lineRule="auto"/>
        <w:ind w:right="6"/>
        <w:jc w:val="center"/>
        <w:rPr>
          <w:sz w:val="20"/>
          <w:szCs w:val="20"/>
        </w:rPr>
      </w:pPr>
      <w:r>
        <w:rPr>
          <w:rFonts w:eastAsia="Times New Roman"/>
          <w:sz w:val="24"/>
          <w:szCs w:val="24"/>
        </w:rPr>
        <w:t xml:space="preserve">Rumney, P.N.S. (2009) Gay male rape victims: law enforcement, social attitudes, and barriers to recognition. </w:t>
      </w:r>
      <w:r>
        <w:rPr>
          <w:rFonts w:eastAsia="Times New Roman"/>
          <w:i/>
          <w:iCs/>
          <w:sz w:val="24"/>
          <w:szCs w:val="24"/>
        </w:rPr>
        <w:t>The International Journal of Human Rights, 13 (2-3);</w:t>
      </w:r>
      <w:r>
        <w:rPr>
          <w:rFonts w:eastAsia="Times New Roman"/>
          <w:sz w:val="24"/>
          <w:szCs w:val="24"/>
        </w:rPr>
        <w:t xml:space="preserve"> 233-250.</w:t>
      </w:r>
    </w:p>
    <w:p w:rsidR="00DD0303" w:rsidRDefault="00DD0303">
      <w:pPr>
        <w:spacing w:line="46" w:lineRule="exact"/>
        <w:rPr>
          <w:sz w:val="20"/>
          <w:szCs w:val="20"/>
        </w:rPr>
      </w:pPr>
    </w:p>
    <w:p w:rsidR="00DD0303" w:rsidRDefault="00FB1377">
      <w:pPr>
        <w:spacing w:line="496" w:lineRule="auto"/>
        <w:ind w:left="720" w:right="346" w:hanging="719"/>
        <w:jc w:val="both"/>
        <w:rPr>
          <w:sz w:val="20"/>
          <w:szCs w:val="20"/>
        </w:rPr>
      </w:pPr>
      <w:r>
        <w:rPr>
          <w:rFonts w:eastAsia="Times New Roman"/>
          <w:sz w:val="24"/>
          <w:szCs w:val="24"/>
        </w:rPr>
        <w:t xml:space="preserve">Sable, M.R., Danis, F., Mauzy, D.L. &amp; Gallagher, S.K. (2006) Barriers to reporting sexual assault for women and men: Perspectives of college students. </w:t>
      </w:r>
      <w:r>
        <w:rPr>
          <w:rFonts w:eastAsia="Times New Roman"/>
          <w:i/>
          <w:iCs/>
          <w:sz w:val="24"/>
          <w:szCs w:val="24"/>
        </w:rPr>
        <w:t>Journal of American</w:t>
      </w:r>
      <w:r>
        <w:rPr>
          <w:rFonts w:eastAsia="Times New Roman"/>
          <w:sz w:val="24"/>
          <w:szCs w:val="24"/>
        </w:rPr>
        <w:t xml:space="preserve"> </w:t>
      </w:r>
      <w:r>
        <w:rPr>
          <w:rFonts w:eastAsia="Times New Roman"/>
          <w:i/>
          <w:iCs/>
          <w:sz w:val="24"/>
          <w:szCs w:val="24"/>
        </w:rPr>
        <w:t xml:space="preserve">College Health, 55 (3); </w:t>
      </w:r>
      <w:r>
        <w:rPr>
          <w:rFonts w:eastAsia="Times New Roman"/>
          <w:sz w:val="24"/>
          <w:szCs w:val="24"/>
        </w:rPr>
        <w:t>157-162.</w:t>
      </w:r>
    </w:p>
    <w:p w:rsidR="00DD0303" w:rsidRDefault="00DD0303">
      <w:pPr>
        <w:spacing w:line="61" w:lineRule="exact"/>
        <w:rPr>
          <w:sz w:val="20"/>
          <w:szCs w:val="20"/>
        </w:rPr>
      </w:pPr>
    </w:p>
    <w:p w:rsidR="00DD0303" w:rsidRDefault="00FB1377">
      <w:pPr>
        <w:rPr>
          <w:sz w:val="20"/>
          <w:szCs w:val="20"/>
        </w:rPr>
      </w:pPr>
      <w:r>
        <w:rPr>
          <w:rFonts w:eastAsia="Times New Roman"/>
          <w:sz w:val="24"/>
          <w:szCs w:val="24"/>
        </w:rPr>
        <w:t xml:space="preserve">Scarce, M. (1997). </w:t>
      </w:r>
      <w:r>
        <w:rPr>
          <w:rFonts w:eastAsia="Times New Roman"/>
          <w:i/>
          <w:iCs/>
          <w:sz w:val="24"/>
          <w:szCs w:val="24"/>
        </w:rPr>
        <w:t>Male On Male Rape: Th</w:t>
      </w:r>
      <w:r>
        <w:rPr>
          <w:rFonts w:eastAsia="Times New Roman"/>
          <w:i/>
          <w:iCs/>
          <w:sz w:val="24"/>
          <w:szCs w:val="24"/>
        </w:rPr>
        <w:t>e Hidden Toll Of Stigma And Shame</w:t>
      </w:r>
      <w:r>
        <w:rPr>
          <w:rFonts w:eastAsia="Times New Roman"/>
          <w:sz w:val="24"/>
          <w:szCs w:val="24"/>
        </w:rPr>
        <w:t>. Cambridge,</w:t>
      </w:r>
    </w:p>
    <w:p w:rsidR="00DD0303" w:rsidRDefault="00DD0303">
      <w:pPr>
        <w:spacing w:line="280" w:lineRule="exact"/>
        <w:rPr>
          <w:sz w:val="20"/>
          <w:szCs w:val="20"/>
        </w:rPr>
      </w:pPr>
    </w:p>
    <w:p w:rsidR="00DD0303" w:rsidRDefault="00FB1377">
      <w:pPr>
        <w:ind w:left="720"/>
        <w:rPr>
          <w:sz w:val="20"/>
          <w:szCs w:val="20"/>
        </w:rPr>
      </w:pPr>
      <w:r>
        <w:rPr>
          <w:rFonts w:eastAsia="Times New Roman"/>
          <w:sz w:val="24"/>
          <w:szCs w:val="24"/>
        </w:rPr>
        <w:t>Massachusetts: Perseus Publishing.</w:t>
      </w:r>
    </w:p>
    <w:p w:rsidR="00DD0303" w:rsidRDefault="00DD0303">
      <w:pPr>
        <w:spacing w:line="396" w:lineRule="exact"/>
        <w:rPr>
          <w:sz w:val="20"/>
          <w:szCs w:val="20"/>
        </w:rPr>
      </w:pPr>
    </w:p>
    <w:p w:rsidR="00DD0303" w:rsidRDefault="00FB1377">
      <w:pPr>
        <w:spacing w:line="512" w:lineRule="auto"/>
        <w:ind w:left="720" w:right="106" w:hanging="719"/>
        <w:rPr>
          <w:sz w:val="20"/>
          <w:szCs w:val="20"/>
        </w:rPr>
      </w:pPr>
      <w:r>
        <w:rPr>
          <w:rFonts w:eastAsia="Times New Roman"/>
          <w:sz w:val="24"/>
          <w:szCs w:val="24"/>
        </w:rPr>
        <w:t xml:space="preserve">Smith, R.E., Pine, C.J. &amp; Hawley, M.E. (1988) Social cognitions about adult male victims of female sexual assault. </w:t>
      </w:r>
      <w:r>
        <w:rPr>
          <w:rFonts w:eastAsia="Times New Roman"/>
          <w:i/>
          <w:iCs/>
          <w:sz w:val="24"/>
          <w:szCs w:val="24"/>
        </w:rPr>
        <w:t>Journal of Sex Research, 24;</w:t>
      </w:r>
      <w:r>
        <w:rPr>
          <w:rFonts w:eastAsia="Times New Roman"/>
          <w:sz w:val="24"/>
          <w:szCs w:val="24"/>
        </w:rPr>
        <w:t xml:space="preserve"> 101-112.</w:t>
      </w:r>
    </w:p>
    <w:p w:rsidR="00DD0303" w:rsidRDefault="00DD0303">
      <w:pPr>
        <w:spacing w:line="46" w:lineRule="exact"/>
        <w:rPr>
          <w:sz w:val="20"/>
          <w:szCs w:val="20"/>
        </w:rPr>
      </w:pPr>
    </w:p>
    <w:p w:rsidR="00DD0303" w:rsidRDefault="00FB1377">
      <w:pPr>
        <w:spacing w:line="512" w:lineRule="auto"/>
        <w:ind w:left="720" w:right="426" w:hanging="719"/>
        <w:rPr>
          <w:sz w:val="20"/>
          <w:szCs w:val="20"/>
        </w:rPr>
      </w:pPr>
      <w:r>
        <w:rPr>
          <w:rFonts w:eastAsia="Times New Roman"/>
          <w:sz w:val="24"/>
          <w:szCs w:val="24"/>
        </w:rPr>
        <w:t xml:space="preserve">Struckman-Johnson, C. &amp; Struckman-Johnson, D. (1992) Acceptance of male rape myths among college men and women. </w:t>
      </w:r>
      <w:r>
        <w:rPr>
          <w:rFonts w:eastAsia="Times New Roman"/>
          <w:i/>
          <w:iCs/>
          <w:sz w:val="24"/>
          <w:szCs w:val="24"/>
        </w:rPr>
        <w:t>Sex Roles, 27;</w:t>
      </w:r>
      <w:r>
        <w:rPr>
          <w:rFonts w:eastAsia="Times New Roman"/>
          <w:sz w:val="24"/>
          <w:szCs w:val="24"/>
        </w:rPr>
        <w:t xml:space="preserve"> 85-100.</w:t>
      </w:r>
    </w:p>
    <w:p w:rsidR="00DD0303" w:rsidRDefault="00DD0303">
      <w:pPr>
        <w:spacing w:line="47" w:lineRule="exact"/>
        <w:rPr>
          <w:sz w:val="20"/>
          <w:szCs w:val="20"/>
        </w:rPr>
      </w:pPr>
    </w:p>
    <w:p w:rsidR="00DD0303" w:rsidRDefault="00FB1377">
      <w:pPr>
        <w:spacing w:line="512" w:lineRule="auto"/>
        <w:ind w:left="720" w:right="806" w:hanging="719"/>
        <w:rPr>
          <w:sz w:val="20"/>
          <w:szCs w:val="20"/>
        </w:rPr>
      </w:pPr>
      <w:r>
        <w:rPr>
          <w:rFonts w:eastAsia="Times New Roman"/>
          <w:sz w:val="24"/>
          <w:szCs w:val="24"/>
        </w:rPr>
        <w:t xml:space="preserve">Tewksbury, R. (2007). Effects of sexual assaults on men: Physical, mental and sexual consequences. </w:t>
      </w:r>
      <w:r>
        <w:rPr>
          <w:rFonts w:eastAsia="Times New Roman"/>
          <w:i/>
          <w:iCs/>
          <w:sz w:val="24"/>
          <w:szCs w:val="24"/>
        </w:rPr>
        <w:t>Journal of Men’s Heal</w:t>
      </w:r>
      <w:r>
        <w:rPr>
          <w:rFonts w:eastAsia="Times New Roman"/>
          <w:i/>
          <w:iCs/>
          <w:sz w:val="24"/>
          <w:szCs w:val="24"/>
        </w:rPr>
        <w:t>th, 6 (1);</w:t>
      </w:r>
      <w:r>
        <w:rPr>
          <w:rFonts w:eastAsia="Times New Roman"/>
          <w:sz w:val="24"/>
          <w:szCs w:val="24"/>
        </w:rPr>
        <w:t xml:space="preserve"> 22-35.</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72" w:lineRule="exact"/>
        <w:rPr>
          <w:sz w:val="20"/>
          <w:szCs w:val="20"/>
        </w:rPr>
      </w:pPr>
    </w:p>
    <w:p w:rsidR="00DD0303" w:rsidRDefault="00FB1377">
      <w:pPr>
        <w:ind w:right="6"/>
        <w:jc w:val="right"/>
        <w:rPr>
          <w:sz w:val="20"/>
          <w:szCs w:val="20"/>
        </w:rPr>
      </w:pPr>
      <w:r>
        <w:rPr>
          <w:rFonts w:eastAsia="Times New Roman"/>
        </w:rPr>
        <w:t>34</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rPr>
          <w:sz w:val="20"/>
          <w:szCs w:val="20"/>
        </w:rPr>
      </w:pPr>
      <w:bookmarkStart w:id="35" w:name="page36"/>
      <w:bookmarkEnd w:id="35"/>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76" w:lineRule="exact"/>
        <w:rPr>
          <w:sz w:val="20"/>
          <w:szCs w:val="20"/>
        </w:rPr>
      </w:pPr>
    </w:p>
    <w:p w:rsidR="00DD0303" w:rsidRDefault="00FB1377">
      <w:pPr>
        <w:rPr>
          <w:sz w:val="20"/>
          <w:szCs w:val="20"/>
        </w:rPr>
      </w:pPr>
      <w:r>
        <w:rPr>
          <w:rFonts w:eastAsia="Times New Roman"/>
          <w:sz w:val="24"/>
          <w:szCs w:val="24"/>
        </w:rPr>
        <w:t>Turchik, J. A., &amp; Edwards, K. M. (2012). Myths about male rape: A literature review.</w:t>
      </w:r>
    </w:p>
    <w:p w:rsidR="00DD0303" w:rsidRDefault="00DD0303">
      <w:pPr>
        <w:spacing w:line="272" w:lineRule="exact"/>
        <w:rPr>
          <w:sz w:val="20"/>
          <w:szCs w:val="20"/>
        </w:rPr>
      </w:pPr>
    </w:p>
    <w:p w:rsidR="00DD0303" w:rsidRDefault="00FB1377">
      <w:pPr>
        <w:ind w:left="720"/>
        <w:rPr>
          <w:sz w:val="20"/>
          <w:szCs w:val="20"/>
        </w:rPr>
      </w:pPr>
      <w:r>
        <w:rPr>
          <w:rFonts w:eastAsia="Times New Roman"/>
          <w:i/>
          <w:iCs/>
          <w:sz w:val="24"/>
          <w:szCs w:val="24"/>
        </w:rPr>
        <w:t>Psychology of Men &amp; Masculinity</w:t>
      </w:r>
      <w:r>
        <w:rPr>
          <w:rFonts w:eastAsia="Times New Roman"/>
          <w:sz w:val="24"/>
          <w:szCs w:val="24"/>
        </w:rPr>
        <w:t>,</w:t>
      </w:r>
      <w:r>
        <w:rPr>
          <w:rFonts w:eastAsia="Times New Roman"/>
          <w:i/>
          <w:iCs/>
          <w:sz w:val="24"/>
          <w:szCs w:val="24"/>
        </w:rPr>
        <w:t xml:space="preserve"> 13 (2); </w:t>
      </w:r>
      <w:r>
        <w:rPr>
          <w:rFonts w:eastAsia="Times New Roman"/>
          <w:sz w:val="24"/>
          <w:szCs w:val="24"/>
        </w:rPr>
        <w:t>211-226.</w:t>
      </w:r>
    </w:p>
    <w:p w:rsidR="00DD0303" w:rsidRDefault="00DD0303">
      <w:pPr>
        <w:spacing w:line="400" w:lineRule="exact"/>
        <w:rPr>
          <w:sz w:val="20"/>
          <w:szCs w:val="20"/>
        </w:rPr>
      </w:pPr>
    </w:p>
    <w:p w:rsidR="00DD0303" w:rsidRDefault="00FB1377">
      <w:pPr>
        <w:spacing w:line="512" w:lineRule="auto"/>
        <w:ind w:left="720" w:right="246" w:hanging="719"/>
        <w:rPr>
          <w:sz w:val="20"/>
          <w:szCs w:val="20"/>
        </w:rPr>
      </w:pPr>
      <w:r>
        <w:rPr>
          <w:rFonts w:eastAsia="Times New Roman"/>
          <w:sz w:val="24"/>
          <w:szCs w:val="24"/>
        </w:rPr>
        <w:t>Walker, J., Archer, J. &amp;</w:t>
      </w:r>
      <w:r>
        <w:rPr>
          <w:rFonts w:eastAsia="Times New Roman"/>
          <w:sz w:val="24"/>
          <w:szCs w:val="24"/>
        </w:rPr>
        <w:t xml:space="preserve"> Davies, M. (2005) Effects of rape on male survivors: A descriptive analysis. </w:t>
      </w:r>
      <w:r>
        <w:rPr>
          <w:rFonts w:eastAsia="Times New Roman"/>
          <w:i/>
          <w:iCs/>
          <w:sz w:val="24"/>
          <w:szCs w:val="24"/>
        </w:rPr>
        <w:t>Archives of Sexual Behavior, 34;</w:t>
      </w:r>
      <w:r>
        <w:rPr>
          <w:rFonts w:eastAsia="Times New Roman"/>
          <w:sz w:val="24"/>
          <w:szCs w:val="24"/>
        </w:rPr>
        <w:t xml:space="preserve"> 69-80.</w:t>
      </w:r>
    </w:p>
    <w:p w:rsidR="00DD0303" w:rsidRDefault="00DD0303">
      <w:pPr>
        <w:spacing w:line="47" w:lineRule="exact"/>
        <w:rPr>
          <w:sz w:val="20"/>
          <w:szCs w:val="20"/>
        </w:rPr>
      </w:pPr>
    </w:p>
    <w:p w:rsidR="00DD0303" w:rsidRDefault="00FB1377">
      <w:pPr>
        <w:spacing w:line="490" w:lineRule="auto"/>
        <w:ind w:left="720" w:right="206" w:hanging="719"/>
        <w:rPr>
          <w:sz w:val="20"/>
          <w:szCs w:val="20"/>
        </w:rPr>
      </w:pPr>
      <w:r>
        <w:rPr>
          <w:rFonts w:eastAsia="Times New Roman"/>
          <w:sz w:val="24"/>
          <w:szCs w:val="24"/>
        </w:rPr>
        <w:t>Wolitzky-Taylor, K.B., Resnick, H.S., McCauley, J.L., Amstadter, A.B, Kilpatrick, D.G. &amp;</w:t>
      </w:r>
      <w:r>
        <w:rPr>
          <w:rFonts w:eastAsia="Times New Roman"/>
          <w:sz w:val="24"/>
          <w:szCs w:val="24"/>
        </w:rPr>
        <w:t xml:space="preserve"> Ruggiero, K.J. (2011) Is reporting of rape on the rise? A comparison of women with reported versus unreported rape experiences in the National Women’s Study replication. </w:t>
      </w:r>
      <w:r>
        <w:rPr>
          <w:rFonts w:eastAsia="Times New Roman"/>
          <w:i/>
          <w:iCs/>
          <w:sz w:val="24"/>
          <w:szCs w:val="24"/>
        </w:rPr>
        <w:t>Journal of Interpersonal Violence, 24(6),</w:t>
      </w:r>
      <w:r>
        <w:rPr>
          <w:rFonts w:eastAsia="Times New Roman"/>
          <w:sz w:val="24"/>
          <w:szCs w:val="24"/>
        </w:rPr>
        <w:t xml:space="preserve"> 807-832.</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68" w:lineRule="exact"/>
        <w:rPr>
          <w:sz w:val="20"/>
          <w:szCs w:val="20"/>
        </w:rPr>
      </w:pPr>
    </w:p>
    <w:p w:rsidR="00DD0303" w:rsidRDefault="00FB1377">
      <w:pPr>
        <w:ind w:right="6"/>
        <w:jc w:val="right"/>
        <w:rPr>
          <w:sz w:val="20"/>
          <w:szCs w:val="20"/>
        </w:rPr>
      </w:pPr>
      <w:r>
        <w:rPr>
          <w:rFonts w:eastAsia="Times New Roman"/>
        </w:rPr>
        <w:t>35</w:t>
      </w:r>
    </w:p>
    <w:p w:rsidR="00DD0303" w:rsidRDefault="00DD0303">
      <w:pPr>
        <w:sectPr w:rsidR="00DD0303">
          <w:pgSz w:w="11900" w:h="16838"/>
          <w:pgMar w:top="684" w:right="1440" w:bottom="437" w:left="1440" w:header="0" w:footer="0" w:gutter="0"/>
          <w:cols w:space="720" w:equalWidth="0">
            <w:col w:w="9026"/>
          </w:cols>
        </w:sectPr>
      </w:pPr>
    </w:p>
    <w:p w:rsidR="00DD0303" w:rsidRDefault="00FB1377">
      <w:pPr>
        <w:ind w:left="300"/>
        <w:rPr>
          <w:sz w:val="20"/>
          <w:szCs w:val="20"/>
        </w:rPr>
      </w:pPr>
      <w:bookmarkStart w:id="36" w:name="page37"/>
      <w:bookmarkEnd w:id="36"/>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50" w:lineRule="exact"/>
        <w:rPr>
          <w:sz w:val="20"/>
          <w:szCs w:val="20"/>
        </w:rPr>
      </w:pPr>
    </w:p>
    <w:p w:rsidR="00DD0303" w:rsidRDefault="00FB1377">
      <w:pPr>
        <w:ind w:left="300"/>
        <w:rPr>
          <w:sz w:val="20"/>
          <w:szCs w:val="20"/>
        </w:rPr>
      </w:pPr>
      <w:r>
        <w:rPr>
          <w:rFonts w:eastAsia="Times New Roman"/>
          <w:i/>
          <w:iCs/>
          <w:sz w:val="24"/>
          <w:szCs w:val="24"/>
        </w:rPr>
        <w:t>Table 1:</w:t>
      </w:r>
    </w:p>
    <w:p w:rsidR="00DD0303" w:rsidRDefault="00DD0303">
      <w:pPr>
        <w:spacing w:line="202" w:lineRule="exact"/>
        <w:rPr>
          <w:sz w:val="20"/>
          <w:szCs w:val="20"/>
        </w:rPr>
      </w:pPr>
    </w:p>
    <w:p w:rsidR="00DD0303" w:rsidRDefault="00FB1377">
      <w:pPr>
        <w:ind w:left="300"/>
        <w:rPr>
          <w:sz w:val="20"/>
          <w:szCs w:val="20"/>
        </w:rPr>
      </w:pPr>
      <w:r>
        <w:rPr>
          <w:rFonts w:eastAsia="Times New Roman"/>
          <w:i/>
          <w:iCs/>
          <w:sz w:val="24"/>
          <w:szCs w:val="24"/>
        </w:rPr>
        <w:t>Frequencies of Direct and Indirect Experience of Victimisation Reported by Participants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1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5800"/>
        <w:gridCol w:w="1060"/>
        <w:gridCol w:w="1560"/>
        <w:gridCol w:w="1080"/>
      </w:tblGrid>
      <w:tr w:rsidR="00DD0303">
        <w:trPr>
          <w:trHeight w:val="272"/>
        </w:trPr>
        <w:tc>
          <w:tcPr>
            <w:tcW w:w="20" w:type="dxa"/>
            <w:vAlign w:val="bottom"/>
          </w:tcPr>
          <w:p w:rsidR="00DD0303" w:rsidRDefault="00DD0303">
            <w:pPr>
              <w:rPr>
                <w:sz w:val="23"/>
                <w:szCs w:val="23"/>
              </w:rPr>
            </w:pPr>
          </w:p>
        </w:tc>
        <w:tc>
          <w:tcPr>
            <w:tcW w:w="5800" w:type="dxa"/>
            <w:tcBorders>
              <w:top w:val="single" w:sz="8" w:space="0" w:color="auto"/>
            </w:tcBorders>
            <w:vAlign w:val="bottom"/>
          </w:tcPr>
          <w:p w:rsidR="00DD0303" w:rsidRDefault="00FB1377">
            <w:pPr>
              <w:ind w:left="100"/>
              <w:rPr>
                <w:sz w:val="20"/>
                <w:szCs w:val="20"/>
              </w:rPr>
            </w:pPr>
            <w:r>
              <w:rPr>
                <w:rFonts w:eastAsia="Times New Roman"/>
                <w:sz w:val="20"/>
                <w:szCs w:val="20"/>
              </w:rPr>
              <w:t>Question on direct and indirect experience</w:t>
            </w:r>
          </w:p>
        </w:tc>
        <w:tc>
          <w:tcPr>
            <w:tcW w:w="1060" w:type="dxa"/>
            <w:tcBorders>
              <w:top w:val="single" w:sz="8" w:space="0" w:color="auto"/>
            </w:tcBorders>
            <w:vAlign w:val="bottom"/>
          </w:tcPr>
          <w:p w:rsidR="00DD0303" w:rsidRDefault="00FB1377">
            <w:pPr>
              <w:ind w:left="260"/>
              <w:rPr>
                <w:sz w:val="20"/>
                <w:szCs w:val="20"/>
              </w:rPr>
            </w:pPr>
            <w:r>
              <w:rPr>
                <w:rFonts w:eastAsia="Times New Roman"/>
                <w:i/>
                <w:iCs/>
                <w:sz w:val="20"/>
                <w:szCs w:val="20"/>
              </w:rPr>
              <w:t>N</w:t>
            </w:r>
          </w:p>
        </w:tc>
        <w:tc>
          <w:tcPr>
            <w:tcW w:w="1560" w:type="dxa"/>
            <w:tcBorders>
              <w:top w:val="single" w:sz="8" w:space="0" w:color="auto"/>
            </w:tcBorders>
            <w:vAlign w:val="bottom"/>
          </w:tcPr>
          <w:p w:rsidR="00DD0303" w:rsidRDefault="00FB1377">
            <w:pPr>
              <w:ind w:left="620"/>
              <w:rPr>
                <w:sz w:val="20"/>
                <w:szCs w:val="20"/>
              </w:rPr>
            </w:pPr>
            <w:r>
              <w:rPr>
                <w:rFonts w:eastAsia="Times New Roman"/>
                <w:sz w:val="20"/>
                <w:szCs w:val="20"/>
              </w:rPr>
              <w:t>Yes</w:t>
            </w:r>
          </w:p>
        </w:tc>
        <w:tc>
          <w:tcPr>
            <w:tcW w:w="1080" w:type="dxa"/>
            <w:tcBorders>
              <w:top w:val="single" w:sz="8" w:space="0" w:color="auto"/>
            </w:tcBorders>
            <w:vAlign w:val="bottom"/>
          </w:tcPr>
          <w:p w:rsidR="00DD0303" w:rsidRDefault="00FB1377">
            <w:pPr>
              <w:ind w:left="200"/>
              <w:rPr>
                <w:sz w:val="20"/>
                <w:szCs w:val="20"/>
              </w:rPr>
            </w:pPr>
            <w:r>
              <w:rPr>
                <w:rFonts w:eastAsia="Times New Roman"/>
                <w:sz w:val="20"/>
                <w:szCs w:val="20"/>
              </w:rPr>
              <w:t>No</w:t>
            </w:r>
          </w:p>
        </w:tc>
      </w:tr>
      <w:tr w:rsidR="00DD0303">
        <w:trPr>
          <w:trHeight w:val="84"/>
        </w:trPr>
        <w:tc>
          <w:tcPr>
            <w:tcW w:w="20" w:type="dxa"/>
            <w:vAlign w:val="bottom"/>
          </w:tcPr>
          <w:p w:rsidR="00DD0303" w:rsidRDefault="00DD0303">
            <w:pPr>
              <w:rPr>
                <w:sz w:val="7"/>
                <w:szCs w:val="7"/>
              </w:rPr>
            </w:pPr>
          </w:p>
        </w:tc>
        <w:tc>
          <w:tcPr>
            <w:tcW w:w="5800" w:type="dxa"/>
            <w:tcBorders>
              <w:bottom w:val="single" w:sz="8" w:space="0" w:color="auto"/>
            </w:tcBorders>
            <w:vAlign w:val="bottom"/>
          </w:tcPr>
          <w:p w:rsidR="00DD0303" w:rsidRDefault="00DD0303">
            <w:pPr>
              <w:rPr>
                <w:sz w:val="7"/>
                <w:szCs w:val="7"/>
              </w:rPr>
            </w:pPr>
          </w:p>
        </w:tc>
        <w:tc>
          <w:tcPr>
            <w:tcW w:w="1060" w:type="dxa"/>
            <w:tcBorders>
              <w:bottom w:val="single" w:sz="8" w:space="0" w:color="auto"/>
            </w:tcBorders>
            <w:vAlign w:val="bottom"/>
          </w:tcPr>
          <w:p w:rsidR="00DD0303" w:rsidRDefault="00DD0303">
            <w:pPr>
              <w:rPr>
                <w:sz w:val="7"/>
                <w:szCs w:val="7"/>
              </w:rPr>
            </w:pPr>
          </w:p>
        </w:tc>
        <w:tc>
          <w:tcPr>
            <w:tcW w:w="1560" w:type="dxa"/>
            <w:tcBorders>
              <w:bottom w:val="single" w:sz="8" w:space="0" w:color="auto"/>
            </w:tcBorders>
            <w:vAlign w:val="bottom"/>
          </w:tcPr>
          <w:p w:rsidR="00DD0303" w:rsidRDefault="00DD0303">
            <w:pPr>
              <w:rPr>
                <w:sz w:val="7"/>
                <w:szCs w:val="7"/>
              </w:rPr>
            </w:pPr>
          </w:p>
        </w:tc>
        <w:tc>
          <w:tcPr>
            <w:tcW w:w="1080" w:type="dxa"/>
            <w:tcBorders>
              <w:bottom w:val="single" w:sz="8" w:space="0" w:color="auto"/>
            </w:tcBorders>
            <w:vAlign w:val="bottom"/>
          </w:tcPr>
          <w:p w:rsidR="00DD0303" w:rsidRDefault="00DD0303">
            <w:pPr>
              <w:rPr>
                <w:sz w:val="7"/>
                <w:szCs w:val="7"/>
              </w:rPr>
            </w:pPr>
          </w:p>
        </w:tc>
      </w:tr>
      <w:tr w:rsidR="00DD0303">
        <w:trPr>
          <w:trHeight w:val="496"/>
        </w:trPr>
        <w:tc>
          <w:tcPr>
            <w:tcW w:w="20" w:type="dxa"/>
            <w:vAlign w:val="bottom"/>
          </w:tcPr>
          <w:p w:rsidR="00DD0303" w:rsidRDefault="00DD0303">
            <w:pPr>
              <w:rPr>
                <w:sz w:val="24"/>
                <w:szCs w:val="24"/>
              </w:rPr>
            </w:pPr>
          </w:p>
        </w:tc>
        <w:tc>
          <w:tcPr>
            <w:tcW w:w="5800" w:type="dxa"/>
            <w:vAlign w:val="bottom"/>
          </w:tcPr>
          <w:p w:rsidR="00DD0303" w:rsidRDefault="00FB1377">
            <w:pPr>
              <w:ind w:left="100"/>
              <w:rPr>
                <w:sz w:val="20"/>
                <w:szCs w:val="20"/>
              </w:rPr>
            </w:pPr>
            <w:r>
              <w:rPr>
                <w:rFonts w:eastAsia="Times New Roman"/>
                <w:sz w:val="20"/>
                <w:szCs w:val="20"/>
              </w:rPr>
              <w:t xml:space="preserve">Have you </w:t>
            </w:r>
            <w:r>
              <w:rPr>
                <w:rFonts w:eastAsia="Times New Roman"/>
                <w:sz w:val="20"/>
                <w:szCs w:val="20"/>
              </w:rPr>
              <w:t>previously been a victim of sexual assault?</w:t>
            </w:r>
          </w:p>
        </w:tc>
        <w:tc>
          <w:tcPr>
            <w:tcW w:w="1060" w:type="dxa"/>
            <w:vAlign w:val="bottom"/>
          </w:tcPr>
          <w:p w:rsidR="00DD0303" w:rsidRDefault="00FB1377">
            <w:pPr>
              <w:ind w:left="260"/>
              <w:rPr>
                <w:sz w:val="20"/>
                <w:szCs w:val="20"/>
              </w:rPr>
            </w:pPr>
            <w:r>
              <w:rPr>
                <w:rFonts w:eastAsia="Times New Roman"/>
                <w:sz w:val="20"/>
                <w:szCs w:val="20"/>
              </w:rPr>
              <w:t>98</w:t>
            </w:r>
          </w:p>
        </w:tc>
        <w:tc>
          <w:tcPr>
            <w:tcW w:w="1560" w:type="dxa"/>
            <w:vAlign w:val="bottom"/>
          </w:tcPr>
          <w:p w:rsidR="00DD0303" w:rsidRDefault="00FB1377">
            <w:pPr>
              <w:ind w:left="620"/>
              <w:rPr>
                <w:sz w:val="20"/>
                <w:szCs w:val="20"/>
              </w:rPr>
            </w:pPr>
            <w:r>
              <w:rPr>
                <w:rFonts w:eastAsia="Times New Roman"/>
                <w:sz w:val="20"/>
                <w:szCs w:val="20"/>
              </w:rPr>
              <w:t>12 (12%)</w:t>
            </w:r>
          </w:p>
        </w:tc>
        <w:tc>
          <w:tcPr>
            <w:tcW w:w="1080" w:type="dxa"/>
            <w:vAlign w:val="bottom"/>
          </w:tcPr>
          <w:p w:rsidR="00DD0303" w:rsidRDefault="00FB1377">
            <w:pPr>
              <w:ind w:left="200"/>
              <w:rPr>
                <w:sz w:val="20"/>
                <w:szCs w:val="20"/>
              </w:rPr>
            </w:pPr>
            <w:r>
              <w:rPr>
                <w:rFonts w:eastAsia="Times New Roman"/>
                <w:sz w:val="20"/>
                <w:szCs w:val="20"/>
              </w:rPr>
              <w:t>86 (88%)</w:t>
            </w:r>
          </w:p>
        </w:tc>
      </w:tr>
      <w:tr w:rsidR="00DD0303">
        <w:trPr>
          <w:trHeight w:val="528"/>
        </w:trPr>
        <w:tc>
          <w:tcPr>
            <w:tcW w:w="20" w:type="dxa"/>
            <w:vAlign w:val="bottom"/>
          </w:tcPr>
          <w:p w:rsidR="00DD0303" w:rsidRDefault="00DD0303">
            <w:pPr>
              <w:rPr>
                <w:sz w:val="24"/>
                <w:szCs w:val="24"/>
              </w:rPr>
            </w:pPr>
          </w:p>
        </w:tc>
        <w:tc>
          <w:tcPr>
            <w:tcW w:w="5800" w:type="dxa"/>
            <w:vAlign w:val="bottom"/>
          </w:tcPr>
          <w:p w:rsidR="00DD0303" w:rsidRDefault="00FB1377">
            <w:pPr>
              <w:ind w:left="100"/>
              <w:rPr>
                <w:sz w:val="20"/>
                <w:szCs w:val="20"/>
              </w:rPr>
            </w:pPr>
            <w:r>
              <w:rPr>
                <w:rFonts w:eastAsia="Times New Roman"/>
                <w:sz w:val="20"/>
                <w:szCs w:val="20"/>
              </w:rPr>
              <w:t>Have you previously been a victim of assault by penetration?</w:t>
            </w:r>
          </w:p>
        </w:tc>
        <w:tc>
          <w:tcPr>
            <w:tcW w:w="1060" w:type="dxa"/>
            <w:vAlign w:val="bottom"/>
          </w:tcPr>
          <w:p w:rsidR="00DD0303" w:rsidRDefault="00FB1377">
            <w:pPr>
              <w:ind w:left="260"/>
              <w:rPr>
                <w:sz w:val="20"/>
                <w:szCs w:val="20"/>
              </w:rPr>
            </w:pPr>
            <w:r>
              <w:rPr>
                <w:rFonts w:eastAsia="Times New Roman"/>
                <w:sz w:val="20"/>
                <w:szCs w:val="20"/>
              </w:rPr>
              <w:t>97</w:t>
            </w:r>
          </w:p>
        </w:tc>
        <w:tc>
          <w:tcPr>
            <w:tcW w:w="1560" w:type="dxa"/>
            <w:vAlign w:val="bottom"/>
          </w:tcPr>
          <w:p w:rsidR="00DD0303" w:rsidRDefault="00FB1377">
            <w:pPr>
              <w:ind w:left="620"/>
              <w:rPr>
                <w:sz w:val="20"/>
                <w:szCs w:val="20"/>
              </w:rPr>
            </w:pPr>
            <w:r>
              <w:rPr>
                <w:rFonts w:eastAsia="Times New Roman"/>
                <w:sz w:val="20"/>
                <w:szCs w:val="20"/>
              </w:rPr>
              <w:t>1 (1%)</w:t>
            </w:r>
          </w:p>
        </w:tc>
        <w:tc>
          <w:tcPr>
            <w:tcW w:w="1080" w:type="dxa"/>
            <w:vAlign w:val="bottom"/>
          </w:tcPr>
          <w:p w:rsidR="00DD0303" w:rsidRDefault="00FB1377">
            <w:pPr>
              <w:ind w:left="200"/>
              <w:rPr>
                <w:sz w:val="20"/>
                <w:szCs w:val="20"/>
              </w:rPr>
            </w:pPr>
            <w:r>
              <w:rPr>
                <w:rFonts w:eastAsia="Times New Roman"/>
                <w:sz w:val="20"/>
                <w:szCs w:val="20"/>
              </w:rPr>
              <w:t>96 (98%)</w:t>
            </w:r>
          </w:p>
        </w:tc>
      </w:tr>
      <w:tr w:rsidR="00DD0303">
        <w:trPr>
          <w:trHeight w:val="530"/>
        </w:trPr>
        <w:tc>
          <w:tcPr>
            <w:tcW w:w="20" w:type="dxa"/>
            <w:vAlign w:val="bottom"/>
          </w:tcPr>
          <w:p w:rsidR="00DD0303" w:rsidRDefault="00DD0303">
            <w:pPr>
              <w:rPr>
                <w:sz w:val="24"/>
                <w:szCs w:val="24"/>
              </w:rPr>
            </w:pPr>
          </w:p>
        </w:tc>
        <w:tc>
          <w:tcPr>
            <w:tcW w:w="5800" w:type="dxa"/>
            <w:vAlign w:val="bottom"/>
          </w:tcPr>
          <w:p w:rsidR="00DD0303" w:rsidRDefault="00FB1377">
            <w:pPr>
              <w:ind w:left="100"/>
              <w:rPr>
                <w:sz w:val="20"/>
                <w:szCs w:val="20"/>
              </w:rPr>
            </w:pPr>
            <w:r>
              <w:rPr>
                <w:rFonts w:eastAsia="Times New Roman"/>
                <w:sz w:val="20"/>
                <w:szCs w:val="20"/>
              </w:rPr>
              <w:t>Have you previously been a victim of rape?</w:t>
            </w:r>
          </w:p>
        </w:tc>
        <w:tc>
          <w:tcPr>
            <w:tcW w:w="1060" w:type="dxa"/>
            <w:vAlign w:val="bottom"/>
          </w:tcPr>
          <w:p w:rsidR="00DD0303" w:rsidRDefault="00FB1377">
            <w:pPr>
              <w:ind w:left="260"/>
              <w:rPr>
                <w:sz w:val="20"/>
                <w:szCs w:val="20"/>
              </w:rPr>
            </w:pPr>
            <w:r>
              <w:rPr>
                <w:rFonts w:eastAsia="Times New Roman"/>
                <w:sz w:val="20"/>
                <w:szCs w:val="20"/>
              </w:rPr>
              <w:t>96</w:t>
            </w:r>
          </w:p>
        </w:tc>
        <w:tc>
          <w:tcPr>
            <w:tcW w:w="1560" w:type="dxa"/>
            <w:vAlign w:val="bottom"/>
          </w:tcPr>
          <w:p w:rsidR="00DD0303" w:rsidRDefault="00FB1377">
            <w:pPr>
              <w:ind w:left="620"/>
              <w:rPr>
                <w:sz w:val="20"/>
                <w:szCs w:val="20"/>
              </w:rPr>
            </w:pPr>
            <w:r>
              <w:rPr>
                <w:rFonts w:eastAsia="Times New Roman"/>
                <w:sz w:val="20"/>
                <w:szCs w:val="20"/>
              </w:rPr>
              <w:t>2 (2%)</w:t>
            </w:r>
          </w:p>
        </w:tc>
        <w:tc>
          <w:tcPr>
            <w:tcW w:w="1080" w:type="dxa"/>
            <w:vAlign w:val="bottom"/>
          </w:tcPr>
          <w:p w:rsidR="00DD0303" w:rsidRDefault="00FB1377">
            <w:pPr>
              <w:ind w:left="200"/>
              <w:rPr>
                <w:sz w:val="20"/>
                <w:szCs w:val="20"/>
              </w:rPr>
            </w:pPr>
            <w:r>
              <w:rPr>
                <w:rFonts w:eastAsia="Times New Roman"/>
                <w:sz w:val="20"/>
                <w:szCs w:val="20"/>
              </w:rPr>
              <w:t>94 (96%)</w:t>
            </w:r>
          </w:p>
        </w:tc>
      </w:tr>
      <w:tr w:rsidR="00DD0303">
        <w:trPr>
          <w:trHeight w:val="528"/>
        </w:trPr>
        <w:tc>
          <w:tcPr>
            <w:tcW w:w="20" w:type="dxa"/>
            <w:vAlign w:val="bottom"/>
          </w:tcPr>
          <w:p w:rsidR="00DD0303" w:rsidRDefault="00DD0303">
            <w:pPr>
              <w:rPr>
                <w:sz w:val="24"/>
                <w:szCs w:val="24"/>
              </w:rPr>
            </w:pPr>
          </w:p>
        </w:tc>
        <w:tc>
          <w:tcPr>
            <w:tcW w:w="5800" w:type="dxa"/>
            <w:vAlign w:val="bottom"/>
          </w:tcPr>
          <w:p w:rsidR="00DD0303" w:rsidRDefault="00FB1377">
            <w:pPr>
              <w:ind w:left="100"/>
              <w:rPr>
                <w:sz w:val="20"/>
                <w:szCs w:val="20"/>
              </w:rPr>
            </w:pPr>
            <w:r>
              <w:rPr>
                <w:rFonts w:eastAsia="Times New Roman"/>
                <w:sz w:val="20"/>
                <w:szCs w:val="20"/>
              </w:rPr>
              <w:t xml:space="preserve">Do you know anyone who has been a male </w:t>
            </w:r>
            <w:r>
              <w:rPr>
                <w:rFonts w:eastAsia="Times New Roman"/>
                <w:sz w:val="20"/>
                <w:szCs w:val="20"/>
              </w:rPr>
              <w:t>victim of sexual assault?</w:t>
            </w:r>
          </w:p>
        </w:tc>
        <w:tc>
          <w:tcPr>
            <w:tcW w:w="1060" w:type="dxa"/>
            <w:vAlign w:val="bottom"/>
          </w:tcPr>
          <w:p w:rsidR="00DD0303" w:rsidRDefault="00FB1377">
            <w:pPr>
              <w:ind w:left="260"/>
              <w:rPr>
                <w:sz w:val="20"/>
                <w:szCs w:val="20"/>
              </w:rPr>
            </w:pPr>
            <w:r>
              <w:rPr>
                <w:rFonts w:eastAsia="Times New Roman"/>
                <w:sz w:val="20"/>
                <w:szCs w:val="20"/>
              </w:rPr>
              <w:t>98</w:t>
            </w:r>
          </w:p>
        </w:tc>
        <w:tc>
          <w:tcPr>
            <w:tcW w:w="1560" w:type="dxa"/>
            <w:vAlign w:val="bottom"/>
          </w:tcPr>
          <w:p w:rsidR="00DD0303" w:rsidRDefault="00FB1377">
            <w:pPr>
              <w:ind w:left="620"/>
              <w:rPr>
                <w:sz w:val="20"/>
                <w:szCs w:val="20"/>
              </w:rPr>
            </w:pPr>
            <w:r>
              <w:rPr>
                <w:rFonts w:eastAsia="Times New Roman"/>
                <w:sz w:val="20"/>
                <w:szCs w:val="20"/>
              </w:rPr>
              <w:t>23 (24%)</w:t>
            </w:r>
          </w:p>
        </w:tc>
        <w:tc>
          <w:tcPr>
            <w:tcW w:w="1080" w:type="dxa"/>
            <w:vAlign w:val="bottom"/>
          </w:tcPr>
          <w:p w:rsidR="00DD0303" w:rsidRDefault="00FB1377">
            <w:pPr>
              <w:ind w:left="200"/>
              <w:rPr>
                <w:sz w:val="20"/>
                <w:szCs w:val="20"/>
              </w:rPr>
            </w:pPr>
            <w:r>
              <w:rPr>
                <w:rFonts w:eastAsia="Times New Roman"/>
                <w:sz w:val="20"/>
                <w:szCs w:val="20"/>
              </w:rPr>
              <w:t>75 (76%)</w:t>
            </w:r>
          </w:p>
        </w:tc>
      </w:tr>
      <w:tr w:rsidR="00DD0303">
        <w:trPr>
          <w:trHeight w:val="530"/>
        </w:trPr>
        <w:tc>
          <w:tcPr>
            <w:tcW w:w="20" w:type="dxa"/>
            <w:vAlign w:val="bottom"/>
          </w:tcPr>
          <w:p w:rsidR="00DD0303" w:rsidRDefault="00DD0303">
            <w:pPr>
              <w:rPr>
                <w:sz w:val="24"/>
                <w:szCs w:val="24"/>
              </w:rPr>
            </w:pPr>
          </w:p>
        </w:tc>
        <w:tc>
          <w:tcPr>
            <w:tcW w:w="5800" w:type="dxa"/>
            <w:vAlign w:val="bottom"/>
          </w:tcPr>
          <w:p w:rsidR="00DD0303" w:rsidRDefault="00FB1377">
            <w:pPr>
              <w:ind w:left="100"/>
              <w:rPr>
                <w:sz w:val="20"/>
                <w:szCs w:val="20"/>
              </w:rPr>
            </w:pPr>
            <w:r>
              <w:rPr>
                <w:rFonts w:eastAsia="Times New Roman"/>
                <w:sz w:val="20"/>
                <w:szCs w:val="20"/>
              </w:rPr>
              <w:t>Do you know anyone who has been a male victim of assault by</w:t>
            </w:r>
          </w:p>
        </w:tc>
        <w:tc>
          <w:tcPr>
            <w:tcW w:w="1060" w:type="dxa"/>
            <w:vAlign w:val="bottom"/>
          </w:tcPr>
          <w:p w:rsidR="00DD0303" w:rsidRDefault="00FB1377">
            <w:pPr>
              <w:ind w:left="260"/>
              <w:rPr>
                <w:sz w:val="20"/>
                <w:szCs w:val="20"/>
              </w:rPr>
            </w:pPr>
            <w:r>
              <w:rPr>
                <w:rFonts w:eastAsia="Times New Roman"/>
                <w:sz w:val="20"/>
                <w:szCs w:val="20"/>
              </w:rPr>
              <w:t>98</w:t>
            </w:r>
          </w:p>
        </w:tc>
        <w:tc>
          <w:tcPr>
            <w:tcW w:w="1560" w:type="dxa"/>
            <w:vAlign w:val="bottom"/>
          </w:tcPr>
          <w:p w:rsidR="00DD0303" w:rsidRDefault="00FB1377">
            <w:pPr>
              <w:ind w:left="620"/>
              <w:rPr>
                <w:sz w:val="20"/>
                <w:szCs w:val="20"/>
              </w:rPr>
            </w:pPr>
            <w:r>
              <w:rPr>
                <w:rFonts w:eastAsia="Times New Roman"/>
                <w:sz w:val="20"/>
                <w:szCs w:val="20"/>
              </w:rPr>
              <w:t>10 (10%)</w:t>
            </w:r>
          </w:p>
        </w:tc>
        <w:tc>
          <w:tcPr>
            <w:tcW w:w="1080" w:type="dxa"/>
            <w:vAlign w:val="bottom"/>
          </w:tcPr>
          <w:p w:rsidR="00DD0303" w:rsidRDefault="00FB1377">
            <w:pPr>
              <w:ind w:left="200"/>
              <w:rPr>
                <w:sz w:val="20"/>
                <w:szCs w:val="20"/>
              </w:rPr>
            </w:pPr>
            <w:r>
              <w:rPr>
                <w:rFonts w:eastAsia="Times New Roman"/>
                <w:sz w:val="20"/>
                <w:szCs w:val="20"/>
              </w:rPr>
              <w:t>88 (90%)</w:t>
            </w:r>
          </w:p>
        </w:tc>
      </w:tr>
      <w:tr w:rsidR="00DD0303">
        <w:trPr>
          <w:trHeight w:val="264"/>
        </w:trPr>
        <w:tc>
          <w:tcPr>
            <w:tcW w:w="20" w:type="dxa"/>
            <w:vAlign w:val="bottom"/>
          </w:tcPr>
          <w:p w:rsidR="00DD0303" w:rsidRDefault="00DD0303"/>
        </w:tc>
        <w:tc>
          <w:tcPr>
            <w:tcW w:w="5800" w:type="dxa"/>
            <w:vAlign w:val="bottom"/>
          </w:tcPr>
          <w:p w:rsidR="00DD0303" w:rsidRDefault="00FB1377">
            <w:pPr>
              <w:ind w:left="100"/>
              <w:rPr>
                <w:sz w:val="20"/>
                <w:szCs w:val="20"/>
              </w:rPr>
            </w:pPr>
            <w:r>
              <w:rPr>
                <w:rFonts w:eastAsia="Times New Roman"/>
                <w:sz w:val="20"/>
                <w:szCs w:val="20"/>
              </w:rPr>
              <w:t>penetration?</w:t>
            </w:r>
          </w:p>
        </w:tc>
        <w:tc>
          <w:tcPr>
            <w:tcW w:w="1060" w:type="dxa"/>
            <w:vAlign w:val="bottom"/>
          </w:tcPr>
          <w:p w:rsidR="00DD0303" w:rsidRDefault="00DD0303"/>
        </w:tc>
        <w:tc>
          <w:tcPr>
            <w:tcW w:w="1560" w:type="dxa"/>
            <w:vAlign w:val="bottom"/>
          </w:tcPr>
          <w:p w:rsidR="00DD0303" w:rsidRDefault="00DD0303"/>
        </w:tc>
        <w:tc>
          <w:tcPr>
            <w:tcW w:w="108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5800" w:type="dxa"/>
            <w:vAlign w:val="bottom"/>
          </w:tcPr>
          <w:p w:rsidR="00DD0303" w:rsidRDefault="00FB1377">
            <w:pPr>
              <w:ind w:left="100"/>
              <w:rPr>
                <w:sz w:val="20"/>
                <w:szCs w:val="20"/>
              </w:rPr>
            </w:pPr>
            <w:r>
              <w:rPr>
                <w:rFonts w:eastAsia="Times New Roman"/>
                <w:sz w:val="20"/>
                <w:szCs w:val="20"/>
              </w:rPr>
              <w:t>Do you know anyone who has been a male victim of rape?</w:t>
            </w:r>
          </w:p>
        </w:tc>
        <w:tc>
          <w:tcPr>
            <w:tcW w:w="1060" w:type="dxa"/>
            <w:vAlign w:val="bottom"/>
          </w:tcPr>
          <w:p w:rsidR="00DD0303" w:rsidRDefault="00FB1377">
            <w:pPr>
              <w:ind w:left="260"/>
              <w:rPr>
                <w:sz w:val="20"/>
                <w:szCs w:val="20"/>
              </w:rPr>
            </w:pPr>
            <w:r>
              <w:rPr>
                <w:rFonts w:eastAsia="Times New Roman"/>
                <w:sz w:val="20"/>
                <w:szCs w:val="20"/>
              </w:rPr>
              <w:t>98</w:t>
            </w:r>
          </w:p>
        </w:tc>
        <w:tc>
          <w:tcPr>
            <w:tcW w:w="1560" w:type="dxa"/>
            <w:vAlign w:val="bottom"/>
          </w:tcPr>
          <w:p w:rsidR="00DD0303" w:rsidRDefault="00FB1377">
            <w:pPr>
              <w:ind w:left="620"/>
              <w:rPr>
                <w:sz w:val="20"/>
                <w:szCs w:val="20"/>
              </w:rPr>
            </w:pPr>
            <w:r>
              <w:rPr>
                <w:rFonts w:eastAsia="Times New Roman"/>
                <w:sz w:val="20"/>
                <w:szCs w:val="20"/>
              </w:rPr>
              <w:t>12 (12%)</w:t>
            </w:r>
          </w:p>
        </w:tc>
        <w:tc>
          <w:tcPr>
            <w:tcW w:w="1080" w:type="dxa"/>
            <w:vAlign w:val="bottom"/>
          </w:tcPr>
          <w:p w:rsidR="00DD0303" w:rsidRDefault="00FB1377">
            <w:pPr>
              <w:ind w:left="200"/>
              <w:rPr>
                <w:sz w:val="20"/>
                <w:szCs w:val="20"/>
              </w:rPr>
            </w:pPr>
            <w:r>
              <w:rPr>
                <w:rFonts w:eastAsia="Times New Roman"/>
                <w:sz w:val="20"/>
                <w:szCs w:val="20"/>
              </w:rPr>
              <w:t>86 (88%)</w:t>
            </w:r>
          </w:p>
        </w:tc>
      </w:tr>
      <w:tr w:rsidR="00DD0303">
        <w:trPr>
          <w:trHeight w:val="288"/>
        </w:trPr>
        <w:tc>
          <w:tcPr>
            <w:tcW w:w="20" w:type="dxa"/>
            <w:tcBorders>
              <w:bottom w:val="single" w:sz="8" w:space="0" w:color="auto"/>
            </w:tcBorders>
            <w:vAlign w:val="bottom"/>
          </w:tcPr>
          <w:p w:rsidR="00DD0303" w:rsidRDefault="00DD0303">
            <w:pPr>
              <w:rPr>
                <w:sz w:val="24"/>
                <w:szCs w:val="24"/>
              </w:rPr>
            </w:pPr>
          </w:p>
        </w:tc>
        <w:tc>
          <w:tcPr>
            <w:tcW w:w="5800" w:type="dxa"/>
            <w:tcBorders>
              <w:bottom w:val="single" w:sz="8" w:space="0" w:color="auto"/>
            </w:tcBorders>
            <w:vAlign w:val="bottom"/>
          </w:tcPr>
          <w:p w:rsidR="00DD0303" w:rsidRDefault="00DD0303">
            <w:pPr>
              <w:rPr>
                <w:sz w:val="24"/>
                <w:szCs w:val="24"/>
              </w:rPr>
            </w:pPr>
          </w:p>
        </w:tc>
        <w:tc>
          <w:tcPr>
            <w:tcW w:w="1060" w:type="dxa"/>
            <w:tcBorders>
              <w:bottom w:val="single" w:sz="8" w:space="0" w:color="auto"/>
            </w:tcBorders>
            <w:vAlign w:val="bottom"/>
          </w:tcPr>
          <w:p w:rsidR="00DD0303" w:rsidRDefault="00DD0303">
            <w:pPr>
              <w:rPr>
                <w:sz w:val="24"/>
                <w:szCs w:val="24"/>
              </w:rPr>
            </w:pPr>
          </w:p>
        </w:tc>
        <w:tc>
          <w:tcPr>
            <w:tcW w:w="1560" w:type="dxa"/>
            <w:tcBorders>
              <w:bottom w:val="single" w:sz="8" w:space="0" w:color="auto"/>
            </w:tcBorders>
            <w:vAlign w:val="bottom"/>
          </w:tcPr>
          <w:p w:rsidR="00DD0303" w:rsidRDefault="00DD0303">
            <w:pPr>
              <w:rPr>
                <w:sz w:val="24"/>
                <w:szCs w:val="24"/>
              </w:rPr>
            </w:pPr>
          </w:p>
        </w:tc>
        <w:tc>
          <w:tcPr>
            <w:tcW w:w="1080" w:type="dxa"/>
            <w:tcBorders>
              <w:bottom w:val="single" w:sz="8" w:space="0" w:color="auto"/>
            </w:tcBorders>
            <w:vAlign w:val="bottom"/>
          </w:tcPr>
          <w:p w:rsidR="00DD0303" w:rsidRDefault="00DD0303">
            <w:pPr>
              <w:rPr>
                <w:sz w:val="24"/>
                <w:szCs w:val="24"/>
              </w:rPr>
            </w:pPr>
          </w:p>
        </w:tc>
      </w:tr>
    </w:tbl>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32" w:lineRule="exact"/>
        <w:rPr>
          <w:sz w:val="20"/>
          <w:szCs w:val="20"/>
        </w:rPr>
      </w:pPr>
    </w:p>
    <w:p w:rsidR="00DD0303" w:rsidRDefault="00FB1377">
      <w:pPr>
        <w:ind w:left="9100"/>
        <w:rPr>
          <w:sz w:val="20"/>
          <w:szCs w:val="20"/>
        </w:rPr>
      </w:pPr>
      <w:r>
        <w:rPr>
          <w:rFonts w:eastAsia="Times New Roman"/>
        </w:rPr>
        <w:t>36</w:t>
      </w:r>
    </w:p>
    <w:p w:rsidR="00DD0303" w:rsidRDefault="00DD0303">
      <w:pPr>
        <w:sectPr w:rsidR="00DD0303">
          <w:pgSz w:w="11900" w:h="16838"/>
          <w:pgMar w:top="684" w:right="1246" w:bottom="437" w:left="1140" w:header="0" w:footer="0" w:gutter="0"/>
          <w:cols w:space="720" w:equalWidth="0">
            <w:col w:w="9520"/>
          </w:cols>
        </w:sectPr>
      </w:pPr>
    </w:p>
    <w:p w:rsidR="00DD0303" w:rsidRDefault="00FB1377">
      <w:pPr>
        <w:ind w:left="580"/>
        <w:rPr>
          <w:sz w:val="20"/>
          <w:szCs w:val="20"/>
        </w:rPr>
      </w:pPr>
      <w:bookmarkStart w:id="37" w:name="page38"/>
      <w:bookmarkEnd w:id="37"/>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13" w:lineRule="exact"/>
        <w:rPr>
          <w:sz w:val="20"/>
          <w:szCs w:val="20"/>
        </w:rPr>
      </w:pPr>
    </w:p>
    <w:p w:rsidR="00DD0303" w:rsidRDefault="00FB1377">
      <w:pPr>
        <w:ind w:left="580"/>
        <w:rPr>
          <w:sz w:val="20"/>
          <w:szCs w:val="20"/>
        </w:rPr>
      </w:pPr>
      <w:r>
        <w:rPr>
          <w:rFonts w:eastAsia="Times New Roman"/>
          <w:i/>
          <w:iCs/>
          <w:sz w:val="24"/>
          <w:szCs w:val="24"/>
        </w:rPr>
        <w:t>Table 2:</w:t>
      </w:r>
    </w:p>
    <w:p w:rsidR="00DD0303" w:rsidRDefault="00DD0303">
      <w:pPr>
        <w:spacing w:line="199" w:lineRule="exact"/>
        <w:rPr>
          <w:sz w:val="20"/>
          <w:szCs w:val="20"/>
        </w:rPr>
      </w:pPr>
    </w:p>
    <w:p w:rsidR="00DD0303" w:rsidRDefault="00FB1377">
      <w:pPr>
        <w:ind w:left="580"/>
        <w:rPr>
          <w:sz w:val="20"/>
          <w:szCs w:val="20"/>
        </w:rPr>
      </w:pPr>
      <w:r>
        <w:rPr>
          <w:rFonts w:eastAsia="Times New Roman"/>
          <w:i/>
          <w:iCs/>
          <w:sz w:val="24"/>
          <w:szCs w:val="24"/>
        </w:rPr>
        <w:t>Levels of Agreement With Sexual Assault Myths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1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760"/>
        <w:gridCol w:w="640"/>
        <w:gridCol w:w="480"/>
        <w:gridCol w:w="720"/>
        <w:gridCol w:w="480"/>
        <w:gridCol w:w="720"/>
        <w:gridCol w:w="420"/>
        <w:gridCol w:w="720"/>
        <w:gridCol w:w="1340"/>
        <w:gridCol w:w="500"/>
        <w:gridCol w:w="1000"/>
      </w:tblGrid>
      <w:tr w:rsidR="00DD0303">
        <w:trPr>
          <w:trHeight w:val="258"/>
        </w:trPr>
        <w:tc>
          <w:tcPr>
            <w:tcW w:w="20" w:type="dxa"/>
            <w:vAlign w:val="bottom"/>
          </w:tcPr>
          <w:p w:rsidR="00DD0303" w:rsidRDefault="00DD0303"/>
        </w:tc>
        <w:tc>
          <w:tcPr>
            <w:tcW w:w="2760" w:type="dxa"/>
            <w:tcBorders>
              <w:top w:val="single" w:sz="8" w:space="0" w:color="auto"/>
            </w:tcBorders>
            <w:vAlign w:val="bottom"/>
          </w:tcPr>
          <w:p w:rsidR="00DD0303" w:rsidRDefault="00FB1377">
            <w:pPr>
              <w:ind w:left="500"/>
              <w:rPr>
                <w:sz w:val="20"/>
                <w:szCs w:val="20"/>
              </w:rPr>
            </w:pPr>
            <w:r>
              <w:rPr>
                <w:rFonts w:eastAsia="Times New Roman"/>
                <w:sz w:val="20"/>
                <w:szCs w:val="20"/>
              </w:rPr>
              <w:t>Sexual assault myths</w:t>
            </w:r>
          </w:p>
        </w:tc>
        <w:tc>
          <w:tcPr>
            <w:tcW w:w="640" w:type="dxa"/>
            <w:tcBorders>
              <w:top w:val="single" w:sz="8" w:space="0" w:color="auto"/>
            </w:tcBorders>
            <w:vAlign w:val="bottom"/>
          </w:tcPr>
          <w:p w:rsidR="00DD0303" w:rsidRDefault="00FB1377">
            <w:pPr>
              <w:jc w:val="center"/>
              <w:rPr>
                <w:sz w:val="20"/>
                <w:szCs w:val="20"/>
              </w:rPr>
            </w:pPr>
            <w:r>
              <w:rPr>
                <w:rFonts w:eastAsia="Times New Roman"/>
                <w:i/>
                <w:iCs/>
                <w:w w:val="89"/>
                <w:sz w:val="20"/>
                <w:szCs w:val="20"/>
              </w:rPr>
              <w:t>N</w:t>
            </w:r>
          </w:p>
        </w:tc>
        <w:tc>
          <w:tcPr>
            <w:tcW w:w="1200" w:type="dxa"/>
            <w:gridSpan w:val="2"/>
            <w:tcBorders>
              <w:top w:val="single" w:sz="8" w:space="0" w:color="auto"/>
            </w:tcBorders>
            <w:vAlign w:val="bottom"/>
          </w:tcPr>
          <w:p w:rsidR="00DD0303" w:rsidRDefault="00FB1377">
            <w:pPr>
              <w:jc w:val="center"/>
              <w:rPr>
                <w:sz w:val="20"/>
                <w:szCs w:val="20"/>
              </w:rPr>
            </w:pPr>
            <w:r>
              <w:rPr>
                <w:rFonts w:eastAsia="Times New Roman"/>
                <w:sz w:val="20"/>
                <w:szCs w:val="20"/>
              </w:rPr>
              <w:t>Strongly</w:t>
            </w:r>
          </w:p>
        </w:tc>
        <w:tc>
          <w:tcPr>
            <w:tcW w:w="1200" w:type="dxa"/>
            <w:gridSpan w:val="2"/>
            <w:tcBorders>
              <w:top w:val="single" w:sz="8" w:space="0" w:color="auto"/>
            </w:tcBorders>
            <w:vAlign w:val="bottom"/>
          </w:tcPr>
          <w:p w:rsidR="00DD0303" w:rsidRDefault="00FB1377">
            <w:pPr>
              <w:ind w:left="180"/>
              <w:rPr>
                <w:sz w:val="20"/>
                <w:szCs w:val="20"/>
              </w:rPr>
            </w:pPr>
            <w:r>
              <w:rPr>
                <w:rFonts w:eastAsia="Times New Roman"/>
                <w:sz w:val="20"/>
                <w:szCs w:val="20"/>
              </w:rPr>
              <w:t>Agree</w:t>
            </w:r>
          </w:p>
        </w:tc>
        <w:tc>
          <w:tcPr>
            <w:tcW w:w="1140" w:type="dxa"/>
            <w:gridSpan w:val="2"/>
            <w:tcBorders>
              <w:top w:val="single" w:sz="8" w:space="0" w:color="auto"/>
            </w:tcBorders>
            <w:vAlign w:val="bottom"/>
          </w:tcPr>
          <w:p w:rsidR="00DD0303" w:rsidRDefault="00FB1377">
            <w:pPr>
              <w:ind w:left="280"/>
              <w:rPr>
                <w:sz w:val="20"/>
                <w:szCs w:val="20"/>
              </w:rPr>
            </w:pPr>
            <w:r>
              <w:rPr>
                <w:rFonts w:eastAsia="Times New Roman"/>
                <w:sz w:val="20"/>
                <w:szCs w:val="20"/>
              </w:rPr>
              <w:t>Unsure</w:t>
            </w:r>
          </w:p>
        </w:tc>
        <w:tc>
          <w:tcPr>
            <w:tcW w:w="1340" w:type="dxa"/>
            <w:tcBorders>
              <w:top w:val="single" w:sz="8" w:space="0" w:color="auto"/>
            </w:tcBorders>
            <w:vAlign w:val="bottom"/>
          </w:tcPr>
          <w:p w:rsidR="00DD0303" w:rsidRDefault="00FB1377">
            <w:pPr>
              <w:ind w:right="180"/>
              <w:jc w:val="right"/>
              <w:rPr>
                <w:sz w:val="20"/>
                <w:szCs w:val="20"/>
              </w:rPr>
            </w:pPr>
            <w:r>
              <w:rPr>
                <w:rFonts w:eastAsia="Times New Roman"/>
                <w:sz w:val="20"/>
                <w:szCs w:val="20"/>
              </w:rPr>
              <w:t>Disagree</w:t>
            </w:r>
          </w:p>
        </w:tc>
        <w:tc>
          <w:tcPr>
            <w:tcW w:w="1500" w:type="dxa"/>
            <w:gridSpan w:val="2"/>
            <w:tcBorders>
              <w:top w:val="single" w:sz="8" w:space="0" w:color="auto"/>
            </w:tcBorders>
            <w:vAlign w:val="bottom"/>
          </w:tcPr>
          <w:p w:rsidR="00DD0303" w:rsidRDefault="00FB1377">
            <w:pPr>
              <w:ind w:left="440"/>
              <w:rPr>
                <w:sz w:val="20"/>
                <w:szCs w:val="20"/>
              </w:rPr>
            </w:pPr>
            <w:r>
              <w:rPr>
                <w:rFonts w:eastAsia="Times New Roman"/>
                <w:sz w:val="20"/>
                <w:szCs w:val="20"/>
              </w:rPr>
              <w:t>Strongly</w:t>
            </w:r>
          </w:p>
        </w:tc>
      </w:tr>
      <w:tr w:rsidR="00DD0303">
        <w:trPr>
          <w:trHeight w:val="261"/>
        </w:trPr>
        <w:tc>
          <w:tcPr>
            <w:tcW w:w="20" w:type="dxa"/>
            <w:vAlign w:val="bottom"/>
          </w:tcPr>
          <w:p w:rsidR="00DD0303" w:rsidRDefault="00DD0303"/>
        </w:tc>
        <w:tc>
          <w:tcPr>
            <w:tcW w:w="2760" w:type="dxa"/>
            <w:vAlign w:val="bottom"/>
          </w:tcPr>
          <w:p w:rsidR="00DD0303" w:rsidRDefault="00DD0303"/>
        </w:tc>
        <w:tc>
          <w:tcPr>
            <w:tcW w:w="640" w:type="dxa"/>
            <w:vAlign w:val="bottom"/>
          </w:tcPr>
          <w:p w:rsidR="00DD0303" w:rsidRDefault="00DD0303"/>
        </w:tc>
        <w:tc>
          <w:tcPr>
            <w:tcW w:w="1200" w:type="dxa"/>
            <w:gridSpan w:val="2"/>
            <w:vAlign w:val="bottom"/>
          </w:tcPr>
          <w:p w:rsidR="00DD0303" w:rsidRDefault="00FB1377">
            <w:pPr>
              <w:jc w:val="center"/>
              <w:rPr>
                <w:sz w:val="20"/>
                <w:szCs w:val="20"/>
              </w:rPr>
            </w:pPr>
            <w:r>
              <w:rPr>
                <w:rFonts w:eastAsia="Times New Roman"/>
                <w:w w:val="96"/>
                <w:sz w:val="20"/>
                <w:szCs w:val="20"/>
              </w:rPr>
              <w:t>agree</w:t>
            </w:r>
          </w:p>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1500" w:type="dxa"/>
            <w:gridSpan w:val="2"/>
            <w:vAlign w:val="bottom"/>
          </w:tcPr>
          <w:p w:rsidR="00DD0303" w:rsidRDefault="00FB1377">
            <w:pPr>
              <w:ind w:left="460"/>
              <w:rPr>
                <w:sz w:val="20"/>
                <w:szCs w:val="20"/>
              </w:rPr>
            </w:pPr>
            <w:r>
              <w:rPr>
                <w:rFonts w:eastAsia="Times New Roman"/>
                <w:sz w:val="20"/>
                <w:szCs w:val="20"/>
              </w:rPr>
              <w:t>disagree</w:t>
            </w:r>
          </w:p>
        </w:tc>
      </w:tr>
      <w:tr w:rsidR="00DD0303">
        <w:trPr>
          <w:trHeight w:val="22"/>
        </w:trPr>
        <w:tc>
          <w:tcPr>
            <w:tcW w:w="20" w:type="dxa"/>
            <w:vAlign w:val="bottom"/>
          </w:tcPr>
          <w:p w:rsidR="00DD0303" w:rsidRDefault="00DD0303">
            <w:pPr>
              <w:spacing w:line="20" w:lineRule="exact"/>
              <w:rPr>
                <w:sz w:val="1"/>
                <w:szCs w:val="1"/>
              </w:rPr>
            </w:pPr>
          </w:p>
        </w:tc>
        <w:tc>
          <w:tcPr>
            <w:tcW w:w="2760" w:type="dxa"/>
            <w:tcBorders>
              <w:bottom w:val="single" w:sz="8" w:space="0" w:color="auto"/>
            </w:tcBorders>
            <w:vAlign w:val="bottom"/>
          </w:tcPr>
          <w:p w:rsidR="00DD0303" w:rsidRDefault="00DD0303">
            <w:pPr>
              <w:spacing w:line="20" w:lineRule="exact"/>
              <w:rPr>
                <w:sz w:val="1"/>
                <w:szCs w:val="1"/>
              </w:rPr>
            </w:pPr>
          </w:p>
        </w:tc>
        <w:tc>
          <w:tcPr>
            <w:tcW w:w="640" w:type="dxa"/>
            <w:tcBorders>
              <w:bottom w:val="single" w:sz="8" w:space="0" w:color="auto"/>
            </w:tcBorders>
            <w:vAlign w:val="bottom"/>
          </w:tcPr>
          <w:p w:rsidR="00DD0303" w:rsidRDefault="00DD0303">
            <w:pPr>
              <w:spacing w:line="20" w:lineRule="exact"/>
              <w:rPr>
                <w:sz w:val="1"/>
                <w:szCs w:val="1"/>
              </w:rPr>
            </w:pPr>
          </w:p>
        </w:tc>
        <w:tc>
          <w:tcPr>
            <w:tcW w:w="480" w:type="dxa"/>
            <w:tcBorders>
              <w:bottom w:val="single" w:sz="8" w:space="0" w:color="auto"/>
            </w:tcBorders>
            <w:vAlign w:val="bottom"/>
          </w:tcPr>
          <w:p w:rsidR="00DD0303" w:rsidRDefault="00DD0303">
            <w:pPr>
              <w:spacing w:line="20" w:lineRule="exact"/>
              <w:rPr>
                <w:sz w:val="1"/>
                <w:szCs w:val="1"/>
              </w:rPr>
            </w:pPr>
          </w:p>
        </w:tc>
        <w:tc>
          <w:tcPr>
            <w:tcW w:w="720" w:type="dxa"/>
            <w:tcBorders>
              <w:bottom w:val="single" w:sz="8" w:space="0" w:color="auto"/>
            </w:tcBorders>
            <w:vAlign w:val="bottom"/>
          </w:tcPr>
          <w:p w:rsidR="00DD0303" w:rsidRDefault="00DD0303">
            <w:pPr>
              <w:spacing w:line="20" w:lineRule="exact"/>
              <w:rPr>
                <w:sz w:val="1"/>
                <w:szCs w:val="1"/>
              </w:rPr>
            </w:pPr>
          </w:p>
        </w:tc>
        <w:tc>
          <w:tcPr>
            <w:tcW w:w="1200" w:type="dxa"/>
            <w:gridSpan w:val="2"/>
            <w:tcBorders>
              <w:bottom w:val="single" w:sz="8" w:space="0" w:color="auto"/>
            </w:tcBorders>
            <w:vAlign w:val="bottom"/>
          </w:tcPr>
          <w:p w:rsidR="00DD0303" w:rsidRDefault="00DD0303">
            <w:pPr>
              <w:spacing w:line="20" w:lineRule="exact"/>
              <w:rPr>
                <w:sz w:val="1"/>
                <w:szCs w:val="1"/>
              </w:rPr>
            </w:pPr>
          </w:p>
        </w:tc>
        <w:tc>
          <w:tcPr>
            <w:tcW w:w="420" w:type="dxa"/>
            <w:tcBorders>
              <w:bottom w:val="single" w:sz="8" w:space="0" w:color="auto"/>
            </w:tcBorders>
            <w:vAlign w:val="bottom"/>
          </w:tcPr>
          <w:p w:rsidR="00DD0303" w:rsidRDefault="00DD0303">
            <w:pPr>
              <w:spacing w:line="20" w:lineRule="exact"/>
              <w:rPr>
                <w:sz w:val="1"/>
                <w:szCs w:val="1"/>
              </w:rPr>
            </w:pPr>
          </w:p>
        </w:tc>
        <w:tc>
          <w:tcPr>
            <w:tcW w:w="720" w:type="dxa"/>
            <w:tcBorders>
              <w:bottom w:val="single" w:sz="8" w:space="0" w:color="auto"/>
            </w:tcBorders>
            <w:vAlign w:val="bottom"/>
          </w:tcPr>
          <w:p w:rsidR="00DD0303" w:rsidRDefault="00DD0303">
            <w:pPr>
              <w:spacing w:line="20" w:lineRule="exact"/>
              <w:rPr>
                <w:sz w:val="1"/>
                <w:szCs w:val="1"/>
              </w:rPr>
            </w:pPr>
          </w:p>
        </w:tc>
        <w:tc>
          <w:tcPr>
            <w:tcW w:w="1340" w:type="dxa"/>
            <w:tcBorders>
              <w:bottom w:val="single" w:sz="8" w:space="0" w:color="auto"/>
            </w:tcBorders>
            <w:vAlign w:val="bottom"/>
          </w:tcPr>
          <w:p w:rsidR="00DD0303" w:rsidRDefault="00DD0303">
            <w:pPr>
              <w:spacing w:line="20" w:lineRule="exact"/>
              <w:rPr>
                <w:sz w:val="1"/>
                <w:szCs w:val="1"/>
              </w:rPr>
            </w:pPr>
          </w:p>
        </w:tc>
        <w:tc>
          <w:tcPr>
            <w:tcW w:w="500" w:type="dxa"/>
            <w:tcBorders>
              <w:bottom w:val="single" w:sz="8" w:space="0" w:color="auto"/>
            </w:tcBorders>
            <w:vAlign w:val="bottom"/>
          </w:tcPr>
          <w:p w:rsidR="00DD0303" w:rsidRDefault="00DD0303">
            <w:pPr>
              <w:spacing w:line="20" w:lineRule="exact"/>
              <w:rPr>
                <w:sz w:val="1"/>
                <w:szCs w:val="1"/>
              </w:rPr>
            </w:pPr>
          </w:p>
        </w:tc>
        <w:tc>
          <w:tcPr>
            <w:tcW w:w="1000" w:type="dxa"/>
            <w:tcBorders>
              <w:bottom w:val="single" w:sz="8" w:space="0" w:color="auto"/>
            </w:tcBorders>
            <w:vAlign w:val="bottom"/>
          </w:tcPr>
          <w:p w:rsidR="00DD0303" w:rsidRDefault="00DD0303">
            <w:pPr>
              <w:spacing w:line="20" w:lineRule="exact"/>
              <w:rPr>
                <w:sz w:val="1"/>
                <w:szCs w:val="1"/>
              </w:rPr>
            </w:pPr>
          </w:p>
        </w:tc>
      </w:tr>
      <w:tr w:rsidR="00DD0303">
        <w:trPr>
          <w:trHeight w:val="496"/>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Men</w:t>
            </w:r>
            <w:r>
              <w:rPr>
                <w:rFonts w:eastAsia="Times New Roman"/>
                <w:sz w:val="20"/>
                <w:szCs w:val="20"/>
              </w:rPr>
              <w:t xml:space="preserve"> cannot be sexually</w:t>
            </w:r>
          </w:p>
        </w:tc>
        <w:tc>
          <w:tcPr>
            <w:tcW w:w="640" w:type="dxa"/>
            <w:vAlign w:val="bottom"/>
          </w:tcPr>
          <w:p w:rsidR="00DD0303" w:rsidRDefault="00FB1377">
            <w:pPr>
              <w:jc w:val="center"/>
              <w:rPr>
                <w:sz w:val="20"/>
                <w:szCs w:val="20"/>
              </w:rPr>
            </w:pPr>
            <w:r>
              <w:rPr>
                <w:rFonts w:eastAsia="Times New Roman"/>
                <w:w w:val="99"/>
                <w:sz w:val="20"/>
                <w:szCs w:val="20"/>
              </w:rPr>
              <w:t>98</w:t>
            </w:r>
          </w:p>
        </w:tc>
        <w:tc>
          <w:tcPr>
            <w:tcW w:w="480" w:type="dxa"/>
            <w:vAlign w:val="bottom"/>
          </w:tcPr>
          <w:p w:rsidR="00DD0303" w:rsidRDefault="00FB1377">
            <w:pPr>
              <w:jc w:val="right"/>
              <w:rPr>
                <w:sz w:val="20"/>
                <w:szCs w:val="20"/>
              </w:rPr>
            </w:pPr>
            <w:r>
              <w:rPr>
                <w:rFonts w:eastAsia="Times New Roman"/>
                <w:sz w:val="20"/>
                <w:szCs w:val="20"/>
              </w:rPr>
              <w:t>2</w:t>
            </w:r>
          </w:p>
        </w:tc>
        <w:tc>
          <w:tcPr>
            <w:tcW w:w="720" w:type="dxa"/>
            <w:vAlign w:val="bottom"/>
          </w:tcPr>
          <w:p w:rsidR="00DD0303" w:rsidRDefault="00FB1377">
            <w:pPr>
              <w:ind w:left="20"/>
              <w:rPr>
                <w:sz w:val="20"/>
                <w:szCs w:val="20"/>
              </w:rPr>
            </w:pPr>
            <w:r>
              <w:rPr>
                <w:rFonts w:eastAsia="Times New Roman"/>
                <w:sz w:val="20"/>
                <w:szCs w:val="20"/>
              </w:rPr>
              <w:t>(2%)</w:t>
            </w:r>
          </w:p>
        </w:tc>
        <w:tc>
          <w:tcPr>
            <w:tcW w:w="1200" w:type="dxa"/>
            <w:gridSpan w:val="2"/>
            <w:vAlign w:val="bottom"/>
          </w:tcPr>
          <w:p w:rsidR="00DD0303" w:rsidRDefault="00FB1377">
            <w:pPr>
              <w:jc w:val="center"/>
              <w:rPr>
                <w:sz w:val="20"/>
                <w:szCs w:val="20"/>
              </w:rPr>
            </w:pPr>
            <w:r>
              <w:rPr>
                <w:rFonts w:eastAsia="Times New Roman"/>
                <w:w w:val="99"/>
                <w:sz w:val="20"/>
                <w:szCs w:val="20"/>
              </w:rPr>
              <w:t>1(1%)</w:t>
            </w:r>
          </w:p>
        </w:tc>
        <w:tc>
          <w:tcPr>
            <w:tcW w:w="420" w:type="dxa"/>
            <w:vAlign w:val="bottom"/>
          </w:tcPr>
          <w:p w:rsidR="00DD0303" w:rsidRDefault="00FB1377">
            <w:pPr>
              <w:jc w:val="right"/>
              <w:rPr>
                <w:sz w:val="20"/>
                <w:szCs w:val="20"/>
              </w:rPr>
            </w:pPr>
            <w:r>
              <w:rPr>
                <w:rFonts w:eastAsia="Times New Roman"/>
                <w:sz w:val="20"/>
                <w:szCs w:val="20"/>
              </w:rPr>
              <w:t>2</w:t>
            </w:r>
          </w:p>
        </w:tc>
        <w:tc>
          <w:tcPr>
            <w:tcW w:w="720" w:type="dxa"/>
            <w:vAlign w:val="bottom"/>
          </w:tcPr>
          <w:p w:rsidR="00DD0303" w:rsidRDefault="00FB1377">
            <w:pPr>
              <w:ind w:left="20"/>
              <w:rPr>
                <w:sz w:val="20"/>
                <w:szCs w:val="20"/>
              </w:rPr>
            </w:pPr>
            <w:r>
              <w:rPr>
                <w:rFonts w:eastAsia="Times New Roman"/>
                <w:sz w:val="20"/>
                <w:szCs w:val="20"/>
              </w:rPr>
              <w:t>(2%)</w:t>
            </w:r>
          </w:p>
        </w:tc>
        <w:tc>
          <w:tcPr>
            <w:tcW w:w="1340" w:type="dxa"/>
            <w:vAlign w:val="bottom"/>
          </w:tcPr>
          <w:p w:rsidR="00DD0303" w:rsidRDefault="00FB1377">
            <w:pPr>
              <w:ind w:right="300"/>
              <w:jc w:val="right"/>
              <w:rPr>
                <w:sz w:val="20"/>
                <w:szCs w:val="20"/>
              </w:rPr>
            </w:pPr>
            <w:r>
              <w:rPr>
                <w:rFonts w:eastAsia="Times New Roman"/>
                <w:sz w:val="20"/>
                <w:szCs w:val="20"/>
              </w:rPr>
              <w:t>12 (12%)</w:t>
            </w:r>
          </w:p>
        </w:tc>
        <w:tc>
          <w:tcPr>
            <w:tcW w:w="500" w:type="dxa"/>
            <w:vAlign w:val="bottom"/>
          </w:tcPr>
          <w:p w:rsidR="00DD0303" w:rsidRDefault="00FB1377">
            <w:pPr>
              <w:jc w:val="right"/>
              <w:rPr>
                <w:sz w:val="20"/>
                <w:szCs w:val="20"/>
              </w:rPr>
            </w:pPr>
            <w:r>
              <w:rPr>
                <w:rFonts w:eastAsia="Times New Roman"/>
                <w:sz w:val="20"/>
                <w:szCs w:val="20"/>
              </w:rPr>
              <w:t>81</w:t>
            </w:r>
          </w:p>
        </w:tc>
        <w:tc>
          <w:tcPr>
            <w:tcW w:w="1000" w:type="dxa"/>
            <w:vAlign w:val="bottom"/>
          </w:tcPr>
          <w:p w:rsidR="00DD0303" w:rsidRDefault="00FB1377">
            <w:pPr>
              <w:ind w:left="20"/>
              <w:rPr>
                <w:sz w:val="20"/>
                <w:szCs w:val="20"/>
              </w:rPr>
            </w:pPr>
            <w:r>
              <w:rPr>
                <w:rFonts w:eastAsia="Times New Roman"/>
                <w:sz w:val="20"/>
                <w:szCs w:val="20"/>
              </w:rPr>
              <w:t>(83%)</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assaulted.</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530"/>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Men can defend themselves</w:t>
            </w:r>
          </w:p>
        </w:tc>
        <w:tc>
          <w:tcPr>
            <w:tcW w:w="640" w:type="dxa"/>
            <w:vAlign w:val="bottom"/>
          </w:tcPr>
          <w:p w:rsidR="00DD0303" w:rsidRDefault="00FB1377">
            <w:pPr>
              <w:jc w:val="center"/>
              <w:rPr>
                <w:sz w:val="20"/>
                <w:szCs w:val="20"/>
              </w:rPr>
            </w:pPr>
            <w:r>
              <w:rPr>
                <w:rFonts w:eastAsia="Times New Roman"/>
                <w:w w:val="99"/>
                <w:sz w:val="20"/>
                <w:szCs w:val="20"/>
              </w:rPr>
              <w:t>98</w:t>
            </w:r>
          </w:p>
        </w:tc>
        <w:tc>
          <w:tcPr>
            <w:tcW w:w="480" w:type="dxa"/>
            <w:vAlign w:val="bottom"/>
          </w:tcPr>
          <w:p w:rsidR="00DD0303" w:rsidRDefault="00FB1377">
            <w:pPr>
              <w:jc w:val="right"/>
              <w:rPr>
                <w:sz w:val="20"/>
                <w:szCs w:val="20"/>
              </w:rPr>
            </w:pPr>
            <w:r>
              <w:rPr>
                <w:rFonts w:eastAsia="Times New Roman"/>
                <w:sz w:val="20"/>
                <w:szCs w:val="20"/>
              </w:rPr>
              <w:t>7</w:t>
            </w:r>
          </w:p>
        </w:tc>
        <w:tc>
          <w:tcPr>
            <w:tcW w:w="720" w:type="dxa"/>
            <w:vAlign w:val="bottom"/>
          </w:tcPr>
          <w:p w:rsidR="00DD0303" w:rsidRDefault="00FB1377">
            <w:pPr>
              <w:ind w:left="20"/>
              <w:rPr>
                <w:sz w:val="20"/>
                <w:szCs w:val="20"/>
              </w:rPr>
            </w:pPr>
            <w:r>
              <w:rPr>
                <w:rFonts w:eastAsia="Times New Roman"/>
                <w:sz w:val="20"/>
                <w:szCs w:val="20"/>
              </w:rPr>
              <w:t>(7%)</w:t>
            </w:r>
          </w:p>
        </w:tc>
        <w:tc>
          <w:tcPr>
            <w:tcW w:w="480" w:type="dxa"/>
            <w:vAlign w:val="bottom"/>
          </w:tcPr>
          <w:p w:rsidR="00DD0303" w:rsidRDefault="00FB1377">
            <w:pPr>
              <w:jc w:val="right"/>
              <w:rPr>
                <w:sz w:val="20"/>
                <w:szCs w:val="20"/>
              </w:rPr>
            </w:pPr>
            <w:r>
              <w:rPr>
                <w:rFonts w:eastAsia="Times New Roman"/>
                <w:sz w:val="20"/>
                <w:szCs w:val="20"/>
              </w:rPr>
              <w:t>27</w:t>
            </w:r>
          </w:p>
        </w:tc>
        <w:tc>
          <w:tcPr>
            <w:tcW w:w="720" w:type="dxa"/>
            <w:vAlign w:val="bottom"/>
          </w:tcPr>
          <w:p w:rsidR="00DD0303" w:rsidRDefault="00FB1377">
            <w:pPr>
              <w:ind w:left="40"/>
              <w:rPr>
                <w:sz w:val="20"/>
                <w:szCs w:val="20"/>
              </w:rPr>
            </w:pPr>
            <w:r>
              <w:rPr>
                <w:rFonts w:eastAsia="Times New Roman"/>
                <w:sz w:val="20"/>
                <w:szCs w:val="20"/>
              </w:rPr>
              <w:t>(28%)</w:t>
            </w:r>
          </w:p>
        </w:tc>
        <w:tc>
          <w:tcPr>
            <w:tcW w:w="420" w:type="dxa"/>
            <w:vAlign w:val="bottom"/>
          </w:tcPr>
          <w:p w:rsidR="00DD0303" w:rsidRDefault="00FB1377">
            <w:pPr>
              <w:jc w:val="right"/>
              <w:rPr>
                <w:sz w:val="20"/>
                <w:szCs w:val="20"/>
              </w:rPr>
            </w:pPr>
            <w:r>
              <w:rPr>
                <w:rFonts w:eastAsia="Times New Roman"/>
                <w:sz w:val="20"/>
                <w:szCs w:val="20"/>
              </w:rPr>
              <w:t>20</w:t>
            </w:r>
          </w:p>
        </w:tc>
        <w:tc>
          <w:tcPr>
            <w:tcW w:w="720" w:type="dxa"/>
            <w:vAlign w:val="bottom"/>
          </w:tcPr>
          <w:p w:rsidR="00DD0303" w:rsidRDefault="00FB1377">
            <w:pPr>
              <w:ind w:left="20"/>
              <w:rPr>
                <w:sz w:val="20"/>
                <w:szCs w:val="20"/>
              </w:rPr>
            </w:pPr>
            <w:r>
              <w:rPr>
                <w:rFonts w:eastAsia="Times New Roman"/>
                <w:sz w:val="20"/>
                <w:szCs w:val="20"/>
              </w:rPr>
              <w:t>(20%)</w:t>
            </w:r>
          </w:p>
        </w:tc>
        <w:tc>
          <w:tcPr>
            <w:tcW w:w="1340" w:type="dxa"/>
            <w:vAlign w:val="bottom"/>
          </w:tcPr>
          <w:p w:rsidR="00DD0303" w:rsidRDefault="00FB1377">
            <w:pPr>
              <w:ind w:right="300"/>
              <w:jc w:val="right"/>
              <w:rPr>
                <w:sz w:val="20"/>
                <w:szCs w:val="20"/>
              </w:rPr>
            </w:pPr>
            <w:r>
              <w:rPr>
                <w:rFonts w:eastAsia="Times New Roman"/>
                <w:sz w:val="20"/>
                <w:szCs w:val="20"/>
              </w:rPr>
              <w:t>27 (28%)</w:t>
            </w:r>
          </w:p>
        </w:tc>
        <w:tc>
          <w:tcPr>
            <w:tcW w:w="500" w:type="dxa"/>
            <w:vAlign w:val="bottom"/>
          </w:tcPr>
          <w:p w:rsidR="00DD0303" w:rsidRDefault="00FB1377">
            <w:pPr>
              <w:jc w:val="right"/>
              <w:rPr>
                <w:sz w:val="20"/>
                <w:szCs w:val="20"/>
              </w:rPr>
            </w:pPr>
            <w:r>
              <w:rPr>
                <w:rFonts w:eastAsia="Times New Roman"/>
                <w:sz w:val="20"/>
                <w:szCs w:val="20"/>
              </w:rPr>
              <w:t>17</w:t>
            </w:r>
          </w:p>
        </w:tc>
        <w:tc>
          <w:tcPr>
            <w:tcW w:w="1000" w:type="dxa"/>
            <w:vAlign w:val="bottom"/>
          </w:tcPr>
          <w:p w:rsidR="00DD0303" w:rsidRDefault="00FB1377">
            <w:pPr>
              <w:ind w:left="20"/>
              <w:rPr>
                <w:sz w:val="20"/>
                <w:szCs w:val="20"/>
              </w:rPr>
            </w:pPr>
            <w:r>
              <w:rPr>
                <w:rFonts w:eastAsia="Times New Roman"/>
                <w:sz w:val="20"/>
                <w:szCs w:val="20"/>
              </w:rPr>
              <w:t>(17%)</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from sexual assault.</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If a man is sexually assaulted</w:t>
            </w:r>
          </w:p>
        </w:tc>
        <w:tc>
          <w:tcPr>
            <w:tcW w:w="640" w:type="dxa"/>
            <w:vAlign w:val="bottom"/>
          </w:tcPr>
          <w:p w:rsidR="00DD0303" w:rsidRDefault="00FB1377">
            <w:pPr>
              <w:jc w:val="center"/>
              <w:rPr>
                <w:sz w:val="20"/>
                <w:szCs w:val="20"/>
              </w:rPr>
            </w:pPr>
            <w:r>
              <w:rPr>
                <w:rFonts w:eastAsia="Times New Roman"/>
                <w:w w:val="99"/>
                <w:sz w:val="20"/>
                <w:szCs w:val="20"/>
              </w:rPr>
              <w:t>98</w:t>
            </w:r>
          </w:p>
        </w:tc>
        <w:tc>
          <w:tcPr>
            <w:tcW w:w="480" w:type="dxa"/>
            <w:vAlign w:val="bottom"/>
          </w:tcPr>
          <w:p w:rsidR="00DD0303" w:rsidRDefault="00DD0303">
            <w:pPr>
              <w:rPr>
                <w:sz w:val="24"/>
                <w:szCs w:val="24"/>
              </w:rPr>
            </w:pPr>
          </w:p>
        </w:tc>
        <w:tc>
          <w:tcPr>
            <w:tcW w:w="720" w:type="dxa"/>
            <w:vAlign w:val="bottom"/>
          </w:tcPr>
          <w:p w:rsidR="00DD0303" w:rsidRDefault="00FB1377">
            <w:pPr>
              <w:ind w:right="320"/>
              <w:jc w:val="center"/>
              <w:rPr>
                <w:sz w:val="20"/>
                <w:szCs w:val="20"/>
              </w:rPr>
            </w:pPr>
            <w:r>
              <w:rPr>
                <w:rFonts w:eastAsia="Times New Roman"/>
                <w:w w:val="99"/>
                <w:sz w:val="20"/>
                <w:szCs w:val="20"/>
              </w:rPr>
              <w:t>0</w:t>
            </w:r>
          </w:p>
        </w:tc>
        <w:tc>
          <w:tcPr>
            <w:tcW w:w="480" w:type="dxa"/>
            <w:vAlign w:val="bottom"/>
          </w:tcPr>
          <w:p w:rsidR="00DD0303" w:rsidRDefault="00DD0303">
            <w:pPr>
              <w:rPr>
                <w:sz w:val="24"/>
                <w:szCs w:val="24"/>
              </w:rPr>
            </w:pPr>
          </w:p>
        </w:tc>
        <w:tc>
          <w:tcPr>
            <w:tcW w:w="720" w:type="dxa"/>
            <w:vAlign w:val="bottom"/>
          </w:tcPr>
          <w:p w:rsidR="00DD0303" w:rsidRDefault="00FB1377">
            <w:pPr>
              <w:ind w:right="320"/>
              <w:jc w:val="center"/>
              <w:rPr>
                <w:sz w:val="20"/>
                <w:szCs w:val="20"/>
              </w:rPr>
            </w:pPr>
            <w:r>
              <w:rPr>
                <w:rFonts w:eastAsia="Times New Roman"/>
                <w:w w:val="99"/>
                <w:sz w:val="20"/>
                <w:szCs w:val="20"/>
              </w:rPr>
              <w:t>0</w:t>
            </w:r>
          </w:p>
        </w:tc>
        <w:tc>
          <w:tcPr>
            <w:tcW w:w="420" w:type="dxa"/>
            <w:vAlign w:val="bottom"/>
          </w:tcPr>
          <w:p w:rsidR="00DD0303" w:rsidRDefault="00FB1377">
            <w:pPr>
              <w:jc w:val="right"/>
              <w:rPr>
                <w:sz w:val="20"/>
                <w:szCs w:val="20"/>
              </w:rPr>
            </w:pPr>
            <w:r>
              <w:rPr>
                <w:rFonts w:eastAsia="Times New Roman"/>
                <w:sz w:val="20"/>
                <w:szCs w:val="20"/>
              </w:rPr>
              <w:t>7</w:t>
            </w:r>
          </w:p>
        </w:tc>
        <w:tc>
          <w:tcPr>
            <w:tcW w:w="720" w:type="dxa"/>
            <w:vAlign w:val="bottom"/>
          </w:tcPr>
          <w:p w:rsidR="00DD0303" w:rsidRDefault="00FB1377">
            <w:pPr>
              <w:ind w:left="20"/>
              <w:rPr>
                <w:sz w:val="20"/>
                <w:szCs w:val="20"/>
              </w:rPr>
            </w:pPr>
            <w:r>
              <w:rPr>
                <w:rFonts w:eastAsia="Times New Roman"/>
                <w:sz w:val="20"/>
                <w:szCs w:val="20"/>
              </w:rPr>
              <w:t>(7%)</w:t>
            </w:r>
          </w:p>
        </w:tc>
        <w:tc>
          <w:tcPr>
            <w:tcW w:w="1340" w:type="dxa"/>
            <w:vAlign w:val="bottom"/>
          </w:tcPr>
          <w:p w:rsidR="00DD0303" w:rsidRDefault="00FB1377">
            <w:pPr>
              <w:ind w:right="300"/>
              <w:jc w:val="right"/>
              <w:rPr>
                <w:sz w:val="20"/>
                <w:szCs w:val="20"/>
              </w:rPr>
            </w:pPr>
            <w:r>
              <w:rPr>
                <w:rFonts w:eastAsia="Times New Roman"/>
                <w:sz w:val="20"/>
                <w:szCs w:val="20"/>
              </w:rPr>
              <w:t>22 (22%)</w:t>
            </w:r>
          </w:p>
        </w:tc>
        <w:tc>
          <w:tcPr>
            <w:tcW w:w="500" w:type="dxa"/>
            <w:vAlign w:val="bottom"/>
          </w:tcPr>
          <w:p w:rsidR="00DD0303" w:rsidRDefault="00FB1377">
            <w:pPr>
              <w:jc w:val="right"/>
              <w:rPr>
                <w:sz w:val="20"/>
                <w:szCs w:val="20"/>
              </w:rPr>
            </w:pPr>
            <w:r>
              <w:rPr>
                <w:rFonts w:eastAsia="Times New Roman"/>
                <w:sz w:val="20"/>
                <w:szCs w:val="20"/>
              </w:rPr>
              <w:t>69</w:t>
            </w:r>
          </w:p>
        </w:tc>
        <w:tc>
          <w:tcPr>
            <w:tcW w:w="1000" w:type="dxa"/>
            <w:vAlign w:val="bottom"/>
          </w:tcPr>
          <w:p w:rsidR="00DD0303" w:rsidRDefault="00FB1377">
            <w:pPr>
              <w:ind w:left="20"/>
              <w:rPr>
                <w:sz w:val="20"/>
                <w:szCs w:val="20"/>
              </w:rPr>
            </w:pPr>
            <w:r>
              <w:rPr>
                <w:rFonts w:eastAsia="Times New Roman"/>
                <w:sz w:val="20"/>
                <w:szCs w:val="20"/>
              </w:rPr>
              <w:t>(71%)</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by another man, he is likely to</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266"/>
        </w:trPr>
        <w:tc>
          <w:tcPr>
            <w:tcW w:w="20" w:type="dxa"/>
            <w:vAlign w:val="bottom"/>
          </w:tcPr>
          <w:p w:rsidR="00DD0303" w:rsidRDefault="00DD0303">
            <w:pPr>
              <w:rPr>
                <w:sz w:val="23"/>
                <w:szCs w:val="23"/>
              </w:rPr>
            </w:pPr>
          </w:p>
        </w:tc>
        <w:tc>
          <w:tcPr>
            <w:tcW w:w="2760" w:type="dxa"/>
            <w:vAlign w:val="bottom"/>
          </w:tcPr>
          <w:p w:rsidR="00DD0303" w:rsidRDefault="00FB1377">
            <w:pPr>
              <w:ind w:left="100"/>
              <w:rPr>
                <w:sz w:val="20"/>
                <w:szCs w:val="20"/>
              </w:rPr>
            </w:pPr>
            <w:r>
              <w:rPr>
                <w:rFonts w:eastAsia="Times New Roman"/>
                <w:sz w:val="20"/>
                <w:szCs w:val="20"/>
              </w:rPr>
              <w:t>become homosexual.</w:t>
            </w:r>
          </w:p>
        </w:tc>
        <w:tc>
          <w:tcPr>
            <w:tcW w:w="64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1340" w:type="dxa"/>
            <w:vAlign w:val="bottom"/>
          </w:tcPr>
          <w:p w:rsidR="00DD0303" w:rsidRDefault="00DD0303">
            <w:pPr>
              <w:rPr>
                <w:sz w:val="23"/>
                <w:szCs w:val="23"/>
              </w:rPr>
            </w:pPr>
          </w:p>
        </w:tc>
        <w:tc>
          <w:tcPr>
            <w:tcW w:w="500" w:type="dxa"/>
            <w:vAlign w:val="bottom"/>
          </w:tcPr>
          <w:p w:rsidR="00DD0303" w:rsidRDefault="00DD0303">
            <w:pPr>
              <w:rPr>
                <w:sz w:val="23"/>
                <w:szCs w:val="23"/>
              </w:rPr>
            </w:pPr>
          </w:p>
        </w:tc>
        <w:tc>
          <w:tcPr>
            <w:tcW w:w="1000" w:type="dxa"/>
            <w:vAlign w:val="bottom"/>
          </w:tcPr>
          <w:p w:rsidR="00DD0303" w:rsidRDefault="00DD0303">
            <w:pPr>
              <w:rPr>
                <w:sz w:val="23"/>
                <w:szCs w:val="23"/>
              </w:rPr>
            </w:pPr>
          </w:p>
        </w:tc>
      </w:tr>
      <w:tr w:rsidR="00DD0303">
        <w:trPr>
          <w:trHeight w:val="528"/>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An erection or ejaculation</w:t>
            </w:r>
          </w:p>
        </w:tc>
        <w:tc>
          <w:tcPr>
            <w:tcW w:w="640" w:type="dxa"/>
            <w:vAlign w:val="bottom"/>
          </w:tcPr>
          <w:p w:rsidR="00DD0303" w:rsidRDefault="00FB1377">
            <w:pPr>
              <w:jc w:val="center"/>
              <w:rPr>
                <w:sz w:val="20"/>
                <w:szCs w:val="20"/>
              </w:rPr>
            </w:pPr>
            <w:r>
              <w:rPr>
                <w:rFonts w:eastAsia="Times New Roman"/>
                <w:w w:val="99"/>
                <w:sz w:val="20"/>
                <w:szCs w:val="20"/>
              </w:rPr>
              <w:t>97</w:t>
            </w:r>
          </w:p>
        </w:tc>
        <w:tc>
          <w:tcPr>
            <w:tcW w:w="480" w:type="dxa"/>
            <w:vAlign w:val="bottom"/>
          </w:tcPr>
          <w:p w:rsidR="00DD0303" w:rsidRDefault="00DD0303">
            <w:pPr>
              <w:rPr>
                <w:sz w:val="24"/>
                <w:szCs w:val="24"/>
              </w:rPr>
            </w:pPr>
          </w:p>
        </w:tc>
        <w:tc>
          <w:tcPr>
            <w:tcW w:w="720" w:type="dxa"/>
            <w:vAlign w:val="bottom"/>
          </w:tcPr>
          <w:p w:rsidR="00DD0303" w:rsidRDefault="00FB1377">
            <w:pPr>
              <w:ind w:right="320"/>
              <w:jc w:val="center"/>
              <w:rPr>
                <w:sz w:val="20"/>
                <w:szCs w:val="20"/>
              </w:rPr>
            </w:pPr>
            <w:r>
              <w:rPr>
                <w:rFonts w:eastAsia="Times New Roman"/>
                <w:w w:val="99"/>
                <w:sz w:val="20"/>
                <w:szCs w:val="20"/>
              </w:rPr>
              <w:t>0</w:t>
            </w:r>
          </w:p>
        </w:tc>
        <w:tc>
          <w:tcPr>
            <w:tcW w:w="480" w:type="dxa"/>
            <w:vAlign w:val="bottom"/>
          </w:tcPr>
          <w:p w:rsidR="00DD0303" w:rsidRDefault="00FB1377">
            <w:pPr>
              <w:jc w:val="right"/>
              <w:rPr>
                <w:sz w:val="20"/>
                <w:szCs w:val="20"/>
              </w:rPr>
            </w:pPr>
            <w:r>
              <w:rPr>
                <w:rFonts w:eastAsia="Times New Roman"/>
                <w:sz w:val="20"/>
                <w:szCs w:val="20"/>
              </w:rPr>
              <w:t>1</w:t>
            </w:r>
          </w:p>
        </w:tc>
        <w:tc>
          <w:tcPr>
            <w:tcW w:w="720" w:type="dxa"/>
            <w:vAlign w:val="bottom"/>
          </w:tcPr>
          <w:p w:rsidR="00DD0303" w:rsidRDefault="00FB1377">
            <w:pPr>
              <w:ind w:left="40"/>
              <w:rPr>
                <w:sz w:val="20"/>
                <w:szCs w:val="20"/>
              </w:rPr>
            </w:pPr>
            <w:r>
              <w:rPr>
                <w:rFonts w:eastAsia="Times New Roman"/>
                <w:sz w:val="20"/>
                <w:szCs w:val="20"/>
              </w:rPr>
              <w:t>(1%)</w:t>
            </w:r>
          </w:p>
        </w:tc>
        <w:tc>
          <w:tcPr>
            <w:tcW w:w="420" w:type="dxa"/>
            <w:vAlign w:val="bottom"/>
          </w:tcPr>
          <w:p w:rsidR="00DD0303" w:rsidRDefault="00FB1377">
            <w:pPr>
              <w:jc w:val="right"/>
              <w:rPr>
                <w:sz w:val="20"/>
                <w:szCs w:val="20"/>
              </w:rPr>
            </w:pPr>
            <w:r>
              <w:rPr>
                <w:rFonts w:eastAsia="Times New Roman"/>
                <w:sz w:val="20"/>
                <w:szCs w:val="20"/>
              </w:rPr>
              <w:t>6</w:t>
            </w:r>
          </w:p>
        </w:tc>
        <w:tc>
          <w:tcPr>
            <w:tcW w:w="720" w:type="dxa"/>
            <w:vAlign w:val="bottom"/>
          </w:tcPr>
          <w:p w:rsidR="00DD0303" w:rsidRDefault="00FB1377">
            <w:pPr>
              <w:ind w:left="20"/>
              <w:rPr>
                <w:sz w:val="20"/>
                <w:szCs w:val="20"/>
              </w:rPr>
            </w:pPr>
            <w:r>
              <w:rPr>
                <w:rFonts w:eastAsia="Times New Roman"/>
                <w:sz w:val="20"/>
                <w:szCs w:val="20"/>
              </w:rPr>
              <w:t>(6%)</w:t>
            </w:r>
          </w:p>
        </w:tc>
        <w:tc>
          <w:tcPr>
            <w:tcW w:w="1340" w:type="dxa"/>
            <w:vAlign w:val="bottom"/>
          </w:tcPr>
          <w:p w:rsidR="00DD0303" w:rsidRDefault="00FB1377">
            <w:pPr>
              <w:ind w:right="300"/>
              <w:jc w:val="right"/>
              <w:rPr>
                <w:sz w:val="20"/>
                <w:szCs w:val="20"/>
              </w:rPr>
            </w:pPr>
            <w:r>
              <w:rPr>
                <w:rFonts w:eastAsia="Times New Roman"/>
                <w:sz w:val="20"/>
                <w:szCs w:val="20"/>
              </w:rPr>
              <w:t>28 (29%)</w:t>
            </w:r>
          </w:p>
        </w:tc>
        <w:tc>
          <w:tcPr>
            <w:tcW w:w="500" w:type="dxa"/>
            <w:vAlign w:val="bottom"/>
          </w:tcPr>
          <w:p w:rsidR="00DD0303" w:rsidRDefault="00FB1377">
            <w:pPr>
              <w:jc w:val="right"/>
              <w:rPr>
                <w:sz w:val="20"/>
                <w:szCs w:val="20"/>
              </w:rPr>
            </w:pPr>
            <w:r>
              <w:rPr>
                <w:rFonts w:eastAsia="Times New Roman"/>
                <w:sz w:val="20"/>
                <w:szCs w:val="20"/>
              </w:rPr>
              <w:t>62</w:t>
            </w:r>
          </w:p>
        </w:tc>
        <w:tc>
          <w:tcPr>
            <w:tcW w:w="1000" w:type="dxa"/>
            <w:vAlign w:val="bottom"/>
          </w:tcPr>
          <w:p w:rsidR="00DD0303" w:rsidRDefault="00FB1377">
            <w:pPr>
              <w:ind w:left="20"/>
              <w:rPr>
                <w:sz w:val="20"/>
                <w:szCs w:val="20"/>
              </w:rPr>
            </w:pPr>
            <w:r>
              <w:rPr>
                <w:rFonts w:eastAsia="Times New Roman"/>
                <w:sz w:val="20"/>
                <w:szCs w:val="20"/>
              </w:rPr>
              <w:t>(63%)</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during a sexual assault means</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you “really wanted it” or</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266"/>
        </w:trPr>
        <w:tc>
          <w:tcPr>
            <w:tcW w:w="20" w:type="dxa"/>
            <w:vAlign w:val="bottom"/>
          </w:tcPr>
          <w:p w:rsidR="00DD0303" w:rsidRDefault="00DD0303">
            <w:pPr>
              <w:rPr>
                <w:sz w:val="23"/>
                <w:szCs w:val="23"/>
              </w:rPr>
            </w:pPr>
          </w:p>
        </w:tc>
        <w:tc>
          <w:tcPr>
            <w:tcW w:w="2760" w:type="dxa"/>
            <w:vAlign w:val="bottom"/>
          </w:tcPr>
          <w:p w:rsidR="00DD0303" w:rsidRDefault="00FB1377">
            <w:pPr>
              <w:ind w:left="100"/>
              <w:rPr>
                <w:sz w:val="20"/>
                <w:szCs w:val="20"/>
              </w:rPr>
            </w:pPr>
            <w:r>
              <w:rPr>
                <w:rFonts w:eastAsia="Times New Roman"/>
                <w:sz w:val="20"/>
                <w:szCs w:val="20"/>
              </w:rPr>
              <w:t>consented to it.</w:t>
            </w:r>
          </w:p>
        </w:tc>
        <w:tc>
          <w:tcPr>
            <w:tcW w:w="64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1340" w:type="dxa"/>
            <w:vAlign w:val="bottom"/>
          </w:tcPr>
          <w:p w:rsidR="00DD0303" w:rsidRDefault="00DD0303">
            <w:pPr>
              <w:rPr>
                <w:sz w:val="23"/>
                <w:szCs w:val="23"/>
              </w:rPr>
            </w:pPr>
          </w:p>
        </w:tc>
        <w:tc>
          <w:tcPr>
            <w:tcW w:w="500" w:type="dxa"/>
            <w:vAlign w:val="bottom"/>
          </w:tcPr>
          <w:p w:rsidR="00DD0303" w:rsidRDefault="00DD0303">
            <w:pPr>
              <w:rPr>
                <w:sz w:val="23"/>
                <w:szCs w:val="23"/>
              </w:rPr>
            </w:pPr>
          </w:p>
        </w:tc>
        <w:tc>
          <w:tcPr>
            <w:tcW w:w="1000" w:type="dxa"/>
            <w:vAlign w:val="bottom"/>
          </w:tcPr>
          <w:p w:rsidR="00DD0303" w:rsidRDefault="00DD0303">
            <w:pPr>
              <w:rPr>
                <w:sz w:val="23"/>
                <w:szCs w:val="23"/>
              </w:rPr>
            </w:pPr>
          </w:p>
        </w:tc>
      </w:tr>
      <w:tr w:rsidR="00DD0303">
        <w:trPr>
          <w:trHeight w:val="528"/>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Only homosexual men are</w:t>
            </w:r>
          </w:p>
        </w:tc>
        <w:tc>
          <w:tcPr>
            <w:tcW w:w="640" w:type="dxa"/>
            <w:vAlign w:val="bottom"/>
          </w:tcPr>
          <w:p w:rsidR="00DD0303" w:rsidRDefault="00FB1377">
            <w:pPr>
              <w:jc w:val="center"/>
              <w:rPr>
                <w:sz w:val="20"/>
                <w:szCs w:val="20"/>
              </w:rPr>
            </w:pPr>
            <w:r>
              <w:rPr>
                <w:rFonts w:eastAsia="Times New Roman"/>
                <w:w w:val="99"/>
                <w:sz w:val="20"/>
                <w:szCs w:val="20"/>
              </w:rPr>
              <w:t>97</w:t>
            </w:r>
          </w:p>
        </w:tc>
        <w:tc>
          <w:tcPr>
            <w:tcW w:w="480" w:type="dxa"/>
            <w:vAlign w:val="bottom"/>
          </w:tcPr>
          <w:p w:rsidR="00DD0303" w:rsidRDefault="00DD0303">
            <w:pPr>
              <w:rPr>
                <w:sz w:val="24"/>
                <w:szCs w:val="24"/>
              </w:rPr>
            </w:pPr>
          </w:p>
        </w:tc>
        <w:tc>
          <w:tcPr>
            <w:tcW w:w="720" w:type="dxa"/>
            <w:vAlign w:val="bottom"/>
          </w:tcPr>
          <w:p w:rsidR="00DD0303" w:rsidRDefault="00FB1377">
            <w:pPr>
              <w:ind w:right="320"/>
              <w:jc w:val="center"/>
              <w:rPr>
                <w:sz w:val="20"/>
                <w:szCs w:val="20"/>
              </w:rPr>
            </w:pPr>
            <w:r>
              <w:rPr>
                <w:rFonts w:eastAsia="Times New Roman"/>
                <w:w w:val="99"/>
                <w:sz w:val="20"/>
                <w:szCs w:val="20"/>
              </w:rPr>
              <w:t>0</w:t>
            </w:r>
          </w:p>
        </w:tc>
        <w:tc>
          <w:tcPr>
            <w:tcW w:w="480" w:type="dxa"/>
            <w:vAlign w:val="bottom"/>
          </w:tcPr>
          <w:p w:rsidR="00DD0303" w:rsidRDefault="00DD0303">
            <w:pPr>
              <w:rPr>
                <w:sz w:val="24"/>
                <w:szCs w:val="24"/>
              </w:rPr>
            </w:pPr>
          </w:p>
        </w:tc>
        <w:tc>
          <w:tcPr>
            <w:tcW w:w="720" w:type="dxa"/>
            <w:vAlign w:val="bottom"/>
          </w:tcPr>
          <w:p w:rsidR="00DD0303" w:rsidRDefault="00FB1377">
            <w:pPr>
              <w:ind w:right="320"/>
              <w:jc w:val="center"/>
              <w:rPr>
                <w:sz w:val="20"/>
                <w:szCs w:val="20"/>
              </w:rPr>
            </w:pPr>
            <w:r>
              <w:rPr>
                <w:rFonts w:eastAsia="Times New Roman"/>
                <w:w w:val="99"/>
                <w:sz w:val="20"/>
                <w:szCs w:val="20"/>
              </w:rPr>
              <w:t>0</w:t>
            </w:r>
          </w:p>
        </w:tc>
        <w:tc>
          <w:tcPr>
            <w:tcW w:w="420" w:type="dxa"/>
            <w:vAlign w:val="bottom"/>
          </w:tcPr>
          <w:p w:rsidR="00DD0303" w:rsidRDefault="00FB1377">
            <w:pPr>
              <w:jc w:val="right"/>
              <w:rPr>
                <w:sz w:val="20"/>
                <w:szCs w:val="20"/>
              </w:rPr>
            </w:pPr>
            <w:r>
              <w:rPr>
                <w:rFonts w:eastAsia="Times New Roman"/>
                <w:sz w:val="20"/>
                <w:szCs w:val="20"/>
              </w:rPr>
              <w:t>1</w:t>
            </w:r>
          </w:p>
        </w:tc>
        <w:tc>
          <w:tcPr>
            <w:tcW w:w="720" w:type="dxa"/>
            <w:vAlign w:val="bottom"/>
          </w:tcPr>
          <w:p w:rsidR="00DD0303" w:rsidRDefault="00FB1377">
            <w:pPr>
              <w:ind w:left="20"/>
              <w:rPr>
                <w:sz w:val="20"/>
                <w:szCs w:val="20"/>
              </w:rPr>
            </w:pPr>
            <w:r>
              <w:rPr>
                <w:rFonts w:eastAsia="Times New Roman"/>
                <w:sz w:val="20"/>
                <w:szCs w:val="20"/>
              </w:rPr>
              <w:t>(1%)</w:t>
            </w:r>
          </w:p>
        </w:tc>
        <w:tc>
          <w:tcPr>
            <w:tcW w:w="1340" w:type="dxa"/>
            <w:vAlign w:val="bottom"/>
          </w:tcPr>
          <w:p w:rsidR="00DD0303" w:rsidRDefault="00FB1377">
            <w:pPr>
              <w:ind w:right="300"/>
              <w:jc w:val="right"/>
              <w:rPr>
                <w:sz w:val="20"/>
                <w:szCs w:val="20"/>
              </w:rPr>
            </w:pPr>
            <w:r>
              <w:rPr>
                <w:rFonts w:eastAsia="Times New Roman"/>
                <w:sz w:val="20"/>
                <w:szCs w:val="20"/>
              </w:rPr>
              <w:t>20 (20%)</w:t>
            </w:r>
          </w:p>
        </w:tc>
        <w:tc>
          <w:tcPr>
            <w:tcW w:w="500" w:type="dxa"/>
            <w:vAlign w:val="bottom"/>
          </w:tcPr>
          <w:p w:rsidR="00DD0303" w:rsidRDefault="00FB1377">
            <w:pPr>
              <w:jc w:val="right"/>
              <w:rPr>
                <w:sz w:val="20"/>
                <w:szCs w:val="20"/>
              </w:rPr>
            </w:pPr>
            <w:r>
              <w:rPr>
                <w:rFonts w:eastAsia="Times New Roman"/>
                <w:sz w:val="20"/>
                <w:szCs w:val="20"/>
              </w:rPr>
              <w:t>76</w:t>
            </w:r>
          </w:p>
        </w:tc>
        <w:tc>
          <w:tcPr>
            <w:tcW w:w="1000" w:type="dxa"/>
            <w:vAlign w:val="bottom"/>
          </w:tcPr>
          <w:p w:rsidR="00DD0303" w:rsidRDefault="00FB1377">
            <w:pPr>
              <w:ind w:left="20"/>
              <w:rPr>
                <w:sz w:val="20"/>
                <w:szCs w:val="20"/>
              </w:rPr>
            </w:pPr>
            <w:r>
              <w:rPr>
                <w:rFonts w:eastAsia="Times New Roman"/>
                <w:sz w:val="20"/>
                <w:szCs w:val="20"/>
              </w:rPr>
              <w:t>(78%)</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sexually assaulted.</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530"/>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Men are less traumatized from</w:t>
            </w:r>
          </w:p>
        </w:tc>
        <w:tc>
          <w:tcPr>
            <w:tcW w:w="640" w:type="dxa"/>
            <w:vAlign w:val="bottom"/>
          </w:tcPr>
          <w:p w:rsidR="00DD0303" w:rsidRDefault="00FB1377">
            <w:pPr>
              <w:jc w:val="center"/>
              <w:rPr>
                <w:sz w:val="20"/>
                <w:szCs w:val="20"/>
              </w:rPr>
            </w:pPr>
            <w:r>
              <w:rPr>
                <w:rFonts w:eastAsia="Times New Roman"/>
                <w:w w:val="99"/>
                <w:sz w:val="20"/>
                <w:szCs w:val="20"/>
              </w:rPr>
              <w:t>98</w:t>
            </w:r>
          </w:p>
        </w:tc>
        <w:tc>
          <w:tcPr>
            <w:tcW w:w="480" w:type="dxa"/>
            <w:vAlign w:val="bottom"/>
          </w:tcPr>
          <w:p w:rsidR="00DD0303" w:rsidRDefault="00FB1377">
            <w:pPr>
              <w:jc w:val="right"/>
              <w:rPr>
                <w:sz w:val="20"/>
                <w:szCs w:val="20"/>
              </w:rPr>
            </w:pPr>
            <w:r>
              <w:rPr>
                <w:rFonts w:eastAsia="Times New Roman"/>
                <w:sz w:val="20"/>
                <w:szCs w:val="20"/>
              </w:rPr>
              <w:t>2</w:t>
            </w:r>
          </w:p>
        </w:tc>
        <w:tc>
          <w:tcPr>
            <w:tcW w:w="720" w:type="dxa"/>
            <w:vAlign w:val="bottom"/>
          </w:tcPr>
          <w:p w:rsidR="00DD0303" w:rsidRDefault="00FB1377">
            <w:pPr>
              <w:ind w:left="20"/>
              <w:rPr>
                <w:sz w:val="20"/>
                <w:szCs w:val="20"/>
              </w:rPr>
            </w:pPr>
            <w:r>
              <w:rPr>
                <w:rFonts w:eastAsia="Times New Roman"/>
                <w:sz w:val="20"/>
                <w:szCs w:val="20"/>
              </w:rPr>
              <w:t>(2%)</w:t>
            </w:r>
          </w:p>
        </w:tc>
        <w:tc>
          <w:tcPr>
            <w:tcW w:w="480" w:type="dxa"/>
            <w:vAlign w:val="bottom"/>
          </w:tcPr>
          <w:p w:rsidR="00DD0303" w:rsidRDefault="00FB1377">
            <w:pPr>
              <w:jc w:val="right"/>
              <w:rPr>
                <w:sz w:val="20"/>
                <w:szCs w:val="20"/>
              </w:rPr>
            </w:pPr>
            <w:r>
              <w:rPr>
                <w:rFonts w:eastAsia="Times New Roman"/>
                <w:sz w:val="20"/>
                <w:szCs w:val="20"/>
              </w:rPr>
              <w:t>5</w:t>
            </w:r>
          </w:p>
        </w:tc>
        <w:tc>
          <w:tcPr>
            <w:tcW w:w="720" w:type="dxa"/>
            <w:vAlign w:val="bottom"/>
          </w:tcPr>
          <w:p w:rsidR="00DD0303" w:rsidRDefault="00FB1377">
            <w:pPr>
              <w:ind w:left="40"/>
              <w:rPr>
                <w:sz w:val="20"/>
                <w:szCs w:val="20"/>
              </w:rPr>
            </w:pPr>
            <w:r>
              <w:rPr>
                <w:rFonts w:eastAsia="Times New Roman"/>
                <w:sz w:val="20"/>
                <w:szCs w:val="20"/>
              </w:rPr>
              <w:t>(5%)</w:t>
            </w:r>
          </w:p>
        </w:tc>
        <w:tc>
          <w:tcPr>
            <w:tcW w:w="420" w:type="dxa"/>
            <w:vAlign w:val="bottom"/>
          </w:tcPr>
          <w:p w:rsidR="00DD0303" w:rsidRDefault="00FB1377">
            <w:pPr>
              <w:jc w:val="right"/>
              <w:rPr>
                <w:sz w:val="20"/>
                <w:szCs w:val="20"/>
              </w:rPr>
            </w:pPr>
            <w:r>
              <w:rPr>
                <w:rFonts w:eastAsia="Times New Roman"/>
                <w:sz w:val="20"/>
                <w:szCs w:val="20"/>
              </w:rPr>
              <w:t>10</w:t>
            </w:r>
          </w:p>
        </w:tc>
        <w:tc>
          <w:tcPr>
            <w:tcW w:w="720" w:type="dxa"/>
            <w:vAlign w:val="bottom"/>
          </w:tcPr>
          <w:p w:rsidR="00DD0303" w:rsidRDefault="00FB1377">
            <w:pPr>
              <w:ind w:left="20"/>
              <w:rPr>
                <w:sz w:val="20"/>
                <w:szCs w:val="20"/>
              </w:rPr>
            </w:pPr>
            <w:r>
              <w:rPr>
                <w:rFonts w:eastAsia="Times New Roman"/>
                <w:sz w:val="20"/>
                <w:szCs w:val="20"/>
              </w:rPr>
              <w:t>(10%)</w:t>
            </w:r>
          </w:p>
        </w:tc>
        <w:tc>
          <w:tcPr>
            <w:tcW w:w="1340" w:type="dxa"/>
            <w:vAlign w:val="bottom"/>
          </w:tcPr>
          <w:p w:rsidR="00DD0303" w:rsidRDefault="00FB1377">
            <w:pPr>
              <w:ind w:right="300"/>
              <w:jc w:val="right"/>
              <w:rPr>
                <w:sz w:val="20"/>
                <w:szCs w:val="20"/>
              </w:rPr>
            </w:pPr>
            <w:r>
              <w:rPr>
                <w:rFonts w:eastAsia="Times New Roman"/>
                <w:sz w:val="20"/>
                <w:szCs w:val="20"/>
              </w:rPr>
              <w:t>17 (18%)</w:t>
            </w:r>
          </w:p>
        </w:tc>
        <w:tc>
          <w:tcPr>
            <w:tcW w:w="500" w:type="dxa"/>
            <w:vAlign w:val="bottom"/>
          </w:tcPr>
          <w:p w:rsidR="00DD0303" w:rsidRDefault="00FB1377">
            <w:pPr>
              <w:jc w:val="right"/>
              <w:rPr>
                <w:sz w:val="20"/>
                <w:szCs w:val="20"/>
              </w:rPr>
            </w:pPr>
            <w:r>
              <w:rPr>
                <w:rFonts w:eastAsia="Times New Roman"/>
                <w:sz w:val="20"/>
                <w:szCs w:val="20"/>
              </w:rPr>
              <w:t>64</w:t>
            </w:r>
          </w:p>
        </w:tc>
        <w:tc>
          <w:tcPr>
            <w:tcW w:w="1000" w:type="dxa"/>
            <w:vAlign w:val="bottom"/>
          </w:tcPr>
          <w:p w:rsidR="00DD0303" w:rsidRDefault="00FB1377">
            <w:pPr>
              <w:ind w:left="20"/>
              <w:rPr>
                <w:sz w:val="20"/>
                <w:szCs w:val="20"/>
              </w:rPr>
            </w:pPr>
            <w:r>
              <w:rPr>
                <w:rFonts w:eastAsia="Times New Roman"/>
                <w:sz w:val="20"/>
                <w:szCs w:val="20"/>
              </w:rPr>
              <w:t>(65%)</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the experience of sexual</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assault than women.</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 xml:space="preserve">The best way to </w:t>
            </w:r>
            <w:r>
              <w:rPr>
                <w:rFonts w:eastAsia="Times New Roman"/>
                <w:sz w:val="20"/>
                <w:szCs w:val="20"/>
              </w:rPr>
              <w:t>get over the</w:t>
            </w:r>
          </w:p>
        </w:tc>
        <w:tc>
          <w:tcPr>
            <w:tcW w:w="640" w:type="dxa"/>
            <w:vAlign w:val="bottom"/>
          </w:tcPr>
          <w:p w:rsidR="00DD0303" w:rsidRDefault="00FB1377">
            <w:pPr>
              <w:jc w:val="center"/>
              <w:rPr>
                <w:sz w:val="20"/>
                <w:szCs w:val="20"/>
              </w:rPr>
            </w:pPr>
            <w:r>
              <w:rPr>
                <w:rFonts w:eastAsia="Times New Roman"/>
                <w:w w:val="99"/>
                <w:sz w:val="20"/>
                <w:szCs w:val="20"/>
              </w:rPr>
              <w:t>97</w:t>
            </w:r>
          </w:p>
        </w:tc>
        <w:tc>
          <w:tcPr>
            <w:tcW w:w="480" w:type="dxa"/>
            <w:vAlign w:val="bottom"/>
          </w:tcPr>
          <w:p w:rsidR="00DD0303" w:rsidRDefault="00FB1377">
            <w:pPr>
              <w:jc w:val="right"/>
              <w:rPr>
                <w:sz w:val="20"/>
                <w:szCs w:val="20"/>
              </w:rPr>
            </w:pPr>
            <w:r>
              <w:rPr>
                <w:rFonts w:eastAsia="Times New Roman"/>
                <w:sz w:val="20"/>
                <w:szCs w:val="20"/>
              </w:rPr>
              <w:t>3</w:t>
            </w:r>
          </w:p>
        </w:tc>
        <w:tc>
          <w:tcPr>
            <w:tcW w:w="720" w:type="dxa"/>
            <w:vAlign w:val="bottom"/>
          </w:tcPr>
          <w:p w:rsidR="00DD0303" w:rsidRDefault="00FB1377">
            <w:pPr>
              <w:ind w:left="20"/>
              <w:rPr>
                <w:sz w:val="20"/>
                <w:szCs w:val="20"/>
              </w:rPr>
            </w:pPr>
            <w:r>
              <w:rPr>
                <w:rFonts w:eastAsia="Times New Roman"/>
                <w:sz w:val="20"/>
                <w:szCs w:val="20"/>
              </w:rPr>
              <w:t>(3%)</w:t>
            </w:r>
          </w:p>
        </w:tc>
        <w:tc>
          <w:tcPr>
            <w:tcW w:w="480" w:type="dxa"/>
            <w:vAlign w:val="bottom"/>
          </w:tcPr>
          <w:p w:rsidR="00DD0303" w:rsidRDefault="00FB1377">
            <w:pPr>
              <w:jc w:val="right"/>
              <w:rPr>
                <w:sz w:val="20"/>
                <w:szCs w:val="20"/>
              </w:rPr>
            </w:pPr>
            <w:r>
              <w:rPr>
                <w:rFonts w:eastAsia="Times New Roman"/>
                <w:sz w:val="20"/>
                <w:szCs w:val="20"/>
              </w:rPr>
              <w:t>15</w:t>
            </w:r>
          </w:p>
        </w:tc>
        <w:tc>
          <w:tcPr>
            <w:tcW w:w="720" w:type="dxa"/>
            <w:vAlign w:val="bottom"/>
          </w:tcPr>
          <w:p w:rsidR="00DD0303" w:rsidRDefault="00FB1377">
            <w:pPr>
              <w:ind w:left="40"/>
              <w:rPr>
                <w:sz w:val="20"/>
                <w:szCs w:val="20"/>
              </w:rPr>
            </w:pPr>
            <w:r>
              <w:rPr>
                <w:rFonts w:eastAsia="Times New Roman"/>
                <w:sz w:val="20"/>
                <w:szCs w:val="20"/>
              </w:rPr>
              <w:t>(15%)</w:t>
            </w:r>
          </w:p>
        </w:tc>
        <w:tc>
          <w:tcPr>
            <w:tcW w:w="420" w:type="dxa"/>
            <w:vAlign w:val="bottom"/>
          </w:tcPr>
          <w:p w:rsidR="00DD0303" w:rsidRDefault="00FB1377">
            <w:pPr>
              <w:jc w:val="right"/>
              <w:rPr>
                <w:sz w:val="20"/>
                <w:szCs w:val="20"/>
              </w:rPr>
            </w:pPr>
            <w:r>
              <w:rPr>
                <w:rFonts w:eastAsia="Times New Roman"/>
                <w:sz w:val="20"/>
                <w:szCs w:val="20"/>
              </w:rPr>
              <w:t>34</w:t>
            </w:r>
          </w:p>
        </w:tc>
        <w:tc>
          <w:tcPr>
            <w:tcW w:w="720" w:type="dxa"/>
            <w:vAlign w:val="bottom"/>
          </w:tcPr>
          <w:p w:rsidR="00DD0303" w:rsidRDefault="00FB1377">
            <w:pPr>
              <w:ind w:left="20"/>
              <w:rPr>
                <w:sz w:val="20"/>
                <w:szCs w:val="20"/>
              </w:rPr>
            </w:pPr>
            <w:r>
              <w:rPr>
                <w:rFonts w:eastAsia="Times New Roman"/>
                <w:sz w:val="20"/>
                <w:szCs w:val="20"/>
              </w:rPr>
              <w:t>(35%)</w:t>
            </w:r>
          </w:p>
        </w:tc>
        <w:tc>
          <w:tcPr>
            <w:tcW w:w="1340" w:type="dxa"/>
            <w:vAlign w:val="bottom"/>
          </w:tcPr>
          <w:p w:rsidR="00DD0303" w:rsidRDefault="00FB1377">
            <w:pPr>
              <w:ind w:right="300"/>
              <w:jc w:val="right"/>
              <w:rPr>
                <w:sz w:val="20"/>
                <w:szCs w:val="20"/>
              </w:rPr>
            </w:pPr>
            <w:r>
              <w:rPr>
                <w:rFonts w:eastAsia="Times New Roman"/>
                <w:sz w:val="20"/>
                <w:szCs w:val="20"/>
              </w:rPr>
              <w:t>24 (25%)</w:t>
            </w:r>
          </w:p>
        </w:tc>
        <w:tc>
          <w:tcPr>
            <w:tcW w:w="500" w:type="dxa"/>
            <w:vAlign w:val="bottom"/>
          </w:tcPr>
          <w:p w:rsidR="00DD0303" w:rsidRDefault="00FB1377">
            <w:pPr>
              <w:jc w:val="right"/>
              <w:rPr>
                <w:sz w:val="20"/>
                <w:szCs w:val="20"/>
              </w:rPr>
            </w:pPr>
            <w:r>
              <w:rPr>
                <w:rFonts w:eastAsia="Times New Roman"/>
                <w:sz w:val="20"/>
                <w:szCs w:val="20"/>
              </w:rPr>
              <w:t>21</w:t>
            </w:r>
          </w:p>
        </w:tc>
        <w:tc>
          <w:tcPr>
            <w:tcW w:w="1000" w:type="dxa"/>
            <w:vAlign w:val="bottom"/>
          </w:tcPr>
          <w:p w:rsidR="00DD0303" w:rsidRDefault="00FB1377">
            <w:pPr>
              <w:ind w:left="20"/>
              <w:rPr>
                <w:sz w:val="20"/>
                <w:szCs w:val="20"/>
              </w:rPr>
            </w:pPr>
            <w:r>
              <w:rPr>
                <w:rFonts w:eastAsia="Times New Roman"/>
                <w:sz w:val="20"/>
                <w:szCs w:val="20"/>
              </w:rPr>
              <w:t>(21%)</w:t>
            </w:r>
          </w:p>
        </w:tc>
      </w:tr>
      <w:tr w:rsidR="00DD0303">
        <w:trPr>
          <w:trHeight w:val="266"/>
        </w:trPr>
        <w:tc>
          <w:tcPr>
            <w:tcW w:w="20" w:type="dxa"/>
            <w:vAlign w:val="bottom"/>
          </w:tcPr>
          <w:p w:rsidR="00DD0303" w:rsidRDefault="00DD0303">
            <w:pPr>
              <w:rPr>
                <w:sz w:val="23"/>
                <w:szCs w:val="23"/>
              </w:rPr>
            </w:pPr>
          </w:p>
        </w:tc>
        <w:tc>
          <w:tcPr>
            <w:tcW w:w="2760" w:type="dxa"/>
            <w:vAlign w:val="bottom"/>
          </w:tcPr>
          <w:p w:rsidR="00DD0303" w:rsidRDefault="00FB1377">
            <w:pPr>
              <w:ind w:left="100"/>
              <w:rPr>
                <w:sz w:val="20"/>
                <w:szCs w:val="20"/>
              </w:rPr>
            </w:pPr>
            <w:r>
              <w:rPr>
                <w:rFonts w:eastAsia="Times New Roman"/>
                <w:sz w:val="20"/>
                <w:szCs w:val="20"/>
              </w:rPr>
              <w:t>experience of sexual assault is</w:t>
            </w:r>
          </w:p>
        </w:tc>
        <w:tc>
          <w:tcPr>
            <w:tcW w:w="64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1340" w:type="dxa"/>
            <w:vAlign w:val="bottom"/>
          </w:tcPr>
          <w:p w:rsidR="00DD0303" w:rsidRDefault="00DD0303">
            <w:pPr>
              <w:rPr>
                <w:sz w:val="23"/>
                <w:szCs w:val="23"/>
              </w:rPr>
            </w:pPr>
          </w:p>
        </w:tc>
        <w:tc>
          <w:tcPr>
            <w:tcW w:w="500" w:type="dxa"/>
            <w:vAlign w:val="bottom"/>
          </w:tcPr>
          <w:p w:rsidR="00DD0303" w:rsidRDefault="00DD0303">
            <w:pPr>
              <w:rPr>
                <w:sz w:val="23"/>
                <w:szCs w:val="23"/>
              </w:rPr>
            </w:pPr>
          </w:p>
        </w:tc>
        <w:tc>
          <w:tcPr>
            <w:tcW w:w="1000" w:type="dxa"/>
            <w:vAlign w:val="bottom"/>
          </w:tcPr>
          <w:p w:rsidR="00DD0303" w:rsidRDefault="00DD0303">
            <w:pPr>
              <w:rPr>
                <w:sz w:val="23"/>
                <w:szCs w:val="23"/>
              </w:rPr>
            </w:pP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for you to get on with your life</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and go back to normal.</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The police won’t take it</w:t>
            </w:r>
          </w:p>
        </w:tc>
        <w:tc>
          <w:tcPr>
            <w:tcW w:w="640" w:type="dxa"/>
            <w:vAlign w:val="bottom"/>
          </w:tcPr>
          <w:p w:rsidR="00DD0303" w:rsidRDefault="00FB1377">
            <w:pPr>
              <w:jc w:val="center"/>
              <w:rPr>
                <w:sz w:val="20"/>
                <w:szCs w:val="20"/>
              </w:rPr>
            </w:pPr>
            <w:r>
              <w:rPr>
                <w:rFonts w:eastAsia="Times New Roman"/>
                <w:w w:val="99"/>
                <w:sz w:val="20"/>
                <w:szCs w:val="20"/>
              </w:rPr>
              <w:t>97</w:t>
            </w:r>
          </w:p>
        </w:tc>
        <w:tc>
          <w:tcPr>
            <w:tcW w:w="480" w:type="dxa"/>
            <w:vAlign w:val="bottom"/>
          </w:tcPr>
          <w:p w:rsidR="00DD0303" w:rsidRDefault="00FB1377">
            <w:pPr>
              <w:jc w:val="right"/>
              <w:rPr>
                <w:sz w:val="20"/>
                <w:szCs w:val="20"/>
              </w:rPr>
            </w:pPr>
            <w:r>
              <w:rPr>
                <w:rFonts w:eastAsia="Times New Roman"/>
                <w:sz w:val="20"/>
                <w:szCs w:val="20"/>
              </w:rPr>
              <w:t>19</w:t>
            </w:r>
          </w:p>
        </w:tc>
        <w:tc>
          <w:tcPr>
            <w:tcW w:w="720" w:type="dxa"/>
            <w:vAlign w:val="bottom"/>
          </w:tcPr>
          <w:p w:rsidR="00DD0303" w:rsidRDefault="00FB1377">
            <w:pPr>
              <w:ind w:left="40"/>
              <w:rPr>
                <w:sz w:val="20"/>
                <w:szCs w:val="20"/>
              </w:rPr>
            </w:pPr>
            <w:r>
              <w:rPr>
                <w:rFonts w:eastAsia="Times New Roman"/>
                <w:sz w:val="20"/>
                <w:szCs w:val="20"/>
              </w:rPr>
              <w:t>(19%)</w:t>
            </w:r>
          </w:p>
        </w:tc>
        <w:tc>
          <w:tcPr>
            <w:tcW w:w="480" w:type="dxa"/>
            <w:vAlign w:val="bottom"/>
          </w:tcPr>
          <w:p w:rsidR="00DD0303" w:rsidRDefault="00FB1377">
            <w:pPr>
              <w:jc w:val="right"/>
              <w:rPr>
                <w:sz w:val="20"/>
                <w:szCs w:val="20"/>
              </w:rPr>
            </w:pPr>
            <w:r>
              <w:rPr>
                <w:rFonts w:eastAsia="Times New Roman"/>
                <w:sz w:val="20"/>
                <w:szCs w:val="20"/>
              </w:rPr>
              <w:t>39</w:t>
            </w:r>
          </w:p>
        </w:tc>
        <w:tc>
          <w:tcPr>
            <w:tcW w:w="720" w:type="dxa"/>
            <w:vAlign w:val="bottom"/>
          </w:tcPr>
          <w:p w:rsidR="00DD0303" w:rsidRDefault="00FB1377">
            <w:pPr>
              <w:ind w:left="40"/>
              <w:rPr>
                <w:sz w:val="20"/>
                <w:szCs w:val="20"/>
              </w:rPr>
            </w:pPr>
            <w:r>
              <w:rPr>
                <w:rFonts w:eastAsia="Times New Roman"/>
                <w:sz w:val="20"/>
                <w:szCs w:val="20"/>
              </w:rPr>
              <w:t>(40%)</w:t>
            </w:r>
          </w:p>
        </w:tc>
        <w:tc>
          <w:tcPr>
            <w:tcW w:w="420" w:type="dxa"/>
            <w:vAlign w:val="bottom"/>
          </w:tcPr>
          <w:p w:rsidR="00DD0303" w:rsidRDefault="00FB1377">
            <w:pPr>
              <w:jc w:val="right"/>
              <w:rPr>
                <w:sz w:val="20"/>
                <w:szCs w:val="20"/>
              </w:rPr>
            </w:pPr>
            <w:r>
              <w:rPr>
                <w:rFonts w:eastAsia="Times New Roman"/>
                <w:sz w:val="20"/>
                <w:szCs w:val="20"/>
              </w:rPr>
              <w:t>21</w:t>
            </w:r>
          </w:p>
        </w:tc>
        <w:tc>
          <w:tcPr>
            <w:tcW w:w="720" w:type="dxa"/>
            <w:vAlign w:val="bottom"/>
          </w:tcPr>
          <w:p w:rsidR="00DD0303" w:rsidRDefault="00FB1377">
            <w:pPr>
              <w:ind w:left="20"/>
              <w:rPr>
                <w:sz w:val="20"/>
                <w:szCs w:val="20"/>
              </w:rPr>
            </w:pPr>
            <w:r>
              <w:rPr>
                <w:rFonts w:eastAsia="Times New Roman"/>
                <w:sz w:val="20"/>
                <w:szCs w:val="20"/>
              </w:rPr>
              <w:t>(21%)</w:t>
            </w:r>
          </w:p>
        </w:tc>
        <w:tc>
          <w:tcPr>
            <w:tcW w:w="1340" w:type="dxa"/>
            <w:vAlign w:val="bottom"/>
          </w:tcPr>
          <w:p w:rsidR="00DD0303" w:rsidRDefault="00FB1377">
            <w:pPr>
              <w:ind w:right="300"/>
              <w:jc w:val="right"/>
              <w:rPr>
                <w:sz w:val="20"/>
                <w:szCs w:val="20"/>
              </w:rPr>
            </w:pPr>
            <w:r>
              <w:rPr>
                <w:rFonts w:eastAsia="Times New Roman"/>
                <w:sz w:val="20"/>
                <w:szCs w:val="20"/>
              </w:rPr>
              <w:t>12 (12%)</w:t>
            </w:r>
          </w:p>
        </w:tc>
        <w:tc>
          <w:tcPr>
            <w:tcW w:w="500" w:type="dxa"/>
            <w:vAlign w:val="bottom"/>
          </w:tcPr>
          <w:p w:rsidR="00DD0303" w:rsidRDefault="00FB1377">
            <w:pPr>
              <w:jc w:val="right"/>
              <w:rPr>
                <w:sz w:val="20"/>
                <w:szCs w:val="20"/>
              </w:rPr>
            </w:pPr>
            <w:r>
              <w:rPr>
                <w:rFonts w:eastAsia="Times New Roman"/>
                <w:sz w:val="20"/>
                <w:szCs w:val="20"/>
              </w:rPr>
              <w:t>6</w:t>
            </w:r>
          </w:p>
        </w:tc>
        <w:tc>
          <w:tcPr>
            <w:tcW w:w="1000" w:type="dxa"/>
            <w:vAlign w:val="bottom"/>
          </w:tcPr>
          <w:p w:rsidR="00DD0303" w:rsidRDefault="00FB1377">
            <w:pPr>
              <w:ind w:left="20"/>
              <w:rPr>
                <w:sz w:val="20"/>
                <w:szCs w:val="20"/>
              </w:rPr>
            </w:pPr>
            <w:r>
              <w:rPr>
                <w:rFonts w:eastAsia="Times New Roman"/>
                <w:sz w:val="20"/>
                <w:szCs w:val="20"/>
              </w:rPr>
              <w:t>(6%)</w:t>
            </w:r>
          </w:p>
        </w:tc>
      </w:tr>
      <w:tr w:rsidR="00DD0303">
        <w:trPr>
          <w:trHeight w:val="266"/>
        </w:trPr>
        <w:tc>
          <w:tcPr>
            <w:tcW w:w="20" w:type="dxa"/>
            <w:vAlign w:val="bottom"/>
          </w:tcPr>
          <w:p w:rsidR="00DD0303" w:rsidRDefault="00DD0303">
            <w:pPr>
              <w:rPr>
                <w:sz w:val="23"/>
                <w:szCs w:val="23"/>
              </w:rPr>
            </w:pPr>
          </w:p>
        </w:tc>
        <w:tc>
          <w:tcPr>
            <w:tcW w:w="2760" w:type="dxa"/>
            <w:vAlign w:val="bottom"/>
          </w:tcPr>
          <w:p w:rsidR="00DD0303" w:rsidRDefault="00FB1377">
            <w:pPr>
              <w:ind w:left="100"/>
              <w:rPr>
                <w:sz w:val="20"/>
                <w:szCs w:val="20"/>
              </w:rPr>
            </w:pPr>
            <w:r>
              <w:rPr>
                <w:rFonts w:eastAsia="Times New Roman"/>
                <w:sz w:val="20"/>
                <w:szCs w:val="20"/>
              </w:rPr>
              <w:t>seriously if a woman sexually</w:t>
            </w:r>
          </w:p>
        </w:tc>
        <w:tc>
          <w:tcPr>
            <w:tcW w:w="64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1340" w:type="dxa"/>
            <w:vAlign w:val="bottom"/>
          </w:tcPr>
          <w:p w:rsidR="00DD0303" w:rsidRDefault="00DD0303">
            <w:pPr>
              <w:rPr>
                <w:sz w:val="23"/>
                <w:szCs w:val="23"/>
              </w:rPr>
            </w:pPr>
          </w:p>
        </w:tc>
        <w:tc>
          <w:tcPr>
            <w:tcW w:w="500" w:type="dxa"/>
            <w:vAlign w:val="bottom"/>
          </w:tcPr>
          <w:p w:rsidR="00DD0303" w:rsidRDefault="00DD0303">
            <w:pPr>
              <w:rPr>
                <w:sz w:val="23"/>
                <w:szCs w:val="23"/>
              </w:rPr>
            </w:pPr>
          </w:p>
        </w:tc>
        <w:tc>
          <w:tcPr>
            <w:tcW w:w="1000" w:type="dxa"/>
            <w:vAlign w:val="bottom"/>
          </w:tcPr>
          <w:p w:rsidR="00DD0303" w:rsidRDefault="00DD0303">
            <w:pPr>
              <w:rPr>
                <w:sz w:val="23"/>
                <w:szCs w:val="23"/>
              </w:rPr>
            </w:pP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assaults a man.</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2760" w:type="dxa"/>
            <w:vAlign w:val="bottom"/>
          </w:tcPr>
          <w:p w:rsidR="00DD0303" w:rsidRDefault="00FB1377">
            <w:pPr>
              <w:ind w:left="100"/>
              <w:rPr>
                <w:sz w:val="20"/>
                <w:szCs w:val="20"/>
              </w:rPr>
            </w:pPr>
            <w:r>
              <w:rPr>
                <w:rFonts w:eastAsia="Times New Roman"/>
                <w:sz w:val="20"/>
                <w:szCs w:val="20"/>
              </w:rPr>
              <w:t>The police won’t take it</w:t>
            </w:r>
          </w:p>
        </w:tc>
        <w:tc>
          <w:tcPr>
            <w:tcW w:w="640" w:type="dxa"/>
            <w:vAlign w:val="bottom"/>
          </w:tcPr>
          <w:p w:rsidR="00DD0303" w:rsidRDefault="00FB1377">
            <w:pPr>
              <w:jc w:val="center"/>
              <w:rPr>
                <w:sz w:val="20"/>
                <w:szCs w:val="20"/>
              </w:rPr>
            </w:pPr>
            <w:r>
              <w:rPr>
                <w:rFonts w:eastAsia="Times New Roman"/>
                <w:w w:val="99"/>
                <w:sz w:val="20"/>
                <w:szCs w:val="20"/>
              </w:rPr>
              <w:t>98</w:t>
            </w:r>
          </w:p>
        </w:tc>
        <w:tc>
          <w:tcPr>
            <w:tcW w:w="480" w:type="dxa"/>
            <w:vAlign w:val="bottom"/>
          </w:tcPr>
          <w:p w:rsidR="00DD0303" w:rsidRDefault="00FB1377">
            <w:pPr>
              <w:jc w:val="right"/>
              <w:rPr>
                <w:sz w:val="20"/>
                <w:szCs w:val="20"/>
              </w:rPr>
            </w:pPr>
            <w:r>
              <w:rPr>
                <w:rFonts w:eastAsia="Times New Roman"/>
                <w:sz w:val="20"/>
                <w:szCs w:val="20"/>
              </w:rPr>
              <w:t>4</w:t>
            </w:r>
          </w:p>
        </w:tc>
        <w:tc>
          <w:tcPr>
            <w:tcW w:w="720" w:type="dxa"/>
            <w:vAlign w:val="bottom"/>
          </w:tcPr>
          <w:p w:rsidR="00DD0303" w:rsidRDefault="00FB1377">
            <w:pPr>
              <w:ind w:left="20"/>
              <w:rPr>
                <w:sz w:val="20"/>
                <w:szCs w:val="20"/>
              </w:rPr>
            </w:pPr>
            <w:r>
              <w:rPr>
                <w:rFonts w:eastAsia="Times New Roman"/>
                <w:sz w:val="20"/>
                <w:szCs w:val="20"/>
              </w:rPr>
              <w:t>(4%)</w:t>
            </w:r>
          </w:p>
        </w:tc>
        <w:tc>
          <w:tcPr>
            <w:tcW w:w="480" w:type="dxa"/>
            <w:vAlign w:val="bottom"/>
          </w:tcPr>
          <w:p w:rsidR="00DD0303" w:rsidRDefault="00FB1377">
            <w:pPr>
              <w:jc w:val="right"/>
              <w:rPr>
                <w:sz w:val="20"/>
                <w:szCs w:val="20"/>
              </w:rPr>
            </w:pPr>
            <w:r>
              <w:rPr>
                <w:rFonts w:eastAsia="Times New Roman"/>
                <w:sz w:val="20"/>
                <w:szCs w:val="20"/>
              </w:rPr>
              <w:t>14</w:t>
            </w:r>
          </w:p>
        </w:tc>
        <w:tc>
          <w:tcPr>
            <w:tcW w:w="720" w:type="dxa"/>
            <w:vAlign w:val="bottom"/>
          </w:tcPr>
          <w:p w:rsidR="00DD0303" w:rsidRDefault="00FB1377">
            <w:pPr>
              <w:ind w:left="40"/>
              <w:rPr>
                <w:sz w:val="20"/>
                <w:szCs w:val="20"/>
              </w:rPr>
            </w:pPr>
            <w:r>
              <w:rPr>
                <w:rFonts w:eastAsia="Times New Roman"/>
                <w:sz w:val="20"/>
                <w:szCs w:val="20"/>
              </w:rPr>
              <w:t>(14%)</w:t>
            </w:r>
          </w:p>
        </w:tc>
        <w:tc>
          <w:tcPr>
            <w:tcW w:w="420" w:type="dxa"/>
            <w:vAlign w:val="bottom"/>
          </w:tcPr>
          <w:p w:rsidR="00DD0303" w:rsidRDefault="00FB1377">
            <w:pPr>
              <w:jc w:val="right"/>
              <w:rPr>
                <w:sz w:val="20"/>
                <w:szCs w:val="20"/>
              </w:rPr>
            </w:pPr>
            <w:r>
              <w:rPr>
                <w:rFonts w:eastAsia="Times New Roman"/>
                <w:sz w:val="20"/>
                <w:szCs w:val="20"/>
              </w:rPr>
              <w:t>21</w:t>
            </w:r>
          </w:p>
        </w:tc>
        <w:tc>
          <w:tcPr>
            <w:tcW w:w="720" w:type="dxa"/>
            <w:vAlign w:val="bottom"/>
          </w:tcPr>
          <w:p w:rsidR="00DD0303" w:rsidRDefault="00FB1377">
            <w:pPr>
              <w:ind w:left="20"/>
              <w:rPr>
                <w:sz w:val="20"/>
                <w:szCs w:val="20"/>
              </w:rPr>
            </w:pPr>
            <w:r>
              <w:rPr>
                <w:rFonts w:eastAsia="Times New Roman"/>
                <w:sz w:val="20"/>
                <w:szCs w:val="20"/>
              </w:rPr>
              <w:t>(22%)</w:t>
            </w:r>
          </w:p>
        </w:tc>
        <w:tc>
          <w:tcPr>
            <w:tcW w:w="1340" w:type="dxa"/>
            <w:vAlign w:val="bottom"/>
          </w:tcPr>
          <w:p w:rsidR="00DD0303" w:rsidRDefault="00FB1377">
            <w:pPr>
              <w:ind w:right="300"/>
              <w:jc w:val="right"/>
              <w:rPr>
                <w:sz w:val="20"/>
                <w:szCs w:val="20"/>
              </w:rPr>
            </w:pPr>
            <w:r>
              <w:rPr>
                <w:rFonts w:eastAsia="Times New Roman"/>
                <w:sz w:val="20"/>
                <w:szCs w:val="20"/>
              </w:rPr>
              <w:t>46 (47%)</w:t>
            </w:r>
          </w:p>
        </w:tc>
        <w:tc>
          <w:tcPr>
            <w:tcW w:w="500" w:type="dxa"/>
            <w:vAlign w:val="bottom"/>
          </w:tcPr>
          <w:p w:rsidR="00DD0303" w:rsidRDefault="00FB1377">
            <w:pPr>
              <w:jc w:val="right"/>
              <w:rPr>
                <w:sz w:val="20"/>
                <w:szCs w:val="20"/>
              </w:rPr>
            </w:pPr>
            <w:r>
              <w:rPr>
                <w:rFonts w:eastAsia="Times New Roman"/>
                <w:sz w:val="20"/>
                <w:szCs w:val="20"/>
              </w:rPr>
              <w:t>13</w:t>
            </w:r>
          </w:p>
        </w:tc>
        <w:tc>
          <w:tcPr>
            <w:tcW w:w="1000" w:type="dxa"/>
            <w:vAlign w:val="bottom"/>
          </w:tcPr>
          <w:p w:rsidR="00DD0303" w:rsidRDefault="00FB1377">
            <w:pPr>
              <w:ind w:left="20"/>
              <w:rPr>
                <w:sz w:val="20"/>
                <w:szCs w:val="20"/>
              </w:rPr>
            </w:pPr>
            <w:r>
              <w:rPr>
                <w:rFonts w:eastAsia="Times New Roman"/>
                <w:sz w:val="20"/>
                <w:szCs w:val="20"/>
              </w:rPr>
              <w:t>(13%)</w:t>
            </w:r>
          </w:p>
        </w:tc>
      </w:tr>
      <w:tr w:rsidR="00DD0303">
        <w:trPr>
          <w:trHeight w:val="264"/>
        </w:trPr>
        <w:tc>
          <w:tcPr>
            <w:tcW w:w="20" w:type="dxa"/>
            <w:vAlign w:val="bottom"/>
          </w:tcPr>
          <w:p w:rsidR="00DD0303" w:rsidRDefault="00DD0303"/>
        </w:tc>
        <w:tc>
          <w:tcPr>
            <w:tcW w:w="2760" w:type="dxa"/>
            <w:vAlign w:val="bottom"/>
          </w:tcPr>
          <w:p w:rsidR="00DD0303" w:rsidRDefault="00FB1377">
            <w:pPr>
              <w:ind w:left="100"/>
              <w:rPr>
                <w:sz w:val="20"/>
                <w:szCs w:val="20"/>
              </w:rPr>
            </w:pPr>
            <w:r>
              <w:rPr>
                <w:rFonts w:eastAsia="Times New Roman"/>
                <w:sz w:val="20"/>
                <w:szCs w:val="20"/>
              </w:rPr>
              <w:t>seriously if a man sexually</w:t>
            </w:r>
          </w:p>
        </w:tc>
        <w:tc>
          <w:tcPr>
            <w:tcW w:w="64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8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1340" w:type="dxa"/>
            <w:vAlign w:val="bottom"/>
          </w:tcPr>
          <w:p w:rsidR="00DD0303" w:rsidRDefault="00DD0303"/>
        </w:tc>
        <w:tc>
          <w:tcPr>
            <w:tcW w:w="500" w:type="dxa"/>
            <w:vAlign w:val="bottom"/>
          </w:tcPr>
          <w:p w:rsidR="00DD0303" w:rsidRDefault="00DD0303"/>
        </w:tc>
        <w:tc>
          <w:tcPr>
            <w:tcW w:w="1000" w:type="dxa"/>
            <w:vAlign w:val="bottom"/>
          </w:tcPr>
          <w:p w:rsidR="00DD0303" w:rsidRDefault="00DD0303"/>
        </w:tc>
      </w:tr>
      <w:tr w:rsidR="00DD0303">
        <w:trPr>
          <w:trHeight w:val="266"/>
        </w:trPr>
        <w:tc>
          <w:tcPr>
            <w:tcW w:w="20" w:type="dxa"/>
            <w:vAlign w:val="bottom"/>
          </w:tcPr>
          <w:p w:rsidR="00DD0303" w:rsidRDefault="00DD0303">
            <w:pPr>
              <w:rPr>
                <w:sz w:val="23"/>
                <w:szCs w:val="23"/>
              </w:rPr>
            </w:pPr>
          </w:p>
        </w:tc>
        <w:tc>
          <w:tcPr>
            <w:tcW w:w="2760" w:type="dxa"/>
            <w:vAlign w:val="bottom"/>
          </w:tcPr>
          <w:p w:rsidR="00DD0303" w:rsidRDefault="00FB1377">
            <w:pPr>
              <w:ind w:left="100"/>
              <w:rPr>
                <w:sz w:val="20"/>
                <w:szCs w:val="20"/>
              </w:rPr>
            </w:pPr>
            <w:r>
              <w:rPr>
                <w:rFonts w:eastAsia="Times New Roman"/>
                <w:sz w:val="20"/>
                <w:szCs w:val="20"/>
              </w:rPr>
              <w:t>assaults another man.</w:t>
            </w:r>
          </w:p>
        </w:tc>
        <w:tc>
          <w:tcPr>
            <w:tcW w:w="64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8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1340" w:type="dxa"/>
            <w:vAlign w:val="bottom"/>
          </w:tcPr>
          <w:p w:rsidR="00DD0303" w:rsidRDefault="00DD0303">
            <w:pPr>
              <w:rPr>
                <w:sz w:val="23"/>
                <w:szCs w:val="23"/>
              </w:rPr>
            </w:pPr>
          </w:p>
        </w:tc>
        <w:tc>
          <w:tcPr>
            <w:tcW w:w="500" w:type="dxa"/>
            <w:vAlign w:val="bottom"/>
          </w:tcPr>
          <w:p w:rsidR="00DD0303" w:rsidRDefault="00DD0303">
            <w:pPr>
              <w:rPr>
                <w:sz w:val="23"/>
                <w:szCs w:val="23"/>
              </w:rPr>
            </w:pPr>
          </w:p>
        </w:tc>
        <w:tc>
          <w:tcPr>
            <w:tcW w:w="1000" w:type="dxa"/>
            <w:vAlign w:val="bottom"/>
          </w:tcPr>
          <w:p w:rsidR="00DD0303" w:rsidRDefault="00DD0303">
            <w:pPr>
              <w:rPr>
                <w:sz w:val="23"/>
                <w:szCs w:val="23"/>
              </w:rPr>
            </w:pPr>
          </w:p>
        </w:tc>
      </w:tr>
      <w:tr w:rsidR="00DD0303">
        <w:trPr>
          <w:trHeight w:val="286"/>
        </w:trPr>
        <w:tc>
          <w:tcPr>
            <w:tcW w:w="20" w:type="dxa"/>
            <w:tcBorders>
              <w:bottom w:val="single" w:sz="8" w:space="0" w:color="auto"/>
            </w:tcBorders>
            <w:vAlign w:val="bottom"/>
          </w:tcPr>
          <w:p w:rsidR="00DD0303" w:rsidRDefault="00DD0303">
            <w:pPr>
              <w:rPr>
                <w:sz w:val="24"/>
                <w:szCs w:val="24"/>
              </w:rPr>
            </w:pPr>
          </w:p>
        </w:tc>
        <w:tc>
          <w:tcPr>
            <w:tcW w:w="2760" w:type="dxa"/>
            <w:tcBorders>
              <w:bottom w:val="single" w:sz="8" w:space="0" w:color="auto"/>
            </w:tcBorders>
            <w:vAlign w:val="bottom"/>
          </w:tcPr>
          <w:p w:rsidR="00DD0303" w:rsidRDefault="00DD0303">
            <w:pPr>
              <w:rPr>
                <w:sz w:val="24"/>
                <w:szCs w:val="24"/>
              </w:rPr>
            </w:pPr>
          </w:p>
        </w:tc>
        <w:tc>
          <w:tcPr>
            <w:tcW w:w="640" w:type="dxa"/>
            <w:tcBorders>
              <w:bottom w:val="single" w:sz="8" w:space="0" w:color="auto"/>
            </w:tcBorders>
            <w:vAlign w:val="bottom"/>
          </w:tcPr>
          <w:p w:rsidR="00DD0303" w:rsidRDefault="00DD0303">
            <w:pPr>
              <w:rPr>
                <w:sz w:val="24"/>
                <w:szCs w:val="24"/>
              </w:rPr>
            </w:pPr>
          </w:p>
        </w:tc>
        <w:tc>
          <w:tcPr>
            <w:tcW w:w="480" w:type="dxa"/>
            <w:tcBorders>
              <w:bottom w:val="single" w:sz="8" w:space="0" w:color="auto"/>
            </w:tcBorders>
            <w:vAlign w:val="bottom"/>
          </w:tcPr>
          <w:p w:rsidR="00DD0303" w:rsidRDefault="00DD0303">
            <w:pPr>
              <w:rPr>
                <w:sz w:val="24"/>
                <w:szCs w:val="24"/>
              </w:rPr>
            </w:pPr>
          </w:p>
        </w:tc>
        <w:tc>
          <w:tcPr>
            <w:tcW w:w="720" w:type="dxa"/>
            <w:tcBorders>
              <w:bottom w:val="single" w:sz="8" w:space="0" w:color="auto"/>
            </w:tcBorders>
            <w:vAlign w:val="bottom"/>
          </w:tcPr>
          <w:p w:rsidR="00DD0303" w:rsidRDefault="00DD0303">
            <w:pPr>
              <w:rPr>
                <w:sz w:val="24"/>
                <w:szCs w:val="24"/>
              </w:rPr>
            </w:pPr>
          </w:p>
        </w:tc>
        <w:tc>
          <w:tcPr>
            <w:tcW w:w="480" w:type="dxa"/>
            <w:tcBorders>
              <w:bottom w:val="single" w:sz="8" w:space="0" w:color="auto"/>
            </w:tcBorders>
            <w:vAlign w:val="bottom"/>
          </w:tcPr>
          <w:p w:rsidR="00DD0303" w:rsidRDefault="00DD0303">
            <w:pPr>
              <w:rPr>
                <w:sz w:val="24"/>
                <w:szCs w:val="24"/>
              </w:rPr>
            </w:pPr>
          </w:p>
        </w:tc>
        <w:tc>
          <w:tcPr>
            <w:tcW w:w="720" w:type="dxa"/>
            <w:tcBorders>
              <w:bottom w:val="single" w:sz="8" w:space="0" w:color="auto"/>
            </w:tcBorders>
            <w:vAlign w:val="bottom"/>
          </w:tcPr>
          <w:p w:rsidR="00DD0303" w:rsidRDefault="00DD0303">
            <w:pPr>
              <w:rPr>
                <w:sz w:val="24"/>
                <w:szCs w:val="24"/>
              </w:rPr>
            </w:pPr>
          </w:p>
        </w:tc>
        <w:tc>
          <w:tcPr>
            <w:tcW w:w="420" w:type="dxa"/>
            <w:tcBorders>
              <w:bottom w:val="single" w:sz="8" w:space="0" w:color="auto"/>
            </w:tcBorders>
            <w:vAlign w:val="bottom"/>
          </w:tcPr>
          <w:p w:rsidR="00DD0303" w:rsidRDefault="00DD0303">
            <w:pPr>
              <w:rPr>
                <w:sz w:val="24"/>
                <w:szCs w:val="24"/>
              </w:rPr>
            </w:pPr>
          </w:p>
        </w:tc>
        <w:tc>
          <w:tcPr>
            <w:tcW w:w="720" w:type="dxa"/>
            <w:tcBorders>
              <w:bottom w:val="single" w:sz="8" w:space="0" w:color="auto"/>
            </w:tcBorders>
            <w:vAlign w:val="bottom"/>
          </w:tcPr>
          <w:p w:rsidR="00DD0303" w:rsidRDefault="00DD0303">
            <w:pPr>
              <w:rPr>
                <w:sz w:val="24"/>
                <w:szCs w:val="24"/>
              </w:rPr>
            </w:pPr>
          </w:p>
        </w:tc>
        <w:tc>
          <w:tcPr>
            <w:tcW w:w="1340" w:type="dxa"/>
            <w:tcBorders>
              <w:bottom w:val="single" w:sz="8" w:space="0" w:color="auto"/>
            </w:tcBorders>
            <w:vAlign w:val="bottom"/>
          </w:tcPr>
          <w:p w:rsidR="00DD0303" w:rsidRDefault="00DD0303">
            <w:pPr>
              <w:rPr>
                <w:sz w:val="24"/>
                <w:szCs w:val="24"/>
              </w:rPr>
            </w:pPr>
          </w:p>
        </w:tc>
        <w:tc>
          <w:tcPr>
            <w:tcW w:w="500" w:type="dxa"/>
            <w:tcBorders>
              <w:bottom w:val="single" w:sz="8" w:space="0" w:color="auto"/>
            </w:tcBorders>
            <w:vAlign w:val="bottom"/>
          </w:tcPr>
          <w:p w:rsidR="00DD0303" w:rsidRDefault="00DD0303">
            <w:pPr>
              <w:rPr>
                <w:sz w:val="24"/>
                <w:szCs w:val="24"/>
              </w:rPr>
            </w:pPr>
          </w:p>
        </w:tc>
        <w:tc>
          <w:tcPr>
            <w:tcW w:w="1000" w:type="dxa"/>
            <w:tcBorders>
              <w:bottom w:val="single" w:sz="8" w:space="0" w:color="auto"/>
            </w:tcBorders>
            <w:vAlign w:val="bottom"/>
          </w:tcPr>
          <w:p w:rsidR="00DD0303" w:rsidRDefault="00DD0303">
            <w:pPr>
              <w:rPr>
                <w:sz w:val="24"/>
                <w:szCs w:val="24"/>
              </w:rPr>
            </w:pPr>
          </w:p>
        </w:tc>
      </w:tr>
    </w:tbl>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70" w:lineRule="exact"/>
        <w:rPr>
          <w:sz w:val="20"/>
          <w:szCs w:val="20"/>
        </w:rPr>
      </w:pPr>
    </w:p>
    <w:p w:rsidR="00DD0303" w:rsidRDefault="00FB1377">
      <w:pPr>
        <w:ind w:left="9380"/>
        <w:rPr>
          <w:sz w:val="20"/>
          <w:szCs w:val="20"/>
        </w:rPr>
      </w:pPr>
      <w:r>
        <w:rPr>
          <w:rFonts w:eastAsia="Times New Roman"/>
        </w:rPr>
        <w:t>37</w:t>
      </w:r>
    </w:p>
    <w:p w:rsidR="00DD0303" w:rsidRDefault="00DD0303">
      <w:pPr>
        <w:sectPr w:rsidR="00DD0303">
          <w:pgSz w:w="11900" w:h="16838"/>
          <w:pgMar w:top="684" w:right="1246" w:bottom="437" w:left="860" w:header="0" w:footer="0" w:gutter="0"/>
          <w:cols w:space="720" w:equalWidth="0">
            <w:col w:w="9800"/>
          </w:cols>
        </w:sectPr>
      </w:pPr>
    </w:p>
    <w:p w:rsidR="00DD0303" w:rsidRDefault="00FB1377">
      <w:pPr>
        <w:ind w:left="300"/>
        <w:rPr>
          <w:sz w:val="20"/>
          <w:szCs w:val="20"/>
        </w:rPr>
      </w:pPr>
      <w:bookmarkStart w:id="38" w:name="page39"/>
      <w:bookmarkEnd w:id="38"/>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50" w:lineRule="exact"/>
        <w:rPr>
          <w:sz w:val="20"/>
          <w:szCs w:val="20"/>
        </w:rPr>
      </w:pPr>
    </w:p>
    <w:p w:rsidR="00DD0303" w:rsidRDefault="00FB1377">
      <w:pPr>
        <w:ind w:left="300"/>
        <w:rPr>
          <w:sz w:val="20"/>
          <w:szCs w:val="20"/>
        </w:rPr>
      </w:pPr>
      <w:r>
        <w:rPr>
          <w:rFonts w:eastAsia="Times New Roman"/>
          <w:i/>
          <w:iCs/>
          <w:sz w:val="24"/>
          <w:szCs w:val="24"/>
        </w:rPr>
        <w:t>Table 3:</w:t>
      </w:r>
    </w:p>
    <w:p w:rsidR="00DD0303" w:rsidRDefault="00DD0303">
      <w:pPr>
        <w:spacing w:line="202" w:lineRule="exact"/>
        <w:rPr>
          <w:sz w:val="20"/>
          <w:szCs w:val="20"/>
        </w:rPr>
      </w:pPr>
    </w:p>
    <w:p w:rsidR="00DD0303" w:rsidRDefault="00FB1377">
      <w:pPr>
        <w:ind w:left="300"/>
        <w:rPr>
          <w:sz w:val="20"/>
          <w:szCs w:val="20"/>
        </w:rPr>
      </w:pPr>
      <w:r>
        <w:rPr>
          <w:rFonts w:eastAsia="Times New Roman"/>
          <w:i/>
          <w:iCs/>
          <w:sz w:val="24"/>
          <w:szCs w:val="24"/>
        </w:rPr>
        <w:t>Levels of Agreement with Assault by Penetration Myths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5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800"/>
        <w:gridCol w:w="700"/>
        <w:gridCol w:w="1160"/>
        <w:gridCol w:w="840"/>
        <w:gridCol w:w="380"/>
        <w:gridCol w:w="680"/>
        <w:gridCol w:w="1120"/>
        <w:gridCol w:w="1200"/>
      </w:tblGrid>
      <w:tr w:rsidR="00DD0303">
        <w:trPr>
          <w:trHeight w:val="272"/>
        </w:trPr>
        <w:tc>
          <w:tcPr>
            <w:tcW w:w="20" w:type="dxa"/>
            <w:vAlign w:val="bottom"/>
          </w:tcPr>
          <w:p w:rsidR="00DD0303" w:rsidRDefault="00DD0303">
            <w:pPr>
              <w:rPr>
                <w:sz w:val="23"/>
                <w:szCs w:val="23"/>
              </w:rPr>
            </w:pPr>
          </w:p>
        </w:tc>
        <w:tc>
          <w:tcPr>
            <w:tcW w:w="2800" w:type="dxa"/>
            <w:tcBorders>
              <w:top w:val="single" w:sz="8" w:space="0" w:color="auto"/>
            </w:tcBorders>
            <w:vAlign w:val="bottom"/>
          </w:tcPr>
          <w:p w:rsidR="00DD0303" w:rsidRDefault="00FB1377">
            <w:pPr>
              <w:ind w:left="200"/>
              <w:rPr>
                <w:sz w:val="20"/>
                <w:szCs w:val="20"/>
              </w:rPr>
            </w:pPr>
            <w:r>
              <w:rPr>
                <w:rFonts w:eastAsia="Times New Roman"/>
                <w:sz w:val="20"/>
                <w:szCs w:val="20"/>
              </w:rPr>
              <w:t>Assault by penetration myths</w:t>
            </w:r>
          </w:p>
        </w:tc>
        <w:tc>
          <w:tcPr>
            <w:tcW w:w="700" w:type="dxa"/>
            <w:tcBorders>
              <w:top w:val="single" w:sz="8" w:space="0" w:color="auto"/>
            </w:tcBorders>
            <w:vAlign w:val="bottom"/>
          </w:tcPr>
          <w:p w:rsidR="00DD0303" w:rsidRDefault="00FB1377">
            <w:pPr>
              <w:jc w:val="center"/>
              <w:rPr>
                <w:sz w:val="20"/>
                <w:szCs w:val="20"/>
              </w:rPr>
            </w:pPr>
            <w:r>
              <w:rPr>
                <w:rFonts w:eastAsia="Times New Roman"/>
                <w:i/>
                <w:iCs/>
                <w:sz w:val="20"/>
                <w:szCs w:val="20"/>
              </w:rPr>
              <w:t>N</w:t>
            </w:r>
          </w:p>
        </w:tc>
        <w:tc>
          <w:tcPr>
            <w:tcW w:w="1160" w:type="dxa"/>
            <w:tcBorders>
              <w:top w:val="single" w:sz="8" w:space="0" w:color="auto"/>
            </w:tcBorders>
            <w:vAlign w:val="bottom"/>
          </w:tcPr>
          <w:p w:rsidR="00DD0303" w:rsidRDefault="00FB1377">
            <w:pPr>
              <w:jc w:val="center"/>
              <w:rPr>
                <w:sz w:val="20"/>
                <w:szCs w:val="20"/>
              </w:rPr>
            </w:pPr>
            <w:r>
              <w:rPr>
                <w:rFonts w:eastAsia="Times New Roman"/>
                <w:w w:val="98"/>
                <w:sz w:val="20"/>
                <w:szCs w:val="20"/>
              </w:rPr>
              <w:t>Strongly</w:t>
            </w:r>
          </w:p>
        </w:tc>
        <w:tc>
          <w:tcPr>
            <w:tcW w:w="840" w:type="dxa"/>
            <w:tcBorders>
              <w:top w:val="single" w:sz="8" w:space="0" w:color="auto"/>
            </w:tcBorders>
            <w:vAlign w:val="bottom"/>
          </w:tcPr>
          <w:p w:rsidR="00DD0303" w:rsidRDefault="00FB1377">
            <w:pPr>
              <w:ind w:left="200"/>
              <w:rPr>
                <w:sz w:val="20"/>
                <w:szCs w:val="20"/>
              </w:rPr>
            </w:pPr>
            <w:r>
              <w:rPr>
                <w:rFonts w:eastAsia="Times New Roman"/>
                <w:sz w:val="20"/>
                <w:szCs w:val="20"/>
              </w:rPr>
              <w:t>Agree</w:t>
            </w:r>
          </w:p>
        </w:tc>
        <w:tc>
          <w:tcPr>
            <w:tcW w:w="1060" w:type="dxa"/>
            <w:gridSpan w:val="2"/>
            <w:tcBorders>
              <w:top w:val="single" w:sz="8" w:space="0" w:color="auto"/>
            </w:tcBorders>
            <w:vAlign w:val="bottom"/>
          </w:tcPr>
          <w:p w:rsidR="00DD0303" w:rsidRDefault="00FB1377">
            <w:pPr>
              <w:ind w:left="240"/>
              <w:rPr>
                <w:sz w:val="20"/>
                <w:szCs w:val="20"/>
              </w:rPr>
            </w:pPr>
            <w:r>
              <w:rPr>
                <w:rFonts w:eastAsia="Times New Roman"/>
                <w:sz w:val="20"/>
                <w:szCs w:val="20"/>
              </w:rPr>
              <w:t>Unsure</w:t>
            </w:r>
          </w:p>
        </w:tc>
        <w:tc>
          <w:tcPr>
            <w:tcW w:w="1120" w:type="dxa"/>
            <w:tcBorders>
              <w:top w:val="single" w:sz="8" w:space="0" w:color="auto"/>
            </w:tcBorders>
            <w:vAlign w:val="bottom"/>
          </w:tcPr>
          <w:p w:rsidR="00DD0303" w:rsidRDefault="00FB1377">
            <w:pPr>
              <w:ind w:left="160"/>
              <w:rPr>
                <w:sz w:val="20"/>
                <w:szCs w:val="20"/>
              </w:rPr>
            </w:pPr>
            <w:r>
              <w:rPr>
                <w:rFonts w:eastAsia="Times New Roman"/>
                <w:sz w:val="20"/>
                <w:szCs w:val="20"/>
              </w:rPr>
              <w:t>Disagree</w:t>
            </w:r>
          </w:p>
        </w:tc>
        <w:tc>
          <w:tcPr>
            <w:tcW w:w="1200" w:type="dxa"/>
            <w:tcBorders>
              <w:top w:val="single" w:sz="8" w:space="0" w:color="auto"/>
            </w:tcBorders>
            <w:vAlign w:val="bottom"/>
          </w:tcPr>
          <w:p w:rsidR="00DD0303" w:rsidRDefault="00FB1377">
            <w:pPr>
              <w:jc w:val="center"/>
              <w:rPr>
                <w:sz w:val="20"/>
                <w:szCs w:val="20"/>
              </w:rPr>
            </w:pPr>
            <w:r>
              <w:rPr>
                <w:rFonts w:eastAsia="Times New Roman"/>
                <w:w w:val="98"/>
                <w:sz w:val="20"/>
                <w:szCs w:val="20"/>
              </w:rPr>
              <w:t>Strongly</w:t>
            </w:r>
          </w:p>
        </w:tc>
      </w:tr>
      <w:tr w:rsidR="00DD0303">
        <w:trPr>
          <w:trHeight w:val="324"/>
        </w:trPr>
        <w:tc>
          <w:tcPr>
            <w:tcW w:w="20" w:type="dxa"/>
            <w:vAlign w:val="bottom"/>
          </w:tcPr>
          <w:p w:rsidR="00DD0303" w:rsidRDefault="00DD0303">
            <w:pPr>
              <w:rPr>
                <w:sz w:val="24"/>
                <w:szCs w:val="24"/>
              </w:rPr>
            </w:pPr>
          </w:p>
        </w:tc>
        <w:tc>
          <w:tcPr>
            <w:tcW w:w="2800" w:type="dxa"/>
            <w:vAlign w:val="bottom"/>
          </w:tcPr>
          <w:p w:rsidR="00DD0303" w:rsidRDefault="00DD0303">
            <w:pPr>
              <w:rPr>
                <w:sz w:val="24"/>
                <w:szCs w:val="24"/>
              </w:rPr>
            </w:pPr>
          </w:p>
        </w:tc>
        <w:tc>
          <w:tcPr>
            <w:tcW w:w="700" w:type="dxa"/>
            <w:vAlign w:val="bottom"/>
          </w:tcPr>
          <w:p w:rsidR="00DD0303" w:rsidRDefault="00DD0303">
            <w:pPr>
              <w:rPr>
                <w:sz w:val="24"/>
                <w:szCs w:val="24"/>
              </w:rPr>
            </w:pPr>
          </w:p>
        </w:tc>
        <w:tc>
          <w:tcPr>
            <w:tcW w:w="1160" w:type="dxa"/>
            <w:vAlign w:val="bottom"/>
          </w:tcPr>
          <w:p w:rsidR="00DD0303" w:rsidRDefault="00FB1377">
            <w:pPr>
              <w:jc w:val="center"/>
              <w:rPr>
                <w:sz w:val="20"/>
                <w:szCs w:val="20"/>
              </w:rPr>
            </w:pPr>
            <w:r>
              <w:rPr>
                <w:rFonts w:eastAsia="Times New Roman"/>
                <w:sz w:val="20"/>
                <w:szCs w:val="20"/>
              </w:rPr>
              <w:t>agree</w:t>
            </w: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FB1377">
            <w:pPr>
              <w:jc w:val="center"/>
              <w:rPr>
                <w:sz w:val="20"/>
                <w:szCs w:val="20"/>
              </w:rPr>
            </w:pPr>
            <w:r>
              <w:rPr>
                <w:rFonts w:eastAsia="Times New Roman"/>
                <w:w w:val="98"/>
                <w:sz w:val="20"/>
                <w:szCs w:val="20"/>
              </w:rPr>
              <w:t>disagree</w:t>
            </w:r>
          </w:p>
        </w:tc>
      </w:tr>
      <w:tr w:rsidR="00DD0303">
        <w:trPr>
          <w:trHeight w:val="103"/>
        </w:trPr>
        <w:tc>
          <w:tcPr>
            <w:tcW w:w="20" w:type="dxa"/>
            <w:vAlign w:val="bottom"/>
          </w:tcPr>
          <w:p w:rsidR="00DD0303" w:rsidRDefault="00DD0303">
            <w:pPr>
              <w:rPr>
                <w:sz w:val="8"/>
                <w:szCs w:val="8"/>
              </w:rPr>
            </w:pPr>
          </w:p>
        </w:tc>
        <w:tc>
          <w:tcPr>
            <w:tcW w:w="2800" w:type="dxa"/>
            <w:tcBorders>
              <w:bottom w:val="single" w:sz="8" w:space="0" w:color="auto"/>
            </w:tcBorders>
            <w:vAlign w:val="bottom"/>
          </w:tcPr>
          <w:p w:rsidR="00DD0303" w:rsidRDefault="00DD0303">
            <w:pPr>
              <w:rPr>
                <w:sz w:val="8"/>
                <w:szCs w:val="8"/>
              </w:rPr>
            </w:pPr>
          </w:p>
        </w:tc>
        <w:tc>
          <w:tcPr>
            <w:tcW w:w="700" w:type="dxa"/>
            <w:tcBorders>
              <w:bottom w:val="single" w:sz="8" w:space="0" w:color="auto"/>
            </w:tcBorders>
            <w:vAlign w:val="bottom"/>
          </w:tcPr>
          <w:p w:rsidR="00DD0303" w:rsidRDefault="00DD0303">
            <w:pPr>
              <w:rPr>
                <w:sz w:val="8"/>
                <w:szCs w:val="8"/>
              </w:rPr>
            </w:pPr>
          </w:p>
        </w:tc>
        <w:tc>
          <w:tcPr>
            <w:tcW w:w="1160" w:type="dxa"/>
            <w:tcBorders>
              <w:bottom w:val="single" w:sz="8" w:space="0" w:color="auto"/>
            </w:tcBorders>
            <w:vAlign w:val="bottom"/>
          </w:tcPr>
          <w:p w:rsidR="00DD0303" w:rsidRDefault="00DD0303">
            <w:pPr>
              <w:rPr>
                <w:sz w:val="8"/>
                <w:szCs w:val="8"/>
              </w:rPr>
            </w:pPr>
          </w:p>
        </w:tc>
        <w:tc>
          <w:tcPr>
            <w:tcW w:w="840" w:type="dxa"/>
            <w:tcBorders>
              <w:bottom w:val="single" w:sz="8" w:space="0" w:color="auto"/>
            </w:tcBorders>
            <w:vAlign w:val="bottom"/>
          </w:tcPr>
          <w:p w:rsidR="00DD0303" w:rsidRDefault="00DD0303">
            <w:pPr>
              <w:rPr>
                <w:sz w:val="8"/>
                <w:szCs w:val="8"/>
              </w:rPr>
            </w:pPr>
          </w:p>
        </w:tc>
        <w:tc>
          <w:tcPr>
            <w:tcW w:w="380" w:type="dxa"/>
            <w:tcBorders>
              <w:bottom w:val="single" w:sz="8" w:space="0" w:color="auto"/>
            </w:tcBorders>
            <w:vAlign w:val="bottom"/>
          </w:tcPr>
          <w:p w:rsidR="00DD0303" w:rsidRDefault="00DD0303">
            <w:pPr>
              <w:rPr>
                <w:sz w:val="8"/>
                <w:szCs w:val="8"/>
              </w:rPr>
            </w:pPr>
          </w:p>
        </w:tc>
        <w:tc>
          <w:tcPr>
            <w:tcW w:w="680" w:type="dxa"/>
            <w:tcBorders>
              <w:bottom w:val="single" w:sz="8" w:space="0" w:color="auto"/>
            </w:tcBorders>
            <w:vAlign w:val="bottom"/>
          </w:tcPr>
          <w:p w:rsidR="00DD0303" w:rsidRDefault="00DD0303">
            <w:pPr>
              <w:rPr>
                <w:sz w:val="8"/>
                <w:szCs w:val="8"/>
              </w:rPr>
            </w:pPr>
          </w:p>
        </w:tc>
        <w:tc>
          <w:tcPr>
            <w:tcW w:w="1120" w:type="dxa"/>
            <w:tcBorders>
              <w:bottom w:val="single" w:sz="8" w:space="0" w:color="auto"/>
            </w:tcBorders>
            <w:vAlign w:val="bottom"/>
          </w:tcPr>
          <w:p w:rsidR="00DD0303" w:rsidRDefault="00DD0303">
            <w:pPr>
              <w:rPr>
                <w:sz w:val="8"/>
                <w:szCs w:val="8"/>
              </w:rPr>
            </w:pPr>
          </w:p>
        </w:tc>
        <w:tc>
          <w:tcPr>
            <w:tcW w:w="1200" w:type="dxa"/>
            <w:tcBorders>
              <w:bottom w:val="single" w:sz="8" w:space="0" w:color="auto"/>
            </w:tcBorders>
            <w:vAlign w:val="bottom"/>
          </w:tcPr>
          <w:p w:rsidR="00DD0303" w:rsidRDefault="00DD0303">
            <w:pPr>
              <w:rPr>
                <w:sz w:val="8"/>
                <w:szCs w:val="8"/>
              </w:rPr>
            </w:pPr>
          </w:p>
        </w:tc>
      </w:tr>
      <w:tr w:rsidR="00DD0303">
        <w:trPr>
          <w:trHeight w:val="575"/>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 xml:space="preserve">Only </w:t>
            </w:r>
            <w:r>
              <w:rPr>
                <w:rFonts w:eastAsia="Times New Roman"/>
                <w:sz w:val="20"/>
                <w:szCs w:val="20"/>
              </w:rPr>
              <w:t>homosexual men can</w:t>
            </w:r>
          </w:p>
        </w:tc>
        <w:tc>
          <w:tcPr>
            <w:tcW w:w="700" w:type="dxa"/>
            <w:vAlign w:val="bottom"/>
          </w:tcPr>
          <w:p w:rsidR="00DD0303" w:rsidRDefault="00FB1377">
            <w:pPr>
              <w:jc w:val="center"/>
              <w:rPr>
                <w:sz w:val="20"/>
                <w:szCs w:val="20"/>
              </w:rPr>
            </w:pPr>
            <w:r>
              <w:rPr>
                <w:rFonts w:eastAsia="Times New Roman"/>
                <w:w w:val="99"/>
                <w:sz w:val="20"/>
                <w:szCs w:val="20"/>
              </w:rPr>
              <w:t>98</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840" w:type="dxa"/>
            <w:vAlign w:val="bottom"/>
          </w:tcPr>
          <w:p w:rsidR="00DD0303" w:rsidRDefault="00FB1377">
            <w:pPr>
              <w:jc w:val="center"/>
              <w:rPr>
                <w:sz w:val="20"/>
                <w:szCs w:val="20"/>
              </w:rPr>
            </w:pPr>
            <w:r>
              <w:rPr>
                <w:rFonts w:eastAsia="Times New Roman"/>
                <w:sz w:val="20"/>
                <w:szCs w:val="20"/>
              </w:rPr>
              <w:t>1 (1%)</w:t>
            </w:r>
          </w:p>
        </w:tc>
        <w:tc>
          <w:tcPr>
            <w:tcW w:w="380" w:type="dxa"/>
            <w:vAlign w:val="bottom"/>
          </w:tcPr>
          <w:p w:rsidR="00DD0303" w:rsidRDefault="00FB1377">
            <w:pPr>
              <w:jc w:val="right"/>
              <w:rPr>
                <w:sz w:val="20"/>
                <w:szCs w:val="20"/>
              </w:rPr>
            </w:pPr>
            <w:r>
              <w:rPr>
                <w:rFonts w:eastAsia="Times New Roman"/>
                <w:sz w:val="20"/>
                <w:szCs w:val="20"/>
              </w:rPr>
              <w:t>6</w:t>
            </w:r>
          </w:p>
        </w:tc>
        <w:tc>
          <w:tcPr>
            <w:tcW w:w="680" w:type="dxa"/>
            <w:vAlign w:val="bottom"/>
          </w:tcPr>
          <w:p w:rsidR="00DD0303" w:rsidRDefault="00FB1377">
            <w:pPr>
              <w:ind w:left="20"/>
              <w:rPr>
                <w:sz w:val="20"/>
                <w:szCs w:val="20"/>
              </w:rPr>
            </w:pPr>
            <w:r>
              <w:rPr>
                <w:rFonts w:eastAsia="Times New Roman"/>
                <w:sz w:val="20"/>
                <w:szCs w:val="20"/>
              </w:rPr>
              <w:t>(6%)</w:t>
            </w:r>
          </w:p>
        </w:tc>
        <w:tc>
          <w:tcPr>
            <w:tcW w:w="1120" w:type="dxa"/>
            <w:vAlign w:val="bottom"/>
          </w:tcPr>
          <w:p w:rsidR="00DD0303" w:rsidRDefault="00FB1377">
            <w:pPr>
              <w:ind w:left="140"/>
              <w:rPr>
                <w:sz w:val="20"/>
                <w:szCs w:val="20"/>
              </w:rPr>
            </w:pPr>
            <w:r>
              <w:rPr>
                <w:rFonts w:eastAsia="Times New Roman"/>
                <w:sz w:val="20"/>
                <w:szCs w:val="20"/>
              </w:rPr>
              <w:t>25 (26%)</w:t>
            </w:r>
          </w:p>
        </w:tc>
        <w:tc>
          <w:tcPr>
            <w:tcW w:w="1200" w:type="dxa"/>
            <w:vAlign w:val="bottom"/>
          </w:tcPr>
          <w:p w:rsidR="00DD0303" w:rsidRDefault="00FB1377">
            <w:pPr>
              <w:jc w:val="center"/>
              <w:rPr>
                <w:sz w:val="20"/>
                <w:szCs w:val="20"/>
              </w:rPr>
            </w:pPr>
            <w:r>
              <w:rPr>
                <w:rFonts w:eastAsia="Times New Roman"/>
                <w:w w:val="98"/>
                <w:sz w:val="20"/>
                <w:szCs w:val="20"/>
              </w:rPr>
              <w:t>66 (67%)</w:t>
            </w: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assault by penetration.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689"/>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If you are assaulted by</w:t>
            </w:r>
          </w:p>
        </w:tc>
        <w:tc>
          <w:tcPr>
            <w:tcW w:w="700" w:type="dxa"/>
            <w:vAlign w:val="bottom"/>
          </w:tcPr>
          <w:p w:rsidR="00DD0303" w:rsidRDefault="00FB1377">
            <w:pPr>
              <w:jc w:val="center"/>
              <w:rPr>
                <w:sz w:val="20"/>
                <w:szCs w:val="20"/>
              </w:rPr>
            </w:pPr>
            <w:r>
              <w:rPr>
                <w:rFonts w:eastAsia="Times New Roman"/>
                <w:w w:val="99"/>
                <w:sz w:val="20"/>
                <w:szCs w:val="20"/>
              </w:rPr>
              <w:t>98</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840" w:type="dxa"/>
            <w:vAlign w:val="bottom"/>
          </w:tcPr>
          <w:p w:rsidR="00DD0303" w:rsidRDefault="00FB1377">
            <w:pPr>
              <w:jc w:val="center"/>
              <w:rPr>
                <w:sz w:val="20"/>
                <w:szCs w:val="20"/>
              </w:rPr>
            </w:pPr>
            <w:r>
              <w:rPr>
                <w:rFonts w:eastAsia="Times New Roman"/>
                <w:sz w:val="20"/>
                <w:szCs w:val="20"/>
              </w:rPr>
              <w:t>1 (1%)</w:t>
            </w:r>
          </w:p>
        </w:tc>
        <w:tc>
          <w:tcPr>
            <w:tcW w:w="380" w:type="dxa"/>
            <w:vAlign w:val="bottom"/>
          </w:tcPr>
          <w:p w:rsidR="00DD0303" w:rsidRDefault="00FB1377">
            <w:pPr>
              <w:jc w:val="right"/>
              <w:rPr>
                <w:sz w:val="20"/>
                <w:szCs w:val="20"/>
              </w:rPr>
            </w:pPr>
            <w:r>
              <w:rPr>
                <w:rFonts w:eastAsia="Times New Roman"/>
                <w:sz w:val="20"/>
                <w:szCs w:val="20"/>
              </w:rPr>
              <w:t>3</w:t>
            </w:r>
          </w:p>
        </w:tc>
        <w:tc>
          <w:tcPr>
            <w:tcW w:w="680" w:type="dxa"/>
            <w:vAlign w:val="bottom"/>
          </w:tcPr>
          <w:p w:rsidR="00DD0303" w:rsidRDefault="00FB1377">
            <w:pPr>
              <w:ind w:left="20"/>
              <w:rPr>
                <w:sz w:val="20"/>
                <w:szCs w:val="20"/>
              </w:rPr>
            </w:pPr>
            <w:r>
              <w:rPr>
                <w:rFonts w:eastAsia="Times New Roman"/>
                <w:sz w:val="20"/>
                <w:szCs w:val="20"/>
              </w:rPr>
              <w:t>(3%)</w:t>
            </w:r>
          </w:p>
        </w:tc>
        <w:tc>
          <w:tcPr>
            <w:tcW w:w="1120" w:type="dxa"/>
            <w:vAlign w:val="bottom"/>
          </w:tcPr>
          <w:p w:rsidR="00DD0303" w:rsidRDefault="00FB1377">
            <w:pPr>
              <w:ind w:left="140"/>
              <w:rPr>
                <w:sz w:val="20"/>
                <w:szCs w:val="20"/>
              </w:rPr>
            </w:pPr>
            <w:r>
              <w:rPr>
                <w:rFonts w:eastAsia="Times New Roman"/>
                <w:sz w:val="20"/>
                <w:szCs w:val="20"/>
              </w:rPr>
              <w:t>13 (13%)</w:t>
            </w:r>
          </w:p>
        </w:tc>
        <w:tc>
          <w:tcPr>
            <w:tcW w:w="1200" w:type="dxa"/>
            <w:vAlign w:val="bottom"/>
          </w:tcPr>
          <w:p w:rsidR="00DD0303" w:rsidRDefault="00FB1377">
            <w:pPr>
              <w:jc w:val="center"/>
              <w:rPr>
                <w:sz w:val="20"/>
                <w:szCs w:val="20"/>
              </w:rPr>
            </w:pPr>
            <w:r>
              <w:rPr>
                <w:rFonts w:eastAsia="Times New Roman"/>
                <w:w w:val="98"/>
                <w:sz w:val="20"/>
                <w:szCs w:val="20"/>
              </w:rPr>
              <w:t>81 (83%)</w:t>
            </w: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penetration you definitely</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wanted it to happen.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689"/>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Assault by penetration does</w:t>
            </w:r>
          </w:p>
        </w:tc>
        <w:tc>
          <w:tcPr>
            <w:tcW w:w="70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840" w:type="dxa"/>
            <w:vAlign w:val="bottom"/>
          </w:tcPr>
          <w:p w:rsidR="00DD0303" w:rsidRDefault="00FB1377">
            <w:pPr>
              <w:jc w:val="center"/>
              <w:rPr>
                <w:sz w:val="20"/>
                <w:szCs w:val="20"/>
              </w:rPr>
            </w:pPr>
            <w:r>
              <w:rPr>
                <w:rFonts w:eastAsia="Times New Roman"/>
                <w:sz w:val="20"/>
                <w:szCs w:val="20"/>
              </w:rPr>
              <w:t xml:space="preserve">2 </w:t>
            </w:r>
            <w:r>
              <w:rPr>
                <w:rFonts w:eastAsia="Times New Roman"/>
                <w:sz w:val="20"/>
                <w:szCs w:val="20"/>
              </w:rPr>
              <w:t>(2%)</w:t>
            </w:r>
          </w:p>
        </w:tc>
        <w:tc>
          <w:tcPr>
            <w:tcW w:w="380" w:type="dxa"/>
            <w:vAlign w:val="bottom"/>
          </w:tcPr>
          <w:p w:rsidR="00DD0303" w:rsidRDefault="00FB1377">
            <w:pPr>
              <w:jc w:val="right"/>
              <w:rPr>
                <w:sz w:val="20"/>
                <w:szCs w:val="20"/>
              </w:rPr>
            </w:pPr>
            <w:r>
              <w:rPr>
                <w:rFonts w:eastAsia="Times New Roman"/>
                <w:sz w:val="20"/>
                <w:szCs w:val="20"/>
              </w:rPr>
              <w:t>10</w:t>
            </w:r>
          </w:p>
        </w:tc>
        <w:tc>
          <w:tcPr>
            <w:tcW w:w="680" w:type="dxa"/>
            <w:vAlign w:val="bottom"/>
          </w:tcPr>
          <w:p w:rsidR="00DD0303" w:rsidRDefault="00FB1377">
            <w:pPr>
              <w:ind w:left="20"/>
              <w:rPr>
                <w:sz w:val="20"/>
                <w:szCs w:val="20"/>
              </w:rPr>
            </w:pPr>
            <w:r>
              <w:rPr>
                <w:rFonts w:eastAsia="Times New Roman"/>
                <w:sz w:val="20"/>
                <w:szCs w:val="20"/>
              </w:rPr>
              <w:t>(10%)</w:t>
            </w:r>
          </w:p>
        </w:tc>
        <w:tc>
          <w:tcPr>
            <w:tcW w:w="1120" w:type="dxa"/>
            <w:vAlign w:val="bottom"/>
          </w:tcPr>
          <w:p w:rsidR="00DD0303" w:rsidRDefault="00FB1377">
            <w:pPr>
              <w:ind w:left="140"/>
              <w:rPr>
                <w:sz w:val="20"/>
                <w:szCs w:val="20"/>
              </w:rPr>
            </w:pPr>
            <w:r>
              <w:rPr>
                <w:rFonts w:eastAsia="Times New Roman"/>
                <w:sz w:val="20"/>
                <w:szCs w:val="20"/>
              </w:rPr>
              <w:t>20 (20%)</w:t>
            </w:r>
          </w:p>
        </w:tc>
        <w:tc>
          <w:tcPr>
            <w:tcW w:w="1200" w:type="dxa"/>
            <w:vAlign w:val="bottom"/>
          </w:tcPr>
          <w:p w:rsidR="00DD0303" w:rsidRDefault="00FB1377">
            <w:pPr>
              <w:jc w:val="center"/>
              <w:rPr>
                <w:sz w:val="20"/>
                <w:szCs w:val="20"/>
              </w:rPr>
            </w:pPr>
            <w:r>
              <w:rPr>
                <w:rFonts w:eastAsia="Times New Roman"/>
                <w:w w:val="98"/>
                <w:sz w:val="20"/>
                <w:szCs w:val="20"/>
              </w:rPr>
              <w:t>65 (66%)</w:t>
            </w: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not happen between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heterosexual couples.</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689"/>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If you didn’t fight back, you</w:t>
            </w:r>
          </w:p>
        </w:tc>
        <w:tc>
          <w:tcPr>
            <w:tcW w:w="700" w:type="dxa"/>
            <w:vAlign w:val="bottom"/>
          </w:tcPr>
          <w:p w:rsidR="00DD0303" w:rsidRDefault="00FB1377">
            <w:pPr>
              <w:jc w:val="center"/>
              <w:rPr>
                <w:sz w:val="20"/>
                <w:szCs w:val="20"/>
              </w:rPr>
            </w:pPr>
            <w:r>
              <w:rPr>
                <w:rFonts w:eastAsia="Times New Roman"/>
                <w:w w:val="99"/>
                <w:sz w:val="20"/>
                <w:szCs w:val="20"/>
              </w:rPr>
              <w:t>98</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840" w:type="dxa"/>
            <w:vAlign w:val="bottom"/>
          </w:tcPr>
          <w:p w:rsidR="00DD0303" w:rsidRDefault="00FB1377">
            <w:pPr>
              <w:jc w:val="center"/>
              <w:rPr>
                <w:sz w:val="20"/>
                <w:szCs w:val="20"/>
              </w:rPr>
            </w:pPr>
            <w:r>
              <w:rPr>
                <w:rFonts w:eastAsia="Times New Roman"/>
                <w:sz w:val="20"/>
                <w:szCs w:val="20"/>
              </w:rPr>
              <w:t>7 (7%)</w:t>
            </w:r>
          </w:p>
        </w:tc>
        <w:tc>
          <w:tcPr>
            <w:tcW w:w="380" w:type="dxa"/>
            <w:vAlign w:val="bottom"/>
          </w:tcPr>
          <w:p w:rsidR="00DD0303" w:rsidRDefault="00FB1377">
            <w:pPr>
              <w:jc w:val="right"/>
              <w:rPr>
                <w:sz w:val="20"/>
                <w:szCs w:val="20"/>
              </w:rPr>
            </w:pPr>
            <w:r>
              <w:rPr>
                <w:rFonts w:eastAsia="Times New Roman"/>
                <w:sz w:val="20"/>
                <w:szCs w:val="20"/>
              </w:rPr>
              <w:t>5</w:t>
            </w:r>
          </w:p>
        </w:tc>
        <w:tc>
          <w:tcPr>
            <w:tcW w:w="680" w:type="dxa"/>
            <w:vAlign w:val="bottom"/>
          </w:tcPr>
          <w:p w:rsidR="00DD0303" w:rsidRDefault="00FB1377">
            <w:pPr>
              <w:ind w:left="20"/>
              <w:rPr>
                <w:sz w:val="20"/>
                <w:szCs w:val="20"/>
              </w:rPr>
            </w:pPr>
            <w:r>
              <w:rPr>
                <w:rFonts w:eastAsia="Times New Roman"/>
                <w:sz w:val="20"/>
                <w:szCs w:val="20"/>
              </w:rPr>
              <w:t>(5%)</w:t>
            </w:r>
          </w:p>
        </w:tc>
        <w:tc>
          <w:tcPr>
            <w:tcW w:w="1120" w:type="dxa"/>
            <w:vAlign w:val="bottom"/>
          </w:tcPr>
          <w:p w:rsidR="00DD0303" w:rsidRDefault="00FB1377">
            <w:pPr>
              <w:ind w:left="140"/>
              <w:rPr>
                <w:sz w:val="20"/>
                <w:szCs w:val="20"/>
              </w:rPr>
            </w:pPr>
            <w:r>
              <w:rPr>
                <w:rFonts w:eastAsia="Times New Roman"/>
                <w:sz w:val="20"/>
                <w:szCs w:val="20"/>
              </w:rPr>
              <w:t>24 (25%)</w:t>
            </w:r>
          </w:p>
        </w:tc>
        <w:tc>
          <w:tcPr>
            <w:tcW w:w="1200" w:type="dxa"/>
            <w:vAlign w:val="bottom"/>
          </w:tcPr>
          <w:p w:rsidR="00DD0303" w:rsidRDefault="00FB1377">
            <w:pPr>
              <w:jc w:val="center"/>
              <w:rPr>
                <w:sz w:val="20"/>
                <w:szCs w:val="20"/>
              </w:rPr>
            </w:pPr>
            <w:r>
              <w:rPr>
                <w:rFonts w:eastAsia="Times New Roman"/>
                <w:w w:val="98"/>
                <w:sz w:val="20"/>
                <w:szCs w:val="20"/>
              </w:rPr>
              <w:t>62 (63%)</w:t>
            </w: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can’t claim to have been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assaulted by penetration.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689"/>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The police won’t take it</w:t>
            </w:r>
          </w:p>
        </w:tc>
        <w:tc>
          <w:tcPr>
            <w:tcW w:w="700" w:type="dxa"/>
            <w:vAlign w:val="bottom"/>
          </w:tcPr>
          <w:p w:rsidR="00DD0303" w:rsidRDefault="00FB1377">
            <w:pPr>
              <w:jc w:val="center"/>
              <w:rPr>
                <w:sz w:val="20"/>
                <w:szCs w:val="20"/>
              </w:rPr>
            </w:pPr>
            <w:r>
              <w:rPr>
                <w:rFonts w:eastAsia="Times New Roman"/>
                <w:w w:val="99"/>
                <w:sz w:val="20"/>
                <w:szCs w:val="20"/>
              </w:rPr>
              <w:t>98</w:t>
            </w:r>
          </w:p>
        </w:tc>
        <w:tc>
          <w:tcPr>
            <w:tcW w:w="1160" w:type="dxa"/>
            <w:vAlign w:val="bottom"/>
          </w:tcPr>
          <w:p w:rsidR="00DD0303" w:rsidRDefault="00FB1377">
            <w:pPr>
              <w:jc w:val="center"/>
              <w:rPr>
                <w:sz w:val="20"/>
                <w:szCs w:val="20"/>
              </w:rPr>
            </w:pPr>
            <w:r>
              <w:rPr>
                <w:rFonts w:eastAsia="Times New Roman"/>
                <w:sz w:val="20"/>
                <w:szCs w:val="20"/>
              </w:rPr>
              <w:t>14 (14%)</w:t>
            </w:r>
          </w:p>
        </w:tc>
        <w:tc>
          <w:tcPr>
            <w:tcW w:w="840" w:type="dxa"/>
            <w:vAlign w:val="bottom"/>
          </w:tcPr>
          <w:p w:rsidR="00DD0303" w:rsidRDefault="00FB1377">
            <w:pPr>
              <w:jc w:val="center"/>
              <w:rPr>
                <w:sz w:val="20"/>
                <w:szCs w:val="20"/>
              </w:rPr>
            </w:pPr>
            <w:r>
              <w:rPr>
                <w:rFonts w:eastAsia="Times New Roman"/>
                <w:w w:val="99"/>
                <w:sz w:val="20"/>
                <w:szCs w:val="20"/>
              </w:rPr>
              <w:t>26</w:t>
            </w:r>
          </w:p>
        </w:tc>
        <w:tc>
          <w:tcPr>
            <w:tcW w:w="380" w:type="dxa"/>
            <w:vAlign w:val="bottom"/>
          </w:tcPr>
          <w:p w:rsidR="00DD0303" w:rsidRDefault="00FB1377">
            <w:pPr>
              <w:jc w:val="right"/>
              <w:rPr>
                <w:sz w:val="20"/>
                <w:szCs w:val="20"/>
              </w:rPr>
            </w:pPr>
            <w:r>
              <w:rPr>
                <w:rFonts w:eastAsia="Times New Roman"/>
                <w:sz w:val="20"/>
                <w:szCs w:val="20"/>
              </w:rPr>
              <w:t>26</w:t>
            </w:r>
          </w:p>
        </w:tc>
        <w:tc>
          <w:tcPr>
            <w:tcW w:w="680" w:type="dxa"/>
            <w:vAlign w:val="bottom"/>
          </w:tcPr>
          <w:p w:rsidR="00DD0303" w:rsidRDefault="00FB1377">
            <w:pPr>
              <w:ind w:left="20"/>
              <w:rPr>
                <w:sz w:val="20"/>
                <w:szCs w:val="20"/>
              </w:rPr>
            </w:pPr>
            <w:r>
              <w:rPr>
                <w:rFonts w:eastAsia="Times New Roman"/>
                <w:sz w:val="20"/>
                <w:szCs w:val="20"/>
              </w:rPr>
              <w:t>(27%)</w:t>
            </w:r>
          </w:p>
        </w:tc>
        <w:tc>
          <w:tcPr>
            <w:tcW w:w="1120" w:type="dxa"/>
            <w:vAlign w:val="bottom"/>
          </w:tcPr>
          <w:p w:rsidR="00DD0303" w:rsidRDefault="00FB1377">
            <w:pPr>
              <w:ind w:left="140"/>
              <w:rPr>
                <w:sz w:val="20"/>
                <w:szCs w:val="20"/>
              </w:rPr>
            </w:pPr>
            <w:r>
              <w:rPr>
                <w:rFonts w:eastAsia="Times New Roman"/>
                <w:sz w:val="20"/>
                <w:szCs w:val="20"/>
              </w:rPr>
              <w:t>19 (19%)</w:t>
            </w:r>
          </w:p>
        </w:tc>
        <w:tc>
          <w:tcPr>
            <w:tcW w:w="1200" w:type="dxa"/>
            <w:vAlign w:val="bottom"/>
          </w:tcPr>
          <w:p w:rsidR="00DD0303" w:rsidRDefault="00FB1377">
            <w:pPr>
              <w:jc w:val="center"/>
              <w:rPr>
                <w:sz w:val="20"/>
                <w:szCs w:val="20"/>
              </w:rPr>
            </w:pPr>
            <w:r>
              <w:rPr>
                <w:rFonts w:eastAsia="Times New Roman"/>
                <w:w w:val="98"/>
                <w:sz w:val="20"/>
                <w:szCs w:val="20"/>
              </w:rPr>
              <w:t>13 (13%)</w:t>
            </w: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seriously if a woman assaulted</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FB1377">
            <w:pPr>
              <w:jc w:val="center"/>
              <w:rPr>
                <w:sz w:val="20"/>
                <w:szCs w:val="20"/>
              </w:rPr>
            </w:pPr>
            <w:r>
              <w:rPr>
                <w:rFonts w:eastAsia="Times New Roman"/>
                <w:sz w:val="20"/>
                <w:szCs w:val="20"/>
              </w:rPr>
              <w:t>(27%)</w:t>
            </w: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a man by penetration.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689"/>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The police won’t take it</w:t>
            </w:r>
          </w:p>
        </w:tc>
        <w:tc>
          <w:tcPr>
            <w:tcW w:w="700" w:type="dxa"/>
            <w:vAlign w:val="bottom"/>
          </w:tcPr>
          <w:p w:rsidR="00DD0303" w:rsidRDefault="00FB1377">
            <w:pPr>
              <w:jc w:val="center"/>
              <w:rPr>
                <w:sz w:val="20"/>
                <w:szCs w:val="20"/>
              </w:rPr>
            </w:pPr>
            <w:r>
              <w:rPr>
                <w:rFonts w:eastAsia="Times New Roman"/>
                <w:w w:val="99"/>
                <w:sz w:val="20"/>
                <w:szCs w:val="20"/>
              </w:rPr>
              <w:t>98</w:t>
            </w:r>
          </w:p>
        </w:tc>
        <w:tc>
          <w:tcPr>
            <w:tcW w:w="1160" w:type="dxa"/>
            <w:vAlign w:val="bottom"/>
          </w:tcPr>
          <w:p w:rsidR="00DD0303" w:rsidRDefault="00FB1377">
            <w:pPr>
              <w:jc w:val="center"/>
              <w:rPr>
                <w:sz w:val="20"/>
                <w:szCs w:val="20"/>
              </w:rPr>
            </w:pPr>
            <w:r>
              <w:rPr>
                <w:rFonts w:eastAsia="Times New Roman"/>
                <w:sz w:val="20"/>
                <w:szCs w:val="20"/>
              </w:rPr>
              <w:t>3 (3%)</w:t>
            </w:r>
          </w:p>
        </w:tc>
        <w:tc>
          <w:tcPr>
            <w:tcW w:w="840" w:type="dxa"/>
            <w:vAlign w:val="bottom"/>
          </w:tcPr>
          <w:p w:rsidR="00DD0303" w:rsidRDefault="00FB1377">
            <w:pPr>
              <w:jc w:val="center"/>
              <w:rPr>
                <w:sz w:val="20"/>
                <w:szCs w:val="20"/>
              </w:rPr>
            </w:pPr>
            <w:r>
              <w:rPr>
                <w:rFonts w:eastAsia="Times New Roman"/>
                <w:w w:val="99"/>
                <w:sz w:val="20"/>
                <w:szCs w:val="20"/>
              </w:rPr>
              <w:t>10</w:t>
            </w:r>
          </w:p>
        </w:tc>
        <w:tc>
          <w:tcPr>
            <w:tcW w:w="380" w:type="dxa"/>
            <w:vAlign w:val="bottom"/>
          </w:tcPr>
          <w:p w:rsidR="00DD0303" w:rsidRDefault="00FB1377">
            <w:pPr>
              <w:jc w:val="right"/>
              <w:rPr>
                <w:sz w:val="20"/>
                <w:szCs w:val="20"/>
              </w:rPr>
            </w:pPr>
            <w:r>
              <w:rPr>
                <w:rFonts w:eastAsia="Times New Roman"/>
                <w:sz w:val="20"/>
                <w:szCs w:val="20"/>
              </w:rPr>
              <w:t>21</w:t>
            </w:r>
          </w:p>
        </w:tc>
        <w:tc>
          <w:tcPr>
            <w:tcW w:w="680" w:type="dxa"/>
            <w:vAlign w:val="bottom"/>
          </w:tcPr>
          <w:p w:rsidR="00DD0303" w:rsidRDefault="00FB1377">
            <w:pPr>
              <w:ind w:left="20"/>
              <w:rPr>
                <w:sz w:val="20"/>
                <w:szCs w:val="20"/>
              </w:rPr>
            </w:pPr>
            <w:r>
              <w:rPr>
                <w:rFonts w:eastAsia="Times New Roman"/>
                <w:sz w:val="20"/>
                <w:szCs w:val="20"/>
              </w:rPr>
              <w:t>(21%)</w:t>
            </w:r>
          </w:p>
        </w:tc>
        <w:tc>
          <w:tcPr>
            <w:tcW w:w="1120" w:type="dxa"/>
            <w:vAlign w:val="bottom"/>
          </w:tcPr>
          <w:p w:rsidR="00DD0303" w:rsidRDefault="00FB1377">
            <w:pPr>
              <w:ind w:left="140"/>
              <w:rPr>
                <w:sz w:val="20"/>
                <w:szCs w:val="20"/>
              </w:rPr>
            </w:pPr>
            <w:r>
              <w:rPr>
                <w:rFonts w:eastAsia="Times New Roman"/>
                <w:sz w:val="20"/>
                <w:szCs w:val="20"/>
              </w:rPr>
              <w:t>34 (35%)</w:t>
            </w:r>
          </w:p>
        </w:tc>
        <w:tc>
          <w:tcPr>
            <w:tcW w:w="1200" w:type="dxa"/>
            <w:vAlign w:val="bottom"/>
          </w:tcPr>
          <w:p w:rsidR="00DD0303" w:rsidRDefault="00FB1377">
            <w:pPr>
              <w:jc w:val="center"/>
              <w:rPr>
                <w:sz w:val="20"/>
                <w:szCs w:val="20"/>
              </w:rPr>
            </w:pPr>
            <w:r>
              <w:rPr>
                <w:rFonts w:eastAsia="Times New Roman"/>
                <w:w w:val="98"/>
                <w:sz w:val="20"/>
                <w:szCs w:val="20"/>
              </w:rPr>
              <w:t>30 (31%)</w:t>
            </w: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seriously if a man assaulted</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FB1377">
            <w:pPr>
              <w:jc w:val="center"/>
              <w:rPr>
                <w:sz w:val="20"/>
                <w:szCs w:val="20"/>
              </w:rPr>
            </w:pPr>
            <w:r>
              <w:rPr>
                <w:rFonts w:eastAsia="Times New Roman"/>
                <w:sz w:val="20"/>
                <w:szCs w:val="20"/>
              </w:rPr>
              <w:t>(10%)</w:t>
            </w: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346"/>
        </w:trPr>
        <w:tc>
          <w:tcPr>
            <w:tcW w:w="20" w:type="dxa"/>
            <w:vAlign w:val="bottom"/>
          </w:tcPr>
          <w:p w:rsidR="00DD0303" w:rsidRDefault="00DD0303">
            <w:pPr>
              <w:rPr>
                <w:sz w:val="24"/>
                <w:szCs w:val="24"/>
              </w:rPr>
            </w:pPr>
          </w:p>
        </w:tc>
        <w:tc>
          <w:tcPr>
            <w:tcW w:w="2800" w:type="dxa"/>
            <w:vAlign w:val="bottom"/>
          </w:tcPr>
          <w:p w:rsidR="00DD0303" w:rsidRDefault="00FB1377">
            <w:pPr>
              <w:ind w:left="100"/>
              <w:rPr>
                <w:sz w:val="20"/>
                <w:szCs w:val="20"/>
              </w:rPr>
            </w:pPr>
            <w:r>
              <w:rPr>
                <w:rFonts w:eastAsia="Times New Roman"/>
                <w:sz w:val="20"/>
                <w:szCs w:val="20"/>
              </w:rPr>
              <w:t xml:space="preserve">another man by </w:t>
            </w:r>
            <w:r>
              <w:rPr>
                <w:rFonts w:eastAsia="Times New Roman"/>
                <w:sz w:val="20"/>
                <w:szCs w:val="20"/>
              </w:rPr>
              <w:t>penetration.</w:t>
            </w:r>
          </w:p>
        </w:tc>
        <w:tc>
          <w:tcPr>
            <w:tcW w:w="700" w:type="dxa"/>
            <w:vAlign w:val="bottom"/>
          </w:tcPr>
          <w:p w:rsidR="00DD0303" w:rsidRDefault="00DD0303">
            <w:pPr>
              <w:rPr>
                <w:sz w:val="24"/>
                <w:szCs w:val="24"/>
              </w:rPr>
            </w:pPr>
          </w:p>
        </w:tc>
        <w:tc>
          <w:tcPr>
            <w:tcW w:w="1160" w:type="dxa"/>
            <w:vAlign w:val="bottom"/>
          </w:tcPr>
          <w:p w:rsidR="00DD0303" w:rsidRDefault="00DD0303">
            <w:pPr>
              <w:rPr>
                <w:sz w:val="24"/>
                <w:szCs w:val="24"/>
              </w:rPr>
            </w:pPr>
          </w:p>
        </w:tc>
        <w:tc>
          <w:tcPr>
            <w:tcW w:w="840" w:type="dxa"/>
            <w:vAlign w:val="bottom"/>
          </w:tcPr>
          <w:p w:rsidR="00DD0303" w:rsidRDefault="00DD0303">
            <w:pPr>
              <w:rPr>
                <w:sz w:val="24"/>
                <w:szCs w:val="24"/>
              </w:rPr>
            </w:pPr>
          </w:p>
        </w:tc>
        <w:tc>
          <w:tcPr>
            <w:tcW w:w="380" w:type="dxa"/>
            <w:vAlign w:val="bottom"/>
          </w:tcPr>
          <w:p w:rsidR="00DD0303" w:rsidRDefault="00DD0303">
            <w:pPr>
              <w:rPr>
                <w:sz w:val="24"/>
                <w:szCs w:val="24"/>
              </w:rPr>
            </w:pPr>
          </w:p>
        </w:tc>
        <w:tc>
          <w:tcPr>
            <w:tcW w:w="680" w:type="dxa"/>
            <w:vAlign w:val="bottom"/>
          </w:tcPr>
          <w:p w:rsidR="00DD0303" w:rsidRDefault="00DD0303">
            <w:pPr>
              <w:rPr>
                <w:sz w:val="24"/>
                <w:szCs w:val="24"/>
              </w:rPr>
            </w:pPr>
          </w:p>
        </w:tc>
        <w:tc>
          <w:tcPr>
            <w:tcW w:w="1120" w:type="dxa"/>
            <w:vAlign w:val="bottom"/>
          </w:tcPr>
          <w:p w:rsidR="00DD0303" w:rsidRDefault="00DD0303">
            <w:pPr>
              <w:rPr>
                <w:sz w:val="24"/>
                <w:szCs w:val="24"/>
              </w:rPr>
            </w:pPr>
          </w:p>
        </w:tc>
        <w:tc>
          <w:tcPr>
            <w:tcW w:w="1200" w:type="dxa"/>
            <w:vAlign w:val="bottom"/>
          </w:tcPr>
          <w:p w:rsidR="00DD0303" w:rsidRDefault="00DD0303">
            <w:pPr>
              <w:rPr>
                <w:sz w:val="24"/>
                <w:szCs w:val="24"/>
              </w:rPr>
            </w:pPr>
          </w:p>
        </w:tc>
      </w:tr>
      <w:tr w:rsidR="00DD0303">
        <w:trPr>
          <w:trHeight w:val="449"/>
        </w:trPr>
        <w:tc>
          <w:tcPr>
            <w:tcW w:w="20" w:type="dxa"/>
            <w:tcBorders>
              <w:bottom w:val="single" w:sz="8" w:space="0" w:color="auto"/>
            </w:tcBorders>
            <w:vAlign w:val="bottom"/>
          </w:tcPr>
          <w:p w:rsidR="00DD0303" w:rsidRDefault="00DD0303">
            <w:pPr>
              <w:rPr>
                <w:sz w:val="24"/>
                <w:szCs w:val="24"/>
              </w:rPr>
            </w:pPr>
          </w:p>
        </w:tc>
        <w:tc>
          <w:tcPr>
            <w:tcW w:w="2800" w:type="dxa"/>
            <w:tcBorders>
              <w:bottom w:val="single" w:sz="8" w:space="0" w:color="auto"/>
            </w:tcBorders>
            <w:vAlign w:val="bottom"/>
          </w:tcPr>
          <w:p w:rsidR="00DD0303" w:rsidRDefault="00DD0303">
            <w:pPr>
              <w:rPr>
                <w:sz w:val="24"/>
                <w:szCs w:val="24"/>
              </w:rPr>
            </w:pPr>
          </w:p>
        </w:tc>
        <w:tc>
          <w:tcPr>
            <w:tcW w:w="700" w:type="dxa"/>
            <w:tcBorders>
              <w:bottom w:val="single" w:sz="8" w:space="0" w:color="auto"/>
            </w:tcBorders>
            <w:vAlign w:val="bottom"/>
          </w:tcPr>
          <w:p w:rsidR="00DD0303" w:rsidRDefault="00DD0303">
            <w:pPr>
              <w:rPr>
                <w:sz w:val="24"/>
                <w:szCs w:val="24"/>
              </w:rPr>
            </w:pPr>
          </w:p>
        </w:tc>
        <w:tc>
          <w:tcPr>
            <w:tcW w:w="1160" w:type="dxa"/>
            <w:tcBorders>
              <w:bottom w:val="single" w:sz="8" w:space="0" w:color="auto"/>
            </w:tcBorders>
            <w:vAlign w:val="bottom"/>
          </w:tcPr>
          <w:p w:rsidR="00DD0303" w:rsidRDefault="00DD0303">
            <w:pPr>
              <w:rPr>
                <w:sz w:val="24"/>
                <w:szCs w:val="24"/>
              </w:rPr>
            </w:pPr>
          </w:p>
        </w:tc>
        <w:tc>
          <w:tcPr>
            <w:tcW w:w="840" w:type="dxa"/>
            <w:tcBorders>
              <w:bottom w:val="single" w:sz="8" w:space="0" w:color="auto"/>
            </w:tcBorders>
            <w:vAlign w:val="bottom"/>
          </w:tcPr>
          <w:p w:rsidR="00DD0303" w:rsidRDefault="00DD0303">
            <w:pPr>
              <w:rPr>
                <w:sz w:val="24"/>
                <w:szCs w:val="24"/>
              </w:rPr>
            </w:pPr>
          </w:p>
        </w:tc>
        <w:tc>
          <w:tcPr>
            <w:tcW w:w="380" w:type="dxa"/>
            <w:tcBorders>
              <w:bottom w:val="single" w:sz="8" w:space="0" w:color="auto"/>
            </w:tcBorders>
            <w:vAlign w:val="bottom"/>
          </w:tcPr>
          <w:p w:rsidR="00DD0303" w:rsidRDefault="00DD0303">
            <w:pPr>
              <w:rPr>
                <w:sz w:val="24"/>
                <w:szCs w:val="24"/>
              </w:rPr>
            </w:pPr>
          </w:p>
        </w:tc>
        <w:tc>
          <w:tcPr>
            <w:tcW w:w="680" w:type="dxa"/>
            <w:tcBorders>
              <w:bottom w:val="single" w:sz="8" w:space="0" w:color="auto"/>
            </w:tcBorders>
            <w:vAlign w:val="bottom"/>
          </w:tcPr>
          <w:p w:rsidR="00DD0303" w:rsidRDefault="00DD0303">
            <w:pPr>
              <w:rPr>
                <w:sz w:val="24"/>
                <w:szCs w:val="24"/>
              </w:rPr>
            </w:pPr>
          </w:p>
        </w:tc>
        <w:tc>
          <w:tcPr>
            <w:tcW w:w="1120" w:type="dxa"/>
            <w:tcBorders>
              <w:bottom w:val="single" w:sz="8" w:space="0" w:color="auto"/>
            </w:tcBorders>
            <w:vAlign w:val="bottom"/>
          </w:tcPr>
          <w:p w:rsidR="00DD0303" w:rsidRDefault="00DD0303">
            <w:pPr>
              <w:rPr>
                <w:sz w:val="24"/>
                <w:szCs w:val="24"/>
              </w:rPr>
            </w:pPr>
          </w:p>
        </w:tc>
        <w:tc>
          <w:tcPr>
            <w:tcW w:w="1200" w:type="dxa"/>
            <w:tcBorders>
              <w:bottom w:val="single" w:sz="8" w:space="0" w:color="auto"/>
            </w:tcBorders>
            <w:vAlign w:val="bottom"/>
          </w:tcPr>
          <w:p w:rsidR="00DD0303" w:rsidRDefault="00DD0303">
            <w:pPr>
              <w:rPr>
                <w:sz w:val="24"/>
                <w:szCs w:val="24"/>
              </w:rPr>
            </w:pPr>
          </w:p>
        </w:tc>
      </w:tr>
    </w:tbl>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66" w:lineRule="exact"/>
        <w:rPr>
          <w:sz w:val="20"/>
          <w:szCs w:val="20"/>
        </w:rPr>
      </w:pPr>
    </w:p>
    <w:p w:rsidR="00DD0303" w:rsidRDefault="00FB1377">
      <w:pPr>
        <w:ind w:right="6"/>
        <w:jc w:val="right"/>
        <w:rPr>
          <w:sz w:val="20"/>
          <w:szCs w:val="20"/>
        </w:rPr>
      </w:pPr>
      <w:r>
        <w:rPr>
          <w:rFonts w:eastAsia="Times New Roman"/>
        </w:rPr>
        <w:t>38</w:t>
      </w:r>
    </w:p>
    <w:p w:rsidR="00DD0303" w:rsidRDefault="00DD0303">
      <w:pPr>
        <w:sectPr w:rsidR="00DD0303">
          <w:pgSz w:w="11900" w:h="16838"/>
          <w:pgMar w:top="684" w:right="1440" w:bottom="437" w:left="1140" w:header="0" w:footer="0" w:gutter="0"/>
          <w:cols w:space="720" w:equalWidth="0">
            <w:col w:w="9326"/>
          </w:cols>
        </w:sectPr>
      </w:pPr>
    </w:p>
    <w:p w:rsidR="00DD0303" w:rsidRDefault="00FB1377">
      <w:pPr>
        <w:ind w:left="300"/>
        <w:rPr>
          <w:sz w:val="20"/>
          <w:szCs w:val="20"/>
        </w:rPr>
      </w:pPr>
      <w:bookmarkStart w:id="39" w:name="page40"/>
      <w:bookmarkEnd w:id="39"/>
      <w:r>
        <w:rPr>
          <w:rFonts w:eastAsia="Times New Roman"/>
        </w:rPr>
        <w:lastRenderedPageBreak/>
        <w:t>Perceptions of Male Rape and Sexual Assault</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50" w:lineRule="exact"/>
        <w:rPr>
          <w:sz w:val="20"/>
          <w:szCs w:val="20"/>
        </w:rPr>
      </w:pPr>
    </w:p>
    <w:p w:rsidR="00DD0303" w:rsidRDefault="00FB1377">
      <w:pPr>
        <w:ind w:left="300"/>
        <w:rPr>
          <w:sz w:val="20"/>
          <w:szCs w:val="20"/>
        </w:rPr>
      </w:pPr>
      <w:r>
        <w:rPr>
          <w:rFonts w:eastAsia="Times New Roman"/>
          <w:i/>
          <w:iCs/>
          <w:sz w:val="24"/>
          <w:szCs w:val="24"/>
        </w:rPr>
        <w:t>Table 4:</w:t>
      </w:r>
    </w:p>
    <w:p w:rsidR="00DD0303" w:rsidRDefault="00DD0303">
      <w:pPr>
        <w:spacing w:line="202" w:lineRule="exact"/>
        <w:rPr>
          <w:sz w:val="20"/>
          <w:szCs w:val="20"/>
        </w:rPr>
      </w:pPr>
    </w:p>
    <w:p w:rsidR="00DD0303" w:rsidRDefault="00FB1377">
      <w:pPr>
        <w:ind w:left="300"/>
        <w:rPr>
          <w:sz w:val="20"/>
          <w:szCs w:val="20"/>
        </w:rPr>
      </w:pPr>
      <w:r>
        <w:rPr>
          <w:rFonts w:eastAsia="Times New Roman"/>
          <w:i/>
          <w:iCs/>
          <w:sz w:val="24"/>
          <w:szCs w:val="24"/>
        </w:rPr>
        <w:t>Levels of Agreement with Rape Myths</w:t>
      </w: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35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2500"/>
        <w:gridCol w:w="620"/>
        <w:gridCol w:w="1160"/>
        <w:gridCol w:w="420"/>
        <w:gridCol w:w="720"/>
        <w:gridCol w:w="420"/>
        <w:gridCol w:w="740"/>
        <w:gridCol w:w="1260"/>
        <w:gridCol w:w="1540"/>
      </w:tblGrid>
      <w:tr w:rsidR="00DD0303">
        <w:trPr>
          <w:trHeight w:val="272"/>
        </w:trPr>
        <w:tc>
          <w:tcPr>
            <w:tcW w:w="20" w:type="dxa"/>
            <w:vAlign w:val="bottom"/>
          </w:tcPr>
          <w:p w:rsidR="00DD0303" w:rsidRDefault="00DD0303">
            <w:pPr>
              <w:rPr>
                <w:sz w:val="23"/>
                <w:szCs w:val="23"/>
              </w:rPr>
            </w:pPr>
          </w:p>
        </w:tc>
        <w:tc>
          <w:tcPr>
            <w:tcW w:w="2500" w:type="dxa"/>
            <w:tcBorders>
              <w:top w:val="single" w:sz="8" w:space="0" w:color="auto"/>
            </w:tcBorders>
            <w:vAlign w:val="bottom"/>
          </w:tcPr>
          <w:p w:rsidR="00DD0303" w:rsidRDefault="00FB1377">
            <w:pPr>
              <w:ind w:left="540"/>
              <w:rPr>
                <w:sz w:val="20"/>
                <w:szCs w:val="20"/>
              </w:rPr>
            </w:pPr>
            <w:r>
              <w:rPr>
                <w:rFonts w:eastAsia="Times New Roman"/>
                <w:sz w:val="20"/>
                <w:szCs w:val="20"/>
              </w:rPr>
              <w:t>Male rape myths</w:t>
            </w:r>
          </w:p>
        </w:tc>
        <w:tc>
          <w:tcPr>
            <w:tcW w:w="620" w:type="dxa"/>
            <w:tcBorders>
              <w:top w:val="single" w:sz="8" w:space="0" w:color="auto"/>
            </w:tcBorders>
            <w:vAlign w:val="bottom"/>
          </w:tcPr>
          <w:p w:rsidR="00DD0303" w:rsidRDefault="00FB1377">
            <w:pPr>
              <w:jc w:val="center"/>
              <w:rPr>
                <w:sz w:val="20"/>
                <w:szCs w:val="20"/>
              </w:rPr>
            </w:pPr>
            <w:r>
              <w:rPr>
                <w:rFonts w:eastAsia="Times New Roman"/>
                <w:i/>
                <w:iCs/>
                <w:sz w:val="20"/>
                <w:szCs w:val="20"/>
              </w:rPr>
              <w:t>N</w:t>
            </w:r>
          </w:p>
        </w:tc>
        <w:tc>
          <w:tcPr>
            <w:tcW w:w="1160" w:type="dxa"/>
            <w:tcBorders>
              <w:top w:val="single" w:sz="8" w:space="0" w:color="auto"/>
            </w:tcBorders>
            <w:vAlign w:val="bottom"/>
          </w:tcPr>
          <w:p w:rsidR="00DD0303" w:rsidRDefault="00FB1377">
            <w:pPr>
              <w:jc w:val="center"/>
              <w:rPr>
                <w:sz w:val="20"/>
                <w:szCs w:val="20"/>
              </w:rPr>
            </w:pPr>
            <w:r>
              <w:rPr>
                <w:rFonts w:eastAsia="Times New Roman"/>
                <w:w w:val="98"/>
                <w:sz w:val="20"/>
                <w:szCs w:val="20"/>
              </w:rPr>
              <w:t>Strongly</w:t>
            </w:r>
          </w:p>
        </w:tc>
        <w:tc>
          <w:tcPr>
            <w:tcW w:w="1140" w:type="dxa"/>
            <w:gridSpan w:val="2"/>
            <w:tcBorders>
              <w:top w:val="single" w:sz="8" w:space="0" w:color="auto"/>
            </w:tcBorders>
            <w:vAlign w:val="bottom"/>
          </w:tcPr>
          <w:p w:rsidR="00DD0303" w:rsidRDefault="00FB1377">
            <w:pPr>
              <w:ind w:left="320"/>
              <w:rPr>
                <w:sz w:val="20"/>
                <w:szCs w:val="20"/>
              </w:rPr>
            </w:pPr>
            <w:r>
              <w:rPr>
                <w:rFonts w:eastAsia="Times New Roman"/>
                <w:sz w:val="20"/>
                <w:szCs w:val="20"/>
              </w:rPr>
              <w:t>Agree</w:t>
            </w:r>
          </w:p>
        </w:tc>
        <w:tc>
          <w:tcPr>
            <w:tcW w:w="1160" w:type="dxa"/>
            <w:gridSpan w:val="2"/>
            <w:tcBorders>
              <w:top w:val="single" w:sz="8" w:space="0" w:color="auto"/>
            </w:tcBorders>
            <w:vAlign w:val="bottom"/>
          </w:tcPr>
          <w:p w:rsidR="00DD0303" w:rsidRDefault="00FB1377">
            <w:pPr>
              <w:ind w:left="280"/>
              <w:rPr>
                <w:sz w:val="20"/>
                <w:szCs w:val="20"/>
              </w:rPr>
            </w:pPr>
            <w:r>
              <w:rPr>
                <w:rFonts w:eastAsia="Times New Roman"/>
                <w:sz w:val="20"/>
                <w:szCs w:val="20"/>
              </w:rPr>
              <w:t>Unsure</w:t>
            </w:r>
          </w:p>
        </w:tc>
        <w:tc>
          <w:tcPr>
            <w:tcW w:w="1260" w:type="dxa"/>
            <w:tcBorders>
              <w:top w:val="single" w:sz="8" w:space="0" w:color="auto"/>
            </w:tcBorders>
            <w:vAlign w:val="bottom"/>
          </w:tcPr>
          <w:p w:rsidR="00DD0303" w:rsidRDefault="00FB1377">
            <w:pPr>
              <w:ind w:left="240"/>
              <w:rPr>
                <w:sz w:val="20"/>
                <w:szCs w:val="20"/>
              </w:rPr>
            </w:pPr>
            <w:r>
              <w:rPr>
                <w:rFonts w:eastAsia="Times New Roman"/>
                <w:sz w:val="20"/>
                <w:szCs w:val="20"/>
              </w:rPr>
              <w:t>Disagree</w:t>
            </w:r>
          </w:p>
        </w:tc>
        <w:tc>
          <w:tcPr>
            <w:tcW w:w="1540" w:type="dxa"/>
            <w:tcBorders>
              <w:top w:val="single" w:sz="8" w:space="0" w:color="auto"/>
            </w:tcBorders>
            <w:vAlign w:val="bottom"/>
          </w:tcPr>
          <w:p w:rsidR="00DD0303" w:rsidRDefault="00FB1377">
            <w:pPr>
              <w:jc w:val="center"/>
              <w:rPr>
                <w:sz w:val="20"/>
                <w:szCs w:val="20"/>
              </w:rPr>
            </w:pPr>
            <w:r>
              <w:rPr>
                <w:rFonts w:eastAsia="Times New Roman"/>
                <w:sz w:val="20"/>
                <w:szCs w:val="20"/>
              </w:rPr>
              <w:t>Strongly</w:t>
            </w:r>
          </w:p>
        </w:tc>
      </w:tr>
      <w:tr w:rsidR="00DD0303">
        <w:trPr>
          <w:trHeight w:val="324"/>
        </w:trPr>
        <w:tc>
          <w:tcPr>
            <w:tcW w:w="20" w:type="dxa"/>
            <w:vAlign w:val="bottom"/>
          </w:tcPr>
          <w:p w:rsidR="00DD0303" w:rsidRDefault="00DD0303">
            <w:pPr>
              <w:rPr>
                <w:sz w:val="24"/>
                <w:szCs w:val="24"/>
              </w:rPr>
            </w:pPr>
          </w:p>
        </w:tc>
        <w:tc>
          <w:tcPr>
            <w:tcW w:w="2500" w:type="dxa"/>
            <w:vAlign w:val="bottom"/>
          </w:tcPr>
          <w:p w:rsidR="00DD0303" w:rsidRDefault="00DD0303">
            <w:pPr>
              <w:rPr>
                <w:sz w:val="24"/>
                <w:szCs w:val="24"/>
              </w:rPr>
            </w:pPr>
          </w:p>
        </w:tc>
        <w:tc>
          <w:tcPr>
            <w:tcW w:w="620" w:type="dxa"/>
            <w:vAlign w:val="bottom"/>
          </w:tcPr>
          <w:p w:rsidR="00DD0303" w:rsidRDefault="00DD0303">
            <w:pPr>
              <w:rPr>
                <w:sz w:val="24"/>
                <w:szCs w:val="24"/>
              </w:rPr>
            </w:pPr>
          </w:p>
        </w:tc>
        <w:tc>
          <w:tcPr>
            <w:tcW w:w="1160" w:type="dxa"/>
            <w:vAlign w:val="bottom"/>
          </w:tcPr>
          <w:p w:rsidR="00DD0303" w:rsidRDefault="00FB1377">
            <w:pPr>
              <w:jc w:val="center"/>
              <w:rPr>
                <w:sz w:val="20"/>
                <w:szCs w:val="20"/>
              </w:rPr>
            </w:pPr>
            <w:r>
              <w:rPr>
                <w:rFonts w:eastAsia="Times New Roman"/>
                <w:sz w:val="20"/>
                <w:szCs w:val="20"/>
              </w:rPr>
              <w:t>agree</w:t>
            </w:r>
          </w:p>
        </w:tc>
        <w:tc>
          <w:tcPr>
            <w:tcW w:w="420" w:type="dxa"/>
            <w:vAlign w:val="bottom"/>
          </w:tcPr>
          <w:p w:rsidR="00DD0303" w:rsidRDefault="00DD0303">
            <w:pPr>
              <w:rPr>
                <w:sz w:val="24"/>
                <w:szCs w:val="24"/>
              </w:rPr>
            </w:pPr>
          </w:p>
        </w:tc>
        <w:tc>
          <w:tcPr>
            <w:tcW w:w="720" w:type="dxa"/>
            <w:vAlign w:val="bottom"/>
          </w:tcPr>
          <w:p w:rsidR="00DD0303" w:rsidRDefault="00DD0303">
            <w:pPr>
              <w:rPr>
                <w:sz w:val="24"/>
                <w:szCs w:val="24"/>
              </w:rPr>
            </w:pPr>
          </w:p>
        </w:tc>
        <w:tc>
          <w:tcPr>
            <w:tcW w:w="420" w:type="dxa"/>
            <w:vAlign w:val="bottom"/>
          </w:tcPr>
          <w:p w:rsidR="00DD0303" w:rsidRDefault="00DD0303">
            <w:pPr>
              <w:rPr>
                <w:sz w:val="24"/>
                <w:szCs w:val="24"/>
              </w:rPr>
            </w:pPr>
          </w:p>
        </w:tc>
        <w:tc>
          <w:tcPr>
            <w:tcW w:w="740" w:type="dxa"/>
            <w:vAlign w:val="bottom"/>
          </w:tcPr>
          <w:p w:rsidR="00DD0303" w:rsidRDefault="00DD0303">
            <w:pPr>
              <w:rPr>
                <w:sz w:val="24"/>
                <w:szCs w:val="24"/>
              </w:rPr>
            </w:pPr>
          </w:p>
        </w:tc>
        <w:tc>
          <w:tcPr>
            <w:tcW w:w="1260" w:type="dxa"/>
            <w:vAlign w:val="bottom"/>
          </w:tcPr>
          <w:p w:rsidR="00DD0303" w:rsidRDefault="00DD0303">
            <w:pPr>
              <w:rPr>
                <w:sz w:val="24"/>
                <w:szCs w:val="24"/>
              </w:rPr>
            </w:pPr>
          </w:p>
        </w:tc>
        <w:tc>
          <w:tcPr>
            <w:tcW w:w="1540" w:type="dxa"/>
            <w:vAlign w:val="bottom"/>
          </w:tcPr>
          <w:p w:rsidR="00DD0303" w:rsidRDefault="00FB1377">
            <w:pPr>
              <w:jc w:val="center"/>
              <w:rPr>
                <w:sz w:val="20"/>
                <w:szCs w:val="20"/>
              </w:rPr>
            </w:pPr>
            <w:r>
              <w:rPr>
                <w:rFonts w:eastAsia="Times New Roman"/>
                <w:w w:val="99"/>
                <w:sz w:val="20"/>
                <w:szCs w:val="20"/>
              </w:rPr>
              <w:t>disagreed</w:t>
            </w:r>
          </w:p>
        </w:tc>
      </w:tr>
      <w:tr w:rsidR="00DD0303">
        <w:trPr>
          <w:trHeight w:val="103"/>
        </w:trPr>
        <w:tc>
          <w:tcPr>
            <w:tcW w:w="20" w:type="dxa"/>
            <w:vAlign w:val="bottom"/>
          </w:tcPr>
          <w:p w:rsidR="00DD0303" w:rsidRDefault="00DD0303">
            <w:pPr>
              <w:rPr>
                <w:sz w:val="8"/>
                <w:szCs w:val="8"/>
              </w:rPr>
            </w:pPr>
          </w:p>
        </w:tc>
        <w:tc>
          <w:tcPr>
            <w:tcW w:w="2500" w:type="dxa"/>
            <w:tcBorders>
              <w:bottom w:val="single" w:sz="8" w:space="0" w:color="auto"/>
            </w:tcBorders>
            <w:vAlign w:val="bottom"/>
          </w:tcPr>
          <w:p w:rsidR="00DD0303" w:rsidRDefault="00DD0303">
            <w:pPr>
              <w:rPr>
                <w:sz w:val="8"/>
                <w:szCs w:val="8"/>
              </w:rPr>
            </w:pPr>
          </w:p>
        </w:tc>
        <w:tc>
          <w:tcPr>
            <w:tcW w:w="620" w:type="dxa"/>
            <w:tcBorders>
              <w:bottom w:val="single" w:sz="8" w:space="0" w:color="auto"/>
            </w:tcBorders>
            <w:vAlign w:val="bottom"/>
          </w:tcPr>
          <w:p w:rsidR="00DD0303" w:rsidRDefault="00DD0303">
            <w:pPr>
              <w:rPr>
                <w:sz w:val="8"/>
                <w:szCs w:val="8"/>
              </w:rPr>
            </w:pPr>
          </w:p>
        </w:tc>
        <w:tc>
          <w:tcPr>
            <w:tcW w:w="1160" w:type="dxa"/>
            <w:tcBorders>
              <w:bottom w:val="single" w:sz="8" w:space="0" w:color="auto"/>
            </w:tcBorders>
            <w:vAlign w:val="bottom"/>
          </w:tcPr>
          <w:p w:rsidR="00DD0303" w:rsidRDefault="00DD0303">
            <w:pPr>
              <w:rPr>
                <w:sz w:val="8"/>
                <w:szCs w:val="8"/>
              </w:rPr>
            </w:pPr>
          </w:p>
        </w:tc>
        <w:tc>
          <w:tcPr>
            <w:tcW w:w="420" w:type="dxa"/>
            <w:tcBorders>
              <w:bottom w:val="single" w:sz="8" w:space="0" w:color="auto"/>
            </w:tcBorders>
            <w:vAlign w:val="bottom"/>
          </w:tcPr>
          <w:p w:rsidR="00DD0303" w:rsidRDefault="00DD0303">
            <w:pPr>
              <w:rPr>
                <w:sz w:val="8"/>
                <w:szCs w:val="8"/>
              </w:rPr>
            </w:pPr>
          </w:p>
        </w:tc>
        <w:tc>
          <w:tcPr>
            <w:tcW w:w="720" w:type="dxa"/>
            <w:tcBorders>
              <w:bottom w:val="single" w:sz="8" w:space="0" w:color="auto"/>
            </w:tcBorders>
            <w:vAlign w:val="bottom"/>
          </w:tcPr>
          <w:p w:rsidR="00DD0303" w:rsidRDefault="00DD0303">
            <w:pPr>
              <w:rPr>
                <w:sz w:val="8"/>
                <w:szCs w:val="8"/>
              </w:rPr>
            </w:pPr>
          </w:p>
        </w:tc>
        <w:tc>
          <w:tcPr>
            <w:tcW w:w="420" w:type="dxa"/>
            <w:tcBorders>
              <w:bottom w:val="single" w:sz="8" w:space="0" w:color="auto"/>
            </w:tcBorders>
            <w:vAlign w:val="bottom"/>
          </w:tcPr>
          <w:p w:rsidR="00DD0303" w:rsidRDefault="00DD0303">
            <w:pPr>
              <w:rPr>
                <w:sz w:val="8"/>
                <w:szCs w:val="8"/>
              </w:rPr>
            </w:pPr>
          </w:p>
        </w:tc>
        <w:tc>
          <w:tcPr>
            <w:tcW w:w="740" w:type="dxa"/>
            <w:tcBorders>
              <w:bottom w:val="single" w:sz="8" w:space="0" w:color="auto"/>
            </w:tcBorders>
            <w:vAlign w:val="bottom"/>
          </w:tcPr>
          <w:p w:rsidR="00DD0303" w:rsidRDefault="00DD0303">
            <w:pPr>
              <w:rPr>
                <w:sz w:val="8"/>
                <w:szCs w:val="8"/>
              </w:rPr>
            </w:pPr>
          </w:p>
        </w:tc>
        <w:tc>
          <w:tcPr>
            <w:tcW w:w="1260" w:type="dxa"/>
            <w:tcBorders>
              <w:bottom w:val="single" w:sz="8" w:space="0" w:color="auto"/>
            </w:tcBorders>
            <w:vAlign w:val="bottom"/>
          </w:tcPr>
          <w:p w:rsidR="00DD0303" w:rsidRDefault="00DD0303">
            <w:pPr>
              <w:rPr>
                <w:sz w:val="8"/>
                <w:szCs w:val="8"/>
              </w:rPr>
            </w:pPr>
          </w:p>
        </w:tc>
        <w:tc>
          <w:tcPr>
            <w:tcW w:w="1540" w:type="dxa"/>
            <w:tcBorders>
              <w:bottom w:val="single" w:sz="8" w:space="0" w:color="auto"/>
            </w:tcBorders>
            <w:vAlign w:val="bottom"/>
          </w:tcPr>
          <w:p w:rsidR="00DD0303" w:rsidRDefault="00DD0303">
            <w:pPr>
              <w:rPr>
                <w:sz w:val="8"/>
                <w:szCs w:val="8"/>
              </w:rPr>
            </w:pPr>
          </w:p>
        </w:tc>
      </w:tr>
      <w:tr w:rsidR="00DD0303">
        <w:trPr>
          <w:trHeight w:val="498"/>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Rape is just unwanted sex.</w:t>
            </w:r>
          </w:p>
        </w:tc>
        <w:tc>
          <w:tcPr>
            <w:tcW w:w="62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w w:val="98"/>
                <w:sz w:val="20"/>
                <w:szCs w:val="20"/>
              </w:rPr>
              <w:t>1 (1%)</w:t>
            </w:r>
          </w:p>
        </w:tc>
        <w:tc>
          <w:tcPr>
            <w:tcW w:w="420" w:type="dxa"/>
            <w:vAlign w:val="bottom"/>
          </w:tcPr>
          <w:p w:rsidR="00DD0303" w:rsidRDefault="00FB1377">
            <w:pPr>
              <w:jc w:val="right"/>
              <w:rPr>
                <w:sz w:val="20"/>
                <w:szCs w:val="20"/>
              </w:rPr>
            </w:pPr>
            <w:r>
              <w:rPr>
                <w:rFonts w:eastAsia="Times New Roman"/>
                <w:sz w:val="20"/>
                <w:szCs w:val="20"/>
              </w:rPr>
              <w:t>16</w:t>
            </w:r>
          </w:p>
        </w:tc>
        <w:tc>
          <w:tcPr>
            <w:tcW w:w="720" w:type="dxa"/>
            <w:vAlign w:val="bottom"/>
          </w:tcPr>
          <w:p w:rsidR="00DD0303" w:rsidRDefault="00FB1377">
            <w:pPr>
              <w:ind w:left="20"/>
              <w:rPr>
                <w:sz w:val="20"/>
                <w:szCs w:val="20"/>
              </w:rPr>
            </w:pPr>
            <w:r>
              <w:rPr>
                <w:rFonts w:eastAsia="Times New Roman"/>
                <w:sz w:val="20"/>
                <w:szCs w:val="20"/>
              </w:rPr>
              <w:t>(16%)</w:t>
            </w:r>
          </w:p>
        </w:tc>
        <w:tc>
          <w:tcPr>
            <w:tcW w:w="420" w:type="dxa"/>
            <w:vAlign w:val="bottom"/>
          </w:tcPr>
          <w:p w:rsidR="00DD0303" w:rsidRDefault="00FB1377">
            <w:pPr>
              <w:jc w:val="right"/>
              <w:rPr>
                <w:sz w:val="20"/>
                <w:szCs w:val="20"/>
              </w:rPr>
            </w:pPr>
            <w:r>
              <w:rPr>
                <w:rFonts w:eastAsia="Times New Roman"/>
                <w:sz w:val="20"/>
                <w:szCs w:val="20"/>
              </w:rPr>
              <w:t>13</w:t>
            </w:r>
          </w:p>
        </w:tc>
        <w:tc>
          <w:tcPr>
            <w:tcW w:w="740" w:type="dxa"/>
            <w:vAlign w:val="bottom"/>
          </w:tcPr>
          <w:p w:rsidR="00DD0303" w:rsidRDefault="00FB1377">
            <w:pPr>
              <w:ind w:left="20"/>
              <w:rPr>
                <w:sz w:val="20"/>
                <w:szCs w:val="20"/>
              </w:rPr>
            </w:pPr>
            <w:r>
              <w:rPr>
                <w:rFonts w:eastAsia="Times New Roman"/>
                <w:sz w:val="20"/>
                <w:szCs w:val="20"/>
              </w:rPr>
              <w:t>(13%)</w:t>
            </w:r>
          </w:p>
        </w:tc>
        <w:tc>
          <w:tcPr>
            <w:tcW w:w="1260" w:type="dxa"/>
            <w:vAlign w:val="bottom"/>
          </w:tcPr>
          <w:p w:rsidR="00DD0303" w:rsidRDefault="00FB1377">
            <w:pPr>
              <w:ind w:left="220"/>
              <w:rPr>
                <w:sz w:val="20"/>
                <w:szCs w:val="20"/>
              </w:rPr>
            </w:pPr>
            <w:r>
              <w:rPr>
                <w:rFonts w:eastAsia="Times New Roman"/>
                <w:sz w:val="20"/>
                <w:szCs w:val="20"/>
              </w:rPr>
              <w:t>36 (37%)</w:t>
            </w:r>
          </w:p>
        </w:tc>
        <w:tc>
          <w:tcPr>
            <w:tcW w:w="1540" w:type="dxa"/>
            <w:vAlign w:val="bottom"/>
          </w:tcPr>
          <w:p w:rsidR="00DD0303" w:rsidRDefault="00FB1377">
            <w:pPr>
              <w:jc w:val="center"/>
              <w:rPr>
                <w:sz w:val="20"/>
                <w:szCs w:val="20"/>
              </w:rPr>
            </w:pPr>
            <w:r>
              <w:rPr>
                <w:rFonts w:eastAsia="Times New Roman"/>
                <w:w w:val="98"/>
                <w:sz w:val="20"/>
                <w:szCs w:val="20"/>
              </w:rPr>
              <w:t>31% (32%)</w:t>
            </w:r>
          </w:p>
        </w:tc>
      </w:tr>
      <w:tr w:rsidR="00DD0303">
        <w:trPr>
          <w:trHeight w:val="792"/>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Rape only happens to</w:t>
            </w:r>
          </w:p>
        </w:tc>
        <w:tc>
          <w:tcPr>
            <w:tcW w:w="62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420" w:type="dxa"/>
            <w:vAlign w:val="bottom"/>
          </w:tcPr>
          <w:p w:rsidR="00DD0303" w:rsidRDefault="00FB1377">
            <w:pPr>
              <w:jc w:val="right"/>
              <w:rPr>
                <w:sz w:val="20"/>
                <w:szCs w:val="20"/>
              </w:rPr>
            </w:pPr>
            <w:r>
              <w:rPr>
                <w:rFonts w:eastAsia="Times New Roman"/>
                <w:sz w:val="20"/>
                <w:szCs w:val="20"/>
              </w:rPr>
              <w:t>4</w:t>
            </w:r>
          </w:p>
        </w:tc>
        <w:tc>
          <w:tcPr>
            <w:tcW w:w="720" w:type="dxa"/>
            <w:vAlign w:val="bottom"/>
          </w:tcPr>
          <w:p w:rsidR="00DD0303" w:rsidRDefault="00FB1377">
            <w:pPr>
              <w:ind w:left="20"/>
              <w:rPr>
                <w:sz w:val="20"/>
                <w:szCs w:val="20"/>
              </w:rPr>
            </w:pPr>
            <w:r>
              <w:rPr>
                <w:rFonts w:eastAsia="Times New Roman"/>
                <w:sz w:val="20"/>
                <w:szCs w:val="20"/>
              </w:rPr>
              <w:t>(4%)</w:t>
            </w:r>
          </w:p>
        </w:tc>
        <w:tc>
          <w:tcPr>
            <w:tcW w:w="420" w:type="dxa"/>
            <w:vAlign w:val="bottom"/>
          </w:tcPr>
          <w:p w:rsidR="00DD0303" w:rsidRDefault="00FB1377">
            <w:pPr>
              <w:jc w:val="right"/>
              <w:rPr>
                <w:sz w:val="20"/>
                <w:szCs w:val="20"/>
              </w:rPr>
            </w:pPr>
            <w:r>
              <w:rPr>
                <w:rFonts w:eastAsia="Times New Roman"/>
                <w:sz w:val="20"/>
                <w:szCs w:val="20"/>
              </w:rPr>
              <w:t>1</w:t>
            </w:r>
          </w:p>
        </w:tc>
        <w:tc>
          <w:tcPr>
            <w:tcW w:w="740" w:type="dxa"/>
            <w:vAlign w:val="bottom"/>
          </w:tcPr>
          <w:p w:rsidR="00DD0303" w:rsidRDefault="00FB1377">
            <w:pPr>
              <w:ind w:left="20"/>
              <w:rPr>
                <w:sz w:val="20"/>
                <w:szCs w:val="20"/>
              </w:rPr>
            </w:pPr>
            <w:r>
              <w:rPr>
                <w:rFonts w:eastAsia="Times New Roman"/>
                <w:sz w:val="20"/>
                <w:szCs w:val="20"/>
              </w:rPr>
              <w:t>(1%)</w:t>
            </w:r>
          </w:p>
        </w:tc>
        <w:tc>
          <w:tcPr>
            <w:tcW w:w="1260" w:type="dxa"/>
            <w:vAlign w:val="bottom"/>
          </w:tcPr>
          <w:p w:rsidR="00DD0303" w:rsidRDefault="00FB1377">
            <w:pPr>
              <w:ind w:left="220"/>
              <w:rPr>
                <w:sz w:val="20"/>
                <w:szCs w:val="20"/>
              </w:rPr>
            </w:pPr>
            <w:r>
              <w:rPr>
                <w:rFonts w:eastAsia="Times New Roman"/>
                <w:sz w:val="20"/>
                <w:szCs w:val="20"/>
              </w:rPr>
              <w:t>21 (21%)</w:t>
            </w:r>
          </w:p>
        </w:tc>
        <w:tc>
          <w:tcPr>
            <w:tcW w:w="1540" w:type="dxa"/>
            <w:vAlign w:val="bottom"/>
          </w:tcPr>
          <w:p w:rsidR="00DD0303" w:rsidRDefault="00FB1377">
            <w:pPr>
              <w:jc w:val="center"/>
              <w:rPr>
                <w:sz w:val="20"/>
                <w:szCs w:val="20"/>
              </w:rPr>
            </w:pPr>
            <w:r>
              <w:rPr>
                <w:rFonts w:eastAsia="Times New Roman"/>
                <w:w w:val="98"/>
                <w:sz w:val="20"/>
                <w:szCs w:val="20"/>
              </w:rPr>
              <w:t>71 (72%)</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women.</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794"/>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If you are a big, strong</w:t>
            </w:r>
          </w:p>
        </w:tc>
        <w:tc>
          <w:tcPr>
            <w:tcW w:w="62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420" w:type="dxa"/>
            <w:vAlign w:val="bottom"/>
          </w:tcPr>
          <w:p w:rsidR="00DD0303" w:rsidRDefault="00FB1377">
            <w:pPr>
              <w:jc w:val="right"/>
              <w:rPr>
                <w:sz w:val="20"/>
                <w:szCs w:val="20"/>
              </w:rPr>
            </w:pPr>
            <w:r>
              <w:rPr>
                <w:rFonts w:eastAsia="Times New Roman"/>
                <w:sz w:val="20"/>
                <w:szCs w:val="20"/>
              </w:rPr>
              <w:t>3</w:t>
            </w:r>
          </w:p>
        </w:tc>
        <w:tc>
          <w:tcPr>
            <w:tcW w:w="720" w:type="dxa"/>
            <w:vAlign w:val="bottom"/>
          </w:tcPr>
          <w:p w:rsidR="00DD0303" w:rsidRDefault="00FB1377">
            <w:pPr>
              <w:ind w:left="20"/>
              <w:rPr>
                <w:sz w:val="20"/>
                <w:szCs w:val="20"/>
              </w:rPr>
            </w:pPr>
            <w:r>
              <w:rPr>
                <w:rFonts w:eastAsia="Times New Roman"/>
                <w:sz w:val="20"/>
                <w:szCs w:val="20"/>
              </w:rPr>
              <w:t>(3%)</w:t>
            </w:r>
          </w:p>
        </w:tc>
        <w:tc>
          <w:tcPr>
            <w:tcW w:w="420" w:type="dxa"/>
            <w:vAlign w:val="bottom"/>
          </w:tcPr>
          <w:p w:rsidR="00DD0303" w:rsidRDefault="00FB1377">
            <w:pPr>
              <w:jc w:val="right"/>
              <w:rPr>
                <w:sz w:val="20"/>
                <w:szCs w:val="20"/>
              </w:rPr>
            </w:pPr>
            <w:r>
              <w:rPr>
                <w:rFonts w:eastAsia="Times New Roman"/>
                <w:sz w:val="20"/>
                <w:szCs w:val="20"/>
              </w:rPr>
              <w:t>3</w:t>
            </w:r>
          </w:p>
        </w:tc>
        <w:tc>
          <w:tcPr>
            <w:tcW w:w="740" w:type="dxa"/>
            <w:vAlign w:val="bottom"/>
          </w:tcPr>
          <w:p w:rsidR="00DD0303" w:rsidRDefault="00FB1377">
            <w:pPr>
              <w:ind w:left="20"/>
              <w:rPr>
                <w:sz w:val="20"/>
                <w:szCs w:val="20"/>
              </w:rPr>
            </w:pPr>
            <w:r>
              <w:rPr>
                <w:rFonts w:eastAsia="Times New Roman"/>
                <w:sz w:val="20"/>
                <w:szCs w:val="20"/>
              </w:rPr>
              <w:t>(3%)</w:t>
            </w:r>
          </w:p>
        </w:tc>
        <w:tc>
          <w:tcPr>
            <w:tcW w:w="1260" w:type="dxa"/>
            <w:vAlign w:val="bottom"/>
          </w:tcPr>
          <w:p w:rsidR="00DD0303" w:rsidRDefault="00FB1377">
            <w:pPr>
              <w:ind w:left="220"/>
              <w:rPr>
                <w:sz w:val="20"/>
                <w:szCs w:val="20"/>
              </w:rPr>
            </w:pPr>
            <w:r>
              <w:rPr>
                <w:rFonts w:eastAsia="Times New Roman"/>
                <w:sz w:val="20"/>
                <w:szCs w:val="20"/>
              </w:rPr>
              <w:t>30 (31%)</w:t>
            </w:r>
          </w:p>
        </w:tc>
        <w:tc>
          <w:tcPr>
            <w:tcW w:w="1540" w:type="dxa"/>
            <w:vAlign w:val="bottom"/>
          </w:tcPr>
          <w:p w:rsidR="00DD0303" w:rsidRDefault="00FB1377">
            <w:pPr>
              <w:jc w:val="center"/>
              <w:rPr>
                <w:sz w:val="20"/>
                <w:szCs w:val="20"/>
              </w:rPr>
            </w:pPr>
            <w:r>
              <w:rPr>
                <w:rFonts w:eastAsia="Times New Roman"/>
                <w:w w:val="98"/>
                <w:sz w:val="20"/>
                <w:szCs w:val="20"/>
              </w:rPr>
              <w:t>61 (62%)</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man, you cannot be raped.</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530"/>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When rape happens, the</w:t>
            </w:r>
          </w:p>
        </w:tc>
        <w:tc>
          <w:tcPr>
            <w:tcW w:w="62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420" w:type="dxa"/>
            <w:vAlign w:val="bottom"/>
          </w:tcPr>
          <w:p w:rsidR="00DD0303" w:rsidRDefault="00DD0303">
            <w:pPr>
              <w:rPr>
                <w:sz w:val="24"/>
                <w:szCs w:val="24"/>
              </w:rPr>
            </w:pPr>
          </w:p>
        </w:tc>
        <w:tc>
          <w:tcPr>
            <w:tcW w:w="720" w:type="dxa"/>
            <w:vAlign w:val="bottom"/>
          </w:tcPr>
          <w:p w:rsidR="00DD0303" w:rsidRDefault="00FB1377">
            <w:pPr>
              <w:ind w:left="100"/>
              <w:rPr>
                <w:sz w:val="20"/>
                <w:szCs w:val="20"/>
              </w:rPr>
            </w:pPr>
            <w:r>
              <w:rPr>
                <w:rFonts w:eastAsia="Times New Roman"/>
                <w:sz w:val="20"/>
                <w:szCs w:val="20"/>
              </w:rPr>
              <w:t>0</w:t>
            </w:r>
          </w:p>
        </w:tc>
        <w:tc>
          <w:tcPr>
            <w:tcW w:w="420" w:type="dxa"/>
            <w:vAlign w:val="bottom"/>
          </w:tcPr>
          <w:p w:rsidR="00DD0303" w:rsidRDefault="00FB1377">
            <w:pPr>
              <w:jc w:val="right"/>
              <w:rPr>
                <w:sz w:val="20"/>
                <w:szCs w:val="20"/>
              </w:rPr>
            </w:pPr>
            <w:r>
              <w:rPr>
                <w:rFonts w:eastAsia="Times New Roman"/>
                <w:sz w:val="20"/>
                <w:szCs w:val="20"/>
              </w:rPr>
              <w:t>1</w:t>
            </w:r>
          </w:p>
        </w:tc>
        <w:tc>
          <w:tcPr>
            <w:tcW w:w="740" w:type="dxa"/>
            <w:vAlign w:val="bottom"/>
          </w:tcPr>
          <w:p w:rsidR="00DD0303" w:rsidRDefault="00FB1377">
            <w:pPr>
              <w:ind w:left="20"/>
              <w:rPr>
                <w:sz w:val="20"/>
                <w:szCs w:val="20"/>
              </w:rPr>
            </w:pPr>
            <w:r>
              <w:rPr>
                <w:rFonts w:eastAsia="Times New Roman"/>
                <w:sz w:val="20"/>
                <w:szCs w:val="20"/>
              </w:rPr>
              <w:t>(1%)</w:t>
            </w:r>
          </w:p>
        </w:tc>
        <w:tc>
          <w:tcPr>
            <w:tcW w:w="1260" w:type="dxa"/>
            <w:vAlign w:val="bottom"/>
          </w:tcPr>
          <w:p w:rsidR="00DD0303" w:rsidRDefault="00FB1377">
            <w:pPr>
              <w:ind w:left="220"/>
              <w:rPr>
                <w:sz w:val="20"/>
                <w:szCs w:val="20"/>
              </w:rPr>
            </w:pPr>
            <w:r>
              <w:rPr>
                <w:rFonts w:eastAsia="Times New Roman"/>
                <w:sz w:val="20"/>
                <w:szCs w:val="20"/>
              </w:rPr>
              <w:t>17 (17%)</w:t>
            </w:r>
          </w:p>
        </w:tc>
        <w:tc>
          <w:tcPr>
            <w:tcW w:w="1540" w:type="dxa"/>
            <w:vAlign w:val="bottom"/>
          </w:tcPr>
          <w:p w:rsidR="00DD0303" w:rsidRDefault="00FB1377">
            <w:pPr>
              <w:jc w:val="center"/>
              <w:rPr>
                <w:sz w:val="20"/>
                <w:szCs w:val="20"/>
              </w:rPr>
            </w:pPr>
            <w:r>
              <w:rPr>
                <w:rFonts w:eastAsia="Times New Roman"/>
                <w:w w:val="98"/>
                <w:sz w:val="20"/>
                <w:szCs w:val="20"/>
              </w:rPr>
              <w:t>79 (81%)</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individual was asking for</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it.</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You should enjoy it if a</w:t>
            </w:r>
          </w:p>
        </w:tc>
        <w:tc>
          <w:tcPr>
            <w:tcW w:w="620" w:type="dxa"/>
            <w:vAlign w:val="bottom"/>
          </w:tcPr>
          <w:p w:rsidR="00DD0303" w:rsidRDefault="00FB1377">
            <w:pPr>
              <w:jc w:val="center"/>
              <w:rPr>
                <w:sz w:val="20"/>
                <w:szCs w:val="20"/>
              </w:rPr>
            </w:pPr>
            <w:r>
              <w:rPr>
                <w:rFonts w:eastAsia="Times New Roman"/>
                <w:w w:val="99"/>
                <w:sz w:val="20"/>
                <w:szCs w:val="20"/>
              </w:rPr>
              <w:t>96</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420" w:type="dxa"/>
            <w:vAlign w:val="bottom"/>
          </w:tcPr>
          <w:p w:rsidR="00DD0303" w:rsidRDefault="00FB1377">
            <w:pPr>
              <w:jc w:val="right"/>
              <w:rPr>
                <w:sz w:val="20"/>
                <w:szCs w:val="20"/>
              </w:rPr>
            </w:pPr>
            <w:r>
              <w:rPr>
                <w:rFonts w:eastAsia="Times New Roman"/>
                <w:sz w:val="20"/>
                <w:szCs w:val="20"/>
              </w:rPr>
              <w:t>1</w:t>
            </w:r>
          </w:p>
        </w:tc>
        <w:tc>
          <w:tcPr>
            <w:tcW w:w="720" w:type="dxa"/>
            <w:vAlign w:val="bottom"/>
          </w:tcPr>
          <w:p w:rsidR="00DD0303" w:rsidRDefault="00FB1377">
            <w:pPr>
              <w:ind w:left="20"/>
              <w:rPr>
                <w:sz w:val="20"/>
                <w:szCs w:val="20"/>
              </w:rPr>
            </w:pPr>
            <w:r>
              <w:rPr>
                <w:rFonts w:eastAsia="Times New Roman"/>
                <w:sz w:val="20"/>
                <w:szCs w:val="20"/>
              </w:rPr>
              <w:t>(1%)</w:t>
            </w:r>
          </w:p>
        </w:tc>
        <w:tc>
          <w:tcPr>
            <w:tcW w:w="420" w:type="dxa"/>
            <w:vAlign w:val="bottom"/>
          </w:tcPr>
          <w:p w:rsidR="00DD0303" w:rsidRDefault="00FB1377">
            <w:pPr>
              <w:jc w:val="right"/>
              <w:rPr>
                <w:sz w:val="20"/>
                <w:szCs w:val="20"/>
              </w:rPr>
            </w:pPr>
            <w:r>
              <w:rPr>
                <w:rFonts w:eastAsia="Times New Roman"/>
                <w:sz w:val="20"/>
                <w:szCs w:val="20"/>
              </w:rPr>
              <w:t>5</w:t>
            </w:r>
          </w:p>
        </w:tc>
        <w:tc>
          <w:tcPr>
            <w:tcW w:w="740" w:type="dxa"/>
            <w:vAlign w:val="bottom"/>
          </w:tcPr>
          <w:p w:rsidR="00DD0303" w:rsidRDefault="00FB1377">
            <w:pPr>
              <w:ind w:left="20"/>
              <w:rPr>
                <w:sz w:val="20"/>
                <w:szCs w:val="20"/>
              </w:rPr>
            </w:pPr>
            <w:r>
              <w:rPr>
                <w:rFonts w:eastAsia="Times New Roman"/>
                <w:sz w:val="20"/>
                <w:szCs w:val="20"/>
              </w:rPr>
              <w:t>(5%)</w:t>
            </w:r>
          </w:p>
        </w:tc>
        <w:tc>
          <w:tcPr>
            <w:tcW w:w="1260" w:type="dxa"/>
            <w:vAlign w:val="bottom"/>
          </w:tcPr>
          <w:p w:rsidR="00DD0303" w:rsidRDefault="00FB1377">
            <w:pPr>
              <w:ind w:left="220"/>
              <w:rPr>
                <w:sz w:val="20"/>
                <w:szCs w:val="20"/>
              </w:rPr>
            </w:pPr>
            <w:r>
              <w:rPr>
                <w:rFonts w:eastAsia="Times New Roman"/>
                <w:sz w:val="20"/>
                <w:szCs w:val="20"/>
              </w:rPr>
              <w:t>25 (26%)</w:t>
            </w:r>
          </w:p>
        </w:tc>
        <w:tc>
          <w:tcPr>
            <w:tcW w:w="1540" w:type="dxa"/>
            <w:vAlign w:val="bottom"/>
          </w:tcPr>
          <w:p w:rsidR="00DD0303" w:rsidRDefault="00FB1377">
            <w:pPr>
              <w:jc w:val="center"/>
              <w:rPr>
                <w:sz w:val="20"/>
                <w:szCs w:val="20"/>
              </w:rPr>
            </w:pPr>
            <w:r>
              <w:rPr>
                <w:rFonts w:eastAsia="Times New Roman"/>
                <w:w w:val="98"/>
                <w:sz w:val="20"/>
                <w:szCs w:val="20"/>
              </w:rPr>
              <w:t>65 (66%)</w:t>
            </w:r>
          </w:p>
        </w:tc>
      </w:tr>
      <w:tr w:rsidR="00DD0303">
        <w:trPr>
          <w:trHeight w:val="266"/>
        </w:trPr>
        <w:tc>
          <w:tcPr>
            <w:tcW w:w="20" w:type="dxa"/>
            <w:vAlign w:val="bottom"/>
          </w:tcPr>
          <w:p w:rsidR="00DD0303" w:rsidRDefault="00DD0303">
            <w:pPr>
              <w:rPr>
                <w:sz w:val="23"/>
                <w:szCs w:val="23"/>
              </w:rPr>
            </w:pPr>
          </w:p>
        </w:tc>
        <w:tc>
          <w:tcPr>
            <w:tcW w:w="2500" w:type="dxa"/>
            <w:vAlign w:val="bottom"/>
          </w:tcPr>
          <w:p w:rsidR="00DD0303" w:rsidRDefault="00FB1377">
            <w:pPr>
              <w:ind w:left="100"/>
              <w:rPr>
                <w:sz w:val="20"/>
                <w:szCs w:val="20"/>
              </w:rPr>
            </w:pPr>
            <w:r>
              <w:rPr>
                <w:rFonts w:eastAsia="Times New Roman"/>
                <w:sz w:val="20"/>
                <w:szCs w:val="20"/>
              </w:rPr>
              <w:t>woman rapes you.</w:t>
            </w:r>
          </w:p>
        </w:tc>
        <w:tc>
          <w:tcPr>
            <w:tcW w:w="620" w:type="dxa"/>
            <w:vAlign w:val="bottom"/>
          </w:tcPr>
          <w:p w:rsidR="00DD0303" w:rsidRDefault="00DD0303">
            <w:pPr>
              <w:rPr>
                <w:sz w:val="23"/>
                <w:szCs w:val="23"/>
              </w:rPr>
            </w:pPr>
          </w:p>
        </w:tc>
        <w:tc>
          <w:tcPr>
            <w:tcW w:w="116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20" w:type="dxa"/>
            <w:vAlign w:val="bottom"/>
          </w:tcPr>
          <w:p w:rsidR="00DD0303" w:rsidRDefault="00DD0303">
            <w:pPr>
              <w:rPr>
                <w:sz w:val="23"/>
                <w:szCs w:val="23"/>
              </w:rPr>
            </w:pPr>
          </w:p>
        </w:tc>
        <w:tc>
          <w:tcPr>
            <w:tcW w:w="420" w:type="dxa"/>
            <w:vAlign w:val="bottom"/>
          </w:tcPr>
          <w:p w:rsidR="00DD0303" w:rsidRDefault="00DD0303">
            <w:pPr>
              <w:rPr>
                <w:sz w:val="23"/>
                <w:szCs w:val="23"/>
              </w:rPr>
            </w:pPr>
          </w:p>
        </w:tc>
        <w:tc>
          <w:tcPr>
            <w:tcW w:w="740" w:type="dxa"/>
            <w:vAlign w:val="bottom"/>
          </w:tcPr>
          <w:p w:rsidR="00DD0303" w:rsidRDefault="00DD0303">
            <w:pPr>
              <w:rPr>
                <w:sz w:val="23"/>
                <w:szCs w:val="23"/>
              </w:rPr>
            </w:pPr>
          </w:p>
        </w:tc>
        <w:tc>
          <w:tcPr>
            <w:tcW w:w="1260" w:type="dxa"/>
            <w:vAlign w:val="bottom"/>
          </w:tcPr>
          <w:p w:rsidR="00DD0303" w:rsidRDefault="00DD0303">
            <w:pPr>
              <w:rPr>
                <w:sz w:val="23"/>
                <w:szCs w:val="23"/>
              </w:rPr>
            </w:pPr>
          </w:p>
        </w:tc>
        <w:tc>
          <w:tcPr>
            <w:tcW w:w="1540" w:type="dxa"/>
            <w:vAlign w:val="bottom"/>
          </w:tcPr>
          <w:p w:rsidR="00DD0303" w:rsidRDefault="00DD0303">
            <w:pPr>
              <w:rPr>
                <w:sz w:val="23"/>
                <w:szCs w:val="23"/>
              </w:rPr>
            </w:pPr>
          </w:p>
        </w:tc>
      </w:tr>
      <w:tr w:rsidR="00DD0303">
        <w:trPr>
          <w:trHeight w:val="528"/>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Men should not be affected</w:t>
            </w:r>
          </w:p>
        </w:tc>
        <w:tc>
          <w:tcPr>
            <w:tcW w:w="620" w:type="dxa"/>
            <w:vAlign w:val="bottom"/>
          </w:tcPr>
          <w:p w:rsidR="00DD0303" w:rsidRDefault="00FB1377">
            <w:pPr>
              <w:jc w:val="center"/>
              <w:rPr>
                <w:sz w:val="20"/>
                <w:szCs w:val="20"/>
              </w:rPr>
            </w:pPr>
            <w:r>
              <w:rPr>
                <w:rFonts w:eastAsia="Times New Roman"/>
                <w:w w:val="99"/>
                <w:sz w:val="20"/>
                <w:szCs w:val="20"/>
              </w:rPr>
              <w:t>96</w:t>
            </w:r>
          </w:p>
        </w:tc>
        <w:tc>
          <w:tcPr>
            <w:tcW w:w="1160" w:type="dxa"/>
            <w:vAlign w:val="bottom"/>
          </w:tcPr>
          <w:p w:rsidR="00DD0303" w:rsidRDefault="00FB1377">
            <w:pPr>
              <w:jc w:val="center"/>
              <w:rPr>
                <w:sz w:val="20"/>
                <w:szCs w:val="20"/>
              </w:rPr>
            </w:pPr>
            <w:r>
              <w:rPr>
                <w:rFonts w:eastAsia="Times New Roman"/>
                <w:w w:val="98"/>
                <w:sz w:val="20"/>
                <w:szCs w:val="20"/>
              </w:rPr>
              <w:t>1 (1%)</w:t>
            </w:r>
          </w:p>
        </w:tc>
        <w:tc>
          <w:tcPr>
            <w:tcW w:w="420" w:type="dxa"/>
            <w:vAlign w:val="bottom"/>
          </w:tcPr>
          <w:p w:rsidR="00DD0303" w:rsidRDefault="00FB1377">
            <w:pPr>
              <w:jc w:val="right"/>
              <w:rPr>
                <w:sz w:val="20"/>
                <w:szCs w:val="20"/>
              </w:rPr>
            </w:pPr>
            <w:r>
              <w:rPr>
                <w:rFonts w:eastAsia="Times New Roman"/>
                <w:sz w:val="20"/>
                <w:szCs w:val="20"/>
              </w:rPr>
              <w:t>1</w:t>
            </w:r>
          </w:p>
        </w:tc>
        <w:tc>
          <w:tcPr>
            <w:tcW w:w="720" w:type="dxa"/>
            <w:vAlign w:val="bottom"/>
          </w:tcPr>
          <w:p w:rsidR="00DD0303" w:rsidRDefault="00FB1377">
            <w:pPr>
              <w:ind w:left="20"/>
              <w:rPr>
                <w:sz w:val="20"/>
                <w:szCs w:val="20"/>
              </w:rPr>
            </w:pPr>
            <w:r>
              <w:rPr>
                <w:rFonts w:eastAsia="Times New Roman"/>
                <w:sz w:val="20"/>
                <w:szCs w:val="20"/>
              </w:rPr>
              <w:t>(1%)</w:t>
            </w:r>
          </w:p>
        </w:tc>
        <w:tc>
          <w:tcPr>
            <w:tcW w:w="420" w:type="dxa"/>
            <w:vAlign w:val="bottom"/>
          </w:tcPr>
          <w:p w:rsidR="00DD0303" w:rsidRDefault="00FB1377">
            <w:pPr>
              <w:jc w:val="right"/>
              <w:rPr>
                <w:sz w:val="20"/>
                <w:szCs w:val="20"/>
              </w:rPr>
            </w:pPr>
            <w:r>
              <w:rPr>
                <w:rFonts w:eastAsia="Times New Roman"/>
                <w:sz w:val="20"/>
                <w:szCs w:val="20"/>
              </w:rPr>
              <w:t>7</w:t>
            </w:r>
          </w:p>
        </w:tc>
        <w:tc>
          <w:tcPr>
            <w:tcW w:w="740" w:type="dxa"/>
            <w:vAlign w:val="bottom"/>
          </w:tcPr>
          <w:p w:rsidR="00DD0303" w:rsidRDefault="00FB1377">
            <w:pPr>
              <w:ind w:left="20"/>
              <w:rPr>
                <w:sz w:val="20"/>
                <w:szCs w:val="20"/>
              </w:rPr>
            </w:pPr>
            <w:r>
              <w:rPr>
                <w:rFonts w:eastAsia="Times New Roman"/>
                <w:sz w:val="20"/>
                <w:szCs w:val="20"/>
              </w:rPr>
              <w:t>(7%)</w:t>
            </w:r>
          </w:p>
        </w:tc>
        <w:tc>
          <w:tcPr>
            <w:tcW w:w="1260" w:type="dxa"/>
            <w:vAlign w:val="bottom"/>
          </w:tcPr>
          <w:p w:rsidR="00DD0303" w:rsidRDefault="00FB1377">
            <w:pPr>
              <w:ind w:left="220"/>
              <w:rPr>
                <w:sz w:val="20"/>
                <w:szCs w:val="20"/>
              </w:rPr>
            </w:pPr>
            <w:r>
              <w:rPr>
                <w:rFonts w:eastAsia="Times New Roman"/>
                <w:sz w:val="20"/>
                <w:szCs w:val="20"/>
              </w:rPr>
              <w:t>24</w:t>
            </w:r>
            <w:r>
              <w:rPr>
                <w:rFonts w:eastAsia="Times New Roman"/>
                <w:sz w:val="20"/>
                <w:szCs w:val="20"/>
              </w:rPr>
              <w:t xml:space="preserve"> (25%)</w:t>
            </w:r>
          </w:p>
        </w:tc>
        <w:tc>
          <w:tcPr>
            <w:tcW w:w="1540" w:type="dxa"/>
            <w:vAlign w:val="bottom"/>
          </w:tcPr>
          <w:p w:rsidR="00DD0303" w:rsidRDefault="00FB1377">
            <w:pPr>
              <w:jc w:val="center"/>
              <w:rPr>
                <w:sz w:val="20"/>
                <w:szCs w:val="20"/>
              </w:rPr>
            </w:pPr>
            <w:r>
              <w:rPr>
                <w:rFonts w:eastAsia="Times New Roman"/>
                <w:w w:val="98"/>
                <w:sz w:val="20"/>
                <w:szCs w:val="20"/>
              </w:rPr>
              <w:t>63 (64%)</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by female rape.</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530"/>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If you don’t fight back, it’s</w:t>
            </w:r>
          </w:p>
        </w:tc>
        <w:tc>
          <w:tcPr>
            <w:tcW w:w="620" w:type="dxa"/>
            <w:vAlign w:val="bottom"/>
          </w:tcPr>
          <w:p w:rsidR="00DD0303" w:rsidRDefault="00FB1377">
            <w:pPr>
              <w:jc w:val="center"/>
              <w:rPr>
                <w:sz w:val="20"/>
                <w:szCs w:val="20"/>
              </w:rPr>
            </w:pPr>
            <w:r>
              <w:rPr>
                <w:rFonts w:eastAsia="Times New Roman"/>
                <w:w w:val="99"/>
                <w:sz w:val="20"/>
                <w:szCs w:val="20"/>
              </w:rPr>
              <w:t>96</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420" w:type="dxa"/>
            <w:vAlign w:val="bottom"/>
          </w:tcPr>
          <w:p w:rsidR="00DD0303" w:rsidRDefault="00FB1377">
            <w:pPr>
              <w:jc w:val="right"/>
              <w:rPr>
                <w:sz w:val="20"/>
                <w:szCs w:val="20"/>
              </w:rPr>
            </w:pPr>
            <w:r>
              <w:rPr>
                <w:rFonts w:eastAsia="Times New Roman"/>
                <w:sz w:val="20"/>
                <w:szCs w:val="20"/>
              </w:rPr>
              <w:t>5</w:t>
            </w:r>
          </w:p>
        </w:tc>
        <w:tc>
          <w:tcPr>
            <w:tcW w:w="720" w:type="dxa"/>
            <w:vAlign w:val="bottom"/>
          </w:tcPr>
          <w:p w:rsidR="00DD0303" w:rsidRDefault="00FB1377">
            <w:pPr>
              <w:ind w:left="20"/>
              <w:rPr>
                <w:sz w:val="20"/>
                <w:szCs w:val="20"/>
              </w:rPr>
            </w:pPr>
            <w:r>
              <w:rPr>
                <w:rFonts w:eastAsia="Times New Roman"/>
                <w:sz w:val="20"/>
                <w:szCs w:val="20"/>
              </w:rPr>
              <w:t>(5%)</w:t>
            </w:r>
          </w:p>
        </w:tc>
        <w:tc>
          <w:tcPr>
            <w:tcW w:w="420" w:type="dxa"/>
            <w:vAlign w:val="bottom"/>
          </w:tcPr>
          <w:p w:rsidR="00DD0303" w:rsidRDefault="00FB1377">
            <w:pPr>
              <w:jc w:val="right"/>
              <w:rPr>
                <w:sz w:val="20"/>
                <w:szCs w:val="20"/>
              </w:rPr>
            </w:pPr>
            <w:r>
              <w:rPr>
                <w:rFonts w:eastAsia="Times New Roman"/>
                <w:sz w:val="20"/>
                <w:szCs w:val="20"/>
              </w:rPr>
              <w:t>4</w:t>
            </w:r>
          </w:p>
        </w:tc>
        <w:tc>
          <w:tcPr>
            <w:tcW w:w="740" w:type="dxa"/>
            <w:vAlign w:val="bottom"/>
          </w:tcPr>
          <w:p w:rsidR="00DD0303" w:rsidRDefault="00FB1377">
            <w:pPr>
              <w:ind w:left="20"/>
              <w:rPr>
                <w:sz w:val="20"/>
                <w:szCs w:val="20"/>
              </w:rPr>
            </w:pPr>
            <w:r>
              <w:rPr>
                <w:rFonts w:eastAsia="Times New Roman"/>
                <w:sz w:val="20"/>
                <w:szCs w:val="20"/>
              </w:rPr>
              <w:t>(4%)</w:t>
            </w:r>
          </w:p>
        </w:tc>
        <w:tc>
          <w:tcPr>
            <w:tcW w:w="1260" w:type="dxa"/>
            <w:vAlign w:val="bottom"/>
          </w:tcPr>
          <w:p w:rsidR="00DD0303" w:rsidRDefault="00FB1377">
            <w:pPr>
              <w:ind w:left="220"/>
              <w:rPr>
                <w:sz w:val="20"/>
                <w:szCs w:val="20"/>
              </w:rPr>
            </w:pPr>
            <w:r>
              <w:rPr>
                <w:rFonts w:eastAsia="Times New Roman"/>
                <w:sz w:val="20"/>
                <w:szCs w:val="20"/>
              </w:rPr>
              <w:t>19 (20%)</w:t>
            </w:r>
          </w:p>
        </w:tc>
        <w:tc>
          <w:tcPr>
            <w:tcW w:w="1540" w:type="dxa"/>
            <w:vAlign w:val="bottom"/>
          </w:tcPr>
          <w:p w:rsidR="00DD0303" w:rsidRDefault="00FB1377">
            <w:pPr>
              <w:jc w:val="center"/>
              <w:rPr>
                <w:sz w:val="20"/>
                <w:szCs w:val="20"/>
              </w:rPr>
            </w:pPr>
            <w:r>
              <w:rPr>
                <w:rFonts w:eastAsia="Times New Roman"/>
                <w:w w:val="98"/>
                <w:sz w:val="20"/>
                <w:szCs w:val="20"/>
              </w:rPr>
              <w:t>68 (69%)</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not rape.</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528"/>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Rape between homosexual</w:t>
            </w:r>
          </w:p>
        </w:tc>
        <w:tc>
          <w:tcPr>
            <w:tcW w:w="620" w:type="dxa"/>
            <w:vAlign w:val="bottom"/>
          </w:tcPr>
          <w:p w:rsidR="00DD0303" w:rsidRDefault="00FB1377">
            <w:pPr>
              <w:jc w:val="center"/>
              <w:rPr>
                <w:sz w:val="20"/>
                <w:szCs w:val="20"/>
              </w:rPr>
            </w:pPr>
            <w:r>
              <w:rPr>
                <w:rFonts w:eastAsia="Times New Roman"/>
                <w:w w:val="99"/>
                <w:sz w:val="20"/>
                <w:szCs w:val="20"/>
              </w:rPr>
              <w:t>96</w:t>
            </w:r>
          </w:p>
        </w:tc>
        <w:tc>
          <w:tcPr>
            <w:tcW w:w="1160" w:type="dxa"/>
            <w:vAlign w:val="bottom"/>
          </w:tcPr>
          <w:p w:rsidR="00DD0303" w:rsidRDefault="00FB1377">
            <w:pPr>
              <w:jc w:val="center"/>
              <w:rPr>
                <w:sz w:val="20"/>
                <w:szCs w:val="20"/>
              </w:rPr>
            </w:pPr>
            <w:r>
              <w:rPr>
                <w:rFonts w:eastAsia="Times New Roman"/>
                <w:w w:val="99"/>
                <w:sz w:val="20"/>
                <w:szCs w:val="20"/>
              </w:rPr>
              <w:t>0</w:t>
            </w:r>
          </w:p>
        </w:tc>
        <w:tc>
          <w:tcPr>
            <w:tcW w:w="420" w:type="dxa"/>
            <w:vAlign w:val="bottom"/>
          </w:tcPr>
          <w:p w:rsidR="00DD0303" w:rsidRDefault="00DD0303">
            <w:pPr>
              <w:rPr>
                <w:sz w:val="24"/>
                <w:szCs w:val="24"/>
              </w:rPr>
            </w:pPr>
          </w:p>
        </w:tc>
        <w:tc>
          <w:tcPr>
            <w:tcW w:w="720" w:type="dxa"/>
            <w:vAlign w:val="bottom"/>
          </w:tcPr>
          <w:p w:rsidR="00DD0303" w:rsidRDefault="00FB1377">
            <w:pPr>
              <w:ind w:left="100"/>
              <w:rPr>
                <w:sz w:val="20"/>
                <w:szCs w:val="20"/>
              </w:rPr>
            </w:pPr>
            <w:r>
              <w:rPr>
                <w:rFonts w:eastAsia="Times New Roman"/>
                <w:sz w:val="20"/>
                <w:szCs w:val="20"/>
              </w:rPr>
              <w:t>0</w:t>
            </w:r>
          </w:p>
        </w:tc>
        <w:tc>
          <w:tcPr>
            <w:tcW w:w="420" w:type="dxa"/>
            <w:vAlign w:val="bottom"/>
          </w:tcPr>
          <w:p w:rsidR="00DD0303" w:rsidRDefault="00DD0303">
            <w:pPr>
              <w:rPr>
                <w:sz w:val="24"/>
                <w:szCs w:val="24"/>
              </w:rPr>
            </w:pPr>
          </w:p>
        </w:tc>
        <w:tc>
          <w:tcPr>
            <w:tcW w:w="740" w:type="dxa"/>
            <w:vAlign w:val="bottom"/>
          </w:tcPr>
          <w:p w:rsidR="00DD0303" w:rsidRDefault="00FB1377">
            <w:pPr>
              <w:ind w:left="100"/>
              <w:rPr>
                <w:sz w:val="20"/>
                <w:szCs w:val="20"/>
              </w:rPr>
            </w:pPr>
            <w:r>
              <w:rPr>
                <w:rFonts w:eastAsia="Times New Roman"/>
                <w:sz w:val="20"/>
                <w:szCs w:val="20"/>
              </w:rPr>
              <w:t>0</w:t>
            </w:r>
          </w:p>
        </w:tc>
        <w:tc>
          <w:tcPr>
            <w:tcW w:w="1260" w:type="dxa"/>
            <w:vAlign w:val="bottom"/>
          </w:tcPr>
          <w:p w:rsidR="00DD0303" w:rsidRDefault="00FB1377">
            <w:pPr>
              <w:ind w:left="220"/>
              <w:rPr>
                <w:sz w:val="20"/>
                <w:szCs w:val="20"/>
              </w:rPr>
            </w:pPr>
            <w:r>
              <w:rPr>
                <w:rFonts w:eastAsia="Times New Roman"/>
                <w:sz w:val="20"/>
                <w:szCs w:val="20"/>
              </w:rPr>
              <w:t>27 (28%)</w:t>
            </w:r>
          </w:p>
        </w:tc>
        <w:tc>
          <w:tcPr>
            <w:tcW w:w="1540" w:type="dxa"/>
            <w:vAlign w:val="bottom"/>
          </w:tcPr>
          <w:p w:rsidR="00DD0303" w:rsidRDefault="00FB1377">
            <w:pPr>
              <w:jc w:val="center"/>
              <w:rPr>
                <w:sz w:val="20"/>
                <w:szCs w:val="20"/>
              </w:rPr>
            </w:pPr>
            <w:r>
              <w:rPr>
                <w:rFonts w:eastAsia="Times New Roman"/>
                <w:w w:val="98"/>
                <w:sz w:val="20"/>
                <w:szCs w:val="20"/>
              </w:rPr>
              <w:t>69 (70%)</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couples does not exist.</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530"/>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The police won’t take it</w:t>
            </w:r>
          </w:p>
        </w:tc>
        <w:tc>
          <w:tcPr>
            <w:tcW w:w="62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sz w:val="20"/>
                <w:szCs w:val="20"/>
              </w:rPr>
              <w:t xml:space="preserve">15 </w:t>
            </w:r>
            <w:r>
              <w:rPr>
                <w:rFonts w:eastAsia="Times New Roman"/>
                <w:sz w:val="20"/>
                <w:szCs w:val="20"/>
              </w:rPr>
              <w:t>(15%)</w:t>
            </w:r>
          </w:p>
        </w:tc>
        <w:tc>
          <w:tcPr>
            <w:tcW w:w="420" w:type="dxa"/>
            <w:vAlign w:val="bottom"/>
          </w:tcPr>
          <w:p w:rsidR="00DD0303" w:rsidRDefault="00FB1377">
            <w:pPr>
              <w:jc w:val="right"/>
              <w:rPr>
                <w:sz w:val="20"/>
                <w:szCs w:val="20"/>
              </w:rPr>
            </w:pPr>
            <w:r>
              <w:rPr>
                <w:rFonts w:eastAsia="Times New Roman"/>
                <w:sz w:val="20"/>
                <w:szCs w:val="20"/>
              </w:rPr>
              <w:t>25</w:t>
            </w:r>
          </w:p>
        </w:tc>
        <w:tc>
          <w:tcPr>
            <w:tcW w:w="720" w:type="dxa"/>
            <w:vAlign w:val="bottom"/>
          </w:tcPr>
          <w:p w:rsidR="00DD0303" w:rsidRDefault="00FB1377">
            <w:pPr>
              <w:ind w:left="20"/>
              <w:rPr>
                <w:sz w:val="20"/>
                <w:szCs w:val="20"/>
              </w:rPr>
            </w:pPr>
            <w:r>
              <w:rPr>
                <w:rFonts w:eastAsia="Times New Roman"/>
                <w:sz w:val="20"/>
                <w:szCs w:val="20"/>
              </w:rPr>
              <w:t>(25%)</w:t>
            </w:r>
          </w:p>
        </w:tc>
        <w:tc>
          <w:tcPr>
            <w:tcW w:w="420" w:type="dxa"/>
            <w:vAlign w:val="bottom"/>
          </w:tcPr>
          <w:p w:rsidR="00DD0303" w:rsidRDefault="00FB1377">
            <w:pPr>
              <w:jc w:val="right"/>
              <w:rPr>
                <w:sz w:val="20"/>
                <w:szCs w:val="20"/>
              </w:rPr>
            </w:pPr>
            <w:r>
              <w:rPr>
                <w:rFonts w:eastAsia="Times New Roman"/>
                <w:sz w:val="20"/>
                <w:szCs w:val="20"/>
              </w:rPr>
              <w:t>21</w:t>
            </w:r>
          </w:p>
        </w:tc>
        <w:tc>
          <w:tcPr>
            <w:tcW w:w="740" w:type="dxa"/>
            <w:vAlign w:val="bottom"/>
          </w:tcPr>
          <w:p w:rsidR="00DD0303" w:rsidRDefault="00FB1377">
            <w:pPr>
              <w:ind w:left="20"/>
              <w:rPr>
                <w:sz w:val="20"/>
                <w:szCs w:val="20"/>
              </w:rPr>
            </w:pPr>
            <w:r>
              <w:rPr>
                <w:rFonts w:eastAsia="Times New Roman"/>
                <w:sz w:val="20"/>
                <w:szCs w:val="20"/>
              </w:rPr>
              <w:t>(21%)</w:t>
            </w:r>
          </w:p>
        </w:tc>
        <w:tc>
          <w:tcPr>
            <w:tcW w:w="1260" w:type="dxa"/>
            <w:vAlign w:val="bottom"/>
          </w:tcPr>
          <w:p w:rsidR="00DD0303" w:rsidRDefault="00FB1377">
            <w:pPr>
              <w:ind w:left="220"/>
              <w:rPr>
                <w:sz w:val="20"/>
                <w:szCs w:val="20"/>
              </w:rPr>
            </w:pPr>
            <w:r>
              <w:rPr>
                <w:rFonts w:eastAsia="Times New Roman"/>
                <w:sz w:val="20"/>
                <w:szCs w:val="20"/>
              </w:rPr>
              <w:t>23 (24%)</w:t>
            </w:r>
          </w:p>
        </w:tc>
        <w:tc>
          <w:tcPr>
            <w:tcW w:w="1540" w:type="dxa"/>
            <w:vAlign w:val="bottom"/>
          </w:tcPr>
          <w:p w:rsidR="00DD0303" w:rsidRDefault="00FB1377">
            <w:pPr>
              <w:jc w:val="center"/>
              <w:rPr>
                <w:sz w:val="20"/>
                <w:szCs w:val="20"/>
              </w:rPr>
            </w:pPr>
            <w:r>
              <w:rPr>
                <w:rFonts w:eastAsia="Times New Roman"/>
                <w:w w:val="98"/>
                <w:sz w:val="20"/>
                <w:szCs w:val="20"/>
              </w:rPr>
              <w:t>13 (13%)</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seriously if a woman raped</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a man.</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530"/>
        </w:trPr>
        <w:tc>
          <w:tcPr>
            <w:tcW w:w="20" w:type="dxa"/>
            <w:vAlign w:val="bottom"/>
          </w:tcPr>
          <w:p w:rsidR="00DD0303" w:rsidRDefault="00DD0303">
            <w:pPr>
              <w:rPr>
                <w:sz w:val="24"/>
                <w:szCs w:val="24"/>
              </w:rPr>
            </w:pPr>
          </w:p>
        </w:tc>
        <w:tc>
          <w:tcPr>
            <w:tcW w:w="2500" w:type="dxa"/>
            <w:vAlign w:val="bottom"/>
          </w:tcPr>
          <w:p w:rsidR="00DD0303" w:rsidRDefault="00FB1377">
            <w:pPr>
              <w:ind w:left="100"/>
              <w:rPr>
                <w:sz w:val="20"/>
                <w:szCs w:val="20"/>
              </w:rPr>
            </w:pPr>
            <w:r>
              <w:rPr>
                <w:rFonts w:eastAsia="Times New Roman"/>
                <w:sz w:val="20"/>
                <w:szCs w:val="20"/>
              </w:rPr>
              <w:t>The police won’t take it</w:t>
            </w:r>
          </w:p>
        </w:tc>
        <w:tc>
          <w:tcPr>
            <w:tcW w:w="620" w:type="dxa"/>
            <w:vAlign w:val="bottom"/>
          </w:tcPr>
          <w:p w:rsidR="00DD0303" w:rsidRDefault="00FB1377">
            <w:pPr>
              <w:jc w:val="center"/>
              <w:rPr>
                <w:sz w:val="20"/>
                <w:szCs w:val="20"/>
              </w:rPr>
            </w:pPr>
            <w:r>
              <w:rPr>
                <w:rFonts w:eastAsia="Times New Roman"/>
                <w:w w:val="99"/>
                <w:sz w:val="20"/>
                <w:szCs w:val="20"/>
              </w:rPr>
              <w:t>97</w:t>
            </w:r>
          </w:p>
        </w:tc>
        <w:tc>
          <w:tcPr>
            <w:tcW w:w="1160" w:type="dxa"/>
            <w:vAlign w:val="bottom"/>
          </w:tcPr>
          <w:p w:rsidR="00DD0303" w:rsidRDefault="00FB1377">
            <w:pPr>
              <w:jc w:val="center"/>
              <w:rPr>
                <w:sz w:val="20"/>
                <w:szCs w:val="20"/>
              </w:rPr>
            </w:pPr>
            <w:r>
              <w:rPr>
                <w:rFonts w:eastAsia="Times New Roman"/>
                <w:w w:val="98"/>
                <w:sz w:val="20"/>
                <w:szCs w:val="20"/>
              </w:rPr>
              <w:t>2 (2%)</w:t>
            </w:r>
          </w:p>
        </w:tc>
        <w:tc>
          <w:tcPr>
            <w:tcW w:w="420" w:type="dxa"/>
            <w:vAlign w:val="bottom"/>
          </w:tcPr>
          <w:p w:rsidR="00DD0303" w:rsidRDefault="00FB1377">
            <w:pPr>
              <w:jc w:val="right"/>
              <w:rPr>
                <w:sz w:val="20"/>
                <w:szCs w:val="20"/>
              </w:rPr>
            </w:pPr>
            <w:r>
              <w:rPr>
                <w:rFonts w:eastAsia="Times New Roman"/>
                <w:sz w:val="20"/>
                <w:szCs w:val="20"/>
              </w:rPr>
              <w:t>9</w:t>
            </w:r>
          </w:p>
        </w:tc>
        <w:tc>
          <w:tcPr>
            <w:tcW w:w="720" w:type="dxa"/>
            <w:vAlign w:val="bottom"/>
          </w:tcPr>
          <w:p w:rsidR="00DD0303" w:rsidRDefault="00FB1377">
            <w:pPr>
              <w:ind w:left="20"/>
              <w:rPr>
                <w:sz w:val="20"/>
                <w:szCs w:val="20"/>
              </w:rPr>
            </w:pPr>
            <w:r>
              <w:rPr>
                <w:rFonts w:eastAsia="Times New Roman"/>
                <w:sz w:val="20"/>
                <w:szCs w:val="20"/>
              </w:rPr>
              <w:t>(9%)</w:t>
            </w:r>
          </w:p>
        </w:tc>
        <w:tc>
          <w:tcPr>
            <w:tcW w:w="420" w:type="dxa"/>
            <w:vAlign w:val="bottom"/>
          </w:tcPr>
          <w:p w:rsidR="00DD0303" w:rsidRDefault="00FB1377">
            <w:pPr>
              <w:jc w:val="right"/>
              <w:rPr>
                <w:sz w:val="20"/>
                <w:szCs w:val="20"/>
              </w:rPr>
            </w:pPr>
            <w:r>
              <w:rPr>
                <w:rFonts w:eastAsia="Times New Roman"/>
                <w:sz w:val="20"/>
                <w:szCs w:val="20"/>
              </w:rPr>
              <w:t>15</w:t>
            </w:r>
          </w:p>
        </w:tc>
        <w:tc>
          <w:tcPr>
            <w:tcW w:w="740" w:type="dxa"/>
            <w:vAlign w:val="bottom"/>
          </w:tcPr>
          <w:p w:rsidR="00DD0303" w:rsidRDefault="00FB1377">
            <w:pPr>
              <w:ind w:left="20"/>
              <w:rPr>
                <w:sz w:val="20"/>
                <w:szCs w:val="20"/>
              </w:rPr>
            </w:pPr>
            <w:r>
              <w:rPr>
                <w:rFonts w:eastAsia="Times New Roman"/>
                <w:sz w:val="20"/>
                <w:szCs w:val="20"/>
              </w:rPr>
              <w:t>(15%)</w:t>
            </w:r>
          </w:p>
        </w:tc>
        <w:tc>
          <w:tcPr>
            <w:tcW w:w="1260" w:type="dxa"/>
            <w:vAlign w:val="bottom"/>
          </w:tcPr>
          <w:p w:rsidR="00DD0303" w:rsidRDefault="00FB1377">
            <w:pPr>
              <w:ind w:left="220"/>
              <w:rPr>
                <w:sz w:val="20"/>
                <w:szCs w:val="20"/>
              </w:rPr>
            </w:pPr>
            <w:r>
              <w:rPr>
                <w:rFonts w:eastAsia="Times New Roman"/>
                <w:sz w:val="20"/>
                <w:szCs w:val="20"/>
              </w:rPr>
              <w:t>35 (36%)</w:t>
            </w:r>
          </w:p>
        </w:tc>
        <w:tc>
          <w:tcPr>
            <w:tcW w:w="1540" w:type="dxa"/>
            <w:vAlign w:val="bottom"/>
          </w:tcPr>
          <w:p w:rsidR="00DD0303" w:rsidRDefault="00FB1377">
            <w:pPr>
              <w:jc w:val="center"/>
              <w:rPr>
                <w:sz w:val="20"/>
                <w:szCs w:val="20"/>
              </w:rPr>
            </w:pPr>
            <w:r>
              <w:rPr>
                <w:rFonts w:eastAsia="Times New Roman"/>
                <w:w w:val="98"/>
                <w:sz w:val="20"/>
                <w:szCs w:val="20"/>
              </w:rPr>
              <w:t>36 (37%)</w:t>
            </w:r>
          </w:p>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seriously if a man raped</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264"/>
        </w:trPr>
        <w:tc>
          <w:tcPr>
            <w:tcW w:w="20" w:type="dxa"/>
            <w:vAlign w:val="bottom"/>
          </w:tcPr>
          <w:p w:rsidR="00DD0303" w:rsidRDefault="00DD0303"/>
        </w:tc>
        <w:tc>
          <w:tcPr>
            <w:tcW w:w="2500" w:type="dxa"/>
            <w:vAlign w:val="bottom"/>
          </w:tcPr>
          <w:p w:rsidR="00DD0303" w:rsidRDefault="00FB1377">
            <w:pPr>
              <w:ind w:left="100"/>
              <w:rPr>
                <w:sz w:val="20"/>
                <w:szCs w:val="20"/>
              </w:rPr>
            </w:pPr>
            <w:r>
              <w:rPr>
                <w:rFonts w:eastAsia="Times New Roman"/>
                <w:sz w:val="20"/>
                <w:szCs w:val="20"/>
              </w:rPr>
              <w:t>another man.</w:t>
            </w:r>
          </w:p>
        </w:tc>
        <w:tc>
          <w:tcPr>
            <w:tcW w:w="620" w:type="dxa"/>
            <w:vAlign w:val="bottom"/>
          </w:tcPr>
          <w:p w:rsidR="00DD0303" w:rsidRDefault="00DD0303"/>
        </w:tc>
        <w:tc>
          <w:tcPr>
            <w:tcW w:w="1160" w:type="dxa"/>
            <w:vAlign w:val="bottom"/>
          </w:tcPr>
          <w:p w:rsidR="00DD0303" w:rsidRDefault="00DD0303"/>
        </w:tc>
        <w:tc>
          <w:tcPr>
            <w:tcW w:w="420" w:type="dxa"/>
            <w:vAlign w:val="bottom"/>
          </w:tcPr>
          <w:p w:rsidR="00DD0303" w:rsidRDefault="00DD0303"/>
        </w:tc>
        <w:tc>
          <w:tcPr>
            <w:tcW w:w="720" w:type="dxa"/>
            <w:vAlign w:val="bottom"/>
          </w:tcPr>
          <w:p w:rsidR="00DD0303" w:rsidRDefault="00DD0303"/>
        </w:tc>
        <w:tc>
          <w:tcPr>
            <w:tcW w:w="420" w:type="dxa"/>
            <w:vAlign w:val="bottom"/>
          </w:tcPr>
          <w:p w:rsidR="00DD0303" w:rsidRDefault="00DD0303"/>
        </w:tc>
        <w:tc>
          <w:tcPr>
            <w:tcW w:w="740" w:type="dxa"/>
            <w:vAlign w:val="bottom"/>
          </w:tcPr>
          <w:p w:rsidR="00DD0303" w:rsidRDefault="00DD0303"/>
        </w:tc>
        <w:tc>
          <w:tcPr>
            <w:tcW w:w="1260" w:type="dxa"/>
            <w:vAlign w:val="bottom"/>
          </w:tcPr>
          <w:p w:rsidR="00DD0303" w:rsidRDefault="00DD0303"/>
        </w:tc>
        <w:tc>
          <w:tcPr>
            <w:tcW w:w="1540" w:type="dxa"/>
            <w:vAlign w:val="bottom"/>
          </w:tcPr>
          <w:p w:rsidR="00DD0303" w:rsidRDefault="00DD0303"/>
        </w:tc>
      </w:tr>
      <w:tr w:rsidR="00DD0303">
        <w:trPr>
          <w:trHeight w:val="22"/>
        </w:trPr>
        <w:tc>
          <w:tcPr>
            <w:tcW w:w="20" w:type="dxa"/>
            <w:tcBorders>
              <w:bottom w:val="single" w:sz="8" w:space="0" w:color="auto"/>
            </w:tcBorders>
            <w:vAlign w:val="bottom"/>
          </w:tcPr>
          <w:p w:rsidR="00DD0303" w:rsidRDefault="00DD0303">
            <w:pPr>
              <w:spacing w:line="20" w:lineRule="exact"/>
              <w:rPr>
                <w:sz w:val="1"/>
                <w:szCs w:val="1"/>
              </w:rPr>
            </w:pPr>
          </w:p>
        </w:tc>
        <w:tc>
          <w:tcPr>
            <w:tcW w:w="2500" w:type="dxa"/>
            <w:tcBorders>
              <w:bottom w:val="single" w:sz="8" w:space="0" w:color="auto"/>
            </w:tcBorders>
            <w:vAlign w:val="bottom"/>
          </w:tcPr>
          <w:p w:rsidR="00DD0303" w:rsidRDefault="00DD0303">
            <w:pPr>
              <w:spacing w:line="20" w:lineRule="exact"/>
              <w:rPr>
                <w:sz w:val="1"/>
                <w:szCs w:val="1"/>
              </w:rPr>
            </w:pPr>
          </w:p>
        </w:tc>
        <w:tc>
          <w:tcPr>
            <w:tcW w:w="620" w:type="dxa"/>
            <w:tcBorders>
              <w:bottom w:val="single" w:sz="8" w:space="0" w:color="auto"/>
            </w:tcBorders>
            <w:vAlign w:val="bottom"/>
          </w:tcPr>
          <w:p w:rsidR="00DD0303" w:rsidRDefault="00DD0303">
            <w:pPr>
              <w:spacing w:line="20" w:lineRule="exact"/>
              <w:rPr>
                <w:sz w:val="1"/>
                <w:szCs w:val="1"/>
              </w:rPr>
            </w:pPr>
          </w:p>
        </w:tc>
        <w:tc>
          <w:tcPr>
            <w:tcW w:w="1160" w:type="dxa"/>
            <w:tcBorders>
              <w:bottom w:val="single" w:sz="8" w:space="0" w:color="auto"/>
            </w:tcBorders>
            <w:vAlign w:val="bottom"/>
          </w:tcPr>
          <w:p w:rsidR="00DD0303" w:rsidRDefault="00DD0303">
            <w:pPr>
              <w:spacing w:line="20" w:lineRule="exact"/>
              <w:rPr>
                <w:sz w:val="1"/>
                <w:szCs w:val="1"/>
              </w:rPr>
            </w:pPr>
          </w:p>
        </w:tc>
        <w:tc>
          <w:tcPr>
            <w:tcW w:w="420" w:type="dxa"/>
            <w:tcBorders>
              <w:bottom w:val="single" w:sz="8" w:space="0" w:color="auto"/>
            </w:tcBorders>
            <w:vAlign w:val="bottom"/>
          </w:tcPr>
          <w:p w:rsidR="00DD0303" w:rsidRDefault="00DD0303">
            <w:pPr>
              <w:spacing w:line="20" w:lineRule="exact"/>
              <w:rPr>
                <w:sz w:val="1"/>
                <w:szCs w:val="1"/>
              </w:rPr>
            </w:pPr>
          </w:p>
        </w:tc>
        <w:tc>
          <w:tcPr>
            <w:tcW w:w="720" w:type="dxa"/>
            <w:tcBorders>
              <w:bottom w:val="single" w:sz="8" w:space="0" w:color="auto"/>
            </w:tcBorders>
            <w:vAlign w:val="bottom"/>
          </w:tcPr>
          <w:p w:rsidR="00DD0303" w:rsidRDefault="00DD0303">
            <w:pPr>
              <w:spacing w:line="20" w:lineRule="exact"/>
              <w:rPr>
                <w:sz w:val="1"/>
                <w:szCs w:val="1"/>
              </w:rPr>
            </w:pPr>
          </w:p>
        </w:tc>
        <w:tc>
          <w:tcPr>
            <w:tcW w:w="420" w:type="dxa"/>
            <w:tcBorders>
              <w:bottom w:val="single" w:sz="8" w:space="0" w:color="auto"/>
            </w:tcBorders>
            <w:vAlign w:val="bottom"/>
          </w:tcPr>
          <w:p w:rsidR="00DD0303" w:rsidRDefault="00DD0303">
            <w:pPr>
              <w:spacing w:line="20" w:lineRule="exact"/>
              <w:rPr>
                <w:sz w:val="1"/>
                <w:szCs w:val="1"/>
              </w:rPr>
            </w:pPr>
          </w:p>
        </w:tc>
        <w:tc>
          <w:tcPr>
            <w:tcW w:w="740" w:type="dxa"/>
            <w:tcBorders>
              <w:bottom w:val="single" w:sz="8" w:space="0" w:color="auto"/>
            </w:tcBorders>
            <w:vAlign w:val="bottom"/>
          </w:tcPr>
          <w:p w:rsidR="00DD0303" w:rsidRDefault="00DD0303">
            <w:pPr>
              <w:spacing w:line="20" w:lineRule="exact"/>
              <w:rPr>
                <w:sz w:val="1"/>
                <w:szCs w:val="1"/>
              </w:rPr>
            </w:pPr>
          </w:p>
        </w:tc>
        <w:tc>
          <w:tcPr>
            <w:tcW w:w="1260" w:type="dxa"/>
            <w:tcBorders>
              <w:bottom w:val="single" w:sz="8" w:space="0" w:color="auto"/>
            </w:tcBorders>
            <w:vAlign w:val="bottom"/>
          </w:tcPr>
          <w:p w:rsidR="00DD0303" w:rsidRDefault="00DD0303">
            <w:pPr>
              <w:spacing w:line="20" w:lineRule="exact"/>
              <w:rPr>
                <w:sz w:val="1"/>
                <w:szCs w:val="1"/>
              </w:rPr>
            </w:pPr>
          </w:p>
        </w:tc>
        <w:tc>
          <w:tcPr>
            <w:tcW w:w="1540" w:type="dxa"/>
            <w:tcBorders>
              <w:bottom w:val="single" w:sz="8" w:space="0" w:color="auto"/>
            </w:tcBorders>
            <w:vAlign w:val="bottom"/>
          </w:tcPr>
          <w:p w:rsidR="00DD0303" w:rsidRDefault="00DD0303">
            <w:pPr>
              <w:spacing w:line="20" w:lineRule="exact"/>
              <w:rPr>
                <w:sz w:val="1"/>
                <w:szCs w:val="1"/>
              </w:rPr>
            </w:pPr>
          </w:p>
        </w:tc>
      </w:tr>
    </w:tbl>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00" w:lineRule="exact"/>
        <w:rPr>
          <w:sz w:val="20"/>
          <w:szCs w:val="20"/>
        </w:rPr>
      </w:pPr>
    </w:p>
    <w:p w:rsidR="00DD0303" w:rsidRDefault="00DD0303">
      <w:pPr>
        <w:spacing w:line="253" w:lineRule="exact"/>
        <w:rPr>
          <w:sz w:val="20"/>
          <w:szCs w:val="20"/>
        </w:rPr>
      </w:pPr>
    </w:p>
    <w:p w:rsidR="00DD0303" w:rsidRDefault="00FB1377">
      <w:pPr>
        <w:ind w:left="9100"/>
        <w:rPr>
          <w:sz w:val="20"/>
          <w:szCs w:val="20"/>
        </w:rPr>
      </w:pPr>
      <w:r>
        <w:rPr>
          <w:rFonts w:eastAsia="Times New Roman"/>
        </w:rPr>
        <w:t>39</w:t>
      </w:r>
    </w:p>
    <w:sectPr w:rsidR="00DD0303">
      <w:pgSz w:w="11900" w:h="16838"/>
      <w:pgMar w:top="684" w:right="1366" w:bottom="437" w:left="1140" w:header="0" w:footer="0" w:gutter="0"/>
      <w:cols w:space="720" w:equalWidth="0">
        <w:col w:w="94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E1F29"/>
    <w:multiLevelType w:val="hybridMultilevel"/>
    <w:tmpl w:val="7936A4BA"/>
    <w:lvl w:ilvl="0" w:tplc="E2BCC6A6">
      <w:start w:val="1"/>
      <w:numFmt w:val="bullet"/>
      <w:lvlText w:val="-"/>
      <w:lvlJc w:val="left"/>
    </w:lvl>
    <w:lvl w:ilvl="1" w:tplc="5C743F8A">
      <w:numFmt w:val="decimal"/>
      <w:lvlText w:val=""/>
      <w:lvlJc w:val="left"/>
    </w:lvl>
    <w:lvl w:ilvl="2" w:tplc="058284D2">
      <w:numFmt w:val="decimal"/>
      <w:lvlText w:val=""/>
      <w:lvlJc w:val="left"/>
    </w:lvl>
    <w:lvl w:ilvl="3" w:tplc="E748527C">
      <w:numFmt w:val="decimal"/>
      <w:lvlText w:val=""/>
      <w:lvlJc w:val="left"/>
    </w:lvl>
    <w:lvl w:ilvl="4" w:tplc="BFA24614">
      <w:numFmt w:val="decimal"/>
      <w:lvlText w:val=""/>
      <w:lvlJc w:val="left"/>
    </w:lvl>
    <w:lvl w:ilvl="5" w:tplc="F7F8AAF2">
      <w:numFmt w:val="decimal"/>
      <w:lvlText w:val=""/>
      <w:lvlJc w:val="left"/>
    </w:lvl>
    <w:lvl w:ilvl="6" w:tplc="8E8CF288">
      <w:numFmt w:val="decimal"/>
      <w:lvlText w:val=""/>
      <w:lvlJc w:val="left"/>
    </w:lvl>
    <w:lvl w:ilvl="7" w:tplc="DEF4CD62">
      <w:numFmt w:val="decimal"/>
      <w:lvlText w:val=""/>
      <w:lvlJc w:val="left"/>
    </w:lvl>
    <w:lvl w:ilvl="8" w:tplc="D64E1FFE">
      <w:numFmt w:val="decimal"/>
      <w:lvlText w:val=""/>
      <w:lvlJc w:val="left"/>
    </w:lvl>
  </w:abstractNum>
  <w:abstractNum w:abstractNumId="1" w15:restartNumberingAfterBreak="0">
    <w:nsid w:val="2EB141F2"/>
    <w:multiLevelType w:val="hybridMultilevel"/>
    <w:tmpl w:val="8BA22CBE"/>
    <w:lvl w:ilvl="0" w:tplc="C9A65B7E">
      <w:start w:val="1"/>
      <w:numFmt w:val="bullet"/>
      <w:lvlText w:val="•"/>
      <w:lvlJc w:val="left"/>
    </w:lvl>
    <w:lvl w:ilvl="1" w:tplc="79EA818E">
      <w:numFmt w:val="decimal"/>
      <w:lvlText w:val=""/>
      <w:lvlJc w:val="left"/>
    </w:lvl>
    <w:lvl w:ilvl="2" w:tplc="86841F78">
      <w:numFmt w:val="decimal"/>
      <w:lvlText w:val=""/>
      <w:lvlJc w:val="left"/>
    </w:lvl>
    <w:lvl w:ilvl="3" w:tplc="C5D65816">
      <w:numFmt w:val="decimal"/>
      <w:lvlText w:val=""/>
      <w:lvlJc w:val="left"/>
    </w:lvl>
    <w:lvl w:ilvl="4" w:tplc="D53CE3AA">
      <w:numFmt w:val="decimal"/>
      <w:lvlText w:val=""/>
      <w:lvlJc w:val="left"/>
    </w:lvl>
    <w:lvl w:ilvl="5" w:tplc="AD74EC00">
      <w:numFmt w:val="decimal"/>
      <w:lvlText w:val=""/>
      <w:lvlJc w:val="left"/>
    </w:lvl>
    <w:lvl w:ilvl="6" w:tplc="6772D5DE">
      <w:numFmt w:val="decimal"/>
      <w:lvlText w:val=""/>
      <w:lvlJc w:val="left"/>
    </w:lvl>
    <w:lvl w:ilvl="7" w:tplc="2EDE6FF4">
      <w:numFmt w:val="decimal"/>
      <w:lvlText w:val=""/>
      <w:lvlJc w:val="left"/>
    </w:lvl>
    <w:lvl w:ilvl="8" w:tplc="3C748CE4">
      <w:numFmt w:val="decimal"/>
      <w:lvlText w:val=""/>
      <w:lvlJc w:val="left"/>
    </w:lvl>
  </w:abstractNum>
  <w:abstractNum w:abstractNumId="2" w15:restartNumberingAfterBreak="0">
    <w:nsid w:val="3D1B58BA"/>
    <w:multiLevelType w:val="hybridMultilevel"/>
    <w:tmpl w:val="C0B0C9C8"/>
    <w:lvl w:ilvl="0" w:tplc="9A982CFE">
      <w:start w:val="1"/>
      <w:numFmt w:val="bullet"/>
      <w:lvlText w:val="•"/>
      <w:lvlJc w:val="left"/>
    </w:lvl>
    <w:lvl w:ilvl="1" w:tplc="51A6DAA4">
      <w:numFmt w:val="decimal"/>
      <w:lvlText w:val=""/>
      <w:lvlJc w:val="left"/>
    </w:lvl>
    <w:lvl w:ilvl="2" w:tplc="61AEAB1A">
      <w:numFmt w:val="decimal"/>
      <w:lvlText w:val=""/>
      <w:lvlJc w:val="left"/>
    </w:lvl>
    <w:lvl w:ilvl="3" w:tplc="82B6DEAE">
      <w:numFmt w:val="decimal"/>
      <w:lvlText w:val=""/>
      <w:lvlJc w:val="left"/>
    </w:lvl>
    <w:lvl w:ilvl="4" w:tplc="66E607D4">
      <w:numFmt w:val="decimal"/>
      <w:lvlText w:val=""/>
      <w:lvlJc w:val="left"/>
    </w:lvl>
    <w:lvl w:ilvl="5" w:tplc="BCEE99EA">
      <w:numFmt w:val="decimal"/>
      <w:lvlText w:val=""/>
      <w:lvlJc w:val="left"/>
    </w:lvl>
    <w:lvl w:ilvl="6" w:tplc="11683E7E">
      <w:numFmt w:val="decimal"/>
      <w:lvlText w:val=""/>
      <w:lvlJc w:val="left"/>
    </w:lvl>
    <w:lvl w:ilvl="7" w:tplc="F8884580">
      <w:numFmt w:val="decimal"/>
      <w:lvlText w:val=""/>
      <w:lvlJc w:val="left"/>
    </w:lvl>
    <w:lvl w:ilvl="8" w:tplc="955C818A">
      <w:numFmt w:val="decimal"/>
      <w:lvlText w:val=""/>
      <w:lvlJc w:val="left"/>
    </w:lvl>
  </w:abstractNum>
  <w:abstractNum w:abstractNumId="3" w15:restartNumberingAfterBreak="0">
    <w:nsid w:val="41B71EFB"/>
    <w:multiLevelType w:val="hybridMultilevel"/>
    <w:tmpl w:val="74A427AC"/>
    <w:lvl w:ilvl="0" w:tplc="566E3C74">
      <w:start w:val="1"/>
      <w:numFmt w:val="bullet"/>
      <w:lvlText w:val="•"/>
      <w:lvlJc w:val="left"/>
    </w:lvl>
    <w:lvl w:ilvl="1" w:tplc="AD3A2E8C">
      <w:numFmt w:val="decimal"/>
      <w:lvlText w:val=""/>
      <w:lvlJc w:val="left"/>
    </w:lvl>
    <w:lvl w:ilvl="2" w:tplc="2102A1FA">
      <w:numFmt w:val="decimal"/>
      <w:lvlText w:val=""/>
      <w:lvlJc w:val="left"/>
    </w:lvl>
    <w:lvl w:ilvl="3" w:tplc="8F867772">
      <w:numFmt w:val="decimal"/>
      <w:lvlText w:val=""/>
      <w:lvlJc w:val="left"/>
    </w:lvl>
    <w:lvl w:ilvl="4" w:tplc="DC8C982A">
      <w:numFmt w:val="decimal"/>
      <w:lvlText w:val=""/>
      <w:lvlJc w:val="left"/>
    </w:lvl>
    <w:lvl w:ilvl="5" w:tplc="1D8AA020">
      <w:numFmt w:val="decimal"/>
      <w:lvlText w:val=""/>
      <w:lvlJc w:val="left"/>
    </w:lvl>
    <w:lvl w:ilvl="6" w:tplc="5D920720">
      <w:numFmt w:val="decimal"/>
      <w:lvlText w:val=""/>
      <w:lvlJc w:val="left"/>
    </w:lvl>
    <w:lvl w:ilvl="7" w:tplc="954CFA42">
      <w:numFmt w:val="decimal"/>
      <w:lvlText w:val=""/>
      <w:lvlJc w:val="left"/>
    </w:lvl>
    <w:lvl w:ilvl="8" w:tplc="3A0E869C">
      <w:numFmt w:val="decimal"/>
      <w:lvlText w:val=""/>
      <w:lvlJc w:val="left"/>
    </w:lvl>
  </w:abstractNum>
  <w:abstractNum w:abstractNumId="4" w15:restartNumberingAfterBreak="0">
    <w:nsid w:val="46E87CCD"/>
    <w:multiLevelType w:val="hybridMultilevel"/>
    <w:tmpl w:val="A2029B90"/>
    <w:lvl w:ilvl="0" w:tplc="4A620C46">
      <w:start w:val="1"/>
      <w:numFmt w:val="decimal"/>
      <w:lvlText w:val="%1"/>
      <w:lvlJc w:val="left"/>
    </w:lvl>
    <w:lvl w:ilvl="1" w:tplc="4B7EA994">
      <w:numFmt w:val="decimal"/>
      <w:lvlText w:val=""/>
      <w:lvlJc w:val="left"/>
    </w:lvl>
    <w:lvl w:ilvl="2" w:tplc="01823A9C">
      <w:numFmt w:val="decimal"/>
      <w:lvlText w:val=""/>
      <w:lvlJc w:val="left"/>
    </w:lvl>
    <w:lvl w:ilvl="3" w:tplc="EDDCB97E">
      <w:numFmt w:val="decimal"/>
      <w:lvlText w:val=""/>
      <w:lvlJc w:val="left"/>
    </w:lvl>
    <w:lvl w:ilvl="4" w:tplc="C8167674">
      <w:numFmt w:val="decimal"/>
      <w:lvlText w:val=""/>
      <w:lvlJc w:val="left"/>
    </w:lvl>
    <w:lvl w:ilvl="5" w:tplc="C0E0F53A">
      <w:numFmt w:val="decimal"/>
      <w:lvlText w:val=""/>
      <w:lvlJc w:val="left"/>
    </w:lvl>
    <w:lvl w:ilvl="6" w:tplc="450C55EC">
      <w:numFmt w:val="decimal"/>
      <w:lvlText w:val=""/>
      <w:lvlJc w:val="left"/>
    </w:lvl>
    <w:lvl w:ilvl="7" w:tplc="AD46DD28">
      <w:numFmt w:val="decimal"/>
      <w:lvlText w:val=""/>
      <w:lvlJc w:val="left"/>
    </w:lvl>
    <w:lvl w:ilvl="8" w:tplc="F724AB28">
      <w:numFmt w:val="decimal"/>
      <w:lvlText w:val=""/>
      <w:lvlJc w:val="left"/>
    </w:lvl>
  </w:abstractNum>
  <w:abstractNum w:abstractNumId="5" w15:restartNumberingAfterBreak="0">
    <w:nsid w:val="507ED7AB"/>
    <w:multiLevelType w:val="hybridMultilevel"/>
    <w:tmpl w:val="E850D722"/>
    <w:lvl w:ilvl="0" w:tplc="BF047758">
      <w:start w:val="1"/>
      <w:numFmt w:val="bullet"/>
      <w:lvlText w:val="•"/>
      <w:lvlJc w:val="left"/>
    </w:lvl>
    <w:lvl w:ilvl="1" w:tplc="1174FAA0">
      <w:numFmt w:val="decimal"/>
      <w:lvlText w:val=""/>
      <w:lvlJc w:val="left"/>
    </w:lvl>
    <w:lvl w:ilvl="2" w:tplc="7C88E770">
      <w:numFmt w:val="decimal"/>
      <w:lvlText w:val=""/>
      <w:lvlJc w:val="left"/>
    </w:lvl>
    <w:lvl w:ilvl="3" w:tplc="36BC41CE">
      <w:numFmt w:val="decimal"/>
      <w:lvlText w:val=""/>
      <w:lvlJc w:val="left"/>
    </w:lvl>
    <w:lvl w:ilvl="4" w:tplc="F9FAB83C">
      <w:numFmt w:val="decimal"/>
      <w:lvlText w:val=""/>
      <w:lvlJc w:val="left"/>
    </w:lvl>
    <w:lvl w:ilvl="5" w:tplc="7B6AFDA8">
      <w:numFmt w:val="decimal"/>
      <w:lvlText w:val=""/>
      <w:lvlJc w:val="left"/>
    </w:lvl>
    <w:lvl w:ilvl="6" w:tplc="D570A9B2">
      <w:numFmt w:val="decimal"/>
      <w:lvlText w:val=""/>
      <w:lvlJc w:val="left"/>
    </w:lvl>
    <w:lvl w:ilvl="7" w:tplc="C130F4F8">
      <w:numFmt w:val="decimal"/>
      <w:lvlText w:val=""/>
      <w:lvlJc w:val="left"/>
    </w:lvl>
    <w:lvl w:ilvl="8" w:tplc="8D78B594">
      <w:numFmt w:val="decimal"/>
      <w:lvlText w:val=""/>
      <w:lvlJc w:val="left"/>
    </w:lvl>
  </w:abstractNum>
  <w:abstractNum w:abstractNumId="6" w15:restartNumberingAfterBreak="0">
    <w:nsid w:val="625558EC"/>
    <w:multiLevelType w:val="hybridMultilevel"/>
    <w:tmpl w:val="52C252D0"/>
    <w:lvl w:ilvl="0" w:tplc="7E503BEA">
      <w:start w:val="1"/>
      <w:numFmt w:val="bullet"/>
      <w:lvlText w:val="•"/>
      <w:lvlJc w:val="left"/>
    </w:lvl>
    <w:lvl w:ilvl="1" w:tplc="EA684370">
      <w:numFmt w:val="decimal"/>
      <w:lvlText w:val=""/>
      <w:lvlJc w:val="left"/>
    </w:lvl>
    <w:lvl w:ilvl="2" w:tplc="91AE404A">
      <w:numFmt w:val="decimal"/>
      <w:lvlText w:val=""/>
      <w:lvlJc w:val="left"/>
    </w:lvl>
    <w:lvl w:ilvl="3" w:tplc="C41CD97E">
      <w:numFmt w:val="decimal"/>
      <w:lvlText w:val=""/>
      <w:lvlJc w:val="left"/>
    </w:lvl>
    <w:lvl w:ilvl="4" w:tplc="6898EFEC">
      <w:numFmt w:val="decimal"/>
      <w:lvlText w:val=""/>
      <w:lvlJc w:val="left"/>
    </w:lvl>
    <w:lvl w:ilvl="5" w:tplc="DD3264A8">
      <w:numFmt w:val="decimal"/>
      <w:lvlText w:val=""/>
      <w:lvlJc w:val="left"/>
    </w:lvl>
    <w:lvl w:ilvl="6" w:tplc="1D64E112">
      <w:numFmt w:val="decimal"/>
      <w:lvlText w:val=""/>
      <w:lvlJc w:val="left"/>
    </w:lvl>
    <w:lvl w:ilvl="7" w:tplc="29146224">
      <w:numFmt w:val="decimal"/>
      <w:lvlText w:val=""/>
      <w:lvlJc w:val="left"/>
    </w:lvl>
    <w:lvl w:ilvl="8" w:tplc="89D2AC24">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03"/>
    <w:rsid w:val="003941DE"/>
    <w:rsid w:val="00DD0303"/>
    <w:rsid w:val="00FB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D432F-EF4F-4DB4-8140-8969E2C6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1DE"/>
    <w:rPr>
      <w:color w:val="0563C1" w:themeColor="hyperlink"/>
      <w:u w:val="single"/>
    </w:rPr>
  </w:style>
  <w:style w:type="paragraph" w:customStyle="1" w:styleId="Standard2">
    <w:name w:val="Standard2"/>
    <w:rsid w:val="00FB1377"/>
    <w:pPr>
      <w:spacing w:after="200" w:line="276" w:lineRule="auto"/>
    </w:pPr>
    <w:rPr>
      <w:rFonts w:ascii="Calibri" w:eastAsia="ヒラギノ角ゴ Pro W3" w:hAnsi="Calibri"/>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journalofcriminology.com/javaid_male_rape_the_invisible_male_ijc_jan_2014.pdf" TargetMode="External"/><Relationship Id="rId3" Type="http://schemas.openxmlformats.org/officeDocument/2006/relationships/settings" Target="settings.xml"/><Relationship Id="rId7" Type="http://schemas.openxmlformats.org/officeDocument/2006/relationships/hyperlink" Target="http://www.internetjournalofcriminology.com/javaid_male_rape_the_invisible_male_ijc_jan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iminal_Justice_and_Public_Order_Act_1994" TargetMode="External"/><Relationship Id="rId5" Type="http://schemas.openxmlformats.org/officeDocument/2006/relationships/hyperlink" Target="https://doi.org/10.1002/jip.14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10425</Words>
  <Characters>59425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4</cp:revision>
  <dcterms:created xsi:type="dcterms:W3CDTF">2018-03-27T07:37:00Z</dcterms:created>
  <dcterms:modified xsi:type="dcterms:W3CDTF">2018-03-27T11:46:00Z</dcterms:modified>
</cp:coreProperties>
</file>