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019" w:rsidRDefault="005C0DBA">
      <w:pPr>
        <w:rPr>
          <w:sz w:val="20"/>
          <w:szCs w:val="20"/>
        </w:rPr>
      </w:pPr>
      <w:r w:rsidRPr="005C0DBA">
        <w:rPr>
          <w:rFonts w:ascii="Arial" w:eastAsia="Arial" w:hAnsi="Arial" w:cs="Arial"/>
          <w:sz w:val="28"/>
          <w:szCs w:val="28"/>
        </w:rPr>
        <w:t>Birmingham City University</w:t>
      </w:r>
      <w:r>
        <w:rPr>
          <w:rFonts w:ascii="Arial" w:eastAsia="Arial" w:hAnsi="Arial" w:cs="Arial"/>
          <w:sz w:val="28"/>
          <w:szCs w:val="28"/>
        </w:rPr>
        <w:t xml:space="preserve"> Repository</w:t>
      </w:r>
    </w:p>
    <w:p w:rsidR="004C1019" w:rsidRDefault="004C1019">
      <w:pPr>
        <w:spacing w:line="331" w:lineRule="exact"/>
        <w:rPr>
          <w:sz w:val="24"/>
          <w:szCs w:val="24"/>
        </w:rPr>
      </w:pPr>
    </w:p>
    <w:p w:rsidR="004C1019" w:rsidRDefault="005C0DBA">
      <w:pPr>
        <w:rPr>
          <w:sz w:val="20"/>
          <w:szCs w:val="20"/>
        </w:rPr>
      </w:pPr>
      <w:r>
        <w:rPr>
          <w:rFonts w:ascii="Arial" w:eastAsia="Arial" w:hAnsi="Arial" w:cs="Arial"/>
          <w:sz w:val="24"/>
          <w:szCs w:val="24"/>
        </w:rPr>
        <w:t>Ioannou, Maria and Hammond, Laura</w:t>
      </w:r>
    </w:p>
    <w:p w:rsidR="004C1019" w:rsidRDefault="004C1019">
      <w:pPr>
        <w:spacing w:line="302" w:lineRule="exact"/>
        <w:rPr>
          <w:sz w:val="24"/>
          <w:szCs w:val="24"/>
        </w:rPr>
      </w:pPr>
    </w:p>
    <w:p w:rsidR="004C1019" w:rsidRDefault="005C0DBA">
      <w:pPr>
        <w:rPr>
          <w:sz w:val="20"/>
          <w:szCs w:val="20"/>
        </w:rPr>
      </w:pPr>
      <w:r>
        <w:rPr>
          <w:rFonts w:ascii="Arial" w:eastAsia="Arial" w:hAnsi="Arial" w:cs="Arial"/>
          <w:sz w:val="21"/>
          <w:szCs w:val="21"/>
        </w:rPr>
        <w:t>The changing face of homicide research: The shift in empirical focus and emerging research trends</w:t>
      </w:r>
    </w:p>
    <w:p w:rsidR="004C1019" w:rsidRDefault="004C1019">
      <w:pPr>
        <w:spacing w:line="336" w:lineRule="exact"/>
        <w:rPr>
          <w:sz w:val="24"/>
          <w:szCs w:val="24"/>
        </w:rPr>
      </w:pPr>
    </w:p>
    <w:p w:rsidR="004C1019" w:rsidRDefault="005C0DBA">
      <w:pPr>
        <w:rPr>
          <w:sz w:val="20"/>
          <w:szCs w:val="20"/>
        </w:rPr>
      </w:pPr>
      <w:r>
        <w:rPr>
          <w:rFonts w:ascii="Arial" w:eastAsia="Arial" w:hAnsi="Arial" w:cs="Arial"/>
          <w:sz w:val="24"/>
          <w:szCs w:val="24"/>
        </w:rPr>
        <w:t>Original Citation</w:t>
      </w:r>
    </w:p>
    <w:p w:rsidR="004C1019" w:rsidRDefault="004C1019">
      <w:pPr>
        <w:spacing w:line="327" w:lineRule="exact"/>
        <w:rPr>
          <w:sz w:val="24"/>
          <w:szCs w:val="24"/>
        </w:rPr>
      </w:pPr>
    </w:p>
    <w:p w:rsidR="004C1019" w:rsidRDefault="005C0DBA">
      <w:pPr>
        <w:spacing w:line="256" w:lineRule="auto"/>
        <w:ind w:right="60"/>
        <w:jc w:val="both"/>
        <w:rPr>
          <w:rFonts w:ascii="Arial" w:eastAsia="Arial" w:hAnsi="Arial" w:cs="Arial"/>
          <w:sz w:val="24"/>
          <w:szCs w:val="24"/>
        </w:rPr>
      </w:pPr>
      <w:r>
        <w:rPr>
          <w:rFonts w:ascii="Arial" w:eastAsia="Arial" w:hAnsi="Arial" w:cs="Arial"/>
          <w:sz w:val="24"/>
          <w:szCs w:val="24"/>
        </w:rPr>
        <w:t xml:space="preserve">Ioannou, Maria and Hammond, Laura (2015) The </w:t>
      </w:r>
      <w:r>
        <w:rPr>
          <w:rFonts w:ascii="Arial" w:eastAsia="Arial" w:hAnsi="Arial" w:cs="Arial"/>
          <w:sz w:val="24"/>
          <w:szCs w:val="24"/>
        </w:rPr>
        <w:t>changing face of homicide research: The shift in empirical focus and emerging research trends. Journal of Criminal Psychology, 5 (3). pp. 157­162. ISSN 2009­3829</w:t>
      </w:r>
    </w:p>
    <w:p w:rsidR="005C0DBA" w:rsidRDefault="005C0DBA">
      <w:pPr>
        <w:spacing w:line="256" w:lineRule="auto"/>
        <w:ind w:right="60"/>
        <w:jc w:val="both"/>
        <w:rPr>
          <w:rFonts w:ascii="Arial" w:eastAsia="Arial" w:hAnsi="Arial" w:cs="Arial"/>
          <w:sz w:val="24"/>
          <w:szCs w:val="24"/>
        </w:rPr>
      </w:pPr>
    </w:p>
    <w:p w:rsidR="005C0DBA" w:rsidRDefault="005C0DBA">
      <w:pPr>
        <w:spacing w:line="256" w:lineRule="auto"/>
        <w:ind w:right="60"/>
        <w:jc w:val="both"/>
        <w:rPr>
          <w:rFonts w:ascii="Arial" w:eastAsia="Arial" w:hAnsi="Arial" w:cs="Arial"/>
          <w:sz w:val="24"/>
          <w:szCs w:val="24"/>
        </w:rPr>
      </w:pPr>
    </w:p>
    <w:p w:rsidR="005C0DBA" w:rsidRPr="00C67D27" w:rsidRDefault="005C0DBA" w:rsidP="005C0DBA">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rPr>
      </w:pPr>
      <w:r w:rsidRPr="00C67D27">
        <w:rPr>
          <w:rFonts w:eastAsia="Times New Roman"/>
        </w:rPr>
        <w:t xml:space="preserve">This is an Accepted Manuscript of an article published by </w:t>
      </w:r>
      <w:r>
        <w:rPr>
          <w:rFonts w:eastAsia="Times New Roman"/>
        </w:rPr>
        <w:t>Emerald</w:t>
      </w:r>
      <w:r w:rsidRPr="00C67D27">
        <w:rPr>
          <w:rFonts w:eastAsia="Times New Roman"/>
        </w:rPr>
        <w:t xml:space="preserve"> </w:t>
      </w:r>
      <w:r>
        <w:rPr>
          <w:rFonts w:eastAsia="Times New Roman"/>
        </w:rPr>
        <w:t>Insight in</w:t>
      </w:r>
      <w:r w:rsidRPr="00C67D27">
        <w:rPr>
          <w:rFonts w:eastAsia="Times New Roman"/>
        </w:rPr>
        <w:t xml:space="preserve"> </w:t>
      </w:r>
      <w:r>
        <w:rPr>
          <w:rFonts w:eastAsia="Times New Roman"/>
          <w:i/>
        </w:rPr>
        <w:t>Journal of Criminal Psychology</w:t>
      </w:r>
      <w:r w:rsidRPr="00C67D27">
        <w:rPr>
          <w:rFonts w:eastAsia="Times New Roman"/>
        </w:rPr>
        <w:t xml:space="preserve">, </w:t>
      </w:r>
      <w:r>
        <w:rPr>
          <w:rFonts w:eastAsia="Times New Roman"/>
        </w:rPr>
        <w:t>d</w:t>
      </w:r>
      <w:r w:rsidRPr="00EB6205">
        <w:rPr>
          <w:rFonts w:eastAsia="Times New Roman"/>
        </w:rPr>
        <w:t xml:space="preserve">oi: </w:t>
      </w:r>
      <w:r w:rsidRPr="005C0DBA">
        <w:rPr>
          <w:rFonts w:eastAsia="Times New Roman"/>
        </w:rPr>
        <w:t>10.1108/JCP-06-2015-0019</w:t>
      </w:r>
    </w:p>
    <w:p w:rsidR="005C0DBA" w:rsidRDefault="005C0DBA">
      <w:pPr>
        <w:spacing w:line="256" w:lineRule="auto"/>
        <w:ind w:right="60"/>
        <w:jc w:val="both"/>
        <w:rPr>
          <w:sz w:val="20"/>
          <w:szCs w:val="20"/>
        </w:rPr>
      </w:pPr>
    </w:p>
    <w:p w:rsidR="004C1019" w:rsidRDefault="004C1019">
      <w:pPr>
        <w:spacing w:line="273" w:lineRule="exact"/>
        <w:rPr>
          <w:sz w:val="24"/>
          <w:szCs w:val="24"/>
        </w:rPr>
      </w:pPr>
    </w:p>
    <w:p w:rsidR="004C1019" w:rsidRPr="005C0DBA" w:rsidRDefault="004C1019" w:rsidP="005C0DBA">
      <w:pPr>
        <w:ind w:left="7080"/>
        <w:rPr>
          <w:sz w:val="20"/>
          <w:szCs w:val="20"/>
        </w:rPr>
        <w:sectPr w:rsidR="004C1019" w:rsidRPr="005C0DBA">
          <w:pgSz w:w="11900" w:h="16840"/>
          <w:pgMar w:top="1440" w:right="1260" w:bottom="1440" w:left="1140" w:header="0" w:footer="0" w:gutter="0"/>
          <w:cols w:space="720" w:equalWidth="0">
            <w:col w:w="9500"/>
          </w:cols>
        </w:sectPr>
      </w:pPr>
    </w:p>
    <w:p w:rsidR="004C1019" w:rsidRDefault="005C0DBA">
      <w:pPr>
        <w:ind w:right="4"/>
        <w:jc w:val="center"/>
        <w:rPr>
          <w:sz w:val="20"/>
          <w:szCs w:val="20"/>
        </w:rPr>
      </w:pPr>
      <w:bookmarkStart w:id="0" w:name="page2"/>
      <w:bookmarkEnd w:id="0"/>
      <w:r>
        <w:rPr>
          <w:rFonts w:eastAsia="Times New Roman"/>
          <w:b/>
          <w:bCs/>
          <w:sz w:val="24"/>
          <w:szCs w:val="24"/>
        </w:rPr>
        <w:lastRenderedPageBreak/>
        <w:t>The Changing Face of Homicide Research:</w:t>
      </w:r>
    </w:p>
    <w:p w:rsidR="004C1019" w:rsidRDefault="004C1019">
      <w:pPr>
        <w:spacing w:line="241" w:lineRule="exact"/>
        <w:rPr>
          <w:sz w:val="20"/>
          <w:szCs w:val="20"/>
        </w:rPr>
      </w:pPr>
    </w:p>
    <w:p w:rsidR="004C1019" w:rsidRDefault="005C0DBA">
      <w:pPr>
        <w:ind w:right="4"/>
        <w:jc w:val="center"/>
        <w:rPr>
          <w:sz w:val="20"/>
          <w:szCs w:val="20"/>
        </w:rPr>
      </w:pPr>
      <w:r>
        <w:rPr>
          <w:rFonts w:eastAsia="Times New Roman"/>
          <w:b/>
          <w:bCs/>
          <w:sz w:val="24"/>
          <w:szCs w:val="24"/>
        </w:rPr>
        <w:t>The Shift in Empirical Focus and Emerging Research Trends</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327" w:lineRule="exact"/>
        <w:rPr>
          <w:sz w:val="20"/>
          <w:szCs w:val="20"/>
        </w:rPr>
      </w:pPr>
    </w:p>
    <w:p w:rsidR="004C1019" w:rsidRDefault="005C0DBA">
      <w:pPr>
        <w:ind w:right="4"/>
        <w:jc w:val="center"/>
        <w:rPr>
          <w:sz w:val="20"/>
          <w:szCs w:val="20"/>
        </w:rPr>
      </w:pPr>
      <w:r>
        <w:rPr>
          <w:rFonts w:eastAsia="Times New Roman"/>
          <w:b/>
          <w:bCs/>
          <w:sz w:val="24"/>
          <w:szCs w:val="24"/>
        </w:rPr>
        <w:t>Maria Ioannou, PhD</w:t>
      </w:r>
      <w:r>
        <w:rPr>
          <w:rFonts w:eastAsia="Times New Roman"/>
          <w:b/>
          <w:bCs/>
          <w:sz w:val="31"/>
          <w:szCs w:val="31"/>
          <w:vertAlign w:val="superscript"/>
        </w:rPr>
        <w:t>1*</w:t>
      </w:r>
      <w:r>
        <w:rPr>
          <w:rFonts w:eastAsia="Times New Roman"/>
          <w:b/>
          <w:bCs/>
          <w:sz w:val="24"/>
          <w:szCs w:val="24"/>
        </w:rPr>
        <w:t xml:space="preserve">and Laura Hammond, PhD </w:t>
      </w:r>
      <w:r>
        <w:rPr>
          <w:rFonts w:eastAsia="Times New Roman"/>
          <w:sz w:val="31"/>
          <w:szCs w:val="31"/>
          <w:vertAlign w:val="superscript"/>
        </w:rPr>
        <w:t>2</w:t>
      </w:r>
    </w:p>
    <w:p w:rsidR="004C1019" w:rsidRDefault="004C1019">
      <w:pPr>
        <w:spacing w:line="200" w:lineRule="exact"/>
        <w:rPr>
          <w:sz w:val="20"/>
          <w:szCs w:val="20"/>
        </w:rPr>
      </w:pPr>
    </w:p>
    <w:p w:rsidR="004C1019" w:rsidRDefault="004C1019">
      <w:pPr>
        <w:spacing w:line="276" w:lineRule="exact"/>
        <w:rPr>
          <w:sz w:val="20"/>
          <w:szCs w:val="20"/>
        </w:rPr>
      </w:pPr>
    </w:p>
    <w:p w:rsidR="004C1019" w:rsidRDefault="005C0DBA">
      <w:pPr>
        <w:spacing w:line="234" w:lineRule="auto"/>
        <w:ind w:right="4"/>
        <w:rPr>
          <w:sz w:val="20"/>
          <w:szCs w:val="20"/>
        </w:rPr>
      </w:pPr>
      <w:r>
        <w:rPr>
          <w:rFonts w:eastAsia="Times New Roman"/>
          <w:sz w:val="31"/>
          <w:szCs w:val="31"/>
          <w:vertAlign w:val="superscript"/>
        </w:rPr>
        <w:t>12</w:t>
      </w:r>
      <w:r>
        <w:rPr>
          <w:rFonts w:eastAsia="Times New Roman"/>
          <w:sz w:val="24"/>
          <w:szCs w:val="24"/>
        </w:rPr>
        <w:t>International Research Centre for Investigative Psychology (IRCIP), University of Huddersfield, Huddersfield, UK</w:t>
      </w:r>
    </w:p>
    <w:p w:rsidR="004C1019" w:rsidRDefault="004C1019">
      <w:pPr>
        <w:spacing w:line="200" w:lineRule="exact"/>
        <w:rPr>
          <w:sz w:val="20"/>
          <w:szCs w:val="20"/>
        </w:rPr>
      </w:pPr>
    </w:p>
    <w:p w:rsidR="004C1019" w:rsidRDefault="004C1019">
      <w:pPr>
        <w:spacing w:line="237" w:lineRule="exact"/>
        <w:rPr>
          <w:sz w:val="20"/>
          <w:szCs w:val="20"/>
        </w:rPr>
      </w:pPr>
    </w:p>
    <w:p w:rsidR="004C1019" w:rsidRDefault="005C0DBA">
      <w:pPr>
        <w:rPr>
          <w:sz w:val="20"/>
          <w:szCs w:val="20"/>
        </w:rPr>
      </w:pPr>
      <w:r>
        <w:rPr>
          <w:rFonts w:eastAsia="Times New Roman"/>
          <w:sz w:val="31"/>
          <w:szCs w:val="31"/>
          <w:vertAlign w:val="superscript"/>
        </w:rPr>
        <w:t>12</w:t>
      </w:r>
      <w:r>
        <w:rPr>
          <w:rFonts w:eastAsia="Times New Roman"/>
          <w:b/>
          <w:bCs/>
          <w:sz w:val="24"/>
          <w:szCs w:val="24"/>
        </w:rPr>
        <w:t>Postal address</w:t>
      </w:r>
    </w:p>
    <w:p w:rsidR="004C1019" w:rsidRDefault="005C0DBA">
      <w:pPr>
        <w:rPr>
          <w:sz w:val="20"/>
          <w:szCs w:val="20"/>
        </w:rPr>
      </w:pPr>
      <w:r>
        <w:rPr>
          <w:rFonts w:eastAsia="Times New Roman"/>
          <w:sz w:val="24"/>
          <w:szCs w:val="24"/>
        </w:rPr>
        <w:t>International Research Centre for Investigative Psychology</w:t>
      </w:r>
    </w:p>
    <w:p w:rsidR="004C1019" w:rsidRDefault="005C0DBA">
      <w:pPr>
        <w:rPr>
          <w:sz w:val="20"/>
          <w:szCs w:val="20"/>
        </w:rPr>
      </w:pPr>
      <w:r>
        <w:rPr>
          <w:rFonts w:eastAsia="Times New Roman"/>
          <w:sz w:val="24"/>
          <w:szCs w:val="24"/>
        </w:rPr>
        <w:t>School of Human and Health Sciences</w:t>
      </w:r>
    </w:p>
    <w:p w:rsidR="004C1019" w:rsidRDefault="005C0DBA">
      <w:pPr>
        <w:rPr>
          <w:sz w:val="20"/>
          <w:szCs w:val="20"/>
        </w:rPr>
      </w:pPr>
      <w:r>
        <w:rPr>
          <w:rFonts w:eastAsia="Times New Roman"/>
          <w:sz w:val="24"/>
          <w:szCs w:val="24"/>
        </w:rPr>
        <w:t>University of Huddersfi</w:t>
      </w:r>
      <w:r>
        <w:rPr>
          <w:rFonts w:eastAsia="Times New Roman"/>
          <w:sz w:val="24"/>
          <w:szCs w:val="24"/>
        </w:rPr>
        <w:t>eld</w:t>
      </w:r>
    </w:p>
    <w:p w:rsidR="004C1019" w:rsidRDefault="005C0DBA">
      <w:pPr>
        <w:rPr>
          <w:sz w:val="20"/>
          <w:szCs w:val="20"/>
        </w:rPr>
      </w:pPr>
      <w:r>
        <w:rPr>
          <w:rFonts w:eastAsia="Times New Roman"/>
          <w:sz w:val="24"/>
          <w:szCs w:val="24"/>
        </w:rPr>
        <w:t>Queensgate</w:t>
      </w:r>
    </w:p>
    <w:p w:rsidR="004C1019" w:rsidRDefault="005C0DBA">
      <w:pPr>
        <w:rPr>
          <w:sz w:val="20"/>
          <w:szCs w:val="20"/>
        </w:rPr>
      </w:pPr>
      <w:r>
        <w:rPr>
          <w:rFonts w:eastAsia="Times New Roman"/>
          <w:sz w:val="24"/>
          <w:szCs w:val="24"/>
        </w:rPr>
        <w:t>Huddersfield</w:t>
      </w:r>
    </w:p>
    <w:p w:rsidR="004C1019" w:rsidRDefault="005C0DBA">
      <w:pPr>
        <w:rPr>
          <w:sz w:val="20"/>
          <w:szCs w:val="20"/>
        </w:rPr>
      </w:pPr>
      <w:r>
        <w:rPr>
          <w:rFonts w:eastAsia="Times New Roman"/>
          <w:sz w:val="24"/>
          <w:szCs w:val="24"/>
        </w:rPr>
        <w:t>UK HD1 3DH</w:t>
      </w:r>
    </w:p>
    <w:p w:rsidR="004C1019" w:rsidRDefault="004C1019">
      <w:pPr>
        <w:spacing w:line="200" w:lineRule="exact"/>
        <w:rPr>
          <w:sz w:val="20"/>
          <w:szCs w:val="20"/>
        </w:rPr>
      </w:pPr>
    </w:p>
    <w:p w:rsidR="004C1019" w:rsidRDefault="004C1019">
      <w:pPr>
        <w:spacing w:line="348" w:lineRule="exact"/>
        <w:rPr>
          <w:sz w:val="20"/>
          <w:szCs w:val="20"/>
        </w:rPr>
      </w:pPr>
    </w:p>
    <w:p w:rsidR="004C1019" w:rsidRDefault="005C0DBA">
      <w:pPr>
        <w:rPr>
          <w:sz w:val="20"/>
          <w:szCs w:val="20"/>
        </w:rPr>
      </w:pPr>
      <w:r>
        <w:rPr>
          <w:rFonts w:eastAsia="Times New Roman"/>
          <w:b/>
          <w:bCs/>
          <w:sz w:val="24"/>
          <w:szCs w:val="24"/>
        </w:rPr>
        <w:t>Emails</w:t>
      </w:r>
    </w:p>
    <w:p w:rsidR="004C1019" w:rsidRDefault="004C1019">
      <w:pPr>
        <w:spacing w:line="4" w:lineRule="exact"/>
        <w:rPr>
          <w:sz w:val="20"/>
          <w:szCs w:val="20"/>
        </w:rPr>
      </w:pPr>
    </w:p>
    <w:p w:rsidR="004C1019" w:rsidRDefault="005C0DBA">
      <w:pPr>
        <w:rPr>
          <w:sz w:val="20"/>
          <w:szCs w:val="20"/>
        </w:rPr>
      </w:pPr>
      <w:r>
        <w:rPr>
          <w:rFonts w:eastAsia="Times New Roman"/>
          <w:sz w:val="24"/>
          <w:szCs w:val="24"/>
        </w:rPr>
        <w:t>m.ioannou@hud.ac.uk</w:t>
      </w:r>
    </w:p>
    <w:p w:rsidR="004C1019" w:rsidRDefault="005C0DBA">
      <w:pPr>
        <w:rPr>
          <w:sz w:val="20"/>
          <w:szCs w:val="20"/>
        </w:rPr>
      </w:pPr>
      <w:r>
        <w:rPr>
          <w:rFonts w:eastAsia="Times New Roman"/>
          <w:sz w:val="24"/>
          <w:szCs w:val="24"/>
        </w:rPr>
        <w:t>l.hammond@hud.ac.uk</w:t>
      </w:r>
    </w:p>
    <w:p w:rsidR="004C1019" w:rsidRDefault="004C1019">
      <w:pPr>
        <w:spacing w:line="200" w:lineRule="exact"/>
        <w:rPr>
          <w:sz w:val="20"/>
          <w:szCs w:val="20"/>
        </w:rPr>
      </w:pPr>
    </w:p>
    <w:p w:rsidR="004C1019" w:rsidRDefault="004C1019">
      <w:pPr>
        <w:spacing w:line="348" w:lineRule="exact"/>
        <w:rPr>
          <w:sz w:val="20"/>
          <w:szCs w:val="20"/>
        </w:rPr>
      </w:pPr>
    </w:p>
    <w:p w:rsidR="004C1019" w:rsidRDefault="005C0DBA">
      <w:pPr>
        <w:rPr>
          <w:sz w:val="20"/>
          <w:szCs w:val="20"/>
        </w:rPr>
      </w:pPr>
      <w:r>
        <w:rPr>
          <w:rFonts w:eastAsia="Times New Roman"/>
          <w:b/>
          <w:bCs/>
          <w:sz w:val="24"/>
          <w:szCs w:val="24"/>
        </w:rPr>
        <w:t>Telephone number</w:t>
      </w:r>
    </w:p>
    <w:p w:rsidR="004C1019" w:rsidRDefault="004C1019">
      <w:pPr>
        <w:spacing w:line="4" w:lineRule="exact"/>
        <w:rPr>
          <w:sz w:val="20"/>
          <w:szCs w:val="20"/>
        </w:rPr>
      </w:pPr>
    </w:p>
    <w:p w:rsidR="004C1019" w:rsidRDefault="005C0DBA">
      <w:pPr>
        <w:rPr>
          <w:sz w:val="20"/>
          <w:szCs w:val="20"/>
        </w:rPr>
      </w:pPr>
      <w:r>
        <w:rPr>
          <w:rFonts w:eastAsia="Times New Roman"/>
          <w:sz w:val="24"/>
          <w:szCs w:val="24"/>
        </w:rPr>
        <w:t>+44 (0)1484 471174</w:t>
      </w:r>
    </w:p>
    <w:p w:rsidR="004C1019" w:rsidRDefault="004C1019">
      <w:pPr>
        <w:spacing w:line="200" w:lineRule="exact"/>
        <w:rPr>
          <w:sz w:val="20"/>
          <w:szCs w:val="20"/>
        </w:rPr>
      </w:pPr>
    </w:p>
    <w:p w:rsidR="004C1019" w:rsidRDefault="004C1019">
      <w:pPr>
        <w:spacing w:line="352" w:lineRule="exact"/>
        <w:rPr>
          <w:sz w:val="20"/>
          <w:szCs w:val="20"/>
        </w:rPr>
      </w:pPr>
    </w:p>
    <w:p w:rsidR="004C1019" w:rsidRDefault="005C0DBA">
      <w:pPr>
        <w:rPr>
          <w:sz w:val="20"/>
          <w:szCs w:val="20"/>
        </w:rPr>
      </w:pPr>
      <w:r>
        <w:rPr>
          <w:rFonts w:eastAsia="Times New Roman"/>
          <w:sz w:val="24"/>
          <w:szCs w:val="24"/>
        </w:rPr>
        <w:t>*Corresponding author</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18" w:lineRule="exact"/>
        <w:rPr>
          <w:sz w:val="20"/>
          <w:szCs w:val="20"/>
        </w:rPr>
      </w:pPr>
    </w:p>
    <w:p w:rsidR="004C1019" w:rsidRDefault="005C0DBA">
      <w:pPr>
        <w:ind w:left="8900"/>
        <w:rPr>
          <w:sz w:val="20"/>
          <w:szCs w:val="20"/>
        </w:rPr>
      </w:pPr>
      <w:r>
        <w:rPr>
          <w:rFonts w:eastAsia="Times New Roman"/>
          <w:sz w:val="24"/>
          <w:szCs w:val="24"/>
        </w:rPr>
        <w:t>1</w:t>
      </w:r>
    </w:p>
    <w:p w:rsidR="004C1019" w:rsidRDefault="004C1019">
      <w:pPr>
        <w:sectPr w:rsidR="004C1019">
          <w:pgSz w:w="11900" w:h="16840"/>
          <w:pgMar w:top="1418" w:right="1440" w:bottom="433" w:left="1440" w:header="0" w:footer="0" w:gutter="0"/>
          <w:cols w:space="720" w:equalWidth="0">
            <w:col w:w="9024"/>
          </w:cols>
        </w:sectPr>
      </w:pPr>
    </w:p>
    <w:p w:rsidR="004C1019" w:rsidRDefault="005C0DBA">
      <w:pPr>
        <w:ind w:right="4"/>
        <w:jc w:val="center"/>
        <w:rPr>
          <w:sz w:val="20"/>
          <w:szCs w:val="20"/>
        </w:rPr>
      </w:pPr>
      <w:bookmarkStart w:id="1" w:name="page3"/>
      <w:bookmarkEnd w:id="1"/>
      <w:r>
        <w:rPr>
          <w:rFonts w:eastAsia="Times New Roman"/>
          <w:b/>
          <w:bCs/>
          <w:sz w:val="24"/>
          <w:szCs w:val="24"/>
        </w:rPr>
        <w:lastRenderedPageBreak/>
        <w:t>The Changing Face of Homicide Research:</w:t>
      </w:r>
    </w:p>
    <w:p w:rsidR="004C1019" w:rsidRDefault="004C1019">
      <w:pPr>
        <w:spacing w:line="241" w:lineRule="exact"/>
        <w:rPr>
          <w:sz w:val="20"/>
          <w:szCs w:val="20"/>
        </w:rPr>
      </w:pPr>
    </w:p>
    <w:p w:rsidR="004C1019" w:rsidRDefault="005C0DBA">
      <w:pPr>
        <w:ind w:right="4"/>
        <w:jc w:val="center"/>
        <w:rPr>
          <w:sz w:val="20"/>
          <w:szCs w:val="20"/>
        </w:rPr>
      </w:pPr>
      <w:r>
        <w:rPr>
          <w:rFonts w:eastAsia="Times New Roman"/>
          <w:b/>
          <w:bCs/>
          <w:sz w:val="24"/>
          <w:szCs w:val="24"/>
        </w:rPr>
        <w:t xml:space="preserve">The Shift in </w:t>
      </w:r>
      <w:r>
        <w:rPr>
          <w:rFonts w:eastAsia="Times New Roman"/>
          <w:b/>
          <w:bCs/>
          <w:sz w:val="24"/>
          <w:szCs w:val="24"/>
        </w:rPr>
        <w:t>Empirical Focus and Emerging Research Trends</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68" w:lineRule="exact"/>
        <w:rPr>
          <w:sz w:val="20"/>
          <w:szCs w:val="20"/>
        </w:rPr>
      </w:pPr>
    </w:p>
    <w:p w:rsidR="004C1019" w:rsidRDefault="005C0DBA">
      <w:pPr>
        <w:ind w:right="4"/>
        <w:jc w:val="center"/>
        <w:rPr>
          <w:sz w:val="20"/>
          <w:szCs w:val="20"/>
        </w:rPr>
      </w:pPr>
      <w:r>
        <w:rPr>
          <w:rFonts w:eastAsia="Times New Roman"/>
          <w:b/>
          <w:bCs/>
          <w:sz w:val="24"/>
          <w:szCs w:val="24"/>
        </w:rPr>
        <w:t>Abstract</w:t>
      </w:r>
    </w:p>
    <w:p w:rsidR="004C1019" w:rsidRDefault="004C1019">
      <w:pPr>
        <w:spacing w:line="200" w:lineRule="exact"/>
        <w:rPr>
          <w:sz w:val="20"/>
          <w:szCs w:val="20"/>
        </w:rPr>
      </w:pPr>
    </w:p>
    <w:p w:rsidR="004C1019" w:rsidRDefault="004C1019">
      <w:pPr>
        <w:spacing w:line="356" w:lineRule="exact"/>
        <w:rPr>
          <w:sz w:val="20"/>
          <w:szCs w:val="20"/>
        </w:rPr>
      </w:pPr>
    </w:p>
    <w:p w:rsidR="004C1019" w:rsidRDefault="005C0DBA">
      <w:pPr>
        <w:spacing w:line="482" w:lineRule="auto"/>
        <w:ind w:right="4"/>
        <w:jc w:val="both"/>
        <w:rPr>
          <w:sz w:val="20"/>
          <w:szCs w:val="20"/>
        </w:rPr>
      </w:pPr>
      <w:r>
        <w:rPr>
          <w:rFonts w:eastAsia="Times New Roman"/>
          <w:sz w:val="24"/>
          <w:szCs w:val="24"/>
        </w:rPr>
        <w:t>Homicidal behaviour is influenced by a complex interaction of behavioural, situational, and environmental factors that raise many challenging psychological questions. A large and continually-grow</w:t>
      </w:r>
      <w:r>
        <w:rPr>
          <w:rFonts w:eastAsia="Times New Roman"/>
          <w:sz w:val="24"/>
          <w:szCs w:val="24"/>
        </w:rPr>
        <w:t>ing body of research has explored the crime of homicide, its epidemiology, victims and perpetrators. The area is developing rapidly, opening up new avenues of study. This special issue of the Journal of Criminal Psychology brings together an exciting array</w:t>
      </w:r>
      <w:r>
        <w:rPr>
          <w:rFonts w:eastAsia="Times New Roman"/>
          <w:sz w:val="24"/>
          <w:szCs w:val="24"/>
        </w:rPr>
        <w:t xml:space="preserve"> of papers on homicidal behaviour, examining a wide range of issues including juvenile homicide perpetrators, school shootings, child homicide, homicide-suicide and differences in offence behaviours and victim characteristics between hard-to-solve one-off </w:t>
      </w:r>
      <w:r>
        <w:rPr>
          <w:rFonts w:eastAsia="Times New Roman"/>
          <w:sz w:val="24"/>
          <w:szCs w:val="24"/>
        </w:rPr>
        <w:t>homicides and serial homicides. The range of papers included in this special edition cover a wide range of aspects of homicidal behavior, reflecting the importance of - and the need for - applied research moving away from examining general homicide to spec</w:t>
      </w:r>
      <w:r>
        <w:rPr>
          <w:rFonts w:eastAsia="Times New Roman"/>
          <w:sz w:val="24"/>
          <w:szCs w:val="24"/>
        </w:rPr>
        <w:t>ialised research focusing on subtypes of homicide and subgroups of homicide offenders. A research agenda is proposed.</w:t>
      </w:r>
    </w:p>
    <w:p w:rsidR="004C1019" w:rsidRDefault="004C1019">
      <w:pPr>
        <w:spacing w:line="200" w:lineRule="exact"/>
        <w:rPr>
          <w:sz w:val="20"/>
          <w:szCs w:val="20"/>
        </w:rPr>
      </w:pPr>
    </w:p>
    <w:p w:rsidR="004C1019" w:rsidRDefault="004C1019">
      <w:pPr>
        <w:spacing w:line="242" w:lineRule="exact"/>
        <w:rPr>
          <w:sz w:val="20"/>
          <w:szCs w:val="20"/>
        </w:rPr>
      </w:pPr>
    </w:p>
    <w:p w:rsidR="004C1019" w:rsidRDefault="005C0DBA">
      <w:pPr>
        <w:rPr>
          <w:sz w:val="20"/>
          <w:szCs w:val="20"/>
        </w:rPr>
      </w:pPr>
      <w:r>
        <w:rPr>
          <w:rFonts w:eastAsia="Times New Roman"/>
          <w:b/>
          <w:bCs/>
          <w:sz w:val="24"/>
          <w:szCs w:val="24"/>
        </w:rPr>
        <w:t xml:space="preserve">Keywords: </w:t>
      </w:r>
      <w:r>
        <w:rPr>
          <w:rFonts w:eastAsia="Times New Roman"/>
          <w:sz w:val="24"/>
          <w:szCs w:val="24"/>
        </w:rPr>
        <w:t>Homicide, Homicidal Behaviour, Homicide Research, Violence, Murder.</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86" w:lineRule="exact"/>
        <w:rPr>
          <w:sz w:val="20"/>
          <w:szCs w:val="20"/>
        </w:rPr>
      </w:pPr>
    </w:p>
    <w:p w:rsidR="004C1019" w:rsidRDefault="005C0DBA">
      <w:pPr>
        <w:ind w:left="8900"/>
        <w:rPr>
          <w:sz w:val="20"/>
          <w:szCs w:val="20"/>
        </w:rPr>
      </w:pPr>
      <w:r>
        <w:rPr>
          <w:rFonts w:eastAsia="Times New Roman"/>
          <w:sz w:val="24"/>
          <w:szCs w:val="24"/>
        </w:rPr>
        <w:t>2</w:t>
      </w:r>
    </w:p>
    <w:p w:rsidR="004C1019" w:rsidRDefault="004C1019">
      <w:pPr>
        <w:sectPr w:rsidR="004C1019">
          <w:pgSz w:w="11900" w:h="16840"/>
          <w:pgMar w:top="1418" w:right="1440" w:bottom="433" w:left="1440" w:header="0" w:footer="0" w:gutter="0"/>
          <w:cols w:space="720" w:equalWidth="0">
            <w:col w:w="9024"/>
          </w:cols>
        </w:sectPr>
      </w:pPr>
    </w:p>
    <w:p w:rsidR="004C1019" w:rsidRDefault="005C0DBA">
      <w:pPr>
        <w:ind w:right="20"/>
        <w:jc w:val="center"/>
        <w:rPr>
          <w:sz w:val="20"/>
          <w:szCs w:val="20"/>
        </w:rPr>
      </w:pPr>
      <w:bookmarkStart w:id="2" w:name="page4"/>
      <w:bookmarkEnd w:id="2"/>
      <w:r>
        <w:rPr>
          <w:rFonts w:eastAsia="Times New Roman"/>
          <w:b/>
          <w:bCs/>
          <w:sz w:val="24"/>
          <w:szCs w:val="24"/>
        </w:rPr>
        <w:lastRenderedPageBreak/>
        <w:t>INTRODUCTION</w:t>
      </w:r>
    </w:p>
    <w:p w:rsidR="004C1019" w:rsidRDefault="004C1019">
      <w:pPr>
        <w:spacing w:line="200" w:lineRule="exact"/>
        <w:rPr>
          <w:sz w:val="20"/>
          <w:szCs w:val="20"/>
        </w:rPr>
      </w:pPr>
    </w:p>
    <w:p w:rsidR="004C1019" w:rsidRDefault="004C1019">
      <w:pPr>
        <w:spacing w:line="356" w:lineRule="exact"/>
        <w:rPr>
          <w:sz w:val="20"/>
          <w:szCs w:val="20"/>
        </w:rPr>
      </w:pPr>
    </w:p>
    <w:p w:rsidR="004C1019" w:rsidRDefault="005C0DBA">
      <w:pPr>
        <w:spacing w:line="480" w:lineRule="auto"/>
        <w:ind w:right="20"/>
        <w:jc w:val="both"/>
        <w:rPr>
          <w:sz w:val="20"/>
          <w:szCs w:val="20"/>
        </w:rPr>
      </w:pPr>
      <w:r>
        <w:rPr>
          <w:rFonts w:eastAsia="Times New Roman"/>
          <w:sz w:val="24"/>
          <w:szCs w:val="24"/>
        </w:rPr>
        <w:t xml:space="preserve">Homicide, considered to be the most serious of all crimes, can be lawful or unlawful and it covers the offences of murder, manslaughter and infanticide (Office for National Statistics, 2014). Criminal or unlawful homicide is defined as causing death to an </w:t>
      </w:r>
      <w:r>
        <w:rPr>
          <w:rFonts w:eastAsia="Times New Roman"/>
          <w:sz w:val="24"/>
          <w:szCs w:val="24"/>
        </w:rPr>
        <w:t>individual without legal justification, whereas lawful homicide or state-sanctioned homicide is justified legally under particular circumstances (e.g. capital punishment, a soldier killing the enemy in combat and so on). Murder is usually an intentional cr</w:t>
      </w:r>
      <w:r>
        <w:rPr>
          <w:rFonts w:eastAsia="Times New Roman"/>
          <w:sz w:val="24"/>
          <w:szCs w:val="24"/>
        </w:rPr>
        <w:t>ime while manslaughter is the killing of a human being in a manner considered by law as less culpable than murder. This category can range from accidental death to events very similar to murder. Manslaughter is further broken down into voluntary (intent to</w:t>
      </w:r>
      <w:r>
        <w:rPr>
          <w:rFonts w:eastAsia="Times New Roman"/>
          <w:sz w:val="24"/>
          <w:szCs w:val="24"/>
        </w:rPr>
        <w:t xml:space="preserve"> kill usually when there is provocation or evidence of mental illness) and involuntary (no intent to kill usually involving accidents). The focus of this special issue is on unlawful or criminal homicide.</w:t>
      </w:r>
    </w:p>
    <w:p w:rsidR="004C1019" w:rsidRDefault="004C1019">
      <w:pPr>
        <w:spacing w:line="1" w:lineRule="exact"/>
        <w:rPr>
          <w:sz w:val="20"/>
          <w:szCs w:val="20"/>
        </w:rPr>
      </w:pPr>
    </w:p>
    <w:p w:rsidR="004C1019" w:rsidRDefault="005C0DBA">
      <w:pPr>
        <w:spacing w:line="482" w:lineRule="auto"/>
        <w:ind w:firstLine="568"/>
        <w:jc w:val="both"/>
        <w:rPr>
          <w:sz w:val="20"/>
          <w:szCs w:val="20"/>
        </w:rPr>
      </w:pPr>
      <w:r>
        <w:rPr>
          <w:rFonts w:eastAsia="Times New Roman"/>
          <w:sz w:val="24"/>
          <w:szCs w:val="24"/>
        </w:rPr>
        <w:t>Homicide rates vary greatly around the globe. Whil</w:t>
      </w:r>
      <w:r>
        <w:rPr>
          <w:rFonts w:eastAsia="Times New Roman"/>
          <w:sz w:val="24"/>
          <w:szCs w:val="24"/>
        </w:rPr>
        <w:t>e there have been attempts to collate international homicide statistics there are major issues surrounding the comparability of international homicide data. Global homicide levels are very difficult to estimate for many reasons, such as those outlined by B</w:t>
      </w:r>
      <w:r>
        <w:rPr>
          <w:rFonts w:eastAsia="Times New Roman"/>
          <w:sz w:val="24"/>
          <w:szCs w:val="24"/>
        </w:rPr>
        <w:t>rookman (2005). These include: very limited availability of reliable measures in large parts of the world (e.g. Africa); legal systems and legal classifications vary; differing points in criminal justice systems at which homicides are recorded, for example</w:t>
      </w:r>
      <w:r>
        <w:rPr>
          <w:rFonts w:eastAsia="Times New Roman"/>
          <w:sz w:val="24"/>
          <w:szCs w:val="24"/>
        </w:rPr>
        <w:t xml:space="preserve"> when the offence is discovered or following further investigation or court outcome; figures are for completed homicides but, in some countries, the police register any death that cannot immediately be attributed to other causes as homicide (Homicide Index</w:t>
      </w:r>
      <w:r>
        <w:rPr>
          <w:rFonts w:eastAsia="Times New Roman"/>
          <w:sz w:val="24"/>
          <w:szCs w:val="24"/>
        </w:rPr>
        <w:t>, 2014); changes in country borders; statistics are collected in different ways; a lack of clarity in definitions and varying definitions between countries (Koeppel, Rhineberger-Dunn &amp; Mack, 2015). Caution should be therefore exercised in comparing homicid</w:t>
      </w:r>
      <w:r>
        <w:rPr>
          <w:rFonts w:eastAsia="Times New Roman"/>
          <w:sz w:val="24"/>
          <w:szCs w:val="24"/>
        </w:rPr>
        <w:t>e rates across countries.</w:t>
      </w:r>
    </w:p>
    <w:p w:rsidR="004C1019" w:rsidRDefault="004C1019">
      <w:pPr>
        <w:spacing w:line="40" w:lineRule="exact"/>
        <w:rPr>
          <w:sz w:val="20"/>
          <w:szCs w:val="20"/>
        </w:rPr>
      </w:pPr>
    </w:p>
    <w:p w:rsidR="004C1019" w:rsidRDefault="005C0DBA">
      <w:pPr>
        <w:ind w:left="8900"/>
        <w:rPr>
          <w:sz w:val="20"/>
          <w:szCs w:val="20"/>
        </w:rPr>
      </w:pPr>
      <w:r>
        <w:rPr>
          <w:rFonts w:eastAsia="Times New Roman"/>
          <w:sz w:val="24"/>
          <w:szCs w:val="24"/>
        </w:rPr>
        <w:t>3</w:t>
      </w:r>
    </w:p>
    <w:p w:rsidR="004C1019" w:rsidRDefault="004C1019">
      <w:pPr>
        <w:sectPr w:rsidR="004C1019">
          <w:pgSz w:w="11900" w:h="16840"/>
          <w:pgMar w:top="1417" w:right="1424" w:bottom="433" w:left="1440" w:header="0" w:footer="0" w:gutter="0"/>
          <w:cols w:space="720" w:equalWidth="0">
            <w:col w:w="9040"/>
          </w:cols>
        </w:sectPr>
      </w:pPr>
    </w:p>
    <w:p w:rsidR="004C1019" w:rsidRDefault="005C0DBA">
      <w:pPr>
        <w:spacing w:line="486" w:lineRule="auto"/>
        <w:ind w:right="4" w:firstLine="568"/>
        <w:jc w:val="both"/>
        <w:rPr>
          <w:sz w:val="20"/>
          <w:szCs w:val="20"/>
        </w:rPr>
      </w:pPr>
      <w:bookmarkStart w:id="3" w:name="page5"/>
      <w:bookmarkEnd w:id="3"/>
      <w:r>
        <w:rPr>
          <w:rFonts w:eastAsia="Times New Roman"/>
          <w:sz w:val="24"/>
          <w:szCs w:val="24"/>
        </w:rPr>
        <w:lastRenderedPageBreak/>
        <w:t>Eurostat's most recently published figures compare homicide rates averaged over the years 2008 - 2010. The Eurostat published homicide rate for England and Wales is 11.7 per million population. The highest r</w:t>
      </w:r>
      <w:r>
        <w:rPr>
          <w:rFonts w:eastAsia="Times New Roman"/>
          <w:sz w:val="24"/>
          <w:szCs w:val="24"/>
        </w:rPr>
        <w:t>ates in Europe are for Lithuania (77 per million population), Estonia (55.7 per million population), Albania (43.8 per million population), Turkey (36.4 per million population) while the lowest rates are found in Austria (5.8 per million population), Slove</w:t>
      </w:r>
      <w:r>
        <w:rPr>
          <w:rFonts w:eastAsia="Times New Roman"/>
          <w:sz w:val="24"/>
          <w:szCs w:val="24"/>
        </w:rPr>
        <w:t>nia (5.6 per million population) and Iceland (3.1 per million population).</w:t>
      </w:r>
    </w:p>
    <w:p w:rsidR="004C1019" w:rsidRDefault="004C1019">
      <w:pPr>
        <w:spacing w:line="200" w:lineRule="exact"/>
        <w:rPr>
          <w:sz w:val="20"/>
          <w:szCs w:val="20"/>
        </w:rPr>
      </w:pPr>
      <w:bookmarkStart w:id="4" w:name="_GoBack"/>
      <w:bookmarkEnd w:id="4"/>
    </w:p>
    <w:p w:rsidR="004C1019" w:rsidRDefault="004C1019">
      <w:pPr>
        <w:spacing w:line="200" w:lineRule="exact"/>
        <w:rPr>
          <w:sz w:val="20"/>
          <w:szCs w:val="20"/>
        </w:rPr>
      </w:pPr>
    </w:p>
    <w:p w:rsidR="004C1019" w:rsidRDefault="004C1019">
      <w:pPr>
        <w:spacing w:line="347" w:lineRule="exact"/>
        <w:rPr>
          <w:sz w:val="20"/>
          <w:szCs w:val="20"/>
        </w:rPr>
      </w:pPr>
    </w:p>
    <w:p w:rsidR="004C1019" w:rsidRDefault="005C0DBA">
      <w:pPr>
        <w:rPr>
          <w:sz w:val="20"/>
          <w:szCs w:val="20"/>
        </w:rPr>
      </w:pPr>
      <w:r>
        <w:rPr>
          <w:rFonts w:eastAsia="Times New Roman"/>
          <w:b/>
          <w:bCs/>
          <w:sz w:val="24"/>
          <w:szCs w:val="24"/>
        </w:rPr>
        <w:t>The Study of Homicide</w:t>
      </w:r>
    </w:p>
    <w:p w:rsidR="004C1019" w:rsidRDefault="004C1019">
      <w:pPr>
        <w:spacing w:line="400" w:lineRule="exact"/>
        <w:rPr>
          <w:sz w:val="20"/>
          <w:szCs w:val="20"/>
        </w:rPr>
      </w:pPr>
    </w:p>
    <w:p w:rsidR="004C1019" w:rsidRDefault="005C0DBA">
      <w:pPr>
        <w:spacing w:line="480" w:lineRule="auto"/>
        <w:ind w:right="4" w:firstLine="720"/>
        <w:jc w:val="both"/>
        <w:rPr>
          <w:sz w:val="20"/>
          <w:szCs w:val="20"/>
        </w:rPr>
      </w:pPr>
      <w:r>
        <w:rPr>
          <w:rFonts w:eastAsia="Times New Roman"/>
          <w:sz w:val="24"/>
          <w:szCs w:val="24"/>
        </w:rPr>
        <w:t xml:space="preserve">Homicide research has a long history dominated mainly by academics and researchers from the USA and more recently from Europe, and empirical research into </w:t>
      </w:r>
      <w:r>
        <w:rPr>
          <w:rFonts w:eastAsia="Times New Roman"/>
          <w:sz w:val="24"/>
          <w:szCs w:val="24"/>
        </w:rPr>
        <w:t>the phenomenon is increasing. In the last decade, the journal ‘Homicide Studies’ has published over 220 articles on the topic of homicide (Brookman, 2015).</w:t>
      </w:r>
    </w:p>
    <w:p w:rsidR="004C1019" w:rsidRDefault="005C0DBA">
      <w:pPr>
        <w:spacing w:line="482" w:lineRule="auto"/>
        <w:ind w:right="4" w:firstLine="720"/>
        <w:jc w:val="both"/>
        <w:rPr>
          <w:sz w:val="20"/>
          <w:szCs w:val="20"/>
        </w:rPr>
      </w:pPr>
      <w:r>
        <w:rPr>
          <w:rFonts w:eastAsia="Times New Roman"/>
          <w:sz w:val="24"/>
          <w:szCs w:val="24"/>
        </w:rPr>
        <w:t>Traditionally research has been descriptive and epidemiological, focusing on the aetiology of homici</w:t>
      </w:r>
      <w:r>
        <w:rPr>
          <w:rFonts w:eastAsia="Times New Roman"/>
          <w:sz w:val="24"/>
          <w:szCs w:val="24"/>
        </w:rPr>
        <w:t>des, their victims and perpetrators. Testing various theoretical hypotheses has been in the centre of research (i.e. Social control, anomie theory, learning theory and so on), while some researchers have introduced new concepts (cognitive dissonance, legit</w:t>
      </w:r>
      <w:r>
        <w:rPr>
          <w:rFonts w:eastAsia="Times New Roman"/>
          <w:sz w:val="24"/>
          <w:szCs w:val="24"/>
        </w:rPr>
        <w:t>imacy, victim precipitation) (Kivivuori, Savolainen &amp; Danielsson, 2012). Various academics have studied homicide subtypes according to the relationship between the victim, with the majority of the research focusing on intimate partner homicides, perpetrato</w:t>
      </w:r>
      <w:r>
        <w:rPr>
          <w:rFonts w:eastAsia="Times New Roman"/>
          <w:sz w:val="24"/>
          <w:szCs w:val="24"/>
        </w:rPr>
        <w:t>r and homicide subtypes according to motive (Decker, 1996), behavioural classification systems (Salfati &amp; Canter, 1999; Salfati, 2000; Santtila et al, 2001), offence and offender typologies (Horning, Salfati &amp; Labuschagne, 2015) and various individual fact</w:t>
      </w:r>
      <w:r>
        <w:rPr>
          <w:rFonts w:eastAsia="Times New Roman"/>
          <w:sz w:val="24"/>
          <w:szCs w:val="24"/>
        </w:rPr>
        <w:t>ors (c.f. Gerard, Jackson, Chou, Whitfield &amp; Brown, 2014), including socio-demographic characteristics, family background, social integration, intellectual capability, personality disorders (Kivivuori, Sounpӓӓ &amp; Lehti, 2014).</w:t>
      </w:r>
    </w:p>
    <w:p w:rsidR="004C1019" w:rsidRDefault="004C1019">
      <w:pPr>
        <w:spacing w:line="200" w:lineRule="exact"/>
        <w:rPr>
          <w:sz w:val="20"/>
          <w:szCs w:val="20"/>
        </w:rPr>
      </w:pPr>
    </w:p>
    <w:p w:rsidR="004C1019" w:rsidRDefault="004C1019">
      <w:pPr>
        <w:spacing w:line="311" w:lineRule="exact"/>
        <w:rPr>
          <w:sz w:val="20"/>
          <w:szCs w:val="20"/>
        </w:rPr>
      </w:pPr>
    </w:p>
    <w:p w:rsidR="004C1019" w:rsidRDefault="005C0DBA">
      <w:pPr>
        <w:ind w:left="8900"/>
        <w:rPr>
          <w:sz w:val="20"/>
          <w:szCs w:val="20"/>
        </w:rPr>
      </w:pPr>
      <w:r>
        <w:rPr>
          <w:rFonts w:eastAsia="Times New Roman"/>
          <w:sz w:val="24"/>
          <w:szCs w:val="24"/>
        </w:rPr>
        <w:t>4</w:t>
      </w:r>
    </w:p>
    <w:p w:rsidR="004C1019" w:rsidRDefault="004C1019">
      <w:pPr>
        <w:sectPr w:rsidR="004C1019">
          <w:pgSz w:w="11900" w:h="16840"/>
          <w:pgMar w:top="1420" w:right="1440" w:bottom="433" w:left="1440" w:header="0" w:footer="0" w:gutter="0"/>
          <w:cols w:space="720" w:equalWidth="0">
            <w:col w:w="9024"/>
          </w:cols>
        </w:sectPr>
      </w:pPr>
    </w:p>
    <w:p w:rsidR="004C1019" w:rsidRDefault="005C0DBA">
      <w:pPr>
        <w:spacing w:line="479" w:lineRule="auto"/>
        <w:ind w:firstLine="720"/>
        <w:jc w:val="both"/>
        <w:rPr>
          <w:sz w:val="20"/>
          <w:szCs w:val="20"/>
        </w:rPr>
      </w:pPr>
      <w:bookmarkStart w:id="5" w:name="page6"/>
      <w:bookmarkEnd w:id="5"/>
      <w:r>
        <w:rPr>
          <w:rFonts w:eastAsia="Times New Roman"/>
          <w:sz w:val="24"/>
          <w:szCs w:val="24"/>
        </w:rPr>
        <w:lastRenderedPageBreak/>
        <w:t xml:space="preserve">There </w:t>
      </w:r>
      <w:r>
        <w:rPr>
          <w:rFonts w:eastAsia="Times New Roman"/>
          <w:sz w:val="24"/>
          <w:szCs w:val="24"/>
        </w:rPr>
        <w:t>are numerous challenges that researchers face when examining the crime of homicide, which Brookman (2015) summarises in her discussion of the benefits, challenges, pitfalls and promises of homicide research. As she notes; it is difficult to obtain large an</w:t>
      </w:r>
      <w:r>
        <w:rPr>
          <w:rFonts w:eastAsia="Times New Roman"/>
          <w:sz w:val="24"/>
          <w:szCs w:val="24"/>
        </w:rPr>
        <w:t>d reliable samples of data on homicide offences, mainly because of the sensitive nature of such data and the difficulties associated with obtaining access to it in the closed world of crime investigation. Further, it is immensely difficult to get access to</w:t>
      </w:r>
      <w:r>
        <w:rPr>
          <w:rFonts w:eastAsia="Times New Roman"/>
          <w:sz w:val="24"/>
          <w:szCs w:val="24"/>
        </w:rPr>
        <w:t xml:space="preserve"> killers, to homicide detectives, or to prosecutors, in order to obtain first-hand data on offence details and case attributes. Moreover, in contrast to other crimes such as domestic violence or rape, there are no living victims from which to obtain inform</w:t>
      </w:r>
      <w:r>
        <w:rPr>
          <w:rFonts w:eastAsia="Times New Roman"/>
          <w:sz w:val="24"/>
          <w:szCs w:val="24"/>
        </w:rPr>
        <w:t>ation (Brookman, 2015). The argument could be made that attempted homicide victims could provide some insights in this respect; however, for a number of reasons these offences are not necessarily directly comparable with actual homicides. Finally, it is ve</w:t>
      </w:r>
      <w:r>
        <w:rPr>
          <w:rFonts w:eastAsia="Times New Roman"/>
          <w:sz w:val="24"/>
          <w:szCs w:val="24"/>
        </w:rPr>
        <w:t>ry difficult to obtain detailed and reliable information on the backgrounds and histories of homicide perpetrators, and even more so the victims of homicide (Gerard et al., 2014). For such information, research must invariably rely on third-party accounts,</w:t>
      </w:r>
      <w:r>
        <w:rPr>
          <w:rFonts w:eastAsia="Times New Roman"/>
          <w:sz w:val="24"/>
          <w:szCs w:val="24"/>
        </w:rPr>
        <w:t xml:space="preserve"> which may be subjective and error-prone.</w:t>
      </w:r>
    </w:p>
    <w:p w:rsidR="004C1019" w:rsidRDefault="004C1019">
      <w:pPr>
        <w:spacing w:line="17" w:lineRule="exact"/>
        <w:rPr>
          <w:sz w:val="20"/>
          <w:szCs w:val="20"/>
        </w:rPr>
      </w:pPr>
    </w:p>
    <w:p w:rsidR="004C1019" w:rsidRDefault="005C0DBA">
      <w:pPr>
        <w:spacing w:line="487" w:lineRule="auto"/>
        <w:ind w:right="20" w:firstLine="720"/>
        <w:jc w:val="both"/>
        <w:rPr>
          <w:sz w:val="20"/>
          <w:szCs w:val="20"/>
        </w:rPr>
      </w:pPr>
      <w:r>
        <w:rPr>
          <w:rFonts w:eastAsia="Times New Roman"/>
          <w:sz w:val="24"/>
          <w:szCs w:val="24"/>
        </w:rPr>
        <w:t>As such, then, researching homicide presents unique problems and challenges (Brookman, 2015), and because of this limits exist in our understanding of the true nature of homicide and a number of unanswered questio</w:t>
      </w:r>
      <w:r>
        <w:rPr>
          <w:rFonts w:eastAsia="Times New Roman"/>
          <w:sz w:val="24"/>
          <w:szCs w:val="24"/>
        </w:rPr>
        <w:t>ns about the causes of this extreme form of violence remain. It is some of these that the works presented in the current volume seek to address.</w:t>
      </w:r>
    </w:p>
    <w:p w:rsidR="004C1019" w:rsidRDefault="004C1019">
      <w:pPr>
        <w:spacing w:line="200" w:lineRule="exact"/>
        <w:rPr>
          <w:sz w:val="20"/>
          <w:szCs w:val="20"/>
        </w:rPr>
      </w:pPr>
    </w:p>
    <w:p w:rsidR="004C1019" w:rsidRDefault="004C1019">
      <w:pPr>
        <w:spacing w:line="308" w:lineRule="exact"/>
        <w:rPr>
          <w:sz w:val="20"/>
          <w:szCs w:val="20"/>
        </w:rPr>
      </w:pPr>
    </w:p>
    <w:p w:rsidR="004C1019" w:rsidRDefault="005C0DBA">
      <w:pPr>
        <w:rPr>
          <w:sz w:val="20"/>
          <w:szCs w:val="20"/>
        </w:rPr>
      </w:pPr>
      <w:r>
        <w:rPr>
          <w:rFonts w:eastAsia="Times New Roman"/>
          <w:b/>
          <w:bCs/>
          <w:sz w:val="24"/>
          <w:szCs w:val="24"/>
        </w:rPr>
        <w:t>Changing Patterns and Trends In Homicide Research</w:t>
      </w:r>
    </w:p>
    <w:p w:rsidR="004C1019" w:rsidRDefault="004C1019">
      <w:pPr>
        <w:spacing w:line="280" w:lineRule="exact"/>
        <w:rPr>
          <w:sz w:val="20"/>
          <w:szCs w:val="20"/>
        </w:rPr>
      </w:pPr>
    </w:p>
    <w:p w:rsidR="004C1019" w:rsidRDefault="005C0DBA">
      <w:pPr>
        <w:spacing w:line="495" w:lineRule="auto"/>
        <w:ind w:right="20" w:firstLine="720"/>
        <w:jc w:val="both"/>
        <w:rPr>
          <w:sz w:val="20"/>
          <w:szCs w:val="20"/>
        </w:rPr>
      </w:pPr>
      <w:r>
        <w:rPr>
          <w:rFonts w:eastAsia="Times New Roman"/>
          <w:sz w:val="24"/>
          <w:szCs w:val="24"/>
        </w:rPr>
        <w:t>More recently, homicide research has seen a shift in the f</w:t>
      </w:r>
      <w:r>
        <w:rPr>
          <w:rFonts w:eastAsia="Times New Roman"/>
          <w:sz w:val="24"/>
          <w:szCs w:val="24"/>
        </w:rPr>
        <w:t>ocus of studies, and in the aims and objectives that work is setting out to achieve. Firstly, there as has been a move away from the classic, traditional, descriptive types of homicide study, towards more inferential</w:t>
      </w:r>
    </w:p>
    <w:p w:rsidR="004C1019" w:rsidRDefault="004C1019">
      <w:pPr>
        <w:spacing w:line="295" w:lineRule="exact"/>
        <w:rPr>
          <w:sz w:val="20"/>
          <w:szCs w:val="20"/>
        </w:rPr>
      </w:pPr>
    </w:p>
    <w:p w:rsidR="004C1019" w:rsidRDefault="005C0DBA">
      <w:pPr>
        <w:ind w:left="8900"/>
        <w:rPr>
          <w:sz w:val="20"/>
          <w:szCs w:val="20"/>
        </w:rPr>
      </w:pPr>
      <w:r>
        <w:rPr>
          <w:rFonts w:eastAsia="Times New Roman"/>
          <w:sz w:val="24"/>
          <w:szCs w:val="24"/>
        </w:rPr>
        <w:t>5</w:t>
      </w:r>
    </w:p>
    <w:p w:rsidR="004C1019" w:rsidRDefault="004C1019">
      <w:pPr>
        <w:sectPr w:rsidR="004C1019">
          <w:pgSz w:w="11900" w:h="16840"/>
          <w:pgMar w:top="1420" w:right="1424" w:bottom="433" w:left="1440" w:header="0" w:footer="0" w:gutter="0"/>
          <w:cols w:space="720" w:equalWidth="0">
            <w:col w:w="9040"/>
          </w:cols>
        </w:sectPr>
      </w:pPr>
    </w:p>
    <w:p w:rsidR="004C1019" w:rsidRDefault="005C0DBA">
      <w:pPr>
        <w:spacing w:line="479" w:lineRule="auto"/>
        <w:ind w:right="20"/>
        <w:jc w:val="both"/>
        <w:rPr>
          <w:sz w:val="20"/>
          <w:szCs w:val="20"/>
        </w:rPr>
      </w:pPr>
      <w:bookmarkStart w:id="6" w:name="page7"/>
      <w:bookmarkEnd w:id="6"/>
      <w:r>
        <w:rPr>
          <w:rFonts w:eastAsia="Times New Roman"/>
          <w:sz w:val="24"/>
          <w:szCs w:val="24"/>
        </w:rPr>
        <w:lastRenderedPageBreak/>
        <w:t xml:space="preserve">analyses and an </w:t>
      </w:r>
      <w:r>
        <w:rPr>
          <w:rFonts w:eastAsia="Times New Roman"/>
          <w:sz w:val="24"/>
          <w:szCs w:val="24"/>
        </w:rPr>
        <w:t>increase in multivariate considerations of homicide data (Kivovuori et al., 2012). Alongside this, alternative methods have been embraced, with recent years having witnessed an ascendance of qualitative forms of analyses and mixed methods approaches (Kivov</w:t>
      </w:r>
      <w:r>
        <w:rPr>
          <w:rFonts w:eastAsia="Times New Roman"/>
          <w:sz w:val="24"/>
          <w:szCs w:val="24"/>
        </w:rPr>
        <w:t>uori et al., 2014). Brookman (2015) discusses in detail the potential values of utilising qualitative research methods for studying homicide, highlighting the many ways in which such approaches circumvent traditional difficulties in studying homicide (Broo</w:t>
      </w:r>
      <w:r>
        <w:rPr>
          <w:rFonts w:eastAsia="Times New Roman"/>
          <w:sz w:val="24"/>
          <w:szCs w:val="24"/>
        </w:rPr>
        <w:t>kman, 2015). In the present volume, a paper presented by Joakim Sturup and Shilan Caman seeks to harness the benefits of a mixed methods approach in examining cases of homicide followed by suicide. In addition, both the studies of Ioannou, Hammond &amp; Simpso</w:t>
      </w:r>
      <w:r>
        <w:rPr>
          <w:rFonts w:eastAsia="Times New Roman"/>
          <w:sz w:val="24"/>
          <w:szCs w:val="24"/>
        </w:rPr>
        <w:t>n (Present Volume) and Hammond &amp; Ioannou (Present Volume) utilise qualitative information and case study materials in order to alleviate problems associated with quantitative analyses and enable larger scale considerations of school shootings and juvenile-</w:t>
      </w:r>
      <w:r>
        <w:rPr>
          <w:rFonts w:eastAsia="Times New Roman"/>
          <w:sz w:val="24"/>
          <w:szCs w:val="24"/>
        </w:rPr>
        <w:t>perpetrated homicide, respectively.</w:t>
      </w:r>
    </w:p>
    <w:p w:rsidR="004C1019" w:rsidRDefault="004C1019">
      <w:pPr>
        <w:spacing w:line="14" w:lineRule="exact"/>
        <w:rPr>
          <w:sz w:val="20"/>
          <w:szCs w:val="20"/>
        </w:rPr>
      </w:pPr>
    </w:p>
    <w:p w:rsidR="004C1019" w:rsidRDefault="005C0DBA">
      <w:pPr>
        <w:spacing w:line="482" w:lineRule="auto"/>
        <w:ind w:firstLine="720"/>
        <w:jc w:val="both"/>
        <w:rPr>
          <w:sz w:val="20"/>
          <w:szCs w:val="20"/>
        </w:rPr>
      </w:pPr>
      <w:r>
        <w:rPr>
          <w:rFonts w:eastAsia="Times New Roman"/>
          <w:sz w:val="24"/>
          <w:szCs w:val="24"/>
        </w:rPr>
        <w:t>Further, research has begun to explore new ways of classifying offences and offenders (e.g. Horning et al., 2015), addressing the issue of whether aggregate analyses of large datasets are suitable for addressing the sub</w:t>
      </w:r>
      <w:r>
        <w:rPr>
          <w:rFonts w:eastAsia="Times New Roman"/>
          <w:sz w:val="24"/>
          <w:szCs w:val="24"/>
        </w:rPr>
        <w:t>tle distinctions between different types or subsets of homicide offences. One notable consequence of this has been a shift from nomothetic analyses towards more individually-focused, ideographic approaches to studying homicide. Koeppel et al. (2015), in th</w:t>
      </w:r>
      <w:r>
        <w:rPr>
          <w:rFonts w:eastAsia="Times New Roman"/>
          <w:sz w:val="24"/>
          <w:szCs w:val="24"/>
        </w:rPr>
        <w:t>eir extensive review of the extant homicide literature, draw attention to the problem of the previous lack of disaggregated studies of homicide, discussing the notable impacts that this was having on the development of the field more generally. Recent rese</w:t>
      </w:r>
      <w:r>
        <w:rPr>
          <w:rFonts w:eastAsia="Times New Roman"/>
          <w:sz w:val="24"/>
          <w:szCs w:val="24"/>
        </w:rPr>
        <w:t>arch has therefore begun to explore in more detail variations between different homicide sub-groups or sub-sets (c.f. Liem &amp; Pridemore, 2012). This, as Kivovouri et al. (2014) discuss, is a generally positive development, for it allows for more detailed an</w:t>
      </w:r>
      <w:r>
        <w:rPr>
          <w:rFonts w:eastAsia="Times New Roman"/>
          <w:sz w:val="24"/>
          <w:szCs w:val="24"/>
        </w:rPr>
        <w:t>alysis of the subtleties of the crime of homicide. In fact, they propose that the combination of a range</w:t>
      </w:r>
    </w:p>
    <w:p w:rsidR="004C1019" w:rsidRDefault="004C1019">
      <w:pPr>
        <w:spacing w:line="320" w:lineRule="exact"/>
        <w:rPr>
          <w:sz w:val="20"/>
          <w:szCs w:val="20"/>
        </w:rPr>
      </w:pPr>
    </w:p>
    <w:p w:rsidR="004C1019" w:rsidRDefault="005C0DBA">
      <w:pPr>
        <w:ind w:left="8900"/>
        <w:rPr>
          <w:sz w:val="20"/>
          <w:szCs w:val="20"/>
        </w:rPr>
      </w:pPr>
      <w:r>
        <w:rPr>
          <w:rFonts w:eastAsia="Times New Roman"/>
          <w:sz w:val="24"/>
          <w:szCs w:val="24"/>
        </w:rPr>
        <w:t>6</w:t>
      </w:r>
    </w:p>
    <w:p w:rsidR="004C1019" w:rsidRDefault="004C1019">
      <w:pPr>
        <w:sectPr w:rsidR="004C1019">
          <w:pgSz w:w="11900" w:h="16840"/>
          <w:pgMar w:top="1420" w:right="1424" w:bottom="433" w:left="1440" w:header="0" w:footer="0" w:gutter="0"/>
          <w:cols w:space="720" w:equalWidth="0">
            <w:col w:w="9040"/>
          </w:cols>
        </w:sectPr>
      </w:pPr>
    </w:p>
    <w:p w:rsidR="004C1019" w:rsidRDefault="005C0DBA">
      <w:pPr>
        <w:spacing w:line="480" w:lineRule="auto"/>
        <w:ind w:right="4"/>
        <w:jc w:val="both"/>
        <w:rPr>
          <w:sz w:val="20"/>
          <w:szCs w:val="20"/>
        </w:rPr>
      </w:pPr>
      <w:bookmarkStart w:id="7" w:name="page8"/>
      <w:bookmarkEnd w:id="7"/>
      <w:r>
        <w:rPr>
          <w:rFonts w:eastAsia="Times New Roman"/>
          <w:sz w:val="24"/>
          <w:szCs w:val="24"/>
        </w:rPr>
        <w:lastRenderedPageBreak/>
        <w:t xml:space="preserve">of nomothetic and idiographic approaches, which supplement and nourish one another, is what is needed to take homicide research </w:t>
      </w:r>
      <w:r>
        <w:rPr>
          <w:rFonts w:eastAsia="Times New Roman"/>
          <w:sz w:val="24"/>
          <w:szCs w:val="24"/>
        </w:rPr>
        <w:t>to the next stage in its evolutionary lifespan. It is this combined approach that many of the studies presented in the present volume take.</w:t>
      </w:r>
    </w:p>
    <w:p w:rsidR="004C1019" w:rsidRDefault="005C0DBA">
      <w:pPr>
        <w:spacing w:line="483" w:lineRule="auto"/>
        <w:ind w:right="4" w:firstLine="720"/>
        <w:jc w:val="both"/>
        <w:rPr>
          <w:sz w:val="20"/>
          <w:szCs w:val="20"/>
        </w:rPr>
      </w:pPr>
      <w:r>
        <w:rPr>
          <w:rFonts w:eastAsia="Times New Roman"/>
          <w:sz w:val="24"/>
          <w:szCs w:val="24"/>
        </w:rPr>
        <w:t>Finally, there has been a notable movement in the theoretical argumentation that homicide studies are now making. Th</w:t>
      </w:r>
      <w:r>
        <w:rPr>
          <w:rFonts w:eastAsia="Times New Roman"/>
          <w:sz w:val="24"/>
          <w:szCs w:val="24"/>
        </w:rPr>
        <w:t xml:space="preserve">ose theories that were given much weight previously, such as modernization/social disorganization perspectives, have seemingly been replaced by a greater emphasis on, for example; aspects of economic inequality, stress, deprivation, or poverty (Koeppel et </w:t>
      </w:r>
      <w:r>
        <w:rPr>
          <w:rFonts w:eastAsia="Times New Roman"/>
          <w:sz w:val="24"/>
          <w:szCs w:val="24"/>
        </w:rPr>
        <w:t>al., 2015). Newer theoretical frameworks that have emerged in the past few years also include social support and sex ratio theories, as well as perspectives related to gun possession and availability, and alcohol sales, use, and consumption (Koeppel et al.</w:t>
      </w:r>
      <w:r>
        <w:rPr>
          <w:rFonts w:eastAsia="Times New Roman"/>
          <w:sz w:val="24"/>
          <w:szCs w:val="24"/>
        </w:rPr>
        <w:t>, 2015). Underlying this shift is the embracement of macro-social approaches to understanding homicide, rather than a reliance on simplistic social–psychological explanations. It is also becoming more common to draw from or combine multiple theoretical app</w:t>
      </w:r>
      <w:r>
        <w:rPr>
          <w:rFonts w:eastAsia="Times New Roman"/>
          <w:sz w:val="24"/>
          <w:szCs w:val="24"/>
        </w:rPr>
        <w:t>roaches in explicating homicide (Kivivouri et al., 2014).</w:t>
      </w:r>
    </w:p>
    <w:p w:rsidR="004C1019" w:rsidRDefault="004C1019">
      <w:pPr>
        <w:spacing w:line="200" w:lineRule="exact"/>
        <w:rPr>
          <w:sz w:val="20"/>
          <w:szCs w:val="20"/>
        </w:rPr>
      </w:pPr>
    </w:p>
    <w:p w:rsidR="004C1019" w:rsidRDefault="004C1019">
      <w:pPr>
        <w:spacing w:line="310" w:lineRule="exact"/>
        <w:rPr>
          <w:sz w:val="20"/>
          <w:szCs w:val="20"/>
        </w:rPr>
      </w:pPr>
    </w:p>
    <w:p w:rsidR="004C1019" w:rsidRDefault="005C0DBA">
      <w:pPr>
        <w:rPr>
          <w:sz w:val="20"/>
          <w:szCs w:val="20"/>
        </w:rPr>
      </w:pPr>
      <w:r>
        <w:rPr>
          <w:rFonts w:eastAsia="Times New Roman"/>
          <w:b/>
          <w:bCs/>
          <w:sz w:val="24"/>
          <w:szCs w:val="24"/>
        </w:rPr>
        <w:t>A Focus on Specific Types/Sub-Types of Homicide</w:t>
      </w:r>
    </w:p>
    <w:p w:rsidR="004C1019" w:rsidRDefault="004C1019">
      <w:pPr>
        <w:spacing w:line="400" w:lineRule="exact"/>
        <w:rPr>
          <w:sz w:val="20"/>
          <w:szCs w:val="20"/>
        </w:rPr>
      </w:pPr>
    </w:p>
    <w:p w:rsidR="004C1019" w:rsidRDefault="005C0DBA">
      <w:pPr>
        <w:spacing w:line="484" w:lineRule="auto"/>
        <w:ind w:right="4" w:firstLine="720"/>
        <w:jc w:val="both"/>
        <w:rPr>
          <w:sz w:val="20"/>
          <w:szCs w:val="20"/>
        </w:rPr>
      </w:pPr>
      <w:r>
        <w:rPr>
          <w:rFonts w:eastAsia="Times New Roman"/>
          <w:sz w:val="24"/>
          <w:szCs w:val="24"/>
        </w:rPr>
        <w:t xml:space="preserve">One of the biggest shifts in homicide research over recent years has been a move towards more focused empirical evaluations of different types and </w:t>
      </w:r>
      <w:r>
        <w:rPr>
          <w:rFonts w:eastAsia="Times New Roman"/>
          <w:sz w:val="24"/>
          <w:szCs w:val="24"/>
        </w:rPr>
        <w:t>sub-types of homicide. Increased realisation of the essential fact that the crime of homicide can take many forms, each of which is likely to be subject to different underlying processes and influences and will have different characteristics and attributes</w:t>
      </w:r>
      <w:r>
        <w:rPr>
          <w:rFonts w:eastAsia="Times New Roman"/>
          <w:sz w:val="24"/>
          <w:szCs w:val="24"/>
        </w:rPr>
        <w:t>, has led to greater focus on sub-groups of homicide offences and/or offenders. As Kivivouri et al. (2014) discuss, specialized homicide research is increasing at an exponential rate, and is gaining favour relative to more general studies of homicide.</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342" w:lineRule="exact"/>
        <w:rPr>
          <w:sz w:val="20"/>
          <w:szCs w:val="20"/>
        </w:rPr>
      </w:pPr>
    </w:p>
    <w:p w:rsidR="004C1019" w:rsidRDefault="005C0DBA">
      <w:pPr>
        <w:ind w:left="8900"/>
        <w:rPr>
          <w:sz w:val="20"/>
          <w:szCs w:val="20"/>
        </w:rPr>
      </w:pPr>
      <w:r>
        <w:rPr>
          <w:rFonts w:eastAsia="Times New Roman"/>
          <w:sz w:val="24"/>
          <w:szCs w:val="24"/>
        </w:rPr>
        <w:t>7</w:t>
      </w:r>
    </w:p>
    <w:p w:rsidR="004C1019" w:rsidRDefault="004C1019">
      <w:pPr>
        <w:sectPr w:rsidR="004C1019">
          <w:pgSz w:w="11900" w:h="16840"/>
          <w:pgMar w:top="1420" w:right="1440" w:bottom="433" w:left="1440" w:header="0" w:footer="0" w:gutter="0"/>
          <w:cols w:space="720" w:equalWidth="0">
            <w:col w:w="9024"/>
          </w:cols>
        </w:sectPr>
      </w:pPr>
    </w:p>
    <w:p w:rsidR="004C1019" w:rsidRDefault="005C0DBA">
      <w:pPr>
        <w:spacing w:line="511" w:lineRule="auto"/>
        <w:ind w:right="4"/>
        <w:rPr>
          <w:sz w:val="20"/>
          <w:szCs w:val="20"/>
        </w:rPr>
      </w:pPr>
      <w:bookmarkStart w:id="8" w:name="page9"/>
      <w:bookmarkEnd w:id="8"/>
      <w:r>
        <w:rPr>
          <w:rFonts w:eastAsia="Times New Roman"/>
          <w:sz w:val="24"/>
          <w:szCs w:val="24"/>
        </w:rPr>
        <w:lastRenderedPageBreak/>
        <w:t>What became evident in the preparation of this special issue was an increased focus on the following;</w:t>
      </w:r>
    </w:p>
    <w:p w:rsidR="004C1019" w:rsidRDefault="004C1019">
      <w:pPr>
        <w:spacing w:line="49" w:lineRule="exact"/>
        <w:rPr>
          <w:sz w:val="20"/>
          <w:szCs w:val="20"/>
        </w:rPr>
      </w:pPr>
    </w:p>
    <w:p w:rsidR="004C1019" w:rsidRDefault="005C0DBA">
      <w:pPr>
        <w:numPr>
          <w:ilvl w:val="0"/>
          <w:numId w:val="2"/>
        </w:numPr>
        <w:tabs>
          <w:tab w:val="left" w:pos="720"/>
        </w:tabs>
        <w:ind w:left="720" w:hanging="720"/>
        <w:rPr>
          <w:rFonts w:eastAsia="Times New Roman"/>
          <w:sz w:val="24"/>
          <w:szCs w:val="24"/>
        </w:rPr>
      </w:pPr>
      <w:r>
        <w:rPr>
          <w:rFonts w:eastAsia="Times New Roman"/>
          <w:sz w:val="24"/>
          <w:szCs w:val="24"/>
        </w:rPr>
        <w:t>Different types of homicide offence</w:t>
      </w:r>
    </w:p>
    <w:p w:rsidR="004C1019" w:rsidRDefault="004C1019">
      <w:pPr>
        <w:spacing w:line="396" w:lineRule="exact"/>
        <w:rPr>
          <w:sz w:val="20"/>
          <w:szCs w:val="20"/>
        </w:rPr>
      </w:pPr>
    </w:p>
    <w:p w:rsidR="004C1019" w:rsidRDefault="005C0DBA">
      <w:pPr>
        <w:spacing w:line="484" w:lineRule="auto"/>
        <w:ind w:right="4"/>
        <w:jc w:val="both"/>
        <w:rPr>
          <w:sz w:val="20"/>
          <w:szCs w:val="20"/>
        </w:rPr>
      </w:pPr>
      <w:r>
        <w:rPr>
          <w:rFonts w:eastAsia="Times New Roman"/>
          <w:sz w:val="24"/>
          <w:szCs w:val="24"/>
        </w:rPr>
        <w:t xml:space="preserve">For example, in the present volume Maria Ioannou, Laura Hammond and Olivia Simpson examine </w:t>
      </w:r>
      <w:r>
        <w:rPr>
          <w:rFonts w:eastAsia="Times New Roman"/>
          <w:sz w:val="24"/>
          <w:szCs w:val="24"/>
        </w:rPr>
        <w:t>‘rampage’ school shootings, a relatively recent phenomenon that is seemingly increasing in prevalence. Also in the present volume, Pakkanen, Zappalà, Bosco, Berti and Santtila evaluate the core attributes of one-off, hard-to-solve homicides and homicides c</w:t>
      </w:r>
      <w:r>
        <w:rPr>
          <w:rFonts w:eastAsia="Times New Roman"/>
          <w:sz w:val="24"/>
          <w:szCs w:val="24"/>
        </w:rPr>
        <w:t>ommitted as part of a series, and how the two differ in meaningful ways that offer up different types of practical opportunity. There are even studies emerging which examine sub-types within types; Sturup &amp; Caman (this volume), for example, evaluate eviden</w:t>
      </w:r>
      <w:r>
        <w:rPr>
          <w:rFonts w:eastAsia="Times New Roman"/>
          <w:sz w:val="24"/>
          <w:szCs w:val="24"/>
        </w:rPr>
        <w:t>ce for the existence of different sub-types of homicide-suicide event.</w:t>
      </w:r>
    </w:p>
    <w:p w:rsidR="004C1019" w:rsidRDefault="004C1019">
      <w:pPr>
        <w:spacing w:line="84" w:lineRule="exact"/>
        <w:rPr>
          <w:sz w:val="20"/>
          <w:szCs w:val="20"/>
        </w:rPr>
      </w:pPr>
    </w:p>
    <w:p w:rsidR="004C1019" w:rsidRDefault="005C0DBA">
      <w:pPr>
        <w:numPr>
          <w:ilvl w:val="0"/>
          <w:numId w:val="3"/>
        </w:numPr>
        <w:tabs>
          <w:tab w:val="left" w:pos="720"/>
        </w:tabs>
        <w:ind w:left="720" w:hanging="720"/>
        <w:rPr>
          <w:rFonts w:eastAsia="Times New Roman"/>
          <w:sz w:val="24"/>
          <w:szCs w:val="24"/>
        </w:rPr>
      </w:pPr>
      <w:r>
        <w:rPr>
          <w:rFonts w:eastAsia="Times New Roman"/>
          <w:sz w:val="24"/>
          <w:szCs w:val="24"/>
        </w:rPr>
        <w:t>Different types of homicide victim</w:t>
      </w:r>
    </w:p>
    <w:p w:rsidR="004C1019" w:rsidRDefault="004C1019">
      <w:pPr>
        <w:spacing w:line="276" w:lineRule="exact"/>
        <w:rPr>
          <w:sz w:val="20"/>
          <w:szCs w:val="20"/>
        </w:rPr>
      </w:pPr>
    </w:p>
    <w:p w:rsidR="004C1019" w:rsidRDefault="005C0DBA">
      <w:pPr>
        <w:spacing w:line="479" w:lineRule="auto"/>
        <w:ind w:right="4"/>
        <w:jc w:val="both"/>
        <w:rPr>
          <w:sz w:val="20"/>
          <w:szCs w:val="20"/>
        </w:rPr>
      </w:pPr>
      <w:r>
        <w:rPr>
          <w:rFonts w:eastAsia="Times New Roman"/>
          <w:sz w:val="24"/>
          <w:szCs w:val="24"/>
        </w:rPr>
        <w:t>Research has more recently begun to pay more empirical attention to the targets of homicide, and how different types of offence manifest in relation</w:t>
      </w:r>
      <w:r>
        <w:rPr>
          <w:rFonts w:eastAsia="Times New Roman"/>
          <w:sz w:val="24"/>
          <w:szCs w:val="24"/>
        </w:rPr>
        <w:t xml:space="preserve"> to these. For example; a recent issue of the journal ‘Homicide Studies’ focussed on elderly homicides. Elsewhere, research has looked at types of victim such as prostitutes (Youngs and Ioannou, 2013). In the present volume, Jason Roach and Robin Bryant ex</w:t>
      </w:r>
      <w:r>
        <w:rPr>
          <w:rFonts w:eastAsia="Times New Roman"/>
          <w:sz w:val="24"/>
          <w:szCs w:val="24"/>
        </w:rPr>
        <w:t>amine risk factors associated with children being killed.</w:t>
      </w:r>
    </w:p>
    <w:p w:rsidR="004C1019" w:rsidRDefault="004C1019">
      <w:pPr>
        <w:spacing w:line="6" w:lineRule="exact"/>
        <w:rPr>
          <w:sz w:val="20"/>
          <w:szCs w:val="20"/>
        </w:rPr>
      </w:pPr>
    </w:p>
    <w:p w:rsidR="004C1019" w:rsidRDefault="005C0DBA">
      <w:pPr>
        <w:numPr>
          <w:ilvl w:val="0"/>
          <w:numId w:val="4"/>
        </w:numPr>
        <w:tabs>
          <w:tab w:val="left" w:pos="720"/>
        </w:tabs>
        <w:ind w:left="720" w:hanging="720"/>
        <w:rPr>
          <w:rFonts w:eastAsia="Times New Roman"/>
          <w:sz w:val="24"/>
          <w:szCs w:val="24"/>
        </w:rPr>
      </w:pPr>
      <w:r>
        <w:rPr>
          <w:rFonts w:eastAsia="Times New Roman"/>
          <w:sz w:val="24"/>
          <w:szCs w:val="24"/>
        </w:rPr>
        <w:t>Different types of homicide perpetrator</w:t>
      </w:r>
    </w:p>
    <w:p w:rsidR="004C1019" w:rsidRDefault="004C1019">
      <w:pPr>
        <w:spacing w:line="396" w:lineRule="exact"/>
        <w:rPr>
          <w:sz w:val="20"/>
          <w:szCs w:val="20"/>
        </w:rPr>
      </w:pPr>
    </w:p>
    <w:p w:rsidR="004C1019" w:rsidRDefault="005C0DBA">
      <w:pPr>
        <w:spacing w:line="490" w:lineRule="auto"/>
        <w:ind w:right="4"/>
        <w:jc w:val="both"/>
        <w:rPr>
          <w:sz w:val="20"/>
          <w:szCs w:val="20"/>
        </w:rPr>
      </w:pPr>
      <w:r>
        <w:rPr>
          <w:rFonts w:eastAsia="Times New Roman"/>
          <w:sz w:val="24"/>
          <w:szCs w:val="24"/>
        </w:rPr>
        <w:t>Some recent works have also focused on specific perpetrator sub-groups, such as youth homicide perpetrators (Gerard et al., 2014) and sexual homicide perpet</w:t>
      </w:r>
      <w:r>
        <w:rPr>
          <w:rFonts w:eastAsia="Times New Roman"/>
          <w:sz w:val="24"/>
          <w:szCs w:val="24"/>
        </w:rPr>
        <w:t>rators (Chan, Heide &amp; Myers, 2013). In the present volume, Laura Hammond and Maria Ioannou present a novel study examining the differences between child and adolescent homicide perpetrators.</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325" w:lineRule="exact"/>
        <w:rPr>
          <w:sz w:val="20"/>
          <w:szCs w:val="20"/>
        </w:rPr>
      </w:pPr>
    </w:p>
    <w:p w:rsidR="004C1019" w:rsidRDefault="005C0DBA">
      <w:pPr>
        <w:ind w:left="8900"/>
        <w:rPr>
          <w:sz w:val="20"/>
          <w:szCs w:val="20"/>
        </w:rPr>
      </w:pPr>
      <w:r>
        <w:rPr>
          <w:rFonts w:eastAsia="Times New Roman"/>
          <w:sz w:val="24"/>
          <w:szCs w:val="24"/>
        </w:rPr>
        <w:t>8</w:t>
      </w:r>
    </w:p>
    <w:p w:rsidR="004C1019" w:rsidRDefault="004C1019">
      <w:pPr>
        <w:sectPr w:rsidR="004C1019">
          <w:pgSz w:w="11900" w:h="16840"/>
          <w:pgMar w:top="1420" w:right="1440" w:bottom="433" w:left="1440" w:header="0" w:footer="0" w:gutter="0"/>
          <w:cols w:space="720" w:equalWidth="0">
            <w:col w:w="9024"/>
          </w:cols>
        </w:sectPr>
      </w:pPr>
    </w:p>
    <w:p w:rsidR="004C1019" w:rsidRDefault="005C0DBA">
      <w:pPr>
        <w:rPr>
          <w:sz w:val="20"/>
          <w:szCs w:val="20"/>
        </w:rPr>
      </w:pPr>
      <w:bookmarkStart w:id="9" w:name="page10"/>
      <w:bookmarkEnd w:id="9"/>
      <w:r>
        <w:rPr>
          <w:rFonts w:eastAsia="Times New Roman"/>
          <w:b/>
          <w:bCs/>
          <w:sz w:val="24"/>
          <w:szCs w:val="24"/>
        </w:rPr>
        <w:lastRenderedPageBreak/>
        <w:t xml:space="preserve">A Move Towards a More Holistic </w:t>
      </w:r>
      <w:r>
        <w:rPr>
          <w:rFonts w:eastAsia="Times New Roman"/>
          <w:b/>
          <w:bCs/>
          <w:sz w:val="24"/>
          <w:szCs w:val="24"/>
        </w:rPr>
        <w:t>Understanding of the Crime of Homicide</w:t>
      </w:r>
    </w:p>
    <w:p w:rsidR="004C1019" w:rsidRDefault="004C1019">
      <w:pPr>
        <w:spacing w:line="200" w:lineRule="exact"/>
        <w:rPr>
          <w:sz w:val="20"/>
          <w:szCs w:val="20"/>
        </w:rPr>
      </w:pPr>
    </w:p>
    <w:p w:rsidR="004C1019" w:rsidRDefault="004C1019">
      <w:pPr>
        <w:spacing w:line="280" w:lineRule="exact"/>
        <w:rPr>
          <w:sz w:val="20"/>
          <w:szCs w:val="20"/>
        </w:rPr>
      </w:pPr>
    </w:p>
    <w:p w:rsidR="004C1019" w:rsidRDefault="005C0DBA">
      <w:pPr>
        <w:spacing w:line="479" w:lineRule="auto"/>
        <w:ind w:right="4"/>
        <w:jc w:val="both"/>
        <w:rPr>
          <w:sz w:val="20"/>
          <w:szCs w:val="20"/>
        </w:rPr>
      </w:pPr>
      <w:r>
        <w:rPr>
          <w:rFonts w:eastAsia="Times New Roman"/>
          <w:sz w:val="24"/>
          <w:szCs w:val="24"/>
        </w:rPr>
        <w:t xml:space="preserve">To sum up the above, then; what we are seeing in homicide research is a move towards a more holistic understanding of the crime of homicide, with studies – between them - considering all aspects of the offence as a </w:t>
      </w:r>
      <w:r>
        <w:rPr>
          <w:rFonts w:eastAsia="Times New Roman"/>
          <w:sz w:val="24"/>
          <w:szCs w:val="24"/>
        </w:rPr>
        <w:t>whole, in its entirety. There appears to be increased recognition of the fact that by examining differences between different types of homicide event it is possible to unravel the complexities and subtleties of the crime of homicide to a far greater extent</w:t>
      </w:r>
      <w:r>
        <w:rPr>
          <w:rFonts w:eastAsia="Times New Roman"/>
          <w:sz w:val="24"/>
          <w:szCs w:val="24"/>
        </w:rPr>
        <w:t xml:space="preserve"> (see, for example; the recent ‘Global Study on Homicide’ published by the UNDOC).</w:t>
      </w:r>
    </w:p>
    <w:p w:rsidR="004C1019" w:rsidRDefault="004C1019">
      <w:pPr>
        <w:spacing w:line="7" w:lineRule="exact"/>
        <w:rPr>
          <w:sz w:val="20"/>
          <w:szCs w:val="20"/>
        </w:rPr>
      </w:pPr>
    </w:p>
    <w:p w:rsidR="004C1019" w:rsidRDefault="005C0DBA">
      <w:pPr>
        <w:spacing w:line="481" w:lineRule="auto"/>
        <w:ind w:right="4" w:firstLine="720"/>
        <w:jc w:val="both"/>
        <w:rPr>
          <w:sz w:val="20"/>
          <w:szCs w:val="20"/>
        </w:rPr>
      </w:pPr>
      <w:r>
        <w:rPr>
          <w:rFonts w:eastAsia="Times New Roman"/>
          <w:sz w:val="24"/>
          <w:szCs w:val="24"/>
        </w:rPr>
        <w:t>In addition and alongside to this increased recognition of the considerable variety of forms of offence that the term ‘homicide’ encompasses is a growing awareness of the n</w:t>
      </w:r>
      <w:r>
        <w:rPr>
          <w:rFonts w:eastAsia="Times New Roman"/>
          <w:sz w:val="24"/>
          <w:szCs w:val="24"/>
        </w:rPr>
        <w:t>eed to look at homicide, including how and why it happens and how it is dealt with, as an overall process; examining not just the nature and characteristics of the crime itself, but also how it is investigated, prosecuted and managed, along with associated</w:t>
      </w:r>
      <w:r>
        <w:rPr>
          <w:rFonts w:eastAsia="Times New Roman"/>
          <w:sz w:val="24"/>
          <w:szCs w:val="24"/>
        </w:rPr>
        <w:t xml:space="preserve"> assessment, intervention and treatment strategies at each stage of the criminal justice process. The study by presented by Tom Pakkanen, Angelo Zappalà, Dario Bosco, Andrea Berti and Pekka Santtila in the present volume, for example, explores what can be </w:t>
      </w:r>
      <w:r>
        <w:rPr>
          <w:rFonts w:eastAsia="Times New Roman"/>
          <w:sz w:val="24"/>
          <w:szCs w:val="24"/>
        </w:rPr>
        <w:t>inferred from the way in which a homicide is committed and how this can be used in guiding investigations. More specifically, Pakkanen et al. (Present Volume) show that you can predict with a reasonable degree of accuracy whether an offence is likely to be</w:t>
      </w:r>
      <w:r>
        <w:rPr>
          <w:rFonts w:eastAsia="Times New Roman"/>
          <w:sz w:val="24"/>
          <w:szCs w:val="24"/>
        </w:rPr>
        <w:t xml:space="preserve"> part of a series on the basis of offence behaviours and victim characteristics; a finding which has notable implications for crime linking in investigations and for prosecutorial purposes. Jason Roach and Robin Bryant (Present Volume) identify a range of </w:t>
      </w:r>
      <w:r>
        <w:rPr>
          <w:rFonts w:eastAsia="Times New Roman"/>
          <w:sz w:val="24"/>
          <w:szCs w:val="24"/>
        </w:rPr>
        <w:t>risk profiles both for the perpetration of child homicide and for victimisation, which offer a range of important implications for the investigation and management of this particular sub-set of homicide. Ioannou, Hammond &amp; Simpson (Present Volume) identify</w:t>
      </w:r>
      <w:r>
        <w:rPr>
          <w:rFonts w:eastAsia="Times New Roman"/>
          <w:sz w:val="24"/>
          <w:szCs w:val="24"/>
        </w:rPr>
        <w:t xml:space="preserve"> a range of risk factors associated with different types of school shooting incident. Their</w:t>
      </w:r>
    </w:p>
    <w:p w:rsidR="004C1019" w:rsidRDefault="004C1019">
      <w:pPr>
        <w:spacing w:line="128" w:lineRule="exact"/>
        <w:rPr>
          <w:sz w:val="20"/>
          <w:szCs w:val="20"/>
        </w:rPr>
      </w:pPr>
    </w:p>
    <w:p w:rsidR="004C1019" w:rsidRDefault="005C0DBA">
      <w:pPr>
        <w:ind w:left="8900"/>
        <w:rPr>
          <w:sz w:val="20"/>
          <w:szCs w:val="20"/>
        </w:rPr>
      </w:pPr>
      <w:r>
        <w:rPr>
          <w:rFonts w:eastAsia="Times New Roman"/>
          <w:sz w:val="24"/>
          <w:szCs w:val="24"/>
        </w:rPr>
        <w:t>9</w:t>
      </w:r>
    </w:p>
    <w:p w:rsidR="004C1019" w:rsidRDefault="004C1019">
      <w:pPr>
        <w:sectPr w:rsidR="004C1019">
          <w:pgSz w:w="11900" w:h="16840"/>
          <w:pgMar w:top="1417" w:right="1440" w:bottom="433" w:left="1440" w:header="0" w:footer="0" w:gutter="0"/>
          <w:cols w:space="720" w:equalWidth="0">
            <w:col w:w="9024"/>
          </w:cols>
        </w:sectPr>
      </w:pPr>
    </w:p>
    <w:p w:rsidR="004C1019" w:rsidRDefault="005C0DBA">
      <w:pPr>
        <w:spacing w:line="490" w:lineRule="auto"/>
        <w:ind w:right="4"/>
        <w:jc w:val="both"/>
        <w:rPr>
          <w:sz w:val="20"/>
          <w:szCs w:val="20"/>
        </w:rPr>
      </w:pPr>
      <w:bookmarkStart w:id="10" w:name="page11"/>
      <w:bookmarkEnd w:id="10"/>
      <w:r>
        <w:rPr>
          <w:rFonts w:eastAsia="Times New Roman"/>
          <w:sz w:val="24"/>
          <w:szCs w:val="24"/>
        </w:rPr>
        <w:lastRenderedPageBreak/>
        <w:t>findings offer a means of identifying and targeting those at high risk of becoming a school shooter, which has notable implications for various</w:t>
      </w:r>
      <w:r>
        <w:rPr>
          <w:rFonts w:eastAsia="Times New Roman"/>
          <w:sz w:val="24"/>
          <w:szCs w:val="24"/>
        </w:rPr>
        <w:t xml:space="preserve"> practitioner groups. By examining the full range of issues relating to the crime of homicide in such a way, these works take notable steps in enhancing our overall understanding of the offence.</w:t>
      </w:r>
    </w:p>
    <w:p w:rsidR="004C1019" w:rsidRDefault="004C1019">
      <w:pPr>
        <w:spacing w:line="269" w:lineRule="exact"/>
        <w:rPr>
          <w:sz w:val="20"/>
          <w:szCs w:val="20"/>
        </w:rPr>
      </w:pPr>
    </w:p>
    <w:p w:rsidR="004C1019" w:rsidRDefault="005C0DBA">
      <w:pPr>
        <w:rPr>
          <w:sz w:val="20"/>
          <w:szCs w:val="20"/>
        </w:rPr>
      </w:pPr>
      <w:r>
        <w:rPr>
          <w:rFonts w:eastAsia="Times New Roman"/>
          <w:b/>
          <w:bCs/>
          <w:sz w:val="24"/>
          <w:szCs w:val="24"/>
        </w:rPr>
        <w:t>The Future: A Research Agenda</w:t>
      </w:r>
    </w:p>
    <w:p w:rsidR="004C1019" w:rsidRDefault="004C1019">
      <w:pPr>
        <w:spacing w:line="361" w:lineRule="exact"/>
        <w:rPr>
          <w:sz w:val="20"/>
          <w:szCs w:val="20"/>
        </w:rPr>
      </w:pPr>
    </w:p>
    <w:p w:rsidR="004C1019" w:rsidRDefault="005C0DBA">
      <w:pPr>
        <w:spacing w:line="480" w:lineRule="auto"/>
        <w:ind w:right="4" w:firstLine="568"/>
        <w:jc w:val="both"/>
        <w:rPr>
          <w:sz w:val="20"/>
          <w:szCs w:val="20"/>
        </w:rPr>
      </w:pPr>
      <w:r>
        <w:rPr>
          <w:rFonts w:eastAsia="Times New Roman"/>
          <w:sz w:val="24"/>
          <w:szCs w:val="24"/>
        </w:rPr>
        <w:t xml:space="preserve">There is no simple answer as </w:t>
      </w:r>
      <w:r>
        <w:rPr>
          <w:rFonts w:eastAsia="Times New Roman"/>
          <w:sz w:val="24"/>
          <w:szCs w:val="24"/>
        </w:rPr>
        <w:t xml:space="preserve">to why one human being kills another. However, whilst the human experience is inextricably linked with violence, with it being very difficult to disentangle the relationship(s) between the two, that does not mean that we should not try to prevent homicide </w:t>
      </w:r>
      <w:r>
        <w:rPr>
          <w:rFonts w:eastAsia="Times New Roman"/>
          <w:sz w:val="24"/>
          <w:szCs w:val="24"/>
        </w:rPr>
        <w:t>or reduce it. While, as mentioned earlier, the history of homicide research is long there are still many unanswered questions and directions that future research should take. Although homicide comprises of different types, research has failed to account fo</w:t>
      </w:r>
      <w:r>
        <w:rPr>
          <w:rFonts w:eastAsia="Times New Roman"/>
          <w:sz w:val="24"/>
          <w:szCs w:val="24"/>
        </w:rPr>
        <w:t xml:space="preserve">r these variations. While murder and manslaughter are treated differently within the legal system and societies in general this has been ignored in much research. Research therefore should focus on whether we can differentiate both in terms of offence and </w:t>
      </w:r>
      <w:r>
        <w:rPr>
          <w:rFonts w:eastAsia="Times New Roman"/>
          <w:sz w:val="24"/>
          <w:szCs w:val="24"/>
        </w:rPr>
        <w:t>offender characteristics for different classes of homicide such as murder, manslaughter, infanticide and even as diverse as euthanasia and execution.</w:t>
      </w:r>
    </w:p>
    <w:p w:rsidR="004C1019" w:rsidRDefault="004C1019">
      <w:pPr>
        <w:spacing w:line="1" w:lineRule="exact"/>
        <w:rPr>
          <w:sz w:val="20"/>
          <w:szCs w:val="20"/>
        </w:rPr>
      </w:pPr>
    </w:p>
    <w:p w:rsidR="004C1019" w:rsidRDefault="005C0DBA">
      <w:pPr>
        <w:spacing w:line="474" w:lineRule="auto"/>
        <w:ind w:right="4" w:firstLine="568"/>
        <w:jc w:val="both"/>
        <w:rPr>
          <w:sz w:val="20"/>
          <w:szCs w:val="20"/>
        </w:rPr>
      </w:pPr>
      <w:r>
        <w:rPr>
          <w:rFonts w:eastAsia="Times New Roman"/>
          <w:sz w:val="24"/>
          <w:szCs w:val="24"/>
        </w:rPr>
        <w:t xml:space="preserve">Furthermore, academics, researchers and practitioners have long speculated whether it is possible to </w:t>
      </w:r>
      <w:r>
        <w:rPr>
          <w:rFonts w:eastAsia="Times New Roman"/>
          <w:sz w:val="24"/>
          <w:szCs w:val="24"/>
        </w:rPr>
        <w:t>predict in advance who will commit lethal violence or hypothesise about factors that may differentiate those who murder from those who do not, as while we all have the potential for violence not all of us act on these impulses. Despite the recognition of t</w:t>
      </w:r>
      <w:r>
        <w:rPr>
          <w:rFonts w:eastAsia="Times New Roman"/>
          <w:sz w:val="24"/>
          <w:szCs w:val="24"/>
        </w:rPr>
        <w:t>he significance of developmental predictors of violent behaviour, a small body of research has examined the predictors or predictive causal factors of homicidal behaviour. Future research should expand in this area including control groups and longitudinal</w:t>
      </w:r>
      <w:r>
        <w:rPr>
          <w:rFonts w:eastAsia="Times New Roman"/>
          <w:sz w:val="24"/>
          <w:szCs w:val="24"/>
        </w:rPr>
        <w:t xml:space="preserve"> studies. At present it is unknown whether factors that define homicide offenders would apply to other groups who either do not commit crime or commit other types of crimes or crime in general. In addition,</w:t>
      </w:r>
    </w:p>
    <w:p w:rsidR="004C1019" w:rsidRDefault="004C1019">
      <w:pPr>
        <w:spacing w:line="9" w:lineRule="exact"/>
        <w:rPr>
          <w:sz w:val="20"/>
          <w:szCs w:val="20"/>
        </w:rPr>
      </w:pPr>
    </w:p>
    <w:p w:rsidR="004C1019" w:rsidRDefault="005C0DBA">
      <w:pPr>
        <w:ind w:left="8780"/>
        <w:rPr>
          <w:sz w:val="20"/>
          <w:szCs w:val="20"/>
        </w:rPr>
      </w:pPr>
      <w:r>
        <w:rPr>
          <w:rFonts w:eastAsia="Times New Roman"/>
          <w:sz w:val="24"/>
          <w:szCs w:val="24"/>
        </w:rPr>
        <w:t>10</w:t>
      </w:r>
    </w:p>
    <w:p w:rsidR="004C1019" w:rsidRDefault="004C1019">
      <w:pPr>
        <w:sectPr w:rsidR="004C1019">
          <w:pgSz w:w="11900" w:h="16840"/>
          <w:pgMar w:top="1420" w:right="1440" w:bottom="433" w:left="1440" w:header="0" w:footer="0" w:gutter="0"/>
          <w:cols w:space="720" w:equalWidth="0">
            <w:col w:w="9024"/>
          </w:cols>
        </w:sectPr>
      </w:pPr>
    </w:p>
    <w:p w:rsidR="004C1019" w:rsidRDefault="005C0DBA">
      <w:pPr>
        <w:spacing w:line="480" w:lineRule="auto"/>
        <w:ind w:right="4"/>
        <w:jc w:val="both"/>
        <w:rPr>
          <w:sz w:val="20"/>
          <w:szCs w:val="20"/>
        </w:rPr>
      </w:pPr>
      <w:bookmarkStart w:id="11" w:name="page12"/>
      <w:bookmarkEnd w:id="11"/>
      <w:r>
        <w:rPr>
          <w:rFonts w:eastAsia="Times New Roman"/>
          <w:sz w:val="24"/>
          <w:szCs w:val="24"/>
        </w:rPr>
        <w:lastRenderedPageBreak/>
        <w:t xml:space="preserve">not much is known about </w:t>
      </w:r>
      <w:r>
        <w:rPr>
          <w:rFonts w:eastAsia="Times New Roman"/>
          <w:sz w:val="24"/>
          <w:szCs w:val="24"/>
        </w:rPr>
        <w:t xml:space="preserve">individuals who while at a younger age exhibited factors associated with homicide offenders did not subsequently commit murder. Most research has relied on retrospective information about putative causes of homicide that is generally derived from official </w:t>
      </w:r>
      <w:r>
        <w:rPr>
          <w:rFonts w:eastAsia="Times New Roman"/>
          <w:sz w:val="24"/>
          <w:szCs w:val="24"/>
        </w:rPr>
        <w:t xml:space="preserve">court reports or third-party reports that may provide incomplete or inaccurate archival information about possible risk factors. Data reported by family members or friends may be biased and inaccurate or incomplete due to mistaken recall of events. Future </w:t>
      </w:r>
      <w:r>
        <w:rPr>
          <w:rFonts w:eastAsia="Times New Roman"/>
          <w:sz w:val="24"/>
          <w:szCs w:val="24"/>
        </w:rPr>
        <w:t>studies should therefore need to move away from being descriptive to being predictive, incorporating clinical, behavioural and environmental predictors, control groups and study the developmental antecedents of violence in general and homicide specifically</w:t>
      </w:r>
      <w:r>
        <w:rPr>
          <w:rFonts w:eastAsia="Times New Roman"/>
          <w:sz w:val="24"/>
          <w:szCs w:val="24"/>
        </w:rPr>
        <w:t xml:space="preserve"> longitudinally (Farrington et al, 2012).</w:t>
      </w:r>
    </w:p>
    <w:p w:rsidR="004C1019" w:rsidRDefault="005C0DBA">
      <w:pPr>
        <w:spacing w:line="482" w:lineRule="auto"/>
        <w:ind w:right="4" w:firstLine="568"/>
        <w:jc w:val="both"/>
        <w:rPr>
          <w:sz w:val="20"/>
          <w:szCs w:val="20"/>
        </w:rPr>
      </w:pPr>
      <w:r>
        <w:rPr>
          <w:rFonts w:eastAsia="Times New Roman"/>
          <w:sz w:val="24"/>
          <w:szCs w:val="24"/>
        </w:rPr>
        <w:t>Lastly, while violence committed by individuals with mental disorders has increasingly called the attention of academics, researchers, clinicians, law enforcement officials and the general public, and various studi</w:t>
      </w:r>
      <w:r>
        <w:rPr>
          <w:rFonts w:eastAsia="Times New Roman"/>
          <w:sz w:val="24"/>
          <w:szCs w:val="24"/>
        </w:rPr>
        <w:t>es have shown an association between mental disorders and violent behaviour it is difficult to interpret the data related to the risk of violent behaviour among individuals with mental disorders. Traditionally studies has focused on 'major mental disorders</w:t>
      </w:r>
      <w:r>
        <w:rPr>
          <w:rFonts w:eastAsia="Times New Roman"/>
          <w:sz w:val="24"/>
          <w:szCs w:val="24"/>
        </w:rPr>
        <w:t>' such as schizophrenia, major depressive disorder, bipolar disorder and have examined homicide rates among mentally disordered people and the level of mental disorder among homicide offenders. Most studies however are not able to reliably determine that t</w:t>
      </w:r>
      <w:r>
        <w:rPr>
          <w:rFonts w:eastAsia="Times New Roman"/>
          <w:sz w:val="24"/>
          <w:szCs w:val="24"/>
        </w:rPr>
        <w:t>he mental disorder is a pre-existing factor that is directly responsible for homicide. Future research should therefore examine this link especially in relationship to specific groups of patients with mental disorders and different types of mental disorder</w:t>
      </w:r>
      <w:r>
        <w:rPr>
          <w:rFonts w:eastAsia="Times New Roman"/>
          <w:sz w:val="24"/>
          <w:szCs w:val="24"/>
        </w:rPr>
        <w:t>s, especially as most studies has focused on Axis I disorders (as appeared in the previous edition of the DSM - IV). In addition, studies need to incorporate and take into account other risk factors for violence and homicide. Many individuals present a men</w:t>
      </w:r>
      <w:r>
        <w:rPr>
          <w:rFonts w:eastAsia="Times New Roman"/>
          <w:sz w:val="24"/>
          <w:szCs w:val="24"/>
        </w:rPr>
        <w:t>tal disorder in combination with antisocial personality disorder and substance abuse and this should be taken into account when</w:t>
      </w:r>
    </w:p>
    <w:p w:rsidR="004C1019" w:rsidRDefault="004C1019">
      <w:pPr>
        <w:spacing w:line="312" w:lineRule="exact"/>
        <w:rPr>
          <w:sz w:val="20"/>
          <w:szCs w:val="20"/>
        </w:rPr>
      </w:pPr>
    </w:p>
    <w:p w:rsidR="004C1019" w:rsidRDefault="005C0DBA">
      <w:pPr>
        <w:ind w:left="8780"/>
        <w:rPr>
          <w:sz w:val="20"/>
          <w:szCs w:val="20"/>
        </w:rPr>
      </w:pPr>
      <w:r>
        <w:rPr>
          <w:rFonts w:eastAsia="Times New Roman"/>
          <w:sz w:val="24"/>
          <w:szCs w:val="24"/>
        </w:rPr>
        <w:t>11</w:t>
      </w:r>
    </w:p>
    <w:p w:rsidR="004C1019" w:rsidRDefault="004C1019">
      <w:pPr>
        <w:sectPr w:rsidR="004C1019">
          <w:pgSz w:w="11900" w:h="16840"/>
          <w:pgMar w:top="1420" w:right="1440" w:bottom="433" w:left="1440" w:header="0" w:footer="0" w:gutter="0"/>
          <w:cols w:space="720" w:equalWidth="0">
            <w:col w:w="9024"/>
          </w:cols>
        </w:sectPr>
      </w:pPr>
    </w:p>
    <w:p w:rsidR="004C1019" w:rsidRDefault="005C0DBA">
      <w:pPr>
        <w:spacing w:line="487" w:lineRule="auto"/>
        <w:ind w:right="4"/>
        <w:jc w:val="both"/>
        <w:rPr>
          <w:sz w:val="20"/>
          <w:szCs w:val="20"/>
        </w:rPr>
      </w:pPr>
      <w:bookmarkStart w:id="12" w:name="page13"/>
      <w:bookmarkEnd w:id="12"/>
      <w:r>
        <w:rPr>
          <w:rFonts w:eastAsia="Times New Roman"/>
          <w:sz w:val="24"/>
          <w:szCs w:val="24"/>
        </w:rPr>
        <w:lastRenderedPageBreak/>
        <w:t>examining the relationship. Mentally disordered individuals who are violent are not a homogenous group, an</w:t>
      </w:r>
      <w:r>
        <w:rPr>
          <w:rFonts w:eastAsia="Times New Roman"/>
          <w:sz w:val="24"/>
          <w:szCs w:val="24"/>
        </w:rPr>
        <w:t>d their violence reflects various biologic, psychodynamic and social factors that future research should take into account. While most researchers and clinicians agree that a combination of factors plays a role in violence and homicidal behaviour, the impo</w:t>
      </w:r>
      <w:r>
        <w:rPr>
          <w:rFonts w:eastAsia="Times New Roman"/>
          <w:sz w:val="24"/>
          <w:szCs w:val="24"/>
        </w:rPr>
        <w:t>rtance of individual factors has not been studied in any detail.</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308" w:lineRule="exact"/>
        <w:rPr>
          <w:sz w:val="20"/>
          <w:szCs w:val="20"/>
        </w:rPr>
      </w:pPr>
    </w:p>
    <w:p w:rsidR="004C1019" w:rsidRDefault="005C0DBA">
      <w:pPr>
        <w:ind w:right="4"/>
        <w:jc w:val="center"/>
        <w:rPr>
          <w:sz w:val="20"/>
          <w:szCs w:val="20"/>
        </w:rPr>
      </w:pPr>
      <w:r>
        <w:rPr>
          <w:rFonts w:eastAsia="Times New Roman"/>
          <w:b/>
          <w:bCs/>
          <w:sz w:val="24"/>
          <w:szCs w:val="24"/>
        </w:rPr>
        <w:t>ACKNOWLEDGEMENT</w:t>
      </w:r>
    </w:p>
    <w:p w:rsidR="004C1019" w:rsidRDefault="004C1019">
      <w:pPr>
        <w:spacing w:line="200" w:lineRule="exact"/>
        <w:rPr>
          <w:sz w:val="20"/>
          <w:szCs w:val="20"/>
        </w:rPr>
      </w:pPr>
    </w:p>
    <w:p w:rsidR="004C1019" w:rsidRDefault="004C1019">
      <w:pPr>
        <w:spacing w:line="356" w:lineRule="exact"/>
        <w:rPr>
          <w:sz w:val="20"/>
          <w:szCs w:val="20"/>
        </w:rPr>
      </w:pPr>
    </w:p>
    <w:p w:rsidR="004C1019" w:rsidRDefault="005C0DBA">
      <w:pPr>
        <w:spacing w:line="490" w:lineRule="auto"/>
        <w:ind w:right="4"/>
        <w:jc w:val="both"/>
        <w:rPr>
          <w:sz w:val="20"/>
          <w:szCs w:val="20"/>
        </w:rPr>
      </w:pPr>
      <w:r>
        <w:rPr>
          <w:rFonts w:eastAsia="Times New Roman"/>
          <w:sz w:val="24"/>
          <w:szCs w:val="24"/>
        </w:rPr>
        <w:t xml:space="preserve">This special issue represents an important collection of papers in the area of homicidal behaviour. We would like to thank Dr Daniel Boduszek for the opportunity to act </w:t>
      </w:r>
      <w:r>
        <w:rPr>
          <w:rFonts w:eastAsia="Times New Roman"/>
          <w:sz w:val="24"/>
          <w:szCs w:val="24"/>
        </w:rPr>
        <w:t>as guest editors and the authors of these papers for their contributions. Thank you also to our reviewers for their insightful and constructive feedback.</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352" w:lineRule="exact"/>
        <w:rPr>
          <w:sz w:val="20"/>
          <w:szCs w:val="20"/>
        </w:rPr>
      </w:pPr>
    </w:p>
    <w:p w:rsidR="004C1019" w:rsidRDefault="005C0DBA">
      <w:pPr>
        <w:ind w:left="8780"/>
        <w:rPr>
          <w:sz w:val="20"/>
          <w:szCs w:val="20"/>
        </w:rPr>
      </w:pPr>
      <w:r>
        <w:rPr>
          <w:rFonts w:eastAsia="Times New Roman"/>
          <w:sz w:val="24"/>
          <w:szCs w:val="24"/>
        </w:rPr>
        <w:t>12</w:t>
      </w:r>
    </w:p>
    <w:p w:rsidR="004C1019" w:rsidRDefault="004C1019">
      <w:pPr>
        <w:sectPr w:rsidR="004C1019">
          <w:pgSz w:w="11900" w:h="16840"/>
          <w:pgMar w:top="1420" w:right="1440" w:bottom="433" w:left="1440" w:header="0" w:footer="0" w:gutter="0"/>
          <w:cols w:space="720" w:equalWidth="0">
            <w:col w:w="9024"/>
          </w:cols>
        </w:sectPr>
      </w:pPr>
    </w:p>
    <w:p w:rsidR="004C1019" w:rsidRDefault="005C0DBA">
      <w:pPr>
        <w:ind w:left="3700"/>
        <w:rPr>
          <w:sz w:val="20"/>
          <w:szCs w:val="20"/>
        </w:rPr>
      </w:pPr>
      <w:bookmarkStart w:id="13" w:name="page14"/>
      <w:bookmarkEnd w:id="13"/>
      <w:r>
        <w:rPr>
          <w:rFonts w:eastAsia="Times New Roman"/>
          <w:b/>
          <w:bCs/>
          <w:sz w:val="24"/>
          <w:szCs w:val="24"/>
        </w:rPr>
        <w:lastRenderedPageBreak/>
        <w:t>REFERENCES</w:t>
      </w:r>
    </w:p>
    <w:p w:rsidR="004C1019" w:rsidRDefault="004C1019">
      <w:pPr>
        <w:spacing w:line="240" w:lineRule="exact"/>
        <w:rPr>
          <w:sz w:val="20"/>
          <w:szCs w:val="20"/>
        </w:rPr>
      </w:pPr>
    </w:p>
    <w:p w:rsidR="004C1019" w:rsidRDefault="005C0DBA">
      <w:pPr>
        <w:rPr>
          <w:sz w:val="20"/>
          <w:szCs w:val="20"/>
        </w:rPr>
      </w:pPr>
      <w:r>
        <w:rPr>
          <w:rFonts w:eastAsia="Times New Roman"/>
          <w:sz w:val="24"/>
          <w:szCs w:val="24"/>
        </w:rPr>
        <w:t xml:space="preserve">Brookman, F. (2005), </w:t>
      </w:r>
      <w:r>
        <w:rPr>
          <w:rFonts w:eastAsia="Times New Roman"/>
          <w:i/>
          <w:iCs/>
          <w:sz w:val="24"/>
          <w:szCs w:val="24"/>
        </w:rPr>
        <w:t>Understanding Homicide</w:t>
      </w:r>
      <w:r>
        <w:rPr>
          <w:rFonts w:eastAsia="Times New Roman"/>
          <w:sz w:val="24"/>
          <w:szCs w:val="24"/>
        </w:rPr>
        <w:t>. Portland, OR</w:t>
      </w:r>
    </w:p>
    <w:p w:rsidR="004C1019" w:rsidRDefault="004C1019">
      <w:pPr>
        <w:spacing w:line="280" w:lineRule="exact"/>
        <w:rPr>
          <w:sz w:val="20"/>
          <w:szCs w:val="20"/>
        </w:rPr>
      </w:pPr>
    </w:p>
    <w:p w:rsidR="004C1019" w:rsidRDefault="005C0DBA">
      <w:pPr>
        <w:spacing w:line="478" w:lineRule="auto"/>
        <w:ind w:left="420" w:right="4" w:hanging="425"/>
        <w:jc w:val="both"/>
        <w:rPr>
          <w:sz w:val="20"/>
          <w:szCs w:val="20"/>
        </w:rPr>
      </w:pPr>
      <w:r>
        <w:rPr>
          <w:rFonts w:eastAsia="Times New Roman"/>
          <w:sz w:val="24"/>
          <w:szCs w:val="24"/>
        </w:rPr>
        <w:t xml:space="preserve">Brookman, F. (2015) “Researching homicide offenders, offenses and detectives using qualitative methods”. In H. Copes &amp; J. Mitchell Miller (Eds.) </w:t>
      </w:r>
      <w:r>
        <w:rPr>
          <w:rFonts w:eastAsia="Times New Roman"/>
          <w:i/>
          <w:iCs/>
          <w:sz w:val="24"/>
          <w:szCs w:val="24"/>
        </w:rPr>
        <w:t>The Routledge Handbook</w:t>
      </w:r>
      <w:r>
        <w:rPr>
          <w:rFonts w:eastAsia="Times New Roman"/>
          <w:sz w:val="24"/>
          <w:szCs w:val="24"/>
        </w:rPr>
        <w:t xml:space="preserve"> </w:t>
      </w:r>
      <w:r>
        <w:rPr>
          <w:rFonts w:eastAsia="Times New Roman"/>
          <w:i/>
          <w:iCs/>
          <w:sz w:val="24"/>
          <w:szCs w:val="24"/>
        </w:rPr>
        <w:t xml:space="preserve">of Qualitative Criminology, </w:t>
      </w:r>
      <w:r>
        <w:rPr>
          <w:rFonts w:eastAsia="Times New Roman"/>
          <w:sz w:val="24"/>
          <w:szCs w:val="24"/>
        </w:rPr>
        <w:t>Oxford: Routledge.</w:t>
      </w:r>
    </w:p>
    <w:p w:rsidR="004C1019" w:rsidRDefault="004C1019">
      <w:pPr>
        <w:spacing w:line="3" w:lineRule="exact"/>
        <w:rPr>
          <w:sz w:val="20"/>
          <w:szCs w:val="20"/>
        </w:rPr>
      </w:pPr>
    </w:p>
    <w:p w:rsidR="004C1019" w:rsidRDefault="005C0DBA">
      <w:pPr>
        <w:spacing w:line="481" w:lineRule="auto"/>
        <w:ind w:left="420" w:right="4" w:hanging="425"/>
        <w:jc w:val="both"/>
        <w:rPr>
          <w:sz w:val="20"/>
          <w:szCs w:val="20"/>
        </w:rPr>
      </w:pPr>
      <w:r>
        <w:rPr>
          <w:rFonts w:eastAsia="Times New Roman"/>
          <w:sz w:val="24"/>
          <w:szCs w:val="24"/>
        </w:rPr>
        <w:t>Ca</w:t>
      </w:r>
      <w:r>
        <w:rPr>
          <w:rFonts w:eastAsia="Times New Roman"/>
          <w:sz w:val="24"/>
          <w:szCs w:val="24"/>
        </w:rPr>
        <w:t xml:space="preserve">nter, D. (2008), </w:t>
      </w:r>
      <w:r>
        <w:rPr>
          <w:rFonts w:eastAsia="Times New Roman"/>
          <w:i/>
          <w:iCs/>
          <w:sz w:val="24"/>
          <w:szCs w:val="24"/>
        </w:rPr>
        <w:t>Criminal Psychology: Topics in Applied Psychology</w:t>
      </w:r>
      <w:r>
        <w:rPr>
          <w:rFonts w:eastAsia="Times New Roman"/>
          <w:sz w:val="24"/>
          <w:szCs w:val="24"/>
        </w:rPr>
        <w:t>, Hodder Arnold, London.</w:t>
      </w:r>
    </w:p>
    <w:p w:rsidR="004C1019" w:rsidRDefault="004C1019">
      <w:pPr>
        <w:spacing w:line="2" w:lineRule="exact"/>
        <w:rPr>
          <w:sz w:val="20"/>
          <w:szCs w:val="20"/>
        </w:rPr>
      </w:pPr>
    </w:p>
    <w:p w:rsidR="004C1019" w:rsidRDefault="005C0DBA">
      <w:pPr>
        <w:spacing w:line="480" w:lineRule="auto"/>
        <w:ind w:left="420" w:right="4" w:hanging="425"/>
        <w:jc w:val="both"/>
        <w:rPr>
          <w:sz w:val="20"/>
          <w:szCs w:val="20"/>
        </w:rPr>
      </w:pPr>
      <w:r>
        <w:rPr>
          <w:rFonts w:eastAsia="Times New Roman"/>
          <w:sz w:val="24"/>
          <w:szCs w:val="24"/>
        </w:rPr>
        <w:t>Chan, H.C., Heide, K.M. &amp;</w:t>
      </w:r>
      <w:r>
        <w:rPr>
          <w:rFonts w:eastAsia="Times New Roman"/>
          <w:sz w:val="24"/>
          <w:szCs w:val="24"/>
        </w:rPr>
        <w:t xml:space="preserve"> Myers, W.C. (2013), “Juvenile and adult offenders arrested for sexual homicide: An analysis of victim-offender relationship and weapon used by race”, </w:t>
      </w:r>
      <w:r>
        <w:rPr>
          <w:rFonts w:eastAsia="Times New Roman"/>
          <w:i/>
          <w:iCs/>
          <w:sz w:val="24"/>
          <w:szCs w:val="24"/>
        </w:rPr>
        <w:t xml:space="preserve">Journal of Forensic Science, </w:t>
      </w:r>
      <w:r>
        <w:rPr>
          <w:rFonts w:eastAsia="Times New Roman"/>
          <w:sz w:val="24"/>
          <w:szCs w:val="24"/>
        </w:rPr>
        <w:t>Vol. 58 No. 1, pp. 85-89.</w:t>
      </w:r>
    </w:p>
    <w:p w:rsidR="004C1019" w:rsidRDefault="005C0DBA">
      <w:pPr>
        <w:spacing w:line="480" w:lineRule="auto"/>
        <w:ind w:left="420" w:right="4" w:hanging="425"/>
        <w:jc w:val="both"/>
        <w:rPr>
          <w:sz w:val="20"/>
          <w:szCs w:val="20"/>
        </w:rPr>
      </w:pPr>
      <w:r>
        <w:rPr>
          <w:rFonts w:eastAsia="Times New Roman"/>
          <w:sz w:val="24"/>
          <w:szCs w:val="24"/>
        </w:rPr>
        <w:t xml:space="preserve">Decker, S.H. (1996) “Deviant homicide: A new look </w:t>
      </w:r>
      <w:r>
        <w:rPr>
          <w:rFonts w:eastAsia="Times New Roman"/>
          <w:sz w:val="24"/>
          <w:szCs w:val="24"/>
        </w:rPr>
        <w:t>at the role of motives and victim-offender relationships”, Journal of Research in Crime and Delinquency, Vol. 33 No. 4, pp.427-449.</w:t>
      </w:r>
    </w:p>
    <w:p w:rsidR="004C1019" w:rsidRDefault="005C0DBA">
      <w:pPr>
        <w:spacing w:line="480" w:lineRule="auto"/>
        <w:ind w:left="420" w:right="4" w:hanging="425"/>
        <w:jc w:val="both"/>
        <w:rPr>
          <w:sz w:val="20"/>
          <w:szCs w:val="20"/>
        </w:rPr>
      </w:pPr>
      <w:r>
        <w:rPr>
          <w:rFonts w:eastAsia="Times New Roman"/>
          <w:sz w:val="24"/>
          <w:szCs w:val="24"/>
        </w:rPr>
        <w:t>Farrington, D., Loeber, R. and Berg, M.T. (2012), "Young men who kill: A prospective longitudinal examination from childhood</w:t>
      </w:r>
      <w:r>
        <w:rPr>
          <w:rFonts w:eastAsia="Times New Roman"/>
          <w:sz w:val="24"/>
          <w:szCs w:val="24"/>
        </w:rPr>
        <w:t xml:space="preserve">", </w:t>
      </w:r>
      <w:r>
        <w:rPr>
          <w:rFonts w:eastAsia="Times New Roman"/>
          <w:i/>
          <w:iCs/>
          <w:sz w:val="24"/>
          <w:szCs w:val="24"/>
        </w:rPr>
        <w:t>Homicide Studies</w:t>
      </w:r>
      <w:r>
        <w:rPr>
          <w:rFonts w:eastAsia="Times New Roman"/>
          <w:sz w:val="24"/>
          <w:szCs w:val="24"/>
        </w:rPr>
        <w:t>, Vol. 16 No. 2, pp. 99-128.</w:t>
      </w:r>
    </w:p>
    <w:p w:rsidR="004C1019" w:rsidRDefault="005C0DBA">
      <w:pPr>
        <w:spacing w:line="478" w:lineRule="auto"/>
        <w:ind w:left="420" w:right="4" w:hanging="425"/>
        <w:jc w:val="both"/>
        <w:rPr>
          <w:sz w:val="20"/>
          <w:szCs w:val="20"/>
        </w:rPr>
      </w:pPr>
      <w:r>
        <w:rPr>
          <w:rFonts w:eastAsia="Times New Roman"/>
          <w:sz w:val="24"/>
          <w:szCs w:val="24"/>
        </w:rPr>
        <w:t xml:space="preserve">Gerard, F.J., Jackson, V., Chou, S., Whitfield, K.C. &amp; Browne, K.D. (2014) “An exploration of current knowledge on young people who kill: A systematic review”, </w:t>
      </w:r>
      <w:r>
        <w:rPr>
          <w:rFonts w:eastAsia="Times New Roman"/>
          <w:i/>
          <w:iCs/>
          <w:sz w:val="24"/>
          <w:szCs w:val="24"/>
        </w:rPr>
        <w:t>Aggression and</w:t>
      </w:r>
      <w:r>
        <w:rPr>
          <w:rFonts w:eastAsia="Times New Roman"/>
          <w:sz w:val="24"/>
          <w:szCs w:val="24"/>
        </w:rPr>
        <w:t xml:space="preserve"> </w:t>
      </w:r>
      <w:r>
        <w:rPr>
          <w:rFonts w:eastAsia="Times New Roman"/>
          <w:i/>
          <w:iCs/>
          <w:sz w:val="24"/>
          <w:szCs w:val="24"/>
        </w:rPr>
        <w:t>Violent Behaviour</w:t>
      </w:r>
      <w:r>
        <w:rPr>
          <w:rFonts w:eastAsia="Times New Roman"/>
          <w:sz w:val="24"/>
          <w:szCs w:val="24"/>
        </w:rPr>
        <w:t>, Vol. 19, pp. 5</w:t>
      </w:r>
      <w:r>
        <w:rPr>
          <w:rFonts w:eastAsia="Times New Roman"/>
          <w:sz w:val="24"/>
          <w:szCs w:val="24"/>
        </w:rPr>
        <w:t>59-571.</w:t>
      </w:r>
    </w:p>
    <w:p w:rsidR="004C1019" w:rsidRDefault="004C1019">
      <w:pPr>
        <w:spacing w:line="2" w:lineRule="exact"/>
        <w:rPr>
          <w:sz w:val="20"/>
          <w:szCs w:val="20"/>
        </w:rPr>
      </w:pPr>
    </w:p>
    <w:p w:rsidR="004C1019" w:rsidRDefault="005C0DBA">
      <w:pPr>
        <w:rPr>
          <w:sz w:val="20"/>
          <w:szCs w:val="20"/>
        </w:rPr>
      </w:pPr>
      <w:r>
        <w:rPr>
          <w:rFonts w:eastAsia="Times New Roman"/>
          <w:sz w:val="24"/>
          <w:szCs w:val="24"/>
        </w:rPr>
        <w:t xml:space="preserve">United Nations Office on Drugs and Crime (2013), </w:t>
      </w:r>
      <w:r>
        <w:rPr>
          <w:rFonts w:eastAsia="Times New Roman"/>
          <w:i/>
          <w:iCs/>
          <w:sz w:val="24"/>
          <w:szCs w:val="24"/>
        </w:rPr>
        <w:t>Global Study on Homicide.</w:t>
      </w:r>
      <w:r>
        <w:rPr>
          <w:rFonts w:eastAsia="Times New Roman"/>
          <w:sz w:val="24"/>
          <w:szCs w:val="24"/>
        </w:rPr>
        <w:t xml:space="preserve"> UNODC:</w:t>
      </w:r>
    </w:p>
    <w:p w:rsidR="004C1019" w:rsidRDefault="004C1019">
      <w:pPr>
        <w:spacing w:line="280" w:lineRule="exact"/>
        <w:rPr>
          <w:sz w:val="20"/>
          <w:szCs w:val="20"/>
        </w:rPr>
      </w:pPr>
    </w:p>
    <w:p w:rsidR="004C1019" w:rsidRDefault="005C0DBA">
      <w:pPr>
        <w:ind w:left="420"/>
        <w:rPr>
          <w:sz w:val="20"/>
          <w:szCs w:val="20"/>
        </w:rPr>
      </w:pPr>
      <w:r>
        <w:rPr>
          <w:rFonts w:eastAsia="Times New Roman"/>
          <w:sz w:val="24"/>
          <w:szCs w:val="24"/>
        </w:rPr>
        <w:t>Vienna.</w:t>
      </w:r>
    </w:p>
    <w:p w:rsidR="004C1019" w:rsidRDefault="004C1019">
      <w:pPr>
        <w:spacing w:line="276" w:lineRule="exact"/>
        <w:rPr>
          <w:sz w:val="20"/>
          <w:szCs w:val="20"/>
        </w:rPr>
      </w:pPr>
    </w:p>
    <w:p w:rsidR="004C1019" w:rsidRDefault="005C0DBA">
      <w:pPr>
        <w:spacing w:line="480" w:lineRule="auto"/>
        <w:ind w:left="420" w:right="4" w:hanging="425"/>
        <w:jc w:val="both"/>
        <w:rPr>
          <w:sz w:val="20"/>
          <w:szCs w:val="20"/>
        </w:rPr>
      </w:pPr>
      <w:r>
        <w:rPr>
          <w:rFonts w:eastAsia="Times New Roman"/>
          <w:sz w:val="24"/>
          <w:szCs w:val="24"/>
        </w:rPr>
        <w:t xml:space="preserve">Horning, A.M., Salfati, C.G. &amp; Labuschagne, G.N. (2015) “South African serial homicide: A victim-focused behavioural typology”, </w:t>
      </w:r>
      <w:r>
        <w:rPr>
          <w:rFonts w:eastAsia="Times New Roman"/>
          <w:i/>
          <w:iCs/>
          <w:sz w:val="24"/>
          <w:szCs w:val="24"/>
        </w:rPr>
        <w:t>Journal of Investigative Ps</w:t>
      </w:r>
      <w:r>
        <w:rPr>
          <w:rFonts w:eastAsia="Times New Roman"/>
          <w:i/>
          <w:iCs/>
          <w:sz w:val="24"/>
          <w:szCs w:val="24"/>
        </w:rPr>
        <w:t>ychology and Offender</w:t>
      </w:r>
      <w:r>
        <w:rPr>
          <w:rFonts w:eastAsia="Times New Roman"/>
          <w:sz w:val="24"/>
          <w:szCs w:val="24"/>
        </w:rPr>
        <w:t xml:space="preserve"> </w:t>
      </w:r>
      <w:r>
        <w:rPr>
          <w:rFonts w:eastAsia="Times New Roman"/>
          <w:i/>
          <w:iCs/>
          <w:sz w:val="24"/>
          <w:szCs w:val="24"/>
        </w:rPr>
        <w:t xml:space="preserve">Profiling, </w:t>
      </w:r>
      <w:r>
        <w:rPr>
          <w:rFonts w:eastAsia="Times New Roman"/>
          <w:sz w:val="24"/>
          <w:szCs w:val="24"/>
        </w:rPr>
        <w:t>Vol. 12 No. 1, pp. 44-68.</w:t>
      </w:r>
    </w:p>
    <w:p w:rsidR="004C1019" w:rsidRDefault="005C0DBA">
      <w:pPr>
        <w:spacing w:line="511" w:lineRule="auto"/>
        <w:ind w:left="420" w:right="4" w:hanging="425"/>
        <w:jc w:val="both"/>
        <w:rPr>
          <w:sz w:val="20"/>
          <w:szCs w:val="20"/>
        </w:rPr>
      </w:pPr>
      <w:r>
        <w:rPr>
          <w:rFonts w:eastAsia="Times New Roman"/>
          <w:sz w:val="24"/>
          <w:szCs w:val="24"/>
        </w:rPr>
        <w:t>Kivivuori, J., Savolainen, J. &amp; Danielsson, P. (2012) “Theory and explanation in contemporary European homicide research”. In M.C.A. Liem &amp; W.A. Pridemore (Eds.)</w:t>
      </w:r>
    </w:p>
    <w:p w:rsidR="004C1019" w:rsidRDefault="004C1019">
      <w:pPr>
        <w:spacing w:line="310" w:lineRule="exact"/>
        <w:rPr>
          <w:sz w:val="20"/>
          <w:szCs w:val="20"/>
        </w:rPr>
      </w:pPr>
    </w:p>
    <w:p w:rsidR="004C1019" w:rsidRDefault="005C0DBA">
      <w:pPr>
        <w:ind w:left="8780"/>
        <w:rPr>
          <w:sz w:val="20"/>
          <w:szCs w:val="20"/>
        </w:rPr>
      </w:pPr>
      <w:r>
        <w:rPr>
          <w:rFonts w:eastAsia="Times New Roman"/>
          <w:sz w:val="24"/>
          <w:szCs w:val="24"/>
        </w:rPr>
        <w:t>13</w:t>
      </w:r>
    </w:p>
    <w:p w:rsidR="004C1019" w:rsidRDefault="004C1019">
      <w:pPr>
        <w:sectPr w:rsidR="004C1019">
          <w:pgSz w:w="11900" w:h="16840"/>
          <w:pgMar w:top="1418" w:right="1440" w:bottom="433" w:left="1440" w:header="0" w:footer="0" w:gutter="0"/>
          <w:cols w:space="720" w:equalWidth="0">
            <w:col w:w="9024"/>
          </w:cols>
        </w:sectPr>
      </w:pPr>
    </w:p>
    <w:p w:rsidR="004C1019" w:rsidRDefault="005C0DBA">
      <w:pPr>
        <w:ind w:left="420"/>
        <w:rPr>
          <w:sz w:val="20"/>
          <w:szCs w:val="20"/>
        </w:rPr>
      </w:pPr>
      <w:bookmarkStart w:id="14" w:name="page15"/>
      <w:bookmarkEnd w:id="14"/>
      <w:r>
        <w:rPr>
          <w:rFonts w:eastAsia="Times New Roman"/>
          <w:i/>
          <w:iCs/>
          <w:sz w:val="24"/>
          <w:szCs w:val="24"/>
        </w:rPr>
        <w:lastRenderedPageBreak/>
        <w:t xml:space="preserve">Handbook  of </w:t>
      </w:r>
      <w:r>
        <w:rPr>
          <w:rFonts w:eastAsia="Times New Roman"/>
          <w:i/>
          <w:iCs/>
          <w:sz w:val="24"/>
          <w:szCs w:val="24"/>
        </w:rPr>
        <w:t xml:space="preserve"> European  Homicide  Research:  Patterns,  Explanations  and  Country</w:t>
      </w:r>
    </w:p>
    <w:p w:rsidR="004C1019" w:rsidRDefault="004C1019">
      <w:pPr>
        <w:spacing w:line="275" w:lineRule="exact"/>
        <w:rPr>
          <w:sz w:val="20"/>
          <w:szCs w:val="20"/>
        </w:rPr>
      </w:pPr>
    </w:p>
    <w:p w:rsidR="004C1019" w:rsidRDefault="005C0DBA">
      <w:pPr>
        <w:ind w:left="420"/>
        <w:rPr>
          <w:sz w:val="20"/>
          <w:szCs w:val="20"/>
        </w:rPr>
      </w:pPr>
      <w:r>
        <w:rPr>
          <w:rFonts w:eastAsia="Times New Roman"/>
          <w:i/>
          <w:iCs/>
          <w:sz w:val="24"/>
          <w:szCs w:val="24"/>
        </w:rPr>
        <w:t xml:space="preserve">Studies. </w:t>
      </w:r>
      <w:r>
        <w:rPr>
          <w:rFonts w:eastAsia="Times New Roman"/>
          <w:sz w:val="24"/>
          <w:szCs w:val="24"/>
        </w:rPr>
        <w:t>New York: Springer.</w:t>
      </w:r>
    </w:p>
    <w:p w:rsidR="004C1019" w:rsidRDefault="004C1019">
      <w:pPr>
        <w:spacing w:line="280" w:lineRule="exact"/>
        <w:rPr>
          <w:sz w:val="20"/>
          <w:szCs w:val="20"/>
        </w:rPr>
      </w:pPr>
    </w:p>
    <w:p w:rsidR="004C1019" w:rsidRDefault="005C0DBA">
      <w:pPr>
        <w:spacing w:line="480" w:lineRule="auto"/>
        <w:ind w:left="420" w:right="4" w:hanging="425"/>
        <w:jc w:val="both"/>
        <w:rPr>
          <w:sz w:val="20"/>
          <w:szCs w:val="20"/>
        </w:rPr>
      </w:pPr>
      <w:r>
        <w:rPr>
          <w:rFonts w:eastAsia="Times New Roman"/>
          <w:sz w:val="24"/>
          <w:szCs w:val="24"/>
        </w:rPr>
        <w:t xml:space="preserve">Kivivuori, J., Sounpӓӓ, K. and Lehti, M. (2014), "Patterns and theories of European homicide research", </w:t>
      </w:r>
      <w:r>
        <w:rPr>
          <w:rFonts w:eastAsia="Times New Roman"/>
          <w:i/>
          <w:iCs/>
          <w:sz w:val="24"/>
          <w:szCs w:val="24"/>
        </w:rPr>
        <w:t>European Journal of Criminology</w:t>
      </w:r>
      <w:r>
        <w:rPr>
          <w:rFonts w:eastAsia="Times New Roman"/>
          <w:sz w:val="24"/>
          <w:szCs w:val="24"/>
        </w:rPr>
        <w:t>, Vol. 11 No. 5, pp.</w:t>
      </w:r>
      <w:r>
        <w:rPr>
          <w:rFonts w:eastAsia="Times New Roman"/>
          <w:sz w:val="24"/>
          <w:szCs w:val="24"/>
        </w:rPr>
        <w:t xml:space="preserve"> 530-551.</w:t>
      </w:r>
    </w:p>
    <w:p w:rsidR="004C1019" w:rsidRDefault="005C0DBA">
      <w:pPr>
        <w:spacing w:line="478" w:lineRule="auto"/>
        <w:ind w:left="420" w:right="4" w:hanging="425"/>
        <w:jc w:val="both"/>
        <w:rPr>
          <w:sz w:val="20"/>
          <w:szCs w:val="20"/>
        </w:rPr>
      </w:pPr>
      <w:r>
        <w:rPr>
          <w:rFonts w:eastAsia="Times New Roman"/>
          <w:sz w:val="24"/>
          <w:szCs w:val="24"/>
        </w:rPr>
        <w:t xml:space="preserve">Koeppel, M.D.H., Rhineberger-Dunn, G.M. &amp; Mack, K.Y. (2015) “Cross-national homicide: a review of the current literature”, </w:t>
      </w:r>
      <w:r>
        <w:rPr>
          <w:rFonts w:eastAsia="Times New Roman"/>
          <w:i/>
          <w:iCs/>
          <w:sz w:val="24"/>
          <w:szCs w:val="24"/>
        </w:rPr>
        <w:t>International Journal of Comparative and Applied</w:t>
      </w:r>
      <w:r>
        <w:rPr>
          <w:rFonts w:eastAsia="Times New Roman"/>
          <w:sz w:val="24"/>
          <w:szCs w:val="24"/>
        </w:rPr>
        <w:t xml:space="preserve"> </w:t>
      </w:r>
      <w:r>
        <w:rPr>
          <w:rFonts w:eastAsia="Times New Roman"/>
          <w:i/>
          <w:iCs/>
          <w:sz w:val="24"/>
          <w:szCs w:val="24"/>
        </w:rPr>
        <w:t xml:space="preserve">Criminal Justice, </w:t>
      </w:r>
      <w:r>
        <w:rPr>
          <w:rFonts w:eastAsia="Times New Roman"/>
          <w:sz w:val="24"/>
          <w:szCs w:val="24"/>
        </w:rPr>
        <w:t>Vol. 39 No. 1, pp. 47-85.</w:t>
      </w:r>
    </w:p>
    <w:p w:rsidR="004C1019" w:rsidRDefault="004C1019">
      <w:pPr>
        <w:spacing w:line="3" w:lineRule="exact"/>
        <w:rPr>
          <w:sz w:val="20"/>
          <w:szCs w:val="20"/>
        </w:rPr>
      </w:pPr>
    </w:p>
    <w:p w:rsidR="004C1019" w:rsidRDefault="005C0DBA">
      <w:pPr>
        <w:spacing w:line="481" w:lineRule="auto"/>
        <w:ind w:left="420" w:right="4" w:hanging="425"/>
        <w:jc w:val="both"/>
        <w:rPr>
          <w:sz w:val="20"/>
          <w:szCs w:val="20"/>
        </w:rPr>
      </w:pPr>
      <w:r>
        <w:rPr>
          <w:rFonts w:eastAsia="Times New Roman"/>
          <w:sz w:val="24"/>
          <w:szCs w:val="24"/>
        </w:rPr>
        <w:t>Liem, M.C.A. &amp;</w:t>
      </w:r>
      <w:r>
        <w:rPr>
          <w:rFonts w:eastAsia="Times New Roman"/>
          <w:sz w:val="24"/>
          <w:szCs w:val="24"/>
        </w:rPr>
        <w:t xml:space="preserve"> Pridemore, W.A. (Eds.) (2012), </w:t>
      </w:r>
      <w:r>
        <w:rPr>
          <w:rFonts w:eastAsia="Times New Roman"/>
          <w:i/>
          <w:iCs/>
          <w:sz w:val="24"/>
          <w:szCs w:val="24"/>
        </w:rPr>
        <w:t>Handbook of European Homicide</w:t>
      </w:r>
      <w:r>
        <w:rPr>
          <w:rFonts w:eastAsia="Times New Roman"/>
          <w:sz w:val="24"/>
          <w:szCs w:val="24"/>
        </w:rPr>
        <w:t xml:space="preserve"> </w:t>
      </w:r>
      <w:r>
        <w:rPr>
          <w:rFonts w:eastAsia="Times New Roman"/>
          <w:i/>
          <w:iCs/>
          <w:sz w:val="24"/>
          <w:szCs w:val="24"/>
        </w:rPr>
        <w:t>Research: Patterns, Explanations and Country Studies</w:t>
      </w:r>
      <w:r>
        <w:rPr>
          <w:rFonts w:eastAsia="Times New Roman"/>
          <w:sz w:val="24"/>
          <w:szCs w:val="24"/>
        </w:rPr>
        <w:t>. New York: Springer.</w:t>
      </w:r>
    </w:p>
    <w:p w:rsidR="004C1019" w:rsidRDefault="004C1019">
      <w:pPr>
        <w:spacing w:line="2" w:lineRule="exact"/>
        <w:rPr>
          <w:sz w:val="20"/>
          <w:szCs w:val="20"/>
        </w:rPr>
      </w:pPr>
    </w:p>
    <w:p w:rsidR="004C1019" w:rsidRDefault="005C0DBA">
      <w:pPr>
        <w:rPr>
          <w:sz w:val="20"/>
          <w:szCs w:val="20"/>
        </w:rPr>
      </w:pPr>
      <w:r>
        <w:rPr>
          <w:rFonts w:eastAsia="Times New Roman"/>
          <w:sz w:val="24"/>
          <w:szCs w:val="24"/>
        </w:rPr>
        <w:t>Office for National Statistics (2014), 'Homicide 2012/13'.</w:t>
      </w:r>
    </w:p>
    <w:p w:rsidR="004C1019" w:rsidRDefault="004C1019">
      <w:pPr>
        <w:spacing w:line="272" w:lineRule="exact"/>
        <w:rPr>
          <w:sz w:val="20"/>
          <w:szCs w:val="20"/>
        </w:rPr>
      </w:pPr>
    </w:p>
    <w:p w:rsidR="004C1019" w:rsidRDefault="005C0DBA">
      <w:pPr>
        <w:spacing w:line="481" w:lineRule="auto"/>
        <w:ind w:left="420" w:right="4" w:hanging="425"/>
        <w:jc w:val="both"/>
        <w:rPr>
          <w:sz w:val="20"/>
          <w:szCs w:val="20"/>
        </w:rPr>
      </w:pPr>
      <w:r>
        <w:rPr>
          <w:rFonts w:eastAsia="Times New Roman"/>
          <w:sz w:val="24"/>
          <w:szCs w:val="24"/>
        </w:rPr>
        <w:t>Reidel, M. (2013) “Special issue on elderly homicide: An in</w:t>
      </w:r>
      <w:r>
        <w:rPr>
          <w:rFonts w:eastAsia="Times New Roman"/>
          <w:sz w:val="24"/>
          <w:szCs w:val="24"/>
        </w:rPr>
        <w:t xml:space="preserve">troduction”, </w:t>
      </w:r>
      <w:r>
        <w:rPr>
          <w:rFonts w:eastAsia="Times New Roman"/>
          <w:i/>
          <w:iCs/>
          <w:sz w:val="24"/>
          <w:szCs w:val="24"/>
        </w:rPr>
        <w:t>Homicide Studies,</w:t>
      </w:r>
      <w:r>
        <w:rPr>
          <w:rFonts w:eastAsia="Times New Roman"/>
          <w:sz w:val="24"/>
          <w:szCs w:val="24"/>
        </w:rPr>
        <w:t xml:space="preserve"> Vol. 17 No. 2, pp. 123-133.</w:t>
      </w:r>
    </w:p>
    <w:p w:rsidR="004C1019" w:rsidRDefault="004C1019">
      <w:pPr>
        <w:spacing w:line="2" w:lineRule="exact"/>
        <w:rPr>
          <w:sz w:val="20"/>
          <w:szCs w:val="20"/>
        </w:rPr>
      </w:pPr>
    </w:p>
    <w:p w:rsidR="004C1019" w:rsidRDefault="005C0DBA">
      <w:pPr>
        <w:spacing w:line="479" w:lineRule="auto"/>
        <w:ind w:left="420" w:right="4" w:hanging="425"/>
        <w:jc w:val="both"/>
        <w:rPr>
          <w:sz w:val="20"/>
          <w:szCs w:val="20"/>
        </w:rPr>
      </w:pPr>
      <w:r>
        <w:rPr>
          <w:rFonts w:eastAsia="Times New Roman"/>
          <w:sz w:val="24"/>
          <w:szCs w:val="24"/>
        </w:rPr>
        <w:t xml:space="preserve">Salfati, G. and Canter, D. (1999), "Differentiating stranger murders: Profiling offender characteristics from behavioral styles", </w:t>
      </w:r>
      <w:r>
        <w:rPr>
          <w:rFonts w:eastAsia="Times New Roman"/>
          <w:i/>
          <w:iCs/>
          <w:sz w:val="24"/>
          <w:szCs w:val="24"/>
        </w:rPr>
        <w:t>Behavioral Sciences and the Law</w:t>
      </w:r>
      <w:r>
        <w:rPr>
          <w:rFonts w:eastAsia="Times New Roman"/>
          <w:sz w:val="24"/>
          <w:szCs w:val="24"/>
        </w:rPr>
        <w:t>, Vol. 17, pp. 391-406.</w:t>
      </w:r>
    </w:p>
    <w:p w:rsidR="004C1019" w:rsidRDefault="004C1019">
      <w:pPr>
        <w:spacing w:line="2" w:lineRule="exact"/>
        <w:rPr>
          <w:sz w:val="20"/>
          <w:szCs w:val="20"/>
        </w:rPr>
      </w:pPr>
    </w:p>
    <w:p w:rsidR="004C1019" w:rsidRDefault="005C0DBA">
      <w:pPr>
        <w:rPr>
          <w:sz w:val="20"/>
          <w:szCs w:val="20"/>
        </w:rPr>
      </w:pPr>
      <w:r>
        <w:rPr>
          <w:rFonts w:eastAsia="Times New Roman"/>
          <w:sz w:val="24"/>
          <w:szCs w:val="24"/>
        </w:rPr>
        <w:t xml:space="preserve">Salfati,  </w:t>
      </w:r>
      <w:r>
        <w:rPr>
          <w:rFonts w:eastAsia="Times New Roman"/>
          <w:sz w:val="24"/>
          <w:szCs w:val="24"/>
        </w:rPr>
        <w:t>G.  (2000),  "The  nature  of  expressiveness  and  instrumentality  in  homicide:</w:t>
      </w:r>
    </w:p>
    <w:p w:rsidR="004C1019" w:rsidRDefault="004C1019">
      <w:pPr>
        <w:spacing w:line="272" w:lineRule="exact"/>
        <w:rPr>
          <w:sz w:val="20"/>
          <w:szCs w:val="20"/>
        </w:rPr>
      </w:pPr>
    </w:p>
    <w:p w:rsidR="004C1019" w:rsidRDefault="005C0DBA">
      <w:pPr>
        <w:ind w:left="420"/>
        <w:rPr>
          <w:sz w:val="20"/>
          <w:szCs w:val="20"/>
        </w:rPr>
      </w:pPr>
      <w:r>
        <w:rPr>
          <w:rFonts w:eastAsia="Times New Roman"/>
          <w:sz w:val="24"/>
          <w:szCs w:val="24"/>
        </w:rPr>
        <w:t xml:space="preserve">Implications for offender profiling", </w:t>
      </w:r>
      <w:r>
        <w:rPr>
          <w:rFonts w:eastAsia="Times New Roman"/>
          <w:i/>
          <w:iCs/>
          <w:sz w:val="24"/>
          <w:szCs w:val="24"/>
        </w:rPr>
        <w:t>Homicide Studies</w:t>
      </w:r>
      <w:r>
        <w:rPr>
          <w:rFonts w:eastAsia="Times New Roman"/>
          <w:sz w:val="24"/>
          <w:szCs w:val="24"/>
        </w:rPr>
        <w:t>, Vol. 4 No. 3, pp. 265 - 293.</w:t>
      </w:r>
    </w:p>
    <w:p w:rsidR="004C1019" w:rsidRDefault="004C1019">
      <w:pPr>
        <w:spacing w:line="280" w:lineRule="exact"/>
        <w:rPr>
          <w:sz w:val="20"/>
          <w:szCs w:val="20"/>
        </w:rPr>
      </w:pPr>
    </w:p>
    <w:p w:rsidR="004C1019" w:rsidRDefault="005C0DBA">
      <w:pPr>
        <w:spacing w:line="480" w:lineRule="auto"/>
        <w:ind w:left="420" w:right="4" w:hanging="425"/>
        <w:jc w:val="both"/>
        <w:rPr>
          <w:sz w:val="20"/>
          <w:szCs w:val="20"/>
        </w:rPr>
      </w:pPr>
      <w:r>
        <w:rPr>
          <w:rFonts w:eastAsia="Times New Roman"/>
          <w:sz w:val="24"/>
          <w:szCs w:val="24"/>
        </w:rPr>
        <w:t>Santtila, Canter, Elfgren, T. and Hakkanen, H. (2001), "The structure of crime-scene a</w:t>
      </w:r>
      <w:r>
        <w:rPr>
          <w:rFonts w:eastAsia="Times New Roman"/>
          <w:sz w:val="24"/>
          <w:szCs w:val="24"/>
        </w:rPr>
        <w:t xml:space="preserve">ctions in Finnish homicides", </w:t>
      </w:r>
      <w:r>
        <w:rPr>
          <w:rFonts w:eastAsia="Times New Roman"/>
          <w:i/>
          <w:iCs/>
          <w:sz w:val="24"/>
          <w:szCs w:val="24"/>
        </w:rPr>
        <w:t>Homicide Studies</w:t>
      </w:r>
      <w:r>
        <w:rPr>
          <w:rFonts w:eastAsia="Times New Roman"/>
          <w:sz w:val="24"/>
          <w:szCs w:val="24"/>
        </w:rPr>
        <w:t>, Vol. 5 No. 4, pp. 363-387.</w:t>
      </w:r>
    </w:p>
    <w:p w:rsidR="004C1019" w:rsidRDefault="005C0DBA">
      <w:pPr>
        <w:spacing w:line="511" w:lineRule="auto"/>
        <w:ind w:left="420" w:right="4" w:hanging="425"/>
        <w:jc w:val="both"/>
        <w:rPr>
          <w:sz w:val="20"/>
          <w:szCs w:val="20"/>
        </w:rPr>
      </w:pPr>
      <w:r>
        <w:rPr>
          <w:rFonts w:eastAsia="Times New Roman"/>
          <w:sz w:val="24"/>
          <w:szCs w:val="24"/>
        </w:rPr>
        <w:t xml:space="preserve">Youngs, D.E. &amp; Ioannou, M. (2013) “A model of client-related violence against female street sex workers”, </w:t>
      </w:r>
      <w:r>
        <w:rPr>
          <w:rFonts w:eastAsia="Times New Roman"/>
          <w:i/>
          <w:iCs/>
          <w:sz w:val="24"/>
          <w:szCs w:val="24"/>
        </w:rPr>
        <w:t>Journal of Forensic Social Work</w:t>
      </w:r>
      <w:r>
        <w:rPr>
          <w:rFonts w:eastAsia="Times New Roman"/>
          <w:sz w:val="24"/>
          <w:szCs w:val="24"/>
        </w:rPr>
        <w:t>, Vol. 3 No. 3, pp. 244-260.</w:t>
      </w: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00" w:lineRule="exact"/>
        <w:rPr>
          <w:sz w:val="20"/>
          <w:szCs w:val="20"/>
        </w:rPr>
      </w:pPr>
    </w:p>
    <w:p w:rsidR="004C1019" w:rsidRDefault="004C1019">
      <w:pPr>
        <w:spacing w:line="284" w:lineRule="exact"/>
        <w:rPr>
          <w:sz w:val="20"/>
          <w:szCs w:val="20"/>
        </w:rPr>
      </w:pPr>
    </w:p>
    <w:p w:rsidR="004C1019" w:rsidRDefault="005C0DBA">
      <w:pPr>
        <w:ind w:left="8780"/>
        <w:rPr>
          <w:sz w:val="20"/>
          <w:szCs w:val="20"/>
        </w:rPr>
      </w:pPr>
      <w:r>
        <w:rPr>
          <w:rFonts w:eastAsia="Times New Roman"/>
          <w:sz w:val="24"/>
          <w:szCs w:val="24"/>
        </w:rPr>
        <w:t>14</w:t>
      </w:r>
    </w:p>
    <w:sectPr w:rsidR="004C1019">
      <w:pgSz w:w="11900" w:h="16840"/>
      <w:pgMar w:top="1417" w:right="1440" w:bottom="433" w:left="1440" w:header="0" w:footer="0" w:gutter="0"/>
      <w:cols w:space="720" w:equalWidth="0">
        <w:col w:w="90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7428A29A"/>
    <w:lvl w:ilvl="0" w:tplc="8020D3A4">
      <w:start w:val="1"/>
      <w:numFmt w:val="decimal"/>
      <w:lvlText w:val="%1."/>
      <w:lvlJc w:val="left"/>
    </w:lvl>
    <w:lvl w:ilvl="1" w:tplc="C2527D7C">
      <w:numFmt w:val="decimal"/>
      <w:lvlText w:val=""/>
      <w:lvlJc w:val="left"/>
    </w:lvl>
    <w:lvl w:ilvl="2" w:tplc="6436D102">
      <w:numFmt w:val="decimal"/>
      <w:lvlText w:val=""/>
      <w:lvlJc w:val="left"/>
    </w:lvl>
    <w:lvl w:ilvl="3" w:tplc="EAA0C40A">
      <w:numFmt w:val="decimal"/>
      <w:lvlText w:val=""/>
      <w:lvlJc w:val="left"/>
    </w:lvl>
    <w:lvl w:ilvl="4" w:tplc="4AA62E98">
      <w:numFmt w:val="decimal"/>
      <w:lvlText w:val=""/>
      <w:lvlJc w:val="left"/>
    </w:lvl>
    <w:lvl w:ilvl="5" w:tplc="0D3AC398">
      <w:numFmt w:val="decimal"/>
      <w:lvlText w:val=""/>
      <w:lvlJc w:val="left"/>
    </w:lvl>
    <w:lvl w:ilvl="6" w:tplc="4C24544E">
      <w:numFmt w:val="decimal"/>
      <w:lvlText w:val=""/>
      <w:lvlJc w:val="left"/>
    </w:lvl>
    <w:lvl w:ilvl="7" w:tplc="99CEEFE0">
      <w:numFmt w:val="decimal"/>
      <w:lvlText w:val=""/>
      <w:lvlJc w:val="left"/>
    </w:lvl>
    <w:lvl w:ilvl="8" w:tplc="0080A47A">
      <w:numFmt w:val="decimal"/>
      <w:lvlText w:val=""/>
      <w:lvlJc w:val="left"/>
    </w:lvl>
  </w:abstractNum>
  <w:abstractNum w:abstractNumId="1" w15:restartNumberingAfterBreak="0">
    <w:nsid w:val="2AE8944A"/>
    <w:multiLevelType w:val="hybridMultilevel"/>
    <w:tmpl w:val="6AE686B6"/>
    <w:lvl w:ilvl="0" w:tplc="5F0E04B4">
      <w:start w:val="2"/>
      <w:numFmt w:val="decimal"/>
      <w:lvlText w:val="%1."/>
      <w:lvlJc w:val="left"/>
    </w:lvl>
    <w:lvl w:ilvl="1" w:tplc="B276C7C2">
      <w:numFmt w:val="decimal"/>
      <w:lvlText w:val=""/>
      <w:lvlJc w:val="left"/>
    </w:lvl>
    <w:lvl w:ilvl="2" w:tplc="163ECB98">
      <w:numFmt w:val="decimal"/>
      <w:lvlText w:val=""/>
      <w:lvlJc w:val="left"/>
    </w:lvl>
    <w:lvl w:ilvl="3" w:tplc="24A09B56">
      <w:numFmt w:val="decimal"/>
      <w:lvlText w:val=""/>
      <w:lvlJc w:val="left"/>
    </w:lvl>
    <w:lvl w:ilvl="4" w:tplc="D2F4832E">
      <w:numFmt w:val="decimal"/>
      <w:lvlText w:val=""/>
      <w:lvlJc w:val="left"/>
    </w:lvl>
    <w:lvl w:ilvl="5" w:tplc="19DECAA2">
      <w:numFmt w:val="decimal"/>
      <w:lvlText w:val=""/>
      <w:lvlJc w:val="left"/>
    </w:lvl>
    <w:lvl w:ilvl="6" w:tplc="65B44A58">
      <w:numFmt w:val="decimal"/>
      <w:lvlText w:val=""/>
      <w:lvlJc w:val="left"/>
    </w:lvl>
    <w:lvl w:ilvl="7" w:tplc="95E4B9AC">
      <w:numFmt w:val="decimal"/>
      <w:lvlText w:val=""/>
      <w:lvlJc w:val="left"/>
    </w:lvl>
    <w:lvl w:ilvl="8" w:tplc="8F24C08E">
      <w:numFmt w:val="decimal"/>
      <w:lvlText w:val=""/>
      <w:lvlJc w:val="left"/>
    </w:lvl>
  </w:abstractNum>
  <w:abstractNum w:abstractNumId="2" w15:restartNumberingAfterBreak="0">
    <w:nsid w:val="625558EC"/>
    <w:multiLevelType w:val="hybridMultilevel"/>
    <w:tmpl w:val="8578B4F6"/>
    <w:lvl w:ilvl="0" w:tplc="C706D23E">
      <w:start w:val="3"/>
      <w:numFmt w:val="decimal"/>
      <w:lvlText w:val="%1."/>
      <w:lvlJc w:val="left"/>
    </w:lvl>
    <w:lvl w:ilvl="1" w:tplc="22929068">
      <w:numFmt w:val="decimal"/>
      <w:lvlText w:val=""/>
      <w:lvlJc w:val="left"/>
    </w:lvl>
    <w:lvl w:ilvl="2" w:tplc="5F688B26">
      <w:numFmt w:val="decimal"/>
      <w:lvlText w:val=""/>
      <w:lvlJc w:val="left"/>
    </w:lvl>
    <w:lvl w:ilvl="3" w:tplc="9EE07296">
      <w:numFmt w:val="decimal"/>
      <w:lvlText w:val=""/>
      <w:lvlJc w:val="left"/>
    </w:lvl>
    <w:lvl w:ilvl="4" w:tplc="696E3B8A">
      <w:numFmt w:val="decimal"/>
      <w:lvlText w:val=""/>
      <w:lvlJc w:val="left"/>
    </w:lvl>
    <w:lvl w:ilvl="5" w:tplc="A6603ABA">
      <w:numFmt w:val="decimal"/>
      <w:lvlText w:val=""/>
      <w:lvlJc w:val="left"/>
    </w:lvl>
    <w:lvl w:ilvl="6" w:tplc="82B4B7C2">
      <w:numFmt w:val="decimal"/>
      <w:lvlText w:val=""/>
      <w:lvlJc w:val="left"/>
    </w:lvl>
    <w:lvl w:ilvl="7" w:tplc="0152E2DC">
      <w:numFmt w:val="decimal"/>
      <w:lvlText w:val=""/>
      <w:lvlJc w:val="left"/>
    </w:lvl>
    <w:lvl w:ilvl="8" w:tplc="8FF2B69E">
      <w:numFmt w:val="decimal"/>
      <w:lvlText w:val=""/>
      <w:lvlJc w:val="left"/>
    </w:lvl>
  </w:abstractNum>
  <w:abstractNum w:abstractNumId="3" w15:restartNumberingAfterBreak="0">
    <w:nsid w:val="74B0DC51"/>
    <w:multiLevelType w:val="hybridMultilevel"/>
    <w:tmpl w:val="6F6E3D66"/>
    <w:lvl w:ilvl="0" w:tplc="E286CFFE">
      <w:start w:val="1"/>
      <w:numFmt w:val="bullet"/>
      <w:lvlText w:val="•"/>
      <w:lvlJc w:val="left"/>
    </w:lvl>
    <w:lvl w:ilvl="1" w:tplc="D2BE80D4">
      <w:numFmt w:val="decimal"/>
      <w:lvlText w:val=""/>
      <w:lvlJc w:val="left"/>
    </w:lvl>
    <w:lvl w:ilvl="2" w:tplc="E67CE1FE">
      <w:numFmt w:val="decimal"/>
      <w:lvlText w:val=""/>
      <w:lvlJc w:val="left"/>
    </w:lvl>
    <w:lvl w:ilvl="3" w:tplc="7124CD5A">
      <w:numFmt w:val="decimal"/>
      <w:lvlText w:val=""/>
      <w:lvlJc w:val="left"/>
    </w:lvl>
    <w:lvl w:ilvl="4" w:tplc="A224CE8A">
      <w:numFmt w:val="decimal"/>
      <w:lvlText w:val=""/>
      <w:lvlJc w:val="left"/>
    </w:lvl>
    <w:lvl w:ilvl="5" w:tplc="21D8BF6A">
      <w:numFmt w:val="decimal"/>
      <w:lvlText w:val=""/>
      <w:lvlJc w:val="left"/>
    </w:lvl>
    <w:lvl w:ilvl="6" w:tplc="DFD8F4F6">
      <w:numFmt w:val="decimal"/>
      <w:lvlText w:val=""/>
      <w:lvlJc w:val="left"/>
    </w:lvl>
    <w:lvl w:ilvl="7" w:tplc="3384D3A6">
      <w:numFmt w:val="decimal"/>
      <w:lvlText w:val=""/>
      <w:lvlJc w:val="left"/>
    </w:lvl>
    <w:lvl w:ilvl="8" w:tplc="4300CDE6">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19"/>
    <w:rsid w:val="004C1019"/>
    <w:rsid w:val="005C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5F8B1-DF90-459A-9E4F-1662863E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2018-03-27T08:24:00Z</dcterms:created>
  <dcterms:modified xsi:type="dcterms:W3CDTF">2018-03-27T12:26:00Z</dcterms:modified>
</cp:coreProperties>
</file>