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EA3" w:rsidRDefault="009057A0">
      <w:pPr>
        <w:rPr>
          <w:sz w:val="20"/>
          <w:szCs w:val="20"/>
        </w:rPr>
      </w:pPr>
      <w:r w:rsidRPr="009057A0">
        <w:rPr>
          <w:rFonts w:ascii="Arial" w:eastAsia="Arial" w:hAnsi="Arial" w:cs="Arial"/>
          <w:sz w:val="28"/>
          <w:szCs w:val="28"/>
        </w:rPr>
        <w:t>Birmingham City University</w:t>
      </w:r>
      <w:r>
        <w:rPr>
          <w:rFonts w:ascii="Arial" w:eastAsia="Arial" w:hAnsi="Arial" w:cs="Arial"/>
          <w:sz w:val="28"/>
          <w:szCs w:val="28"/>
        </w:rPr>
        <w:t xml:space="preserve"> Repository</w:t>
      </w:r>
    </w:p>
    <w:p w:rsidR="00256EA3" w:rsidRDefault="00256EA3">
      <w:pPr>
        <w:spacing w:line="331" w:lineRule="exact"/>
        <w:rPr>
          <w:sz w:val="24"/>
          <w:szCs w:val="24"/>
        </w:rPr>
      </w:pPr>
    </w:p>
    <w:p w:rsidR="00256EA3" w:rsidRDefault="009057A0">
      <w:pPr>
        <w:rPr>
          <w:sz w:val="20"/>
          <w:szCs w:val="20"/>
        </w:rPr>
      </w:pPr>
      <w:r>
        <w:rPr>
          <w:rFonts w:ascii="Arial" w:eastAsia="Arial" w:hAnsi="Arial" w:cs="Arial"/>
          <w:sz w:val="24"/>
          <w:szCs w:val="24"/>
        </w:rPr>
        <w:t>Evans, Laura, Ioannou, Maria and Hammond, Laura</w:t>
      </w:r>
    </w:p>
    <w:p w:rsidR="00256EA3" w:rsidRDefault="00256EA3">
      <w:pPr>
        <w:spacing w:line="302" w:lineRule="exact"/>
        <w:rPr>
          <w:sz w:val="24"/>
          <w:szCs w:val="24"/>
        </w:rPr>
      </w:pPr>
    </w:p>
    <w:p w:rsidR="00256EA3" w:rsidRDefault="009057A0">
      <w:pPr>
        <w:rPr>
          <w:sz w:val="20"/>
          <w:szCs w:val="20"/>
        </w:rPr>
      </w:pPr>
      <w:r>
        <w:rPr>
          <w:rFonts w:ascii="Arial" w:eastAsia="Arial" w:hAnsi="Arial" w:cs="Arial"/>
          <w:sz w:val="24"/>
          <w:szCs w:val="24"/>
        </w:rPr>
        <w:t>A predictive model of criminality in civil psychiatric populations</w:t>
      </w:r>
    </w:p>
    <w:p w:rsidR="00256EA3" w:rsidRDefault="00256EA3">
      <w:pPr>
        <w:spacing w:line="301" w:lineRule="exact"/>
        <w:rPr>
          <w:sz w:val="24"/>
          <w:szCs w:val="24"/>
        </w:rPr>
      </w:pPr>
    </w:p>
    <w:p w:rsidR="00256EA3" w:rsidRDefault="009057A0">
      <w:pPr>
        <w:rPr>
          <w:sz w:val="20"/>
          <w:szCs w:val="20"/>
        </w:rPr>
      </w:pPr>
      <w:r>
        <w:rPr>
          <w:rFonts w:ascii="Arial" w:eastAsia="Arial" w:hAnsi="Arial" w:cs="Arial"/>
          <w:sz w:val="24"/>
          <w:szCs w:val="24"/>
        </w:rPr>
        <w:t>Original Citation</w:t>
      </w:r>
    </w:p>
    <w:p w:rsidR="00256EA3" w:rsidRDefault="00256EA3">
      <w:pPr>
        <w:spacing w:line="327" w:lineRule="exact"/>
        <w:rPr>
          <w:sz w:val="24"/>
          <w:szCs w:val="24"/>
        </w:rPr>
      </w:pPr>
    </w:p>
    <w:p w:rsidR="00256EA3" w:rsidRDefault="009057A0">
      <w:pPr>
        <w:spacing w:line="306" w:lineRule="auto"/>
        <w:ind w:right="160"/>
        <w:rPr>
          <w:rFonts w:ascii="Arial" w:eastAsia="Arial" w:hAnsi="Arial" w:cs="Arial"/>
        </w:rPr>
      </w:pPr>
      <w:r>
        <w:rPr>
          <w:rFonts w:ascii="Arial" w:eastAsia="Arial" w:hAnsi="Arial" w:cs="Arial"/>
        </w:rPr>
        <w:t xml:space="preserve">Evans, Laura, Ioannou, Maria and Hammond, Laura (2015) A </w:t>
      </w:r>
      <w:r>
        <w:rPr>
          <w:rFonts w:ascii="Arial" w:eastAsia="Arial" w:hAnsi="Arial" w:cs="Arial"/>
        </w:rPr>
        <w:t>predictive model of criminality in civil psychiatric populations. Journal of Criminal Psychology, 5 (1). pp. 1­12. ISSN 2009­3829</w:t>
      </w:r>
    </w:p>
    <w:p w:rsidR="009057A0" w:rsidRDefault="009057A0">
      <w:pPr>
        <w:spacing w:line="306" w:lineRule="auto"/>
        <w:ind w:right="160"/>
        <w:rPr>
          <w:rFonts w:ascii="Arial" w:eastAsia="Arial" w:hAnsi="Arial" w:cs="Arial"/>
        </w:rPr>
      </w:pPr>
    </w:p>
    <w:p w:rsidR="009057A0" w:rsidRPr="00C67D27" w:rsidRDefault="009057A0" w:rsidP="009057A0">
      <w:pPr>
        <w:keepNext/>
        <w:pBdr>
          <w:top w:val="single" w:sz="4" w:space="1" w:color="auto"/>
          <w:left w:val="single" w:sz="4" w:space="4" w:color="auto"/>
          <w:bottom w:val="single" w:sz="4" w:space="1" w:color="auto"/>
          <w:right w:val="single" w:sz="4" w:space="4" w:color="auto"/>
        </w:pBdr>
        <w:spacing w:line="480" w:lineRule="auto"/>
        <w:jc w:val="center"/>
        <w:rPr>
          <w:rFonts w:eastAsia="Times New Roman"/>
        </w:rPr>
      </w:pPr>
      <w:r>
        <w:rPr>
          <w:rFonts w:eastAsia="Times New Roman"/>
        </w:rPr>
        <w:t xml:space="preserve">This </w:t>
      </w:r>
      <w:r w:rsidRPr="00C67D27">
        <w:rPr>
          <w:rFonts w:eastAsia="Times New Roman"/>
        </w:rPr>
        <w:t xml:space="preserve">is an Accepted Manuscript of an article published by </w:t>
      </w:r>
      <w:r>
        <w:rPr>
          <w:rFonts w:eastAsia="Times New Roman"/>
        </w:rPr>
        <w:t>Emerald</w:t>
      </w:r>
      <w:r w:rsidRPr="00C67D27">
        <w:rPr>
          <w:rFonts w:eastAsia="Times New Roman"/>
        </w:rPr>
        <w:t xml:space="preserve"> </w:t>
      </w:r>
      <w:r>
        <w:rPr>
          <w:rFonts w:eastAsia="Times New Roman"/>
        </w:rPr>
        <w:t>Insight in</w:t>
      </w:r>
      <w:r w:rsidRPr="00C67D27">
        <w:rPr>
          <w:rFonts w:eastAsia="Times New Roman"/>
        </w:rPr>
        <w:t xml:space="preserve"> </w:t>
      </w:r>
      <w:r>
        <w:rPr>
          <w:rFonts w:eastAsia="Times New Roman"/>
          <w:i/>
        </w:rPr>
        <w:t>Journal of Criminal Psychology</w:t>
      </w:r>
      <w:r w:rsidRPr="00C67D27">
        <w:rPr>
          <w:rFonts w:eastAsia="Times New Roman"/>
        </w:rPr>
        <w:t xml:space="preserve">, </w:t>
      </w:r>
      <w:r>
        <w:rPr>
          <w:rFonts w:eastAsia="Times New Roman"/>
        </w:rPr>
        <w:t>doi:</w:t>
      </w:r>
      <w:r w:rsidRPr="009057A0">
        <w:t xml:space="preserve"> </w:t>
      </w:r>
      <w:r w:rsidRPr="009057A0">
        <w:rPr>
          <w:rFonts w:eastAsia="Times New Roman"/>
        </w:rPr>
        <w:t>10.1108/JCP-10-2014-0015</w:t>
      </w:r>
      <w:bookmarkStart w:id="0" w:name="_GoBack"/>
      <w:bookmarkEnd w:id="0"/>
    </w:p>
    <w:p w:rsidR="009057A0" w:rsidRDefault="009057A0" w:rsidP="009057A0">
      <w:pPr>
        <w:keepNext/>
        <w:pBdr>
          <w:top w:val="single" w:sz="4" w:space="1" w:color="auto"/>
          <w:left w:val="single" w:sz="4" w:space="4" w:color="auto"/>
          <w:bottom w:val="single" w:sz="4" w:space="1" w:color="auto"/>
          <w:right w:val="single" w:sz="4" w:space="4" w:color="auto"/>
        </w:pBdr>
        <w:spacing w:line="480" w:lineRule="auto"/>
        <w:jc w:val="center"/>
        <w:rPr>
          <w:rFonts w:eastAsia="Times New Roman"/>
          <w:b/>
        </w:rPr>
      </w:pPr>
    </w:p>
    <w:p w:rsidR="009057A0" w:rsidRDefault="009057A0" w:rsidP="009057A0">
      <w:pPr>
        <w:spacing w:line="302" w:lineRule="exact"/>
        <w:rPr>
          <w:sz w:val="24"/>
          <w:szCs w:val="24"/>
        </w:rPr>
      </w:pPr>
    </w:p>
    <w:p w:rsidR="009057A0" w:rsidRDefault="009057A0">
      <w:pPr>
        <w:spacing w:line="306" w:lineRule="auto"/>
        <w:ind w:right="160"/>
        <w:rPr>
          <w:sz w:val="20"/>
          <w:szCs w:val="20"/>
        </w:rPr>
      </w:pPr>
    </w:p>
    <w:p w:rsidR="00256EA3" w:rsidRDefault="00256EA3">
      <w:pPr>
        <w:spacing w:line="221" w:lineRule="exact"/>
        <w:rPr>
          <w:sz w:val="24"/>
          <w:szCs w:val="24"/>
        </w:rPr>
      </w:pPr>
    </w:p>
    <w:p w:rsidR="00256EA3" w:rsidRPr="009057A0" w:rsidRDefault="00256EA3" w:rsidP="009057A0">
      <w:pPr>
        <w:jc w:val="right"/>
        <w:rPr>
          <w:sz w:val="20"/>
          <w:szCs w:val="20"/>
        </w:rPr>
        <w:sectPr w:rsidR="00256EA3" w:rsidRPr="009057A0">
          <w:pgSz w:w="11900" w:h="16840"/>
          <w:pgMar w:top="1440" w:right="1380" w:bottom="1440" w:left="1140" w:header="0" w:footer="0" w:gutter="0"/>
          <w:cols w:space="720" w:equalWidth="0">
            <w:col w:w="9380"/>
          </w:cols>
        </w:sectPr>
      </w:pPr>
    </w:p>
    <w:p w:rsidR="00256EA3" w:rsidRDefault="009057A0">
      <w:pPr>
        <w:ind w:right="20"/>
        <w:jc w:val="center"/>
        <w:rPr>
          <w:sz w:val="20"/>
          <w:szCs w:val="20"/>
        </w:rPr>
      </w:pPr>
      <w:bookmarkStart w:id="1" w:name="page2"/>
      <w:bookmarkEnd w:id="1"/>
      <w:r>
        <w:rPr>
          <w:rFonts w:eastAsia="Times New Roman"/>
          <w:b/>
          <w:bCs/>
          <w:sz w:val="24"/>
          <w:szCs w:val="24"/>
        </w:rPr>
        <w:lastRenderedPageBreak/>
        <w:t>A Predictive Model of Criminality in Civil Psychiatric Populations</w: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28" w:lineRule="exact"/>
        <w:rPr>
          <w:sz w:val="20"/>
          <w:szCs w:val="20"/>
        </w:rPr>
      </w:pPr>
    </w:p>
    <w:p w:rsidR="00256EA3" w:rsidRDefault="009057A0">
      <w:pPr>
        <w:ind w:right="20"/>
        <w:jc w:val="center"/>
        <w:rPr>
          <w:sz w:val="20"/>
          <w:szCs w:val="20"/>
        </w:rPr>
      </w:pPr>
      <w:r>
        <w:rPr>
          <w:rFonts w:eastAsia="Times New Roman"/>
          <w:b/>
          <w:bCs/>
          <w:sz w:val="24"/>
          <w:szCs w:val="24"/>
        </w:rPr>
        <w:t>Laura Evans, Maria Ioannou and Laura Hammond</w:t>
      </w:r>
    </w:p>
    <w:p w:rsidR="00256EA3" w:rsidRDefault="00256EA3">
      <w:pPr>
        <w:spacing w:line="276" w:lineRule="exact"/>
        <w:rPr>
          <w:sz w:val="20"/>
          <w:szCs w:val="20"/>
        </w:rPr>
      </w:pPr>
    </w:p>
    <w:p w:rsidR="00256EA3" w:rsidRDefault="009057A0">
      <w:pPr>
        <w:ind w:right="20"/>
        <w:jc w:val="center"/>
        <w:rPr>
          <w:sz w:val="20"/>
          <w:szCs w:val="20"/>
        </w:rPr>
      </w:pPr>
      <w:r>
        <w:rPr>
          <w:rFonts w:eastAsia="Times New Roman"/>
          <w:b/>
          <w:bCs/>
          <w:sz w:val="24"/>
          <w:szCs w:val="24"/>
        </w:rPr>
        <w:t>University of Huddersfield</w: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26" w:lineRule="exact"/>
        <w:rPr>
          <w:sz w:val="20"/>
          <w:szCs w:val="20"/>
        </w:rPr>
      </w:pPr>
    </w:p>
    <w:p w:rsidR="00256EA3" w:rsidRDefault="009057A0">
      <w:pPr>
        <w:spacing w:line="378" w:lineRule="auto"/>
        <w:ind w:right="20"/>
        <w:jc w:val="both"/>
        <w:rPr>
          <w:sz w:val="20"/>
          <w:szCs w:val="20"/>
        </w:rPr>
      </w:pPr>
      <w:r>
        <w:rPr>
          <w:rFonts w:eastAsia="Times New Roman"/>
          <w:b/>
          <w:bCs/>
          <w:sz w:val="24"/>
          <w:szCs w:val="24"/>
        </w:rPr>
        <w:t xml:space="preserve">Purpose – </w:t>
      </w:r>
      <w:r>
        <w:rPr>
          <w:rFonts w:eastAsia="Times New Roman"/>
          <w:sz w:val="24"/>
          <w:szCs w:val="24"/>
        </w:rPr>
        <w:t xml:space="preserve">This study sought to develop </w:t>
      </w:r>
      <w:r>
        <w:rPr>
          <w:rFonts w:eastAsia="Times New Roman"/>
          <w:sz w:val="24"/>
          <w:szCs w:val="24"/>
        </w:rPr>
        <w:t>a predictive model of criminal risk in civil</w:t>
      </w:r>
      <w:r>
        <w:rPr>
          <w:rFonts w:eastAsia="Times New Roman"/>
          <w:b/>
          <w:bCs/>
          <w:sz w:val="24"/>
          <w:szCs w:val="24"/>
        </w:rPr>
        <w:t xml:space="preserve"> </w:t>
      </w:r>
      <w:r>
        <w:rPr>
          <w:rFonts w:eastAsia="Times New Roman"/>
          <w:sz w:val="24"/>
          <w:szCs w:val="24"/>
        </w:rPr>
        <w:t>psychiatric populations, by determining the relative impacts of 1) psychopathy, 2) drug use, 3) impulsivity and 4) intelligence on levels of criminality.</w:t>
      </w:r>
    </w:p>
    <w:p w:rsidR="00256EA3" w:rsidRDefault="00256EA3">
      <w:pPr>
        <w:spacing w:line="137" w:lineRule="exact"/>
        <w:rPr>
          <w:sz w:val="20"/>
          <w:szCs w:val="20"/>
        </w:rPr>
      </w:pPr>
    </w:p>
    <w:p w:rsidR="00256EA3" w:rsidRDefault="009057A0">
      <w:pPr>
        <w:spacing w:line="366" w:lineRule="auto"/>
        <w:ind w:right="20"/>
        <w:jc w:val="both"/>
        <w:rPr>
          <w:sz w:val="20"/>
          <w:szCs w:val="20"/>
        </w:rPr>
      </w:pPr>
      <w:r>
        <w:rPr>
          <w:rFonts w:eastAsia="Times New Roman"/>
          <w:b/>
          <w:bCs/>
          <w:sz w:val="24"/>
          <w:szCs w:val="24"/>
        </w:rPr>
        <w:t xml:space="preserve">Design/methodology/approach - </w:t>
      </w:r>
      <w:r>
        <w:rPr>
          <w:rFonts w:eastAsia="Times New Roman"/>
          <w:sz w:val="24"/>
          <w:szCs w:val="24"/>
        </w:rPr>
        <w:t xml:space="preserve">The sample consisted of </w:t>
      </w:r>
      <w:r>
        <w:rPr>
          <w:rFonts w:eastAsia="Times New Roman"/>
          <w:sz w:val="24"/>
          <w:szCs w:val="24"/>
        </w:rPr>
        <w:t>871 civil psychiatric patients,</w:t>
      </w:r>
      <w:r>
        <w:rPr>
          <w:rFonts w:eastAsia="Times New Roman"/>
          <w:b/>
          <w:bCs/>
          <w:sz w:val="24"/>
          <w:szCs w:val="24"/>
        </w:rPr>
        <w:t xml:space="preserve"> </w:t>
      </w:r>
      <w:r>
        <w:rPr>
          <w:rFonts w:eastAsia="Times New Roman"/>
          <w:sz w:val="24"/>
          <w:szCs w:val="24"/>
        </w:rPr>
        <w:t>selected from the MacArthur Violence Risk Assessment Study, who had been diagnosed with a mental illness or personality disorder, and hospitalised less than 21 days. Each participant was administered the Hare Psychopathy Che</w:t>
      </w:r>
      <w:r>
        <w:rPr>
          <w:rFonts w:eastAsia="Times New Roman"/>
          <w:sz w:val="24"/>
          <w:szCs w:val="24"/>
        </w:rPr>
        <w:t>cklist Screening Version (PCL:SV), Barratt Impulsiveness Scale (BIS-11), and the Wechsler Adult Intelligence Scale (WAIS-R). In addition, information on background demographics, drug use and criminality was obtained via a self-report questionnaire.</w:t>
      </w:r>
    </w:p>
    <w:p w:rsidR="00256EA3" w:rsidRDefault="00256EA3">
      <w:pPr>
        <w:spacing w:line="152" w:lineRule="exact"/>
        <w:rPr>
          <w:sz w:val="20"/>
          <w:szCs w:val="20"/>
        </w:rPr>
      </w:pPr>
    </w:p>
    <w:p w:rsidR="00256EA3" w:rsidRDefault="009057A0">
      <w:pPr>
        <w:spacing w:line="369" w:lineRule="auto"/>
        <w:ind w:right="20"/>
        <w:jc w:val="both"/>
        <w:rPr>
          <w:sz w:val="20"/>
          <w:szCs w:val="20"/>
        </w:rPr>
      </w:pPr>
      <w:r>
        <w:rPr>
          <w:rFonts w:eastAsia="Times New Roman"/>
          <w:b/>
          <w:bCs/>
          <w:sz w:val="24"/>
          <w:szCs w:val="24"/>
        </w:rPr>
        <w:t>Findin</w:t>
      </w:r>
      <w:r>
        <w:rPr>
          <w:rFonts w:eastAsia="Times New Roman"/>
          <w:b/>
          <w:bCs/>
          <w:sz w:val="24"/>
          <w:szCs w:val="24"/>
        </w:rPr>
        <w:t xml:space="preserve">gs - </w:t>
      </w:r>
      <w:r>
        <w:rPr>
          <w:rFonts w:eastAsia="Times New Roman"/>
          <w:sz w:val="24"/>
          <w:szCs w:val="24"/>
        </w:rPr>
        <w:t>Pearson correlations identified significant positive relationships between past</w:t>
      </w:r>
      <w:r>
        <w:rPr>
          <w:rFonts w:eastAsia="Times New Roman"/>
          <w:b/>
          <w:bCs/>
          <w:sz w:val="24"/>
          <w:szCs w:val="24"/>
        </w:rPr>
        <w:t xml:space="preserve"> </w:t>
      </w:r>
      <w:r>
        <w:rPr>
          <w:rFonts w:eastAsia="Times New Roman"/>
          <w:sz w:val="24"/>
          <w:szCs w:val="24"/>
        </w:rPr>
        <w:t>arrests, psychopathy, impulsivity, and drug use. Intelligence was negatively related to past arrests. Multiple regression identified a significant main effect for Factor 2</w:t>
      </w:r>
      <w:r>
        <w:rPr>
          <w:rFonts w:eastAsia="Times New Roman"/>
          <w:sz w:val="24"/>
          <w:szCs w:val="24"/>
        </w:rPr>
        <w:t xml:space="preserve"> psychopathy on past arrests when controlling for all covariates, but not for Factor 1 psychopathy, intelligence or impulsivity. Drug use and gender had small univariate effects.</w:t>
      </w:r>
    </w:p>
    <w:p w:rsidR="00256EA3" w:rsidRDefault="00256EA3">
      <w:pPr>
        <w:spacing w:line="148" w:lineRule="exact"/>
        <w:rPr>
          <w:sz w:val="20"/>
          <w:szCs w:val="20"/>
        </w:rPr>
      </w:pPr>
    </w:p>
    <w:p w:rsidR="00256EA3" w:rsidRDefault="009057A0">
      <w:pPr>
        <w:spacing w:line="396" w:lineRule="auto"/>
        <w:ind w:right="20"/>
        <w:jc w:val="both"/>
        <w:rPr>
          <w:sz w:val="20"/>
          <w:szCs w:val="20"/>
        </w:rPr>
      </w:pPr>
      <w:r>
        <w:rPr>
          <w:rFonts w:eastAsia="Times New Roman"/>
          <w:b/>
          <w:bCs/>
          <w:sz w:val="24"/>
          <w:szCs w:val="24"/>
        </w:rPr>
        <w:t xml:space="preserve">Research limitations/implications - </w:t>
      </w:r>
      <w:r>
        <w:rPr>
          <w:rFonts w:eastAsia="Times New Roman"/>
          <w:sz w:val="24"/>
          <w:szCs w:val="24"/>
        </w:rPr>
        <w:t>It is suggested that future research inv</w:t>
      </w:r>
      <w:r>
        <w:rPr>
          <w:rFonts w:eastAsia="Times New Roman"/>
          <w:sz w:val="24"/>
          <w:szCs w:val="24"/>
        </w:rPr>
        <w:t>estigates the</w:t>
      </w:r>
      <w:r>
        <w:rPr>
          <w:rFonts w:eastAsia="Times New Roman"/>
          <w:b/>
          <w:bCs/>
          <w:sz w:val="24"/>
          <w:szCs w:val="24"/>
        </w:rPr>
        <w:t xml:space="preserve"> </w:t>
      </w:r>
      <w:r>
        <w:rPr>
          <w:rFonts w:eastAsia="Times New Roman"/>
          <w:sz w:val="24"/>
          <w:szCs w:val="24"/>
        </w:rPr>
        <w:t>influence of specific mental disorders on different types of offending.</w:t>
      </w:r>
    </w:p>
    <w:p w:rsidR="00256EA3" w:rsidRDefault="00256EA3">
      <w:pPr>
        <w:spacing w:line="118" w:lineRule="exact"/>
        <w:rPr>
          <w:sz w:val="20"/>
          <w:szCs w:val="20"/>
        </w:rPr>
      </w:pPr>
    </w:p>
    <w:p w:rsidR="00256EA3" w:rsidRDefault="009057A0">
      <w:pPr>
        <w:spacing w:line="369" w:lineRule="auto"/>
        <w:jc w:val="both"/>
        <w:rPr>
          <w:sz w:val="20"/>
          <w:szCs w:val="20"/>
        </w:rPr>
      </w:pPr>
      <w:r>
        <w:rPr>
          <w:rFonts w:eastAsia="Times New Roman"/>
          <w:b/>
          <w:bCs/>
          <w:sz w:val="24"/>
          <w:szCs w:val="24"/>
        </w:rPr>
        <w:t xml:space="preserve">Originality/value – </w:t>
      </w:r>
      <w:r>
        <w:rPr>
          <w:rFonts w:eastAsia="Times New Roman"/>
          <w:sz w:val="24"/>
          <w:szCs w:val="24"/>
        </w:rPr>
        <w:t>By investigating predictors of criminal behaviour in civil psychiatric</w:t>
      </w:r>
      <w:r>
        <w:rPr>
          <w:rFonts w:eastAsia="Times New Roman"/>
          <w:b/>
          <w:bCs/>
          <w:sz w:val="24"/>
          <w:szCs w:val="24"/>
        </w:rPr>
        <w:t xml:space="preserve"> </w:t>
      </w:r>
      <w:r>
        <w:rPr>
          <w:rFonts w:eastAsia="Times New Roman"/>
          <w:sz w:val="24"/>
          <w:szCs w:val="24"/>
        </w:rPr>
        <w:t>patients, the present study makes valuable contributions to the research liter</w:t>
      </w:r>
      <w:r>
        <w:rPr>
          <w:rFonts w:eastAsia="Times New Roman"/>
          <w:sz w:val="24"/>
          <w:szCs w:val="24"/>
        </w:rPr>
        <w:t>ature, enhancing our theoretical understanding of the relationships between psychopathy and criminality/recidivism. It also has notable implications in applied practice, for example; in the development and refinement of risk assessment methods.</w: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67" w:lineRule="exact"/>
        <w:rPr>
          <w:sz w:val="20"/>
          <w:szCs w:val="20"/>
        </w:rPr>
      </w:pPr>
    </w:p>
    <w:p w:rsidR="00256EA3" w:rsidRDefault="009057A0">
      <w:pPr>
        <w:rPr>
          <w:sz w:val="20"/>
          <w:szCs w:val="20"/>
        </w:rPr>
      </w:pPr>
      <w:r>
        <w:rPr>
          <w:rFonts w:eastAsia="Times New Roman"/>
          <w:b/>
          <w:bCs/>
          <w:sz w:val="24"/>
          <w:szCs w:val="24"/>
        </w:rPr>
        <w:t xml:space="preserve">Keywords: </w:t>
      </w:r>
      <w:r>
        <w:rPr>
          <w:rFonts w:eastAsia="Times New Roman"/>
          <w:sz w:val="24"/>
          <w:szCs w:val="24"/>
        </w:rPr>
        <w:t>Psychopathy, Criminal Behaviour, Intelligence, Impulsivity, Recidivism</w:t>
      </w:r>
    </w:p>
    <w:p w:rsidR="00256EA3" w:rsidRDefault="00256EA3">
      <w:pPr>
        <w:spacing w:line="200" w:lineRule="exact"/>
        <w:rPr>
          <w:sz w:val="20"/>
          <w:szCs w:val="20"/>
        </w:rPr>
      </w:pPr>
    </w:p>
    <w:p w:rsidR="00256EA3" w:rsidRDefault="00256EA3">
      <w:pPr>
        <w:spacing w:line="315" w:lineRule="exact"/>
        <w:rPr>
          <w:sz w:val="20"/>
          <w:szCs w:val="20"/>
        </w:rPr>
      </w:pPr>
    </w:p>
    <w:p w:rsidR="00256EA3" w:rsidRDefault="009057A0">
      <w:pPr>
        <w:ind w:left="8920"/>
        <w:rPr>
          <w:sz w:val="20"/>
          <w:szCs w:val="20"/>
        </w:rPr>
      </w:pPr>
      <w:r>
        <w:rPr>
          <w:rFonts w:eastAsia="Times New Roman"/>
        </w:rPr>
        <w:t>1</w:t>
      </w:r>
    </w:p>
    <w:p w:rsidR="00256EA3" w:rsidRDefault="00256EA3">
      <w:pPr>
        <w:sectPr w:rsidR="00256EA3">
          <w:pgSz w:w="11900" w:h="16840"/>
          <w:pgMar w:top="1417" w:right="1424" w:bottom="431" w:left="1440" w:header="0" w:footer="0" w:gutter="0"/>
          <w:cols w:space="720" w:equalWidth="0">
            <w:col w:w="9040"/>
          </w:cols>
        </w:sectPr>
      </w:pPr>
    </w:p>
    <w:p w:rsidR="00256EA3" w:rsidRDefault="009057A0">
      <w:pPr>
        <w:rPr>
          <w:sz w:val="20"/>
          <w:szCs w:val="20"/>
        </w:rPr>
      </w:pPr>
      <w:bookmarkStart w:id="2" w:name="page3"/>
      <w:bookmarkEnd w:id="2"/>
      <w:r>
        <w:rPr>
          <w:rFonts w:eastAsia="Times New Roman"/>
          <w:b/>
          <w:bCs/>
          <w:sz w:val="24"/>
          <w:szCs w:val="24"/>
        </w:rPr>
        <w:lastRenderedPageBreak/>
        <w:t>Introduction</w: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361" w:lineRule="exact"/>
        <w:rPr>
          <w:sz w:val="20"/>
          <w:szCs w:val="20"/>
        </w:rPr>
      </w:pPr>
    </w:p>
    <w:p w:rsidR="00256EA3" w:rsidRDefault="009057A0">
      <w:pPr>
        <w:spacing w:line="483" w:lineRule="auto"/>
        <w:ind w:right="4" w:firstLine="720"/>
        <w:jc w:val="both"/>
        <w:rPr>
          <w:sz w:val="20"/>
          <w:szCs w:val="20"/>
        </w:rPr>
      </w:pPr>
      <w:r>
        <w:rPr>
          <w:rFonts w:eastAsia="Times New Roman"/>
          <w:sz w:val="24"/>
          <w:szCs w:val="24"/>
        </w:rPr>
        <w:t>An abundance of literature has focused on the aetiology of criminal behaviour and recidivism. A number of demographic attributes and ke</w:t>
      </w:r>
      <w:r>
        <w:rPr>
          <w:rFonts w:eastAsia="Times New Roman"/>
          <w:sz w:val="24"/>
          <w:szCs w:val="24"/>
        </w:rPr>
        <w:t xml:space="preserve">y risk factors, ranging from age, race and socioeconomic status to intellectual functioning and criminogenic needs, have been found to impact upon offending behaviour (Gendreau, Little &amp; Goggin, 1996). However, one of the strongest predictors consistently </w:t>
      </w:r>
      <w:r>
        <w:rPr>
          <w:rFonts w:eastAsia="Times New Roman"/>
          <w:sz w:val="24"/>
          <w:szCs w:val="24"/>
        </w:rPr>
        <w:t xml:space="preserve">associated with increased criminal behaviour and recidivism is psychopathy (Hemphill, Hare &amp; Wong, 1998; Hare, Clark, Grann &amp; Thornton, 2000) (see Dhingra and Bodusezek, 2013 for a review). The present study sought to evaluate the nature and extent of the </w:t>
      </w:r>
      <w:r>
        <w:rPr>
          <w:rFonts w:eastAsia="Times New Roman"/>
          <w:sz w:val="24"/>
          <w:szCs w:val="24"/>
        </w:rPr>
        <w:t>impact that psychopathy and its associated traits/behavioural manifestations have on levels of criminality and likelihood of recidivism for civil psychiatric patients.</w:t>
      </w:r>
    </w:p>
    <w:p w:rsidR="00256EA3" w:rsidRDefault="00256EA3">
      <w:pPr>
        <w:spacing w:line="200" w:lineRule="exact"/>
        <w:rPr>
          <w:sz w:val="20"/>
          <w:szCs w:val="20"/>
        </w:rPr>
      </w:pPr>
    </w:p>
    <w:p w:rsidR="00256EA3" w:rsidRDefault="00256EA3">
      <w:pPr>
        <w:spacing w:line="315" w:lineRule="exact"/>
        <w:rPr>
          <w:sz w:val="20"/>
          <w:szCs w:val="20"/>
        </w:rPr>
      </w:pPr>
    </w:p>
    <w:p w:rsidR="00256EA3" w:rsidRDefault="009057A0">
      <w:pPr>
        <w:rPr>
          <w:sz w:val="20"/>
          <w:szCs w:val="20"/>
        </w:rPr>
      </w:pPr>
      <w:r>
        <w:rPr>
          <w:rFonts w:eastAsia="Times New Roman"/>
          <w:i/>
          <w:iCs/>
          <w:sz w:val="24"/>
          <w:szCs w:val="24"/>
        </w:rPr>
        <w:t>Psychopathy and Criminality</w:t>
      </w:r>
    </w:p>
    <w:p w:rsidR="00256EA3" w:rsidRDefault="00256EA3">
      <w:pPr>
        <w:spacing w:line="279" w:lineRule="exact"/>
        <w:rPr>
          <w:sz w:val="20"/>
          <w:szCs w:val="20"/>
        </w:rPr>
      </w:pPr>
    </w:p>
    <w:p w:rsidR="00256EA3" w:rsidRDefault="009057A0">
      <w:pPr>
        <w:spacing w:line="480" w:lineRule="auto"/>
        <w:ind w:right="4" w:firstLine="720"/>
        <w:jc w:val="both"/>
        <w:rPr>
          <w:sz w:val="20"/>
          <w:szCs w:val="20"/>
        </w:rPr>
      </w:pPr>
      <w:r>
        <w:rPr>
          <w:rFonts w:eastAsia="Times New Roman"/>
          <w:sz w:val="24"/>
          <w:szCs w:val="24"/>
        </w:rPr>
        <w:t>Features of psychopathy predispose an individual to behav</w:t>
      </w:r>
      <w:r>
        <w:rPr>
          <w:rFonts w:eastAsia="Times New Roman"/>
          <w:sz w:val="24"/>
          <w:szCs w:val="24"/>
        </w:rPr>
        <w:t>ioural deviancies (Viding, Frick &amp; Promin, 2007; Vitacco, Michael, Neumann &amp; Wodushek, 2008), and these tend to be related to increases in offending (Hare, 1991) and higher rates of recidivism (Hemphill et al., 1998). Serin and Amos (1995) found that psych</w:t>
      </w:r>
      <w:r>
        <w:rPr>
          <w:rFonts w:eastAsia="Times New Roman"/>
          <w:sz w:val="24"/>
          <w:szCs w:val="24"/>
        </w:rPr>
        <w:t>opathic offenders were five times more likely to offend than non-psychopathic offenders while Harris, Rice and Cormier (1991) found nearly 80% of psychopathic offenders committed a new violent offence within a year of being released from prison.</w:t>
      </w:r>
    </w:p>
    <w:p w:rsidR="00256EA3" w:rsidRDefault="009057A0">
      <w:pPr>
        <w:spacing w:line="490" w:lineRule="auto"/>
        <w:ind w:right="4" w:firstLine="720"/>
        <w:jc w:val="both"/>
        <w:rPr>
          <w:sz w:val="20"/>
          <w:szCs w:val="20"/>
        </w:rPr>
      </w:pPr>
      <w:r>
        <w:rPr>
          <w:rFonts w:eastAsia="Times New Roman"/>
          <w:sz w:val="24"/>
          <w:szCs w:val="24"/>
        </w:rPr>
        <w:t>The preval</w:t>
      </w:r>
      <w:r>
        <w:rPr>
          <w:rFonts w:eastAsia="Times New Roman"/>
          <w:sz w:val="24"/>
          <w:szCs w:val="24"/>
        </w:rPr>
        <w:t>ence of significant associations reported in these studies indicates that psychopathy is indeed a strong predictor of recidivism. However, in order to further understand the relationship between psychopathy and criminal behaviour/recidivism, it is necessar</w:t>
      </w:r>
      <w:r>
        <w:rPr>
          <w:rFonts w:eastAsia="Times New Roman"/>
          <w:sz w:val="24"/>
          <w:szCs w:val="24"/>
        </w:rPr>
        <w:t>y to explore the underlying factor structure of the construct. There is an on-going</w:t>
      </w:r>
    </w:p>
    <w:p w:rsidR="00256EA3" w:rsidRDefault="00256EA3">
      <w:pPr>
        <w:spacing w:line="395" w:lineRule="exact"/>
        <w:rPr>
          <w:sz w:val="20"/>
          <w:szCs w:val="20"/>
        </w:rPr>
      </w:pPr>
    </w:p>
    <w:p w:rsidR="00256EA3" w:rsidRDefault="009057A0">
      <w:pPr>
        <w:ind w:left="8920"/>
        <w:rPr>
          <w:sz w:val="20"/>
          <w:szCs w:val="20"/>
        </w:rPr>
      </w:pPr>
      <w:r>
        <w:rPr>
          <w:rFonts w:eastAsia="Times New Roman"/>
          <w:sz w:val="20"/>
          <w:szCs w:val="20"/>
        </w:rPr>
        <w:t>2</w:t>
      </w:r>
    </w:p>
    <w:p w:rsidR="00256EA3" w:rsidRDefault="00256EA3">
      <w:pPr>
        <w:sectPr w:rsidR="00256EA3">
          <w:pgSz w:w="11900" w:h="16840"/>
          <w:pgMar w:top="1418" w:right="1440" w:bottom="454" w:left="1440" w:header="0" w:footer="0" w:gutter="0"/>
          <w:cols w:space="720" w:equalWidth="0">
            <w:col w:w="9024"/>
          </w:cols>
        </w:sectPr>
      </w:pPr>
    </w:p>
    <w:p w:rsidR="00256EA3" w:rsidRDefault="009057A0">
      <w:pPr>
        <w:spacing w:line="480" w:lineRule="auto"/>
        <w:ind w:right="4"/>
        <w:jc w:val="both"/>
        <w:rPr>
          <w:sz w:val="20"/>
          <w:szCs w:val="20"/>
        </w:rPr>
      </w:pPr>
      <w:bookmarkStart w:id="3" w:name="page4"/>
      <w:bookmarkEnd w:id="3"/>
      <w:r>
        <w:rPr>
          <w:rFonts w:eastAsia="Times New Roman"/>
          <w:sz w:val="24"/>
          <w:szCs w:val="24"/>
        </w:rPr>
        <w:lastRenderedPageBreak/>
        <w:t>debate within the literature over whether psychopathy can be explained as a single, two-factor, three-factor or even four-factor model (Hare &amp; Neumann,</w:t>
      </w:r>
      <w:r>
        <w:rPr>
          <w:rFonts w:eastAsia="Times New Roman"/>
          <w:sz w:val="24"/>
          <w:szCs w:val="24"/>
        </w:rPr>
        <w:t xml:space="preserve"> 2008). Whilst there is no clear consensus on the most appropriate factor structure, the strongly correlated two factor model (</w:t>
      </w:r>
      <w:r>
        <w:rPr>
          <w:rFonts w:eastAsia="Times New Roman"/>
          <w:i/>
          <w:iCs/>
          <w:sz w:val="24"/>
          <w:szCs w:val="24"/>
        </w:rPr>
        <w:t>r</w:t>
      </w:r>
      <w:r>
        <w:rPr>
          <w:rFonts w:eastAsia="Times New Roman"/>
          <w:sz w:val="24"/>
          <w:szCs w:val="24"/>
        </w:rPr>
        <w:t xml:space="preserve"> = .80; Hare, 1991) is still commonly referred to, despite the more recent four factor model receiving increasing support within</w:t>
      </w:r>
      <w:r>
        <w:rPr>
          <w:rFonts w:eastAsia="Times New Roman"/>
          <w:sz w:val="24"/>
          <w:szCs w:val="24"/>
        </w:rPr>
        <w:t xml:space="preserve"> the literature. The two factor structure represents the core interpersonal and behavioural traits of psychopathy. Both factors are based on Cleckley’s (1941) model of personality, and provide the theoretical underpinning for the Hare Psychopathy Checklist</w:t>
      </w:r>
      <w:r>
        <w:rPr>
          <w:rFonts w:eastAsia="Times New Roman"/>
          <w:sz w:val="24"/>
          <w:szCs w:val="24"/>
        </w:rPr>
        <w:t xml:space="preserve"> Revised (PCL-R; Hare). Factor 1 reflects the interpersonal and affective traits expressed through psychopathy, including callousness, deceitfulness, remorselessness and egocentricity, whilst Factor 2 focuses on socially deviant behaviours such as impulsiv</w:t>
      </w:r>
      <w:r>
        <w:rPr>
          <w:rFonts w:eastAsia="Times New Roman"/>
          <w:sz w:val="24"/>
          <w:szCs w:val="24"/>
        </w:rPr>
        <w:t>ity and irresponsibility.</w:t>
      </w:r>
    </w:p>
    <w:p w:rsidR="00256EA3" w:rsidRDefault="00256EA3">
      <w:pPr>
        <w:spacing w:line="1" w:lineRule="exact"/>
        <w:rPr>
          <w:sz w:val="20"/>
          <w:szCs w:val="20"/>
        </w:rPr>
      </w:pPr>
    </w:p>
    <w:p w:rsidR="00256EA3" w:rsidRDefault="009057A0">
      <w:pPr>
        <w:spacing w:line="484" w:lineRule="auto"/>
        <w:ind w:right="4" w:firstLine="720"/>
        <w:jc w:val="both"/>
        <w:rPr>
          <w:sz w:val="20"/>
          <w:szCs w:val="20"/>
        </w:rPr>
      </w:pPr>
      <w:r>
        <w:rPr>
          <w:rFonts w:eastAsia="Times New Roman"/>
          <w:sz w:val="24"/>
          <w:szCs w:val="24"/>
        </w:rPr>
        <w:t xml:space="preserve">Whilst both Factor 1 and Factor 2 psychopathy have been found to be significantly associated with violent offending (Harpur &amp; Hare, 1991), research has consistently indicated that Factor 2 of the PCL-R is a stronger predictor of </w:t>
      </w:r>
      <w:r>
        <w:rPr>
          <w:rFonts w:eastAsia="Times New Roman"/>
          <w:sz w:val="24"/>
          <w:szCs w:val="24"/>
        </w:rPr>
        <w:t>recidivism than Factor 1 (Walters, Knight, Grann &amp; Dahle, 2008; Hemphill et al., 1998; Beggs &amp; Grace. 2008). It has also been shown to be positively associated with greater number of prior convictions (Heinzen, Kohler, Godt, Geiger &amp; Huchzermeier (2011). C</w:t>
      </w:r>
      <w:r>
        <w:rPr>
          <w:rFonts w:eastAsia="Times New Roman"/>
          <w:sz w:val="24"/>
          <w:szCs w:val="24"/>
        </w:rPr>
        <w:t>onversely, Factor 1 has been found to be only weakly correlated with general and violent recidivism, and is associated with lower conviction rates (Walters et al., 2003).</w:t>
      </w:r>
    </w:p>
    <w:p w:rsidR="00256EA3" w:rsidRDefault="00256EA3">
      <w:pPr>
        <w:spacing w:line="163" w:lineRule="exact"/>
        <w:rPr>
          <w:sz w:val="20"/>
          <w:szCs w:val="20"/>
        </w:rPr>
      </w:pPr>
    </w:p>
    <w:p w:rsidR="00256EA3" w:rsidRDefault="009057A0">
      <w:pPr>
        <w:spacing w:line="486" w:lineRule="auto"/>
        <w:ind w:right="4" w:firstLine="406"/>
        <w:jc w:val="both"/>
        <w:rPr>
          <w:sz w:val="20"/>
          <w:szCs w:val="20"/>
        </w:rPr>
      </w:pPr>
      <w:r>
        <w:rPr>
          <w:rFonts w:eastAsia="Times New Roman"/>
          <w:sz w:val="24"/>
          <w:szCs w:val="24"/>
        </w:rPr>
        <w:t xml:space="preserve">It is likely that the strength of the relationship between psychopathy (i.e. scores </w:t>
      </w:r>
      <w:r>
        <w:rPr>
          <w:rFonts w:eastAsia="Times New Roman"/>
          <w:sz w:val="24"/>
          <w:szCs w:val="24"/>
        </w:rPr>
        <w:t>on Factor 1 and Factor 2) and criminal behaviour will be influenced by the cognitive and behavioural attributes associated with psychopathy, such as low intelligence (Gendreau et al., 1996) and substance abuse (Hopelle &amp; Brunelle, 2012). As such, these fac</w:t>
      </w:r>
      <w:r>
        <w:rPr>
          <w:rFonts w:eastAsia="Times New Roman"/>
          <w:sz w:val="24"/>
          <w:szCs w:val="24"/>
        </w:rPr>
        <w:t>tors need to be taken into account when deriving models of the predictive relationship between psychopathy and criminal propensity, in order to enhance their reliability and validity.</w:t>
      </w:r>
    </w:p>
    <w:p w:rsidR="00256EA3" w:rsidRDefault="00256EA3">
      <w:pPr>
        <w:spacing w:line="130" w:lineRule="exact"/>
        <w:rPr>
          <w:sz w:val="20"/>
          <w:szCs w:val="20"/>
        </w:rPr>
      </w:pPr>
    </w:p>
    <w:p w:rsidR="00256EA3" w:rsidRDefault="009057A0">
      <w:pPr>
        <w:ind w:left="8920"/>
        <w:rPr>
          <w:sz w:val="20"/>
          <w:szCs w:val="20"/>
        </w:rPr>
      </w:pPr>
      <w:r>
        <w:rPr>
          <w:rFonts w:eastAsia="Times New Roman"/>
          <w:sz w:val="20"/>
          <w:szCs w:val="20"/>
        </w:rPr>
        <w:t>3</w:t>
      </w:r>
    </w:p>
    <w:p w:rsidR="00256EA3" w:rsidRDefault="00256EA3">
      <w:pPr>
        <w:sectPr w:rsidR="00256EA3">
          <w:pgSz w:w="11900" w:h="16840"/>
          <w:pgMar w:top="1420" w:right="1440" w:bottom="454" w:left="1440" w:header="0" w:footer="0" w:gutter="0"/>
          <w:cols w:space="720" w:equalWidth="0">
            <w:col w:w="9024"/>
          </w:cols>
        </w:sectPr>
      </w:pPr>
    </w:p>
    <w:p w:rsidR="00256EA3" w:rsidRDefault="009057A0">
      <w:pPr>
        <w:rPr>
          <w:sz w:val="20"/>
          <w:szCs w:val="20"/>
        </w:rPr>
      </w:pPr>
      <w:bookmarkStart w:id="4" w:name="page5"/>
      <w:bookmarkEnd w:id="4"/>
      <w:r>
        <w:rPr>
          <w:rFonts w:eastAsia="Times New Roman"/>
          <w:i/>
          <w:iCs/>
          <w:sz w:val="24"/>
          <w:szCs w:val="24"/>
        </w:rPr>
        <w:lastRenderedPageBreak/>
        <w:t>Intelligence and Criminality</w:t>
      </w:r>
    </w:p>
    <w:p w:rsidR="00256EA3" w:rsidRDefault="00256EA3">
      <w:pPr>
        <w:spacing w:line="279" w:lineRule="exact"/>
        <w:rPr>
          <w:sz w:val="20"/>
          <w:szCs w:val="20"/>
        </w:rPr>
      </w:pPr>
    </w:p>
    <w:p w:rsidR="00256EA3" w:rsidRDefault="009057A0">
      <w:pPr>
        <w:spacing w:line="479" w:lineRule="auto"/>
        <w:ind w:firstLine="720"/>
        <w:jc w:val="both"/>
        <w:rPr>
          <w:sz w:val="20"/>
          <w:szCs w:val="20"/>
        </w:rPr>
      </w:pPr>
      <w:r>
        <w:rPr>
          <w:rFonts w:eastAsia="Times New Roman"/>
          <w:sz w:val="24"/>
          <w:szCs w:val="24"/>
        </w:rPr>
        <w:t>The notion that lower</w:t>
      </w:r>
      <w:r>
        <w:rPr>
          <w:rFonts w:eastAsia="Times New Roman"/>
          <w:sz w:val="24"/>
          <w:szCs w:val="24"/>
        </w:rPr>
        <w:t xml:space="preserve"> intelligence is related to criminal behaviour goes back decades (Goddard, 1920), and has received consistent empirical support from the criminological literature (Hirschi &amp; Hindeland, 1977). Gendreau et al. (1996) conducted a meta-analyses of 132 studies </w:t>
      </w:r>
      <w:r>
        <w:rPr>
          <w:rFonts w:eastAsia="Times New Roman"/>
          <w:sz w:val="24"/>
          <w:szCs w:val="24"/>
        </w:rPr>
        <w:t>(N = 21,369) and found that intelligence was a stronger predictor of recidivism than class or race, an association shown to hold across age, gender and ethnicity (Rushton &amp; Templar, 2009). Guay, Ouimet &amp; Prolux (2005) attempt to explicate this relationship</w:t>
      </w:r>
      <w:r>
        <w:rPr>
          <w:rFonts w:eastAsia="Times New Roman"/>
          <w:sz w:val="24"/>
          <w:szCs w:val="24"/>
        </w:rPr>
        <w:t xml:space="preserve"> by arguing that intelligence is indirectly linked to offending through its effect on mediating factors such as social adaptation and opportunities for success. Guay et al. also argue that individuals with lower intelligence are predisposed to criminal beh</w:t>
      </w:r>
      <w:r>
        <w:rPr>
          <w:rFonts w:eastAsia="Times New Roman"/>
          <w:sz w:val="24"/>
          <w:szCs w:val="24"/>
        </w:rPr>
        <w:t>aviour as they lack the relevant cognitive abilities needed to evaluate the consequences of their actions and acknowledge the suffering of others - traits typically associated with psychopathic personalities. Bate, Boduszek, Dhingra and Bale (2014) offer a</w:t>
      </w:r>
      <w:r>
        <w:rPr>
          <w:rFonts w:eastAsia="Times New Roman"/>
          <w:sz w:val="24"/>
          <w:szCs w:val="24"/>
        </w:rPr>
        <w:t>n alternative view, arguing that the relationship between intelligence, psychopathy and emotional response may lead to criminal behaviour. Bate et al. found that lower levels of intelligence were positively associated with Factor 2 psychopathy scores and e</w:t>
      </w:r>
      <w:r>
        <w:rPr>
          <w:rFonts w:eastAsia="Times New Roman"/>
          <w:sz w:val="24"/>
          <w:szCs w:val="24"/>
        </w:rPr>
        <w:t xml:space="preserve">motional responsiveness. They argued that greater propensity for emotional arousal may lead individuals to seek out highly stimulating situations to compensate for reduced levels of internal stimulation. As a result, such a sensation may lead to increased </w:t>
      </w:r>
      <w:r>
        <w:rPr>
          <w:rFonts w:eastAsia="Times New Roman"/>
          <w:sz w:val="24"/>
          <w:szCs w:val="24"/>
        </w:rPr>
        <w:t>involvement in criminal offences.</w:t>
      </w:r>
    </w:p>
    <w:p w:rsidR="00256EA3" w:rsidRDefault="00256EA3">
      <w:pPr>
        <w:spacing w:line="20" w:lineRule="exact"/>
        <w:rPr>
          <w:sz w:val="20"/>
          <w:szCs w:val="20"/>
        </w:rPr>
      </w:pPr>
    </w:p>
    <w:p w:rsidR="00256EA3" w:rsidRDefault="009057A0">
      <w:pPr>
        <w:spacing w:line="486" w:lineRule="auto"/>
        <w:ind w:right="20" w:firstLine="720"/>
        <w:jc w:val="both"/>
        <w:rPr>
          <w:sz w:val="20"/>
          <w:szCs w:val="20"/>
        </w:rPr>
      </w:pPr>
      <w:r>
        <w:rPr>
          <w:rFonts w:eastAsia="Times New Roman"/>
          <w:sz w:val="24"/>
          <w:szCs w:val="24"/>
        </w:rPr>
        <w:t>Recent research has begun to consider in more detail the manifestation of different psychopathic traits results in variations of intelligence in psychopathic individuals by using versions of the Weschler Adult Intelligent</w:t>
      </w:r>
      <w:r>
        <w:rPr>
          <w:rFonts w:eastAsia="Times New Roman"/>
          <w:sz w:val="24"/>
          <w:szCs w:val="24"/>
        </w:rPr>
        <w:t xml:space="preserve"> Scale (WAIS; Weschler, 1981), a more sophisticated measure of intelligence than the IQ measures previously employed. The WAIS provides a comprehensive assessment of intelligence with subscales measuring verbal comprehension, working memory, perceptual org</w:t>
      </w:r>
      <w:r>
        <w:rPr>
          <w:rFonts w:eastAsia="Times New Roman"/>
          <w:sz w:val="24"/>
          <w:szCs w:val="24"/>
        </w:rPr>
        <w:t>anization and processing speed, which is</w:t>
      </w:r>
    </w:p>
    <w:p w:rsidR="00256EA3" w:rsidRDefault="00256EA3">
      <w:pPr>
        <w:spacing w:line="331" w:lineRule="exact"/>
        <w:rPr>
          <w:sz w:val="20"/>
          <w:szCs w:val="20"/>
        </w:rPr>
      </w:pPr>
    </w:p>
    <w:p w:rsidR="00256EA3" w:rsidRDefault="009057A0">
      <w:pPr>
        <w:ind w:left="8920"/>
        <w:rPr>
          <w:sz w:val="20"/>
          <w:szCs w:val="20"/>
        </w:rPr>
      </w:pPr>
      <w:r>
        <w:rPr>
          <w:rFonts w:eastAsia="Times New Roman"/>
        </w:rPr>
        <w:t>4</w:t>
      </w:r>
    </w:p>
    <w:p w:rsidR="00256EA3" w:rsidRDefault="00256EA3">
      <w:pPr>
        <w:sectPr w:rsidR="00256EA3">
          <w:pgSz w:w="11900" w:h="16840"/>
          <w:pgMar w:top="1417" w:right="1424" w:bottom="431" w:left="1440" w:header="0" w:footer="0" w:gutter="0"/>
          <w:cols w:space="720" w:equalWidth="0">
            <w:col w:w="9040"/>
          </w:cols>
        </w:sectPr>
      </w:pPr>
    </w:p>
    <w:p w:rsidR="00256EA3" w:rsidRDefault="009057A0">
      <w:pPr>
        <w:spacing w:line="490" w:lineRule="auto"/>
        <w:ind w:right="4"/>
        <w:jc w:val="both"/>
        <w:rPr>
          <w:sz w:val="20"/>
          <w:szCs w:val="20"/>
        </w:rPr>
      </w:pPr>
      <w:bookmarkStart w:id="5" w:name="page6"/>
      <w:bookmarkEnd w:id="5"/>
      <w:r>
        <w:rPr>
          <w:rFonts w:eastAsia="Times New Roman"/>
          <w:sz w:val="24"/>
          <w:szCs w:val="24"/>
        </w:rPr>
        <w:lastRenderedPageBreak/>
        <w:t xml:space="preserve">more appropriate than IQ when considering the multi-faceted structure of psychopathy. This, when used in conjunction with measures of psychopathy (such as PCL-R Factor 1 and Factor 2 scores), </w:t>
      </w:r>
      <w:r>
        <w:rPr>
          <w:rFonts w:eastAsia="Times New Roman"/>
          <w:sz w:val="24"/>
          <w:szCs w:val="24"/>
        </w:rPr>
        <w:t>offers a means of more reliably evaluating the mediating effect(s) that intelligence has on the relationship between psychopathy and criminality.</w:t>
      </w:r>
    </w:p>
    <w:p w:rsidR="00256EA3" w:rsidRDefault="00256EA3">
      <w:pPr>
        <w:spacing w:line="74" w:lineRule="exact"/>
        <w:rPr>
          <w:sz w:val="20"/>
          <w:szCs w:val="20"/>
        </w:rPr>
      </w:pPr>
    </w:p>
    <w:p w:rsidR="00256EA3" w:rsidRDefault="009057A0">
      <w:pPr>
        <w:spacing w:line="483" w:lineRule="auto"/>
        <w:ind w:right="4" w:firstLine="720"/>
        <w:jc w:val="both"/>
        <w:rPr>
          <w:sz w:val="20"/>
          <w:szCs w:val="20"/>
        </w:rPr>
      </w:pPr>
      <w:r>
        <w:rPr>
          <w:rFonts w:eastAsia="Times New Roman"/>
          <w:sz w:val="24"/>
          <w:szCs w:val="24"/>
        </w:rPr>
        <w:t>The studies of Vitacco et al. (2005) and Tribolet-Hardy, Volis, Mokros &amp; Mednick, (2013) both find strong pos</w:t>
      </w:r>
      <w:r>
        <w:rPr>
          <w:rFonts w:eastAsia="Times New Roman"/>
          <w:sz w:val="24"/>
          <w:szCs w:val="24"/>
        </w:rPr>
        <w:t>itive correlations between verbal intelligence and interpersonal and affective traits as measured by Factor 1 of the PCL-R. Although the association found by Tribolet-Hardy et al. was not statistically significant, their results imply that verbal intellige</w:t>
      </w:r>
      <w:r>
        <w:rPr>
          <w:rFonts w:eastAsia="Times New Roman"/>
          <w:sz w:val="24"/>
          <w:szCs w:val="24"/>
        </w:rPr>
        <w:t>nce is a necessary precursor to manipulative behaviour and superficial charm. Negative associations have been found between spatial intelligence and Factor 2 of the PCL-R (Salekin, Neumann &amp; Leistico, 2004), suggesting that psychopathic individuals whose t</w:t>
      </w:r>
      <w:r>
        <w:rPr>
          <w:rFonts w:eastAsia="Times New Roman"/>
          <w:sz w:val="24"/>
          <w:szCs w:val="24"/>
        </w:rPr>
        <w:t>raits manifest in anti-social behaviours have impairments in spatial intelligence. Raine, Yaralian, Reynolds, Venables and Mednick (2003) argue that this can interfere with attachment processes and emotion recognition during formative years, predisposing a</w:t>
      </w:r>
      <w:r>
        <w:rPr>
          <w:rFonts w:eastAsia="Times New Roman"/>
          <w:sz w:val="24"/>
          <w:szCs w:val="24"/>
        </w:rPr>
        <w:t>n individual to anti-social behaviour.</w:t>
      </w:r>
    </w:p>
    <w:p w:rsidR="00256EA3" w:rsidRDefault="00256EA3">
      <w:pPr>
        <w:spacing w:line="200" w:lineRule="exact"/>
        <w:rPr>
          <w:sz w:val="20"/>
          <w:szCs w:val="20"/>
        </w:rPr>
      </w:pPr>
    </w:p>
    <w:p w:rsidR="00256EA3" w:rsidRDefault="00256EA3">
      <w:pPr>
        <w:spacing w:line="311" w:lineRule="exact"/>
        <w:rPr>
          <w:sz w:val="20"/>
          <w:szCs w:val="20"/>
        </w:rPr>
      </w:pPr>
    </w:p>
    <w:p w:rsidR="00256EA3" w:rsidRDefault="009057A0">
      <w:pPr>
        <w:rPr>
          <w:sz w:val="20"/>
          <w:szCs w:val="20"/>
        </w:rPr>
      </w:pPr>
      <w:r>
        <w:rPr>
          <w:rFonts w:eastAsia="Times New Roman"/>
          <w:i/>
          <w:iCs/>
          <w:sz w:val="24"/>
          <w:szCs w:val="24"/>
        </w:rPr>
        <w:t>Impulsivity, Drug Use and Criminality</w:t>
      </w:r>
    </w:p>
    <w:p w:rsidR="00256EA3" w:rsidRDefault="00256EA3">
      <w:pPr>
        <w:spacing w:line="279" w:lineRule="exact"/>
        <w:rPr>
          <w:sz w:val="20"/>
          <w:szCs w:val="20"/>
        </w:rPr>
      </w:pPr>
    </w:p>
    <w:p w:rsidR="00256EA3" w:rsidRDefault="009057A0">
      <w:pPr>
        <w:spacing w:line="485" w:lineRule="auto"/>
        <w:ind w:right="4" w:firstLine="720"/>
        <w:jc w:val="both"/>
        <w:rPr>
          <w:sz w:val="20"/>
          <w:szCs w:val="20"/>
        </w:rPr>
      </w:pPr>
      <w:r>
        <w:rPr>
          <w:rFonts w:eastAsia="Times New Roman"/>
          <w:sz w:val="24"/>
          <w:szCs w:val="24"/>
        </w:rPr>
        <w:t xml:space="preserve">The manifestation of impulsivity among psychopathic individuals has been suggested to be associated with increased risk of drug use and substance abuse. Base rates of drug and </w:t>
      </w:r>
      <w:r>
        <w:rPr>
          <w:rFonts w:eastAsia="Times New Roman"/>
          <w:sz w:val="24"/>
          <w:szCs w:val="24"/>
        </w:rPr>
        <w:t>alcohol use are greater among psychopaths than non-psychopaths (Edens &amp; McDermott, 2011), although both are more prevalent in those scoring highly on Factor 2 in both community and incarcerated samples (Taylor &amp; Lang, 2006). There is also some evidence for</w:t>
      </w:r>
      <w:r>
        <w:rPr>
          <w:rFonts w:eastAsia="Times New Roman"/>
          <w:sz w:val="24"/>
          <w:szCs w:val="24"/>
        </w:rPr>
        <w:t xml:space="preserve"> a link between interpersonal and affective traits, represented by Factor 1, and greater cocaine dependency (Walsh, Allen &amp; Kosson, 2007).</w: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364" w:lineRule="exact"/>
        <w:rPr>
          <w:sz w:val="20"/>
          <w:szCs w:val="20"/>
        </w:rPr>
      </w:pPr>
    </w:p>
    <w:p w:rsidR="00256EA3" w:rsidRDefault="009057A0">
      <w:pPr>
        <w:ind w:left="8920"/>
        <w:rPr>
          <w:sz w:val="20"/>
          <w:szCs w:val="20"/>
        </w:rPr>
      </w:pPr>
      <w:r>
        <w:rPr>
          <w:rFonts w:eastAsia="Times New Roman"/>
          <w:sz w:val="20"/>
          <w:szCs w:val="20"/>
        </w:rPr>
        <w:t>5</w:t>
      </w:r>
    </w:p>
    <w:p w:rsidR="00256EA3" w:rsidRDefault="00256EA3">
      <w:pPr>
        <w:sectPr w:rsidR="00256EA3">
          <w:pgSz w:w="11900" w:h="16840"/>
          <w:pgMar w:top="1420" w:right="1440" w:bottom="454" w:left="1440" w:header="0" w:footer="0" w:gutter="0"/>
          <w:cols w:space="720" w:equalWidth="0">
            <w:col w:w="9024"/>
          </w:cols>
        </w:sectPr>
      </w:pPr>
    </w:p>
    <w:p w:rsidR="00256EA3" w:rsidRDefault="009057A0">
      <w:pPr>
        <w:spacing w:line="480" w:lineRule="auto"/>
        <w:ind w:right="4" w:firstLine="720"/>
        <w:jc w:val="both"/>
        <w:rPr>
          <w:sz w:val="20"/>
          <w:szCs w:val="20"/>
        </w:rPr>
      </w:pPr>
      <w:bookmarkStart w:id="6" w:name="page7"/>
      <w:bookmarkEnd w:id="6"/>
      <w:r>
        <w:rPr>
          <w:rFonts w:eastAsia="Times New Roman"/>
          <w:sz w:val="24"/>
          <w:szCs w:val="24"/>
        </w:rPr>
        <w:lastRenderedPageBreak/>
        <w:t>Increased drug use among psychopathic individuals can be explained by Gray’s (1987) Reinforcem</w:t>
      </w:r>
      <w:r>
        <w:rPr>
          <w:rFonts w:eastAsia="Times New Roman"/>
          <w:sz w:val="24"/>
          <w:szCs w:val="24"/>
        </w:rPr>
        <w:t>ent Sensitivity Theory. Gray argued that behaviour is guided by our behavioural action system (BAS) and behavioural inhibition system (BIS). Our BAS controls and regulates our approach behaviours whilst the BIS is responsible for withdrawal behaviours. Bot</w:t>
      </w:r>
      <w:r>
        <w:rPr>
          <w:rFonts w:eastAsia="Times New Roman"/>
          <w:sz w:val="24"/>
          <w:szCs w:val="24"/>
        </w:rPr>
        <w:t>h systems are thought to be associated with substance use and psychopathy (Simon &amp; Arens, 2007), with Factor 1 of the PCL-R associated with a weak BIS, and Factor 2 associated with a strong BAS (Wallace, Malterer &amp; Newmann, 2009). Corr (2010) explained tha</w:t>
      </w:r>
      <w:r>
        <w:rPr>
          <w:rFonts w:eastAsia="Times New Roman"/>
          <w:sz w:val="24"/>
          <w:szCs w:val="24"/>
        </w:rPr>
        <w:t>t psychopathy has been theorised as a dysfunction in BIS activity, which leads to cognitive inflexibility and deficits in response modulation as well as an increase in BAS activity, which results in impulsivity. This was supported by Hopley &amp; Brunelle (201</w:t>
      </w:r>
      <w:r>
        <w:rPr>
          <w:rFonts w:eastAsia="Times New Roman"/>
          <w:sz w:val="24"/>
          <w:szCs w:val="24"/>
        </w:rPr>
        <w:t>2), who found that psychopathy scores were strongly and positively related to impulsivity, as well as opiod, stimulant and hallucinogen dependence.</w:t>
      </w:r>
    </w:p>
    <w:p w:rsidR="00256EA3" w:rsidRDefault="00256EA3">
      <w:pPr>
        <w:spacing w:line="1" w:lineRule="exact"/>
        <w:rPr>
          <w:sz w:val="20"/>
          <w:szCs w:val="20"/>
        </w:rPr>
      </w:pPr>
    </w:p>
    <w:p w:rsidR="00256EA3" w:rsidRDefault="009057A0">
      <w:pPr>
        <w:spacing w:line="485" w:lineRule="auto"/>
        <w:ind w:right="4" w:firstLine="720"/>
        <w:jc w:val="both"/>
        <w:rPr>
          <w:sz w:val="20"/>
          <w:szCs w:val="20"/>
        </w:rPr>
      </w:pPr>
      <w:r>
        <w:rPr>
          <w:rFonts w:eastAsia="Times New Roman"/>
          <w:sz w:val="24"/>
          <w:szCs w:val="24"/>
        </w:rPr>
        <w:t>Drug-use has, in and of itself, been found to be positively associated with criminality; increased drug-use</w:t>
      </w:r>
      <w:r>
        <w:rPr>
          <w:rFonts w:eastAsia="Times New Roman"/>
          <w:sz w:val="24"/>
          <w:szCs w:val="24"/>
        </w:rPr>
        <w:t xml:space="preserve"> tends to be associated with an increased risk of involvement in criminal activity and increased risk of criminal recidivism (Scott et al., 1998). As such, there are clear risk factors for criminal behaviour, both direct and indirect, stemming from psychop</w:t>
      </w:r>
      <w:r>
        <w:rPr>
          <w:rFonts w:eastAsia="Times New Roman"/>
          <w:sz w:val="24"/>
          <w:szCs w:val="24"/>
        </w:rPr>
        <w:t xml:space="preserve">athic tendencies and traits, associated impulsivity manifestations and drug-use patterns. The challenge for research now, then, is to determine the relative influence of each and establish their predictive values as risk determinants for criminality, both </w:t>
      </w:r>
      <w:r>
        <w:rPr>
          <w:rFonts w:eastAsia="Times New Roman"/>
          <w:sz w:val="24"/>
          <w:szCs w:val="24"/>
        </w:rPr>
        <w:t>in isolation and combination.</w:t>
      </w:r>
    </w:p>
    <w:p w:rsidR="00256EA3" w:rsidRDefault="00256EA3">
      <w:pPr>
        <w:spacing w:line="200" w:lineRule="exact"/>
        <w:rPr>
          <w:sz w:val="20"/>
          <w:szCs w:val="20"/>
        </w:rPr>
      </w:pPr>
    </w:p>
    <w:p w:rsidR="00256EA3" w:rsidRDefault="00256EA3">
      <w:pPr>
        <w:spacing w:line="308" w:lineRule="exact"/>
        <w:rPr>
          <w:sz w:val="20"/>
          <w:szCs w:val="20"/>
        </w:rPr>
      </w:pPr>
    </w:p>
    <w:p w:rsidR="00256EA3" w:rsidRDefault="009057A0">
      <w:pPr>
        <w:rPr>
          <w:sz w:val="20"/>
          <w:szCs w:val="20"/>
        </w:rPr>
      </w:pPr>
      <w:r>
        <w:rPr>
          <w:rFonts w:eastAsia="Times New Roman"/>
          <w:i/>
          <w:iCs/>
          <w:sz w:val="24"/>
          <w:szCs w:val="24"/>
        </w:rPr>
        <w:t>Criminality in Civil Psychiatric Populations</w:t>
      </w:r>
    </w:p>
    <w:p w:rsidR="00256EA3" w:rsidRDefault="00256EA3">
      <w:pPr>
        <w:spacing w:line="279" w:lineRule="exact"/>
        <w:rPr>
          <w:sz w:val="20"/>
          <w:szCs w:val="20"/>
        </w:rPr>
      </w:pPr>
    </w:p>
    <w:p w:rsidR="00256EA3" w:rsidRDefault="009057A0">
      <w:pPr>
        <w:spacing w:line="490" w:lineRule="auto"/>
        <w:ind w:right="4" w:firstLine="720"/>
        <w:jc w:val="both"/>
        <w:rPr>
          <w:sz w:val="20"/>
          <w:szCs w:val="20"/>
        </w:rPr>
      </w:pPr>
      <w:r>
        <w:rPr>
          <w:rFonts w:eastAsia="Times New Roman"/>
          <w:sz w:val="24"/>
          <w:szCs w:val="24"/>
        </w:rPr>
        <w:t xml:space="preserve">A major limitation to the research into the links between psychopathy and crime presented thus far relates to the nature of the samples typically employed and consequent limits </w:t>
      </w:r>
      <w:r>
        <w:rPr>
          <w:rFonts w:eastAsia="Times New Roman"/>
          <w:sz w:val="24"/>
          <w:szCs w:val="24"/>
        </w:rPr>
        <w:t>in the ecological validity of findings. Much of the literature examining predictors of criminal behaviour has utilised samples of primarily male offenders who have spent time in</w:t>
      </w:r>
    </w:p>
    <w:p w:rsidR="00256EA3" w:rsidRDefault="00256EA3">
      <w:pPr>
        <w:spacing w:line="326" w:lineRule="exact"/>
        <w:rPr>
          <w:sz w:val="20"/>
          <w:szCs w:val="20"/>
        </w:rPr>
      </w:pPr>
    </w:p>
    <w:p w:rsidR="00256EA3" w:rsidRDefault="009057A0">
      <w:pPr>
        <w:ind w:left="8920"/>
        <w:rPr>
          <w:sz w:val="20"/>
          <w:szCs w:val="20"/>
        </w:rPr>
      </w:pPr>
      <w:r>
        <w:rPr>
          <w:rFonts w:eastAsia="Times New Roman"/>
          <w:sz w:val="20"/>
          <w:szCs w:val="20"/>
        </w:rPr>
        <w:t>6</w:t>
      </w:r>
    </w:p>
    <w:p w:rsidR="00256EA3" w:rsidRDefault="00256EA3">
      <w:pPr>
        <w:sectPr w:rsidR="00256EA3">
          <w:pgSz w:w="11900" w:h="16840"/>
          <w:pgMar w:top="1420" w:right="1440" w:bottom="454" w:left="1440" w:header="0" w:footer="0" w:gutter="0"/>
          <w:cols w:space="720" w:equalWidth="0">
            <w:col w:w="9024"/>
          </w:cols>
        </w:sectPr>
      </w:pPr>
    </w:p>
    <w:p w:rsidR="00256EA3" w:rsidRDefault="009057A0">
      <w:pPr>
        <w:spacing w:line="480" w:lineRule="auto"/>
        <w:ind w:right="4"/>
        <w:jc w:val="both"/>
        <w:rPr>
          <w:sz w:val="20"/>
          <w:szCs w:val="20"/>
        </w:rPr>
      </w:pPr>
      <w:bookmarkStart w:id="7" w:name="page8"/>
      <w:bookmarkEnd w:id="7"/>
      <w:r>
        <w:rPr>
          <w:rFonts w:eastAsia="Times New Roman"/>
          <w:sz w:val="24"/>
          <w:szCs w:val="24"/>
        </w:rPr>
        <w:lastRenderedPageBreak/>
        <w:t>the criminal justice system, either as prisoners or foren</w:t>
      </w:r>
      <w:r>
        <w:rPr>
          <w:rFonts w:eastAsia="Times New Roman"/>
          <w:sz w:val="24"/>
          <w:szCs w:val="24"/>
        </w:rPr>
        <w:t>sic psychiatric patients. In the case of psychopathy specifically, the prevalence of the disorder is known to be considerably higher in offending populations (25%; Hart et al., 1995) than it is in civil psychiatric populations (8%; Hart et al., 1995). As s</w:t>
      </w:r>
      <w:r>
        <w:rPr>
          <w:rFonts w:eastAsia="Times New Roman"/>
          <w:sz w:val="24"/>
          <w:szCs w:val="24"/>
        </w:rPr>
        <w:t>uch, results from research utilising such samples are likely to be somewhat biased and misrepresentative of the true nature of the general relationship between psychopathy and crime.</w:t>
      </w:r>
    </w:p>
    <w:p w:rsidR="00256EA3" w:rsidRDefault="009057A0">
      <w:pPr>
        <w:spacing w:line="484" w:lineRule="auto"/>
        <w:ind w:right="4" w:firstLine="720"/>
        <w:jc w:val="both"/>
        <w:rPr>
          <w:sz w:val="20"/>
          <w:szCs w:val="20"/>
        </w:rPr>
      </w:pPr>
      <w:r>
        <w:rPr>
          <w:rFonts w:eastAsia="Times New Roman"/>
          <w:sz w:val="24"/>
          <w:szCs w:val="24"/>
        </w:rPr>
        <w:t>At present, our understanding of the ways and extents to which the variou</w:t>
      </w:r>
      <w:r>
        <w:rPr>
          <w:rFonts w:eastAsia="Times New Roman"/>
          <w:sz w:val="24"/>
          <w:szCs w:val="24"/>
        </w:rPr>
        <w:t>s factors identified might be predictive of criminal behaviour in other samples, such as civil psychiatric patients, is limited. What is therefore needed is more detailed empirical examination of the relationships between predictors such as psychopathy, in</w:t>
      </w:r>
      <w:r>
        <w:rPr>
          <w:rFonts w:eastAsia="Times New Roman"/>
          <w:sz w:val="24"/>
          <w:szCs w:val="24"/>
        </w:rPr>
        <w:t>telligence, impulsivity, drug-taking and levels of criminality and criminal recidivism in non-offending samples (Tribolet-Hardy et al., 2013). This would enable the utility and validity of current violent risk assessments tools to be addressed, and potenti</w:t>
      </w:r>
      <w:r>
        <w:rPr>
          <w:rFonts w:eastAsia="Times New Roman"/>
          <w:sz w:val="24"/>
          <w:szCs w:val="24"/>
        </w:rPr>
        <w:t>al revisions implemented where necessary.</w:t>
      </w:r>
    </w:p>
    <w:p w:rsidR="00256EA3" w:rsidRDefault="00256EA3">
      <w:pPr>
        <w:spacing w:line="200" w:lineRule="exact"/>
        <w:rPr>
          <w:sz w:val="20"/>
          <w:szCs w:val="20"/>
        </w:rPr>
      </w:pPr>
    </w:p>
    <w:p w:rsidR="00256EA3" w:rsidRDefault="00256EA3">
      <w:pPr>
        <w:spacing w:line="312" w:lineRule="exact"/>
        <w:rPr>
          <w:sz w:val="20"/>
          <w:szCs w:val="20"/>
        </w:rPr>
      </w:pPr>
    </w:p>
    <w:p w:rsidR="00256EA3" w:rsidRDefault="009057A0">
      <w:pPr>
        <w:rPr>
          <w:sz w:val="20"/>
          <w:szCs w:val="20"/>
        </w:rPr>
      </w:pPr>
      <w:r>
        <w:rPr>
          <w:rFonts w:eastAsia="Times New Roman"/>
          <w:i/>
          <w:iCs/>
          <w:sz w:val="24"/>
          <w:szCs w:val="24"/>
        </w:rPr>
        <w:t>Predicting and Assessing Risk in Psychiatric Patients</w:t>
      </w:r>
    </w:p>
    <w:p w:rsidR="00256EA3" w:rsidRDefault="00256EA3">
      <w:pPr>
        <w:spacing w:line="279" w:lineRule="exact"/>
        <w:rPr>
          <w:sz w:val="20"/>
          <w:szCs w:val="20"/>
        </w:rPr>
      </w:pPr>
    </w:p>
    <w:p w:rsidR="00256EA3" w:rsidRDefault="009057A0">
      <w:pPr>
        <w:spacing w:line="480" w:lineRule="auto"/>
        <w:ind w:right="4" w:firstLine="720"/>
        <w:jc w:val="both"/>
        <w:rPr>
          <w:sz w:val="20"/>
          <w:szCs w:val="20"/>
        </w:rPr>
      </w:pPr>
      <w:r>
        <w:rPr>
          <w:rFonts w:eastAsia="Times New Roman"/>
          <w:sz w:val="24"/>
          <w:szCs w:val="24"/>
        </w:rPr>
        <w:t>The violent risk assessment of psychiatric patients is a central feature of clinical practice, used to identify the danger posed by individuals to themselves</w:t>
      </w:r>
      <w:r>
        <w:rPr>
          <w:rFonts w:eastAsia="Times New Roman"/>
          <w:sz w:val="24"/>
          <w:szCs w:val="24"/>
        </w:rPr>
        <w:t xml:space="preserve"> or others (Steadman et al., 2000). However the predictive ability of psychopathy and its related traits covered thus far in assessing likelihood of criminal involvement in psychiatric patients remains unclear.</w:t>
      </w:r>
    </w:p>
    <w:p w:rsidR="00256EA3" w:rsidRDefault="009057A0">
      <w:pPr>
        <w:spacing w:line="487" w:lineRule="auto"/>
        <w:ind w:right="4" w:firstLine="720"/>
        <w:jc w:val="both"/>
        <w:rPr>
          <w:sz w:val="20"/>
          <w:szCs w:val="20"/>
        </w:rPr>
      </w:pPr>
      <w:r>
        <w:rPr>
          <w:rFonts w:eastAsia="Times New Roman"/>
          <w:sz w:val="24"/>
          <w:szCs w:val="24"/>
        </w:rPr>
        <w:t>Based on the strength of the relationship bet</w:t>
      </w:r>
      <w:r>
        <w:rPr>
          <w:rFonts w:eastAsia="Times New Roman"/>
          <w:sz w:val="24"/>
          <w:szCs w:val="24"/>
        </w:rPr>
        <w:t>ween psychopathy and recidivism observed for offender populations, Monahan and Steadman (1994) suggest that psychopathy might be a general, common risk factor for crime amongst people with a mental illness. This proposition can be tested using a revised ve</w:t>
      </w:r>
      <w:r>
        <w:rPr>
          <w:rFonts w:eastAsia="Times New Roman"/>
          <w:sz w:val="24"/>
          <w:szCs w:val="24"/>
        </w:rPr>
        <w:t>rsion of the PCL-R. The PCL-R was devised specifically for use in forensic populations and is resource intensive; it relies heavily on</w:t>
      </w:r>
    </w:p>
    <w:p w:rsidR="00256EA3" w:rsidRDefault="00256EA3">
      <w:pPr>
        <w:spacing w:line="332" w:lineRule="exact"/>
        <w:rPr>
          <w:sz w:val="20"/>
          <w:szCs w:val="20"/>
        </w:rPr>
      </w:pPr>
    </w:p>
    <w:p w:rsidR="00256EA3" w:rsidRDefault="009057A0">
      <w:pPr>
        <w:ind w:left="8920"/>
        <w:rPr>
          <w:sz w:val="20"/>
          <w:szCs w:val="20"/>
        </w:rPr>
      </w:pPr>
      <w:r>
        <w:rPr>
          <w:rFonts w:eastAsia="Times New Roman"/>
          <w:sz w:val="20"/>
          <w:szCs w:val="20"/>
        </w:rPr>
        <w:t>7</w:t>
      </w:r>
    </w:p>
    <w:p w:rsidR="00256EA3" w:rsidRDefault="00256EA3">
      <w:pPr>
        <w:sectPr w:rsidR="00256EA3">
          <w:pgSz w:w="11900" w:h="16840"/>
          <w:pgMar w:top="1420" w:right="1440" w:bottom="454" w:left="1440" w:header="0" w:footer="0" w:gutter="0"/>
          <w:cols w:space="720" w:equalWidth="0">
            <w:col w:w="9024"/>
          </w:cols>
        </w:sectPr>
      </w:pPr>
    </w:p>
    <w:p w:rsidR="00256EA3" w:rsidRDefault="009057A0">
      <w:pPr>
        <w:spacing w:line="480" w:lineRule="auto"/>
        <w:ind w:right="4"/>
        <w:jc w:val="both"/>
        <w:rPr>
          <w:sz w:val="20"/>
          <w:szCs w:val="20"/>
        </w:rPr>
      </w:pPr>
      <w:bookmarkStart w:id="8" w:name="page9"/>
      <w:bookmarkEnd w:id="8"/>
      <w:r>
        <w:rPr>
          <w:rFonts w:eastAsia="Times New Roman"/>
          <w:sz w:val="24"/>
          <w:szCs w:val="24"/>
        </w:rPr>
        <w:lastRenderedPageBreak/>
        <w:t xml:space="preserve">information regarding previous offenses. In 1995, Hart and his colleagues devised a secondary </w:t>
      </w:r>
      <w:r>
        <w:rPr>
          <w:rFonts w:eastAsia="Times New Roman"/>
          <w:sz w:val="24"/>
          <w:szCs w:val="24"/>
        </w:rPr>
        <w:t xml:space="preserve">measure to assess psychopathy in non-offending populations, the Psychopathy Checklist Screening Version (PCL:SV). The PCL:SV is similar to the PCL-R in terms of structure, and relationships with other variables and scores are strongly associated with that </w:t>
      </w:r>
      <w:r>
        <w:rPr>
          <w:rFonts w:eastAsia="Times New Roman"/>
          <w:sz w:val="24"/>
          <w:szCs w:val="24"/>
        </w:rPr>
        <w:t>of the original measure (Hart et al., 1995).</w:t>
      </w:r>
    </w:p>
    <w:p w:rsidR="00256EA3" w:rsidRDefault="009057A0">
      <w:pPr>
        <w:spacing w:line="480" w:lineRule="auto"/>
        <w:ind w:right="4" w:firstLine="720"/>
        <w:jc w:val="both"/>
        <w:rPr>
          <w:sz w:val="20"/>
          <w:szCs w:val="20"/>
        </w:rPr>
      </w:pPr>
      <w:r>
        <w:rPr>
          <w:rFonts w:eastAsia="Times New Roman"/>
          <w:sz w:val="24"/>
          <w:szCs w:val="24"/>
        </w:rPr>
        <w:t>Douglas et al., (1999) were the first to assess the ability of the PCL:SV to predict violence in civil psychiatric patients. Using a cut-off score of 8 to define psychopathy, Douglas and his colleagues found tha</w:t>
      </w:r>
      <w:r>
        <w:rPr>
          <w:rFonts w:eastAsia="Times New Roman"/>
          <w:sz w:val="24"/>
          <w:szCs w:val="24"/>
        </w:rPr>
        <w:t>t involuntarily patients who scored above this were five times more likely to commit a violent offence after discharge. Skeem and Mulvey (2001) extended these findings with a more detailed analysis of the relationship between specific elements of the PCL:S</w:t>
      </w:r>
      <w:r>
        <w:rPr>
          <w:rFonts w:eastAsia="Times New Roman"/>
          <w:sz w:val="24"/>
          <w:szCs w:val="24"/>
        </w:rPr>
        <w:t>V and criminality, finding that while Factor 2 of the PCL:SV was effective offending risk predictor, Factor 1 had little predictive power.</w:t>
      </w:r>
    </w:p>
    <w:p w:rsidR="00256EA3" w:rsidRDefault="009057A0">
      <w:pPr>
        <w:spacing w:line="486" w:lineRule="auto"/>
        <w:ind w:right="4" w:firstLine="720"/>
        <w:jc w:val="both"/>
        <w:rPr>
          <w:sz w:val="20"/>
          <w:szCs w:val="20"/>
        </w:rPr>
      </w:pPr>
      <w:r>
        <w:rPr>
          <w:rFonts w:eastAsia="Times New Roman"/>
          <w:sz w:val="24"/>
          <w:szCs w:val="24"/>
        </w:rPr>
        <w:t>However, these studies failed to disentangle the relative influence of different psychopathic attributes in determini</w:t>
      </w:r>
      <w:r>
        <w:rPr>
          <w:rFonts w:eastAsia="Times New Roman"/>
          <w:sz w:val="24"/>
          <w:szCs w:val="24"/>
        </w:rPr>
        <w:t>ng the predictive power of PCL:SV as a risk assessment tool within civil psychiatric patients, and the potential influence of personal attributes and psychopathic behavioural manifestations were not considered in any detail. As such, our understanding of t</w:t>
      </w:r>
      <w:r>
        <w:rPr>
          <w:rFonts w:eastAsia="Times New Roman"/>
          <w:sz w:val="24"/>
          <w:szCs w:val="24"/>
        </w:rPr>
        <w:t>he links between psychopathy and criminal behaviour in civil psychiatric samples remains limited.</w: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58" w:lineRule="exact"/>
        <w:rPr>
          <w:sz w:val="20"/>
          <w:szCs w:val="20"/>
        </w:rPr>
      </w:pPr>
    </w:p>
    <w:p w:rsidR="00256EA3" w:rsidRDefault="009057A0">
      <w:pPr>
        <w:rPr>
          <w:sz w:val="20"/>
          <w:szCs w:val="20"/>
        </w:rPr>
      </w:pPr>
      <w:r>
        <w:rPr>
          <w:rFonts w:eastAsia="Times New Roman"/>
          <w:b/>
          <w:bCs/>
          <w:sz w:val="24"/>
          <w:szCs w:val="24"/>
        </w:rPr>
        <w:t>The Present Study</w: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32"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The present study examined the impact of psychopathy and its associated traits on offending and criminal recidivism rates in a civi</w:t>
      </w:r>
      <w:r>
        <w:rPr>
          <w:rFonts w:eastAsia="Times New Roman"/>
          <w:sz w:val="24"/>
          <w:szCs w:val="24"/>
        </w:rPr>
        <w:t>l psychiatric population. This was with the aim of establishing a model of the main effects of Type 1 and Type 2 psychopathy on</w:t>
      </w:r>
    </w:p>
    <w:p w:rsidR="00256EA3" w:rsidRDefault="00256EA3">
      <w:pPr>
        <w:spacing w:line="320" w:lineRule="exact"/>
        <w:rPr>
          <w:sz w:val="20"/>
          <w:szCs w:val="20"/>
        </w:rPr>
      </w:pPr>
    </w:p>
    <w:p w:rsidR="00256EA3" w:rsidRDefault="009057A0">
      <w:pPr>
        <w:ind w:left="8920"/>
        <w:rPr>
          <w:sz w:val="20"/>
          <w:szCs w:val="20"/>
        </w:rPr>
      </w:pPr>
      <w:r>
        <w:rPr>
          <w:rFonts w:eastAsia="Times New Roman"/>
          <w:sz w:val="20"/>
          <w:szCs w:val="20"/>
        </w:rPr>
        <w:t>8</w:t>
      </w:r>
    </w:p>
    <w:p w:rsidR="00256EA3" w:rsidRDefault="00256EA3">
      <w:pPr>
        <w:sectPr w:rsidR="00256EA3">
          <w:pgSz w:w="11900" w:h="16840"/>
          <w:pgMar w:top="1420" w:right="1440" w:bottom="454" w:left="1440" w:header="0" w:footer="0" w:gutter="0"/>
          <w:cols w:space="720" w:equalWidth="0">
            <w:col w:w="9024"/>
          </w:cols>
        </w:sectPr>
      </w:pPr>
    </w:p>
    <w:p w:rsidR="00256EA3" w:rsidRDefault="009057A0">
      <w:pPr>
        <w:spacing w:line="511" w:lineRule="auto"/>
        <w:ind w:right="4"/>
        <w:jc w:val="both"/>
        <w:rPr>
          <w:sz w:val="20"/>
          <w:szCs w:val="20"/>
        </w:rPr>
      </w:pPr>
      <w:bookmarkStart w:id="9" w:name="page10"/>
      <w:bookmarkEnd w:id="9"/>
      <w:r>
        <w:rPr>
          <w:rFonts w:eastAsia="Times New Roman"/>
          <w:sz w:val="24"/>
          <w:szCs w:val="24"/>
        </w:rPr>
        <w:lastRenderedPageBreak/>
        <w:t xml:space="preserve">patterns of criminality and criminal risk, and of the mediating effects of intelligence, impulsivity and </w:t>
      </w:r>
      <w:r>
        <w:rPr>
          <w:rFonts w:eastAsia="Times New Roman"/>
          <w:sz w:val="24"/>
          <w:szCs w:val="24"/>
        </w:rPr>
        <w:t>drug-taking.</w: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18" w:lineRule="exact"/>
        <w:rPr>
          <w:sz w:val="20"/>
          <w:szCs w:val="20"/>
        </w:rPr>
      </w:pPr>
    </w:p>
    <w:p w:rsidR="00256EA3" w:rsidRDefault="009057A0">
      <w:pPr>
        <w:rPr>
          <w:sz w:val="20"/>
          <w:szCs w:val="20"/>
        </w:rPr>
      </w:pPr>
      <w:r>
        <w:rPr>
          <w:rFonts w:eastAsia="Times New Roman"/>
          <w:b/>
          <w:bCs/>
          <w:sz w:val="24"/>
          <w:szCs w:val="24"/>
        </w:rPr>
        <w:t>Method</w:t>
      </w:r>
    </w:p>
    <w:p w:rsidR="00256EA3" w:rsidRDefault="00256EA3">
      <w:pPr>
        <w:spacing w:line="282" w:lineRule="exact"/>
        <w:rPr>
          <w:sz w:val="20"/>
          <w:szCs w:val="20"/>
        </w:rPr>
      </w:pPr>
    </w:p>
    <w:p w:rsidR="00256EA3" w:rsidRDefault="009057A0">
      <w:pPr>
        <w:rPr>
          <w:sz w:val="20"/>
          <w:szCs w:val="20"/>
        </w:rPr>
      </w:pPr>
      <w:r>
        <w:rPr>
          <w:rFonts w:eastAsia="Times New Roman"/>
          <w:b/>
          <w:bCs/>
          <w:i/>
          <w:iCs/>
        </w:rPr>
        <w:t>Sample</w:t>
      </w:r>
    </w:p>
    <w:p w:rsidR="00256EA3" w:rsidRDefault="00256EA3">
      <w:pPr>
        <w:spacing w:line="316" w:lineRule="exact"/>
        <w:rPr>
          <w:sz w:val="20"/>
          <w:szCs w:val="20"/>
        </w:rPr>
      </w:pPr>
    </w:p>
    <w:p w:rsidR="00256EA3" w:rsidRDefault="009057A0">
      <w:pPr>
        <w:spacing w:line="479" w:lineRule="auto"/>
        <w:ind w:right="4" w:firstLine="720"/>
        <w:jc w:val="both"/>
        <w:rPr>
          <w:sz w:val="20"/>
          <w:szCs w:val="20"/>
        </w:rPr>
      </w:pPr>
      <w:r>
        <w:rPr>
          <w:rFonts w:eastAsia="Times New Roman"/>
          <w:sz w:val="24"/>
          <w:szCs w:val="24"/>
        </w:rPr>
        <w:t>As described in more detail elsewhere (Monahan et al., 2001), participants were 1,136 civil psychiatric patients sampled from one of three acute inpatient hospitals as part of the MacArthur Violence Risk Assessment S</w:t>
      </w:r>
      <w:r>
        <w:rPr>
          <w:rFonts w:eastAsia="Times New Roman"/>
          <w:sz w:val="24"/>
          <w:szCs w:val="24"/>
        </w:rPr>
        <w:t>tudy.</w:t>
      </w:r>
    </w:p>
    <w:p w:rsidR="00256EA3" w:rsidRDefault="00256EA3">
      <w:pPr>
        <w:spacing w:line="2" w:lineRule="exact"/>
        <w:rPr>
          <w:sz w:val="20"/>
          <w:szCs w:val="20"/>
        </w:rPr>
      </w:pPr>
    </w:p>
    <w:p w:rsidR="00256EA3" w:rsidRDefault="009057A0">
      <w:pPr>
        <w:spacing w:line="480" w:lineRule="auto"/>
        <w:ind w:right="4" w:firstLine="720"/>
        <w:jc w:val="both"/>
        <w:rPr>
          <w:sz w:val="20"/>
          <w:szCs w:val="20"/>
        </w:rPr>
      </w:pPr>
      <w:r>
        <w:rPr>
          <w:rFonts w:eastAsia="Times New Roman"/>
          <w:sz w:val="24"/>
          <w:szCs w:val="24"/>
        </w:rPr>
        <w:t>Participants were included in the study if they (a) were between the ages of 18-40, (b) spoke English as a primary language, (c) had been hospitalised for less than 21 days, and (d) had a diagnosis, based on medical records of schizophrenia, schizop</w:t>
      </w:r>
      <w:r>
        <w:rPr>
          <w:rFonts w:eastAsia="Times New Roman"/>
          <w:sz w:val="24"/>
          <w:szCs w:val="24"/>
        </w:rPr>
        <w:t xml:space="preserve">hreniform disorder, schizoaffective disorder, major depression, dysthymia, mania, brief reactive psychosis, delusional disorder, alcohol or other drug abuse or dependence, or a personality disorder. A total of 1,695 patients met the inclusion criteria, of </w:t>
      </w:r>
      <w:r>
        <w:rPr>
          <w:rFonts w:eastAsia="Times New Roman"/>
          <w:sz w:val="24"/>
          <w:szCs w:val="24"/>
        </w:rPr>
        <w:t>whom 71% agreed to participate.</w:t>
      </w:r>
    </w:p>
    <w:p w:rsidR="00256EA3" w:rsidRDefault="009057A0">
      <w:pPr>
        <w:spacing w:line="490" w:lineRule="auto"/>
        <w:ind w:right="4" w:firstLine="720"/>
        <w:jc w:val="both"/>
        <w:rPr>
          <w:sz w:val="20"/>
          <w:szCs w:val="20"/>
        </w:rPr>
      </w:pPr>
      <w:r>
        <w:rPr>
          <w:rFonts w:eastAsia="Times New Roman"/>
          <w:sz w:val="24"/>
          <w:szCs w:val="24"/>
        </w:rPr>
        <w:t xml:space="preserve">After excluding data from participants who were not administered the Hare Psychopathy Checklist: Screening Version (PCL: SV) we were left with a sample of </w:t>
      </w:r>
      <w:r>
        <w:rPr>
          <w:rFonts w:eastAsia="Times New Roman"/>
          <w:i/>
          <w:iCs/>
          <w:sz w:val="24"/>
          <w:szCs w:val="24"/>
        </w:rPr>
        <w:t>N</w:t>
      </w:r>
      <w:r>
        <w:rPr>
          <w:rFonts w:eastAsia="Times New Roman"/>
          <w:sz w:val="24"/>
          <w:szCs w:val="24"/>
        </w:rPr>
        <w:t xml:space="preserve"> = 871 (502 males and 369 females) for analysis. Participants in this sample were between the ages of 18–40 (</w:t>
      </w:r>
      <w:r>
        <w:rPr>
          <w:rFonts w:eastAsia="Times New Roman"/>
          <w:i/>
          <w:iCs/>
          <w:sz w:val="24"/>
          <w:szCs w:val="24"/>
        </w:rPr>
        <w:t>M</w:t>
      </w:r>
      <w:r>
        <w:rPr>
          <w:rFonts w:eastAsia="Times New Roman"/>
          <w:sz w:val="24"/>
          <w:szCs w:val="24"/>
        </w:rPr>
        <w:t xml:space="preserve"> = 29.86, </w:t>
      </w:r>
      <w:r>
        <w:rPr>
          <w:rFonts w:eastAsia="Times New Roman"/>
          <w:i/>
          <w:iCs/>
          <w:sz w:val="24"/>
          <w:szCs w:val="24"/>
        </w:rPr>
        <w:t>SD</w:t>
      </w:r>
      <w:r>
        <w:rPr>
          <w:rFonts w:eastAsia="Times New Roman"/>
          <w:sz w:val="24"/>
          <w:szCs w:val="24"/>
        </w:rPr>
        <w:t xml:space="preserve"> = 6.20).</w: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30" w:lineRule="exact"/>
        <w:rPr>
          <w:sz w:val="20"/>
          <w:szCs w:val="20"/>
        </w:rPr>
      </w:pPr>
    </w:p>
    <w:p w:rsidR="00256EA3" w:rsidRDefault="009057A0">
      <w:pPr>
        <w:ind w:left="8920"/>
        <w:rPr>
          <w:sz w:val="20"/>
          <w:szCs w:val="20"/>
        </w:rPr>
      </w:pPr>
      <w:r>
        <w:rPr>
          <w:rFonts w:eastAsia="Times New Roman"/>
          <w:sz w:val="20"/>
          <w:szCs w:val="20"/>
        </w:rPr>
        <w:t>9</w:t>
      </w:r>
    </w:p>
    <w:p w:rsidR="00256EA3" w:rsidRDefault="00256EA3">
      <w:pPr>
        <w:sectPr w:rsidR="00256EA3">
          <w:pgSz w:w="11900" w:h="16840"/>
          <w:pgMar w:top="1420" w:right="1440" w:bottom="454" w:left="1440" w:header="0" w:footer="0" w:gutter="0"/>
          <w:cols w:space="720" w:equalWidth="0">
            <w:col w:w="9024"/>
          </w:cols>
        </w:sectPr>
      </w:pPr>
    </w:p>
    <w:p w:rsidR="00256EA3" w:rsidRDefault="00256EA3">
      <w:pPr>
        <w:spacing w:line="200" w:lineRule="exact"/>
        <w:rPr>
          <w:sz w:val="20"/>
          <w:szCs w:val="20"/>
        </w:rPr>
      </w:pPr>
      <w:bookmarkStart w:id="10" w:name="page11"/>
      <w:bookmarkEnd w:id="10"/>
    </w:p>
    <w:p w:rsidR="00256EA3" w:rsidRDefault="00256EA3">
      <w:pPr>
        <w:spacing w:line="329" w:lineRule="exact"/>
        <w:rPr>
          <w:sz w:val="20"/>
          <w:szCs w:val="20"/>
        </w:rPr>
      </w:pPr>
    </w:p>
    <w:p w:rsidR="00256EA3" w:rsidRDefault="009057A0">
      <w:pPr>
        <w:rPr>
          <w:sz w:val="20"/>
          <w:szCs w:val="20"/>
        </w:rPr>
      </w:pPr>
      <w:r>
        <w:rPr>
          <w:rFonts w:eastAsia="Times New Roman"/>
          <w:b/>
          <w:bCs/>
          <w:i/>
          <w:iCs/>
          <w:sz w:val="24"/>
          <w:szCs w:val="24"/>
        </w:rPr>
        <w:t>Procedure</w:t>
      </w:r>
    </w:p>
    <w:p w:rsidR="00256EA3" w:rsidRDefault="00256EA3">
      <w:pPr>
        <w:spacing w:line="280" w:lineRule="exact"/>
        <w:rPr>
          <w:sz w:val="20"/>
          <w:szCs w:val="20"/>
        </w:rPr>
      </w:pPr>
    </w:p>
    <w:p w:rsidR="00256EA3" w:rsidRDefault="009057A0">
      <w:pPr>
        <w:spacing w:line="511" w:lineRule="auto"/>
        <w:ind w:right="4" w:firstLine="720"/>
        <w:jc w:val="both"/>
        <w:rPr>
          <w:sz w:val="20"/>
          <w:szCs w:val="20"/>
        </w:rPr>
      </w:pPr>
      <w:r>
        <w:rPr>
          <w:rFonts w:eastAsia="Times New Roman"/>
          <w:sz w:val="24"/>
          <w:szCs w:val="24"/>
        </w:rPr>
        <w:t>Participants were administered a baseline interview in the hospital and follow-</w:t>
      </w:r>
      <w:r>
        <w:rPr>
          <w:rFonts w:eastAsia="Times New Roman"/>
          <w:sz w:val="24"/>
          <w:szCs w:val="24"/>
        </w:rPr>
        <w:t>up interviews in the community at approximately 10-week intervals.</w:t>
      </w:r>
    </w:p>
    <w:p w:rsidR="00256EA3" w:rsidRDefault="00256EA3">
      <w:pPr>
        <w:spacing w:line="200" w:lineRule="exact"/>
        <w:rPr>
          <w:sz w:val="20"/>
          <w:szCs w:val="20"/>
        </w:rPr>
      </w:pPr>
    </w:p>
    <w:p w:rsidR="00256EA3" w:rsidRDefault="00256EA3">
      <w:pPr>
        <w:spacing w:line="277" w:lineRule="exact"/>
        <w:rPr>
          <w:sz w:val="20"/>
          <w:szCs w:val="20"/>
        </w:rPr>
      </w:pPr>
    </w:p>
    <w:p w:rsidR="00256EA3" w:rsidRDefault="009057A0">
      <w:pPr>
        <w:rPr>
          <w:sz w:val="20"/>
          <w:szCs w:val="20"/>
        </w:rPr>
      </w:pPr>
      <w:r>
        <w:rPr>
          <w:rFonts w:eastAsia="Times New Roman"/>
          <w:b/>
          <w:bCs/>
          <w:i/>
          <w:iCs/>
          <w:sz w:val="24"/>
          <w:szCs w:val="24"/>
        </w:rPr>
        <w:t>Measures</w:t>
      </w:r>
    </w:p>
    <w:p w:rsidR="00256EA3" w:rsidRDefault="00256EA3">
      <w:pPr>
        <w:spacing w:line="394" w:lineRule="exact"/>
        <w:rPr>
          <w:sz w:val="20"/>
          <w:szCs w:val="20"/>
        </w:rPr>
      </w:pPr>
    </w:p>
    <w:p w:rsidR="00256EA3" w:rsidRDefault="009057A0">
      <w:pPr>
        <w:spacing w:line="483" w:lineRule="auto"/>
        <w:ind w:right="4"/>
        <w:jc w:val="both"/>
        <w:rPr>
          <w:sz w:val="20"/>
          <w:szCs w:val="20"/>
        </w:rPr>
      </w:pPr>
      <w:r>
        <w:rPr>
          <w:rFonts w:eastAsia="Times New Roman"/>
          <w:i/>
          <w:iCs/>
          <w:sz w:val="24"/>
          <w:szCs w:val="24"/>
        </w:rPr>
        <w:t xml:space="preserve">Psychopathy </w:t>
      </w:r>
      <w:r>
        <w:rPr>
          <w:rFonts w:eastAsia="Times New Roman"/>
          <w:b/>
          <w:bCs/>
          <w:sz w:val="24"/>
          <w:szCs w:val="24"/>
        </w:rPr>
        <w:t>–</w:t>
      </w:r>
      <w:r>
        <w:rPr>
          <w:rFonts w:eastAsia="Times New Roman"/>
          <w:i/>
          <w:iCs/>
          <w:sz w:val="24"/>
          <w:szCs w:val="24"/>
        </w:rPr>
        <w:t xml:space="preserve"> </w:t>
      </w:r>
      <w:r>
        <w:rPr>
          <w:rFonts w:eastAsia="Times New Roman"/>
          <w:sz w:val="24"/>
          <w:szCs w:val="24"/>
        </w:rPr>
        <w:t>Psychopathy was assessed by trained raters using the 12–item Psychopathy</w:t>
      </w:r>
      <w:r>
        <w:rPr>
          <w:rFonts w:eastAsia="Times New Roman"/>
          <w:i/>
          <w:iCs/>
          <w:sz w:val="24"/>
          <w:szCs w:val="24"/>
        </w:rPr>
        <w:t xml:space="preserve"> </w:t>
      </w:r>
      <w:r>
        <w:rPr>
          <w:rFonts w:eastAsia="Times New Roman"/>
          <w:sz w:val="24"/>
          <w:szCs w:val="24"/>
        </w:rPr>
        <w:t xml:space="preserve">Checklist-Screening Version (PCL:SV; Hart et al., 1995), based on a semi-structured </w:t>
      </w:r>
      <w:r>
        <w:rPr>
          <w:rFonts w:eastAsia="Times New Roman"/>
          <w:sz w:val="24"/>
          <w:szCs w:val="24"/>
        </w:rPr>
        <w:t>interview supplemented by a review of file information. Each item is rated on a 3-point scale (0 = does not apply, 1 = applies to a certain extent, 2 = applies). The PCL:SV was administered to all available participants during the first or second follow-up</w:t>
      </w:r>
      <w:r>
        <w:rPr>
          <w:rFonts w:eastAsia="Times New Roman"/>
          <w:sz w:val="24"/>
          <w:szCs w:val="24"/>
        </w:rPr>
        <w:t xml:space="preserve"> sessions. The PCL: SV has good reliability and validity and is strongly related to the PCL-R, both conceptually and empirically (Cooke, Michie, Hart, &amp; Hare, 1999; Guy &amp; Douglas, 2006). Consistent with recent research (Guy &amp; Douglas, 2006; Hill, et al., 2</w:t>
      </w:r>
      <w:r>
        <w:rPr>
          <w:rFonts w:eastAsia="Times New Roman"/>
          <w:sz w:val="24"/>
          <w:szCs w:val="24"/>
        </w:rPr>
        <w:t>004; Swogger, et al., 2009), PCL: SV is a multidimensional measure with two factors: Factor 1 (interpersonal - affective) and Factor 2 (antisocial lifestyle).</w:t>
      </w:r>
    </w:p>
    <w:p w:rsidR="00256EA3" w:rsidRDefault="00256EA3">
      <w:pPr>
        <w:spacing w:line="200" w:lineRule="exact"/>
        <w:rPr>
          <w:sz w:val="20"/>
          <w:szCs w:val="20"/>
        </w:rPr>
      </w:pPr>
    </w:p>
    <w:p w:rsidR="00256EA3" w:rsidRDefault="00256EA3">
      <w:pPr>
        <w:spacing w:line="319" w:lineRule="exact"/>
        <w:rPr>
          <w:sz w:val="20"/>
          <w:szCs w:val="20"/>
        </w:rPr>
      </w:pPr>
    </w:p>
    <w:p w:rsidR="00256EA3" w:rsidRDefault="009057A0">
      <w:pPr>
        <w:spacing w:line="488" w:lineRule="auto"/>
        <w:ind w:right="4"/>
        <w:jc w:val="both"/>
        <w:rPr>
          <w:sz w:val="20"/>
          <w:szCs w:val="20"/>
        </w:rPr>
      </w:pPr>
      <w:r>
        <w:rPr>
          <w:rFonts w:eastAsia="Times New Roman"/>
          <w:i/>
          <w:iCs/>
          <w:sz w:val="24"/>
          <w:szCs w:val="24"/>
        </w:rPr>
        <w:t xml:space="preserve">Impulsivity </w:t>
      </w:r>
      <w:r>
        <w:rPr>
          <w:rFonts w:eastAsia="Times New Roman"/>
          <w:sz w:val="24"/>
          <w:szCs w:val="24"/>
        </w:rPr>
        <w:t>- The Barratt Impulsiveness Scale (BIS-11; Patton et al., 1995) is a questionnaire</w:t>
      </w:r>
      <w:r>
        <w:rPr>
          <w:rFonts w:eastAsia="Times New Roman"/>
          <w:i/>
          <w:iCs/>
          <w:sz w:val="24"/>
          <w:szCs w:val="24"/>
        </w:rPr>
        <w:t xml:space="preserve"> </w:t>
      </w:r>
      <w:r>
        <w:rPr>
          <w:rFonts w:eastAsia="Times New Roman"/>
          <w:sz w:val="24"/>
          <w:szCs w:val="24"/>
        </w:rPr>
        <w:t xml:space="preserve">designed to assess the personality/behavioral construct of impulsiveness. It is composed of 30 items describing common impulsive or non-impulsive (for reverse scored items) behaviours and preferences. Items are scored on a 4-point scale (Rarely/Never = 1; </w:t>
      </w:r>
      <w:r>
        <w:rPr>
          <w:rFonts w:eastAsia="Times New Roman"/>
          <w:sz w:val="24"/>
          <w:szCs w:val="24"/>
        </w:rPr>
        <w:t>Occasionally = 2; Often = 3; Almost Always/Always = 4)</w:t>
      </w:r>
    </w:p>
    <w:p w:rsidR="00256EA3" w:rsidRDefault="00256EA3">
      <w:pPr>
        <w:spacing w:line="200" w:lineRule="exact"/>
        <w:rPr>
          <w:sz w:val="20"/>
          <w:szCs w:val="20"/>
        </w:rPr>
      </w:pPr>
    </w:p>
    <w:p w:rsidR="00256EA3" w:rsidRDefault="00256EA3">
      <w:pPr>
        <w:spacing w:line="306" w:lineRule="exact"/>
        <w:rPr>
          <w:sz w:val="20"/>
          <w:szCs w:val="20"/>
        </w:rPr>
      </w:pPr>
    </w:p>
    <w:p w:rsidR="00256EA3" w:rsidRDefault="009057A0">
      <w:pPr>
        <w:spacing w:line="514" w:lineRule="auto"/>
        <w:ind w:right="4"/>
        <w:jc w:val="both"/>
        <w:rPr>
          <w:sz w:val="20"/>
          <w:szCs w:val="20"/>
        </w:rPr>
      </w:pPr>
      <w:r>
        <w:rPr>
          <w:rFonts w:eastAsia="Times New Roman"/>
          <w:i/>
          <w:iCs/>
          <w:sz w:val="24"/>
          <w:szCs w:val="24"/>
        </w:rPr>
        <w:t xml:space="preserve">Intelligence </w:t>
      </w:r>
      <w:r>
        <w:rPr>
          <w:rFonts w:eastAsia="Times New Roman"/>
          <w:sz w:val="24"/>
          <w:szCs w:val="24"/>
        </w:rPr>
        <w:t>- The Vocabulary subscale of the WAIS-R was used as a measure of general</w:t>
      </w:r>
      <w:r>
        <w:rPr>
          <w:rFonts w:eastAsia="Times New Roman"/>
          <w:i/>
          <w:iCs/>
          <w:sz w:val="24"/>
          <w:szCs w:val="24"/>
        </w:rPr>
        <w:t xml:space="preserve"> </w:t>
      </w:r>
      <w:r>
        <w:rPr>
          <w:rFonts w:eastAsia="Times New Roman"/>
          <w:sz w:val="24"/>
          <w:szCs w:val="24"/>
        </w:rPr>
        <w:t>intellectual ability since it has the best individual correlation with WAIS-R Full Scale IQ</w:t>
      </w:r>
    </w:p>
    <w:p w:rsidR="00256EA3" w:rsidRDefault="00256EA3">
      <w:pPr>
        <w:spacing w:line="178" w:lineRule="exact"/>
        <w:rPr>
          <w:sz w:val="20"/>
          <w:szCs w:val="20"/>
        </w:rPr>
      </w:pPr>
    </w:p>
    <w:p w:rsidR="00256EA3" w:rsidRDefault="009057A0">
      <w:pPr>
        <w:ind w:left="8800"/>
        <w:rPr>
          <w:sz w:val="20"/>
          <w:szCs w:val="20"/>
        </w:rPr>
      </w:pPr>
      <w:r>
        <w:rPr>
          <w:rFonts w:eastAsia="Times New Roman"/>
        </w:rPr>
        <w:t>10</w:t>
      </w:r>
    </w:p>
    <w:p w:rsidR="00256EA3" w:rsidRDefault="00256EA3">
      <w:pPr>
        <w:sectPr w:rsidR="00256EA3">
          <w:pgSz w:w="11900" w:h="16840"/>
          <w:pgMar w:top="1440" w:right="1440" w:bottom="431" w:left="1440" w:header="0" w:footer="0" w:gutter="0"/>
          <w:cols w:space="720" w:equalWidth="0">
            <w:col w:w="9024"/>
          </w:cols>
        </w:sectPr>
      </w:pPr>
    </w:p>
    <w:p w:rsidR="00256EA3" w:rsidRDefault="009057A0">
      <w:pPr>
        <w:spacing w:line="511" w:lineRule="auto"/>
        <w:ind w:right="4"/>
        <w:jc w:val="both"/>
        <w:rPr>
          <w:sz w:val="20"/>
          <w:szCs w:val="20"/>
        </w:rPr>
      </w:pPr>
      <w:bookmarkStart w:id="11" w:name="page12"/>
      <w:bookmarkEnd w:id="11"/>
      <w:r>
        <w:rPr>
          <w:rFonts w:eastAsia="Times New Roman"/>
          <w:sz w:val="24"/>
          <w:szCs w:val="24"/>
        </w:rPr>
        <w:lastRenderedPageBreak/>
        <w:t>(</w:t>
      </w:r>
      <w:r>
        <w:rPr>
          <w:rFonts w:eastAsia="Times New Roman"/>
          <w:sz w:val="24"/>
          <w:szCs w:val="24"/>
        </w:rPr>
        <w:t>Wechsler, 1981). The task was administered and scored in its standardized format (Wechsler, 1981).</w:t>
      </w:r>
    </w:p>
    <w:p w:rsidR="00256EA3" w:rsidRDefault="00256EA3">
      <w:pPr>
        <w:spacing w:line="200" w:lineRule="exact"/>
        <w:rPr>
          <w:sz w:val="20"/>
          <w:szCs w:val="20"/>
        </w:rPr>
      </w:pPr>
    </w:p>
    <w:p w:rsidR="00256EA3" w:rsidRDefault="00256EA3">
      <w:pPr>
        <w:spacing w:line="277" w:lineRule="exact"/>
        <w:rPr>
          <w:sz w:val="20"/>
          <w:szCs w:val="20"/>
        </w:rPr>
      </w:pPr>
    </w:p>
    <w:p w:rsidR="00256EA3" w:rsidRDefault="009057A0">
      <w:pPr>
        <w:spacing w:line="497" w:lineRule="auto"/>
        <w:ind w:right="4"/>
        <w:jc w:val="both"/>
        <w:rPr>
          <w:sz w:val="20"/>
          <w:szCs w:val="20"/>
        </w:rPr>
      </w:pPr>
      <w:r>
        <w:rPr>
          <w:rFonts w:eastAsia="Times New Roman"/>
          <w:i/>
          <w:iCs/>
          <w:sz w:val="24"/>
          <w:szCs w:val="24"/>
        </w:rPr>
        <w:t>Demographic Questionnaire</w:t>
      </w:r>
      <w:r>
        <w:rPr>
          <w:rFonts w:eastAsia="Times New Roman"/>
          <w:sz w:val="24"/>
          <w:szCs w:val="24"/>
        </w:rPr>
        <w:t>: A demographic questionnaire was administered to gather</w:t>
      </w:r>
      <w:r>
        <w:rPr>
          <w:rFonts w:eastAsia="Times New Roman"/>
          <w:i/>
          <w:iCs/>
          <w:sz w:val="24"/>
          <w:szCs w:val="24"/>
        </w:rPr>
        <w:t xml:space="preserve"> </w:t>
      </w:r>
      <w:r>
        <w:rPr>
          <w:rFonts w:eastAsia="Times New Roman"/>
          <w:sz w:val="24"/>
          <w:szCs w:val="24"/>
        </w:rPr>
        <w:t>information on marital status, age, sex, number of days per week of any d</w:t>
      </w:r>
      <w:r>
        <w:rPr>
          <w:rFonts w:eastAsia="Times New Roman"/>
          <w:sz w:val="24"/>
          <w:szCs w:val="24"/>
        </w:rPr>
        <w:t>rug usage, and number of arrests in past two years.</w: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328" w:lineRule="exact"/>
        <w:rPr>
          <w:sz w:val="20"/>
          <w:szCs w:val="20"/>
        </w:rPr>
      </w:pPr>
    </w:p>
    <w:p w:rsidR="00256EA3" w:rsidRDefault="009057A0">
      <w:pPr>
        <w:rPr>
          <w:sz w:val="20"/>
          <w:szCs w:val="20"/>
        </w:rPr>
      </w:pPr>
      <w:r>
        <w:rPr>
          <w:rFonts w:eastAsia="Times New Roman"/>
          <w:b/>
          <w:bCs/>
          <w:sz w:val="24"/>
          <w:szCs w:val="24"/>
        </w:rPr>
        <w:t>Results</w:t>
      </w:r>
    </w:p>
    <w:p w:rsidR="00256EA3" w:rsidRDefault="00256EA3">
      <w:pPr>
        <w:spacing w:line="396" w:lineRule="exact"/>
        <w:rPr>
          <w:sz w:val="20"/>
          <w:szCs w:val="20"/>
        </w:rPr>
      </w:pPr>
    </w:p>
    <w:p w:rsidR="00256EA3" w:rsidRDefault="009057A0">
      <w:pPr>
        <w:rPr>
          <w:sz w:val="20"/>
          <w:szCs w:val="20"/>
        </w:rPr>
      </w:pPr>
      <w:r>
        <w:rPr>
          <w:rFonts w:eastAsia="Times New Roman"/>
          <w:b/>
          <w:bCs/>
          <w:i/>
          <w:iCs/>
          <w:sz w:val="24"/>
          <w:szCs w:val="24"/>
        </w:rPr>
        <w:t>Descriptive Statistics</w:t>
      </w:r>
    </w:p>
    <w:p w:rsidR="00256EA3" w:rsidRDefault="00256EA3">
      <w:pPr>
        <w:spacing w:line="400" w:lineRule="exact"/>
        <w:rPr>
          <w:sz w:val="20"/>
          <w:szCs w:val="20"/>
        </w:rPr>
      </w:pPr>
    </w:p>
    <w:p w:rsidR="00256EA3" w:rsidRDefault="009057A0">
      <w:pPr>
        <w:spacing w:line="483" w:lineRule="auto"/>
        <w:ind w:right="4" w:firstLine="720"/>
        <w:jc w:val="both"/>
        <w:rPr>
          <w:sz w:val="20"/>
          <w:szCs w:val="20"/>
        </w:rPr>
      </w:pPr>
      <w:r>
        <w:rPr>
          <w:rFonts w:eastAsia="Times New Roman"/>
          <w:sz w:val="24"/>
          <w:szCs w:val="24"/>
        </w:rPr>
        <w:t>Descriptive statistics are presented in Table 1. As can be seen, the average age of participants was around 30 years (</w:t>
      </w:r>
      <w:r>
        <w:rPr>
          <w:rFonts w:eastAsia="Times New Roman"/>
          <w:i/>
          <w:iCs/>
          <w:sz w:val="24"/>
          <w:szCs w:val="24"/>
        </w:rPr>
        <w:t>M</w:t>
      </w:r>
      <w:r>
        <w:rPr>
          <w:rFonts w:eastAsia="Times New Roman"/>
          <w:sz w:val="24"/>
          <w:szCs w:val="24"/>
        </w:rPr>
        <w:t xml:space="preserve"> = 29.86; </w:t>
      </w:r>
      <w:r>
        <w:rPr>
          <w:rFonts w:eastAsia="Times New Roman"/>
          <w:i/>
          <w:iCs/>
          <w:sz w:val="24"/>
          <w:szCs w:val="24"/>
        </w:rPr>
        <w:t>S.D.</w:t>
      </w:r>
      <w:r>
        <w:rPr>
          <w:rFonts w:eastAsia="Times New Roman"/>
          <w:sz w:val="24"/>
          <w:szCs w:val="24"/>
        </w:rPr>
        <w:t xml:space="preserve"> = 6.20). They exhibited low-moderate levels of psychopathy, as indicated by the mean scores of 3.11 (</w:t>
      </w:r>
      <w:r>
        <w:rPr>
          <w:rFonts w:eastAsia="Times New Roman"/>
          <w:i/>
          <w:iCs/>
          <w:sz w:val="24"/>
          <w:szCs w:val="24"/>
        </w:rPr>
        <w:t>S.D.</w:t>
      </w:r>
      <w:r>
        <w:rPr>
          <w:rFonts w:eastAsia="Times New Roman"/>
          <w:sz w:val="24"/>
          <w:szCs w:val="24"/>
        </w:rPr>
        <w:t xml:space="preserve"> = 2.99) and 5.41 (</w:t>
      </w:r>
      <w:r>
        <w:rPr>
          <w:rFonts w:eastAsia="Times New Roman"/>
          <w:i/>
          <w:iCs/>
          <w:sz w:val="24"/>
          <w:szCs w:val="24"/>
        </w:rPr>
        <w:t>S.D.</w:t>
      </w:r>
      <w:r>
        <w:rPr>
          <w:rFonts w:eastAsia="Times New Roman"/>
          <w:sz w:val="24"/>
          <w:szCs w:val="24"/>
        </w:rPr>
        <w:t xml:space="preserve"> = 3.30) on the Psychopathy Checklist Factors 1 and 2 respectively. The standard deviation indicates there was a small amount o</w:t>
      </w:r>
      <w:r>
        <w:rPr>
          <w:rFonts w:eastAsia="Times New Roman"/>
          <w:sz w:val="24"/>
          <w:szCs w:val="24"/>
        </w:rPr>
        <w:t>f variability in the sample for both scores, with the variance in scores for Factor 2 slightly greater (</w:t>
      </w:r>
      <w:r>
        <w:rPr>
          <w:rFonts w:eastAsia="Times New Roman"/>
          <w:i/>
          <w:iCs/>
          <w:sz w:val="24"/>
          <w:szCs w:val="24"/>
        </w:rPr>
        <w:t>SD</w:t>
      </w:r>
      <w:r>
        <w:rPr>
          <w:rFonts w:eastAsia="Times New Roman"/>
          <w:sz w:val="24"/>
          <w:szCs w:val="24"/>
        </w:rPr>
        <w:t>=3.30) than Factor 1 (</w:t>
      </w:r>
      <w:r>
        <w:rPr>
          <w:rFonts w:eastAsia="Times New Roman"/>
          <w:i/>
          <w:iCs/>
          <w:sz w:val="24"/>
          <w:szCs w:val="24"/>
        </w:rPr>
        <w:t>S.D.</w:t>
      </w:r>
      <w:r>
        <w:rPr>
          <w:rFonts w:eastAsia="Times New Roman"/>
          <w:sz w:val="24"/>
          <w:szCs w:val="24"/>
        </w:rPr>
        <w:t xml:space="preserve"> = 2.99). Intelligence scores varied widely and ranged between 0 and 70 (</w:t>
      </w:r>
      <w:r>
        <w:rPr>
          <w:rFonts w:eastAsia="Times New Roman"/>
          <w:i/>
          <w:iCs/>
          <w:sz w:val="24"/>
          <w:szCs w:val="24"/>
        </w:rPr>
        <w:t>M</w:t>
      </w:r>
      <w:r>
        <w:rPr>
          <w:rFonts w:eastAsia="Times New Roman"/>
          <w:sz w:val="24"/>
          <w:szCs w:val="24"/>
        </w:rPr>
        <w:t xml:space="preserve"> = 34.63; </w:t>
      </w:r>
      <w:r>
        <w:rPr>
          <w:rFonts w:eastAsia="Times New Roman"/>
          <w:i/>
          <w:iCs/>
          <w:sz w:val="24"/>
          <w:szCs w:val="24"/>
        </w:rPr>
        <w:t>S.D.</w:t>
      </w:r>
      <w:r>
        <w:rPr>
          <w:rFonts w:eastAsia="Times New Roman"/>
          <w:sz w:val="24"/>
          <w:szCs w:val="24"/>
        </w:rPr>
        <w:t xml:space="preserve"> = 16.61). Participants also exhibit</w:t>
      </w:r>
      <w:r>
        <w:rPr>
          <w:rFonts w:eastAsia="Times New Roman"/>
          <w:sz w:val="24"/>
          <w:szCs w:val="24"/>
        </w:rPr>
        <w:t>ed a high level of variability in impulsivity scores, ranging between 8 and 107 (</w:t>
      </w:r>
      <w:r>
        <w:rPr>
          <w:rFonts w:eastAsia="Times New Roman"/>
          <w:i/>
          <w:iCs/>
          <w:sz w:val="24"/>
          <w:szCs w:val="24"/>
        </w:rPr>
        <w:t>M</w:t>
      </w:r>
      <w:r>
        <w:rPr>
          <w:rFonts w:eastAsia="Times New Roman"/>
          <w:sz w:val="24"/>
          <w:szCs w:val="24"/>
        </w:rPr>
        <w:t xml:space="preserve"> = 57.38; </w:t>
      </w:r>
      <w:r>
        <w:rPr>
          <w:rFonts w:eastAsia="Times New Roman"/>
          <w:i/>
          <w:iCs/>
          <w:sz w:val="24"/>
          <w:szCs w:val="24"/>
        </w:rPr>
        <w:t>S.D.</w:t>
      </w:r>
      <w:r>
        <w:rPr>
          <w:rFonts w:eastAsia="Times New Roman"/>
          <w:sz w:val="24"/>
          <w:szCs w:val="24"/>
        </w:rPr>
        <w:t xml:space="preserve"> = 16.91). The maximum number of arrests within the past two years was five; however the average (</w:t>
      </w:r>
      <w:r>
        <w:rPr>
          <w:rFonts w:eastAsia="Times New Roman"/>
          <w:i/>
          <w:iCs/>
          <w:sz w:val="24"/>
          <w:szCs w:val="24"/>
        </w:rPr>
        <w:t>M</w:t>
      </w:r>
      <w:r>
        <w:rPr>
          <w:rFonts w:eastAsia="Times New Roman"/>
          <w:sz w:val="24"/>
          <w:szCs w:val="24"/>
        </w:rPr>
        <w:t xml:space="preserve"> = .69, </w:t>
      </w:r>
      <w:r>
        <w:rPr>
          <w:rFonts w:eastAsia="Times New Roman"/>
          <w:i/>
          <w:iCs/>
          <w:sz w:val="24"/>
          <w:szCs w:val="24"/>
        </w:rPr>
        <w:t>S.D.</w:t>
      </w:r>
      <w:r>
        <w:rPr>
          <w:rFonts w:eastAsia="Times New Roman"/>
          <w:sz w:val="24"/>
          <w:szCs w:val="24"/>
        </w:rPr>
        <w:t xml:space="preserve"> = 1.21) indicates low levels of recidivism. Simi</w:t>
      </w:r>
      <w:r>
        <w:rPr>
          <w:rFonts w:eastAsia="Times New Roman"/>
          <w:sz w:val="24"/>
          <w:szCs w:val="24"/>
        </w:rPr>
        <w:t>larly, drug use within the sample was low (</w:t>
      </w:r>
      <w:r>
        <w:rPr>
          <w:rFonts w:eastAsia="Times New Roman"/>
          <w:i/>
          <w:iCs/>
          <w:sz w:val="24"/>
          <w:szCs w:val="24"/>
        </w:rPr>
        <w:t>M</w:t>
      </w:r>
      <w:r>
        <w:rPr>
          <w:rFonts w:eastAsia="Times New Roman"/>
          <w:sz w:val="24"/>
          <w:szCs w:val="24"/>
        </w:rPr>
        <w:t xml:space="preserve"> = .75, </w:t>
      </w:r>
      <w:r>
        <w:rPr>
          <w:rFonts w:eastAsia="Times New Roman"/>
          <w:i/>
          <w:iCs/>
          <w:sz w:val="24"/>
          <w:szCs w:val="24"/>
        </w:rPr>
        <w:t>S.D.</w:t>
      </w:r>
      <w:r>
        <w:rPr>
          <w:rFonts w:eastAsia="Times New Roman"/>
          <w:sz w:val="24"/>
          <w:szCs w:val="24"/>
        </w:rPr>
        <w:t xml:space="preserve"> = 1.82).</w:t>
      </w:r>
    </w:p>
    <w:p w:rsidR="00256EA3" w:rsidRDefault="009057A0">
      <w:pPr>
        <w:spacing w:line="20" w:lineRule="exact"/>
        <w:rPr>
          <w:sz w:val="20"/>
          <w:szCs w:val="20"/>
        </w:rPr>
      </w:pPr>
      <w:r>
        <w:rPr>
          <w:noProof/>
          <w:sz w:val="20"/>
          <w:szCs w:val="20"/>
        </w:rPr>
        <mc:AlternateContent>
          <mc:Choice Requires="wps">
            <w:drawing>
              <wp:anchor distT="0" distB="0" distL="114300" distR="114300" simplePos="0" relativeHeight="251653632" behindDoc="1" locked="0" layoutInCell="0" allowOverlap="1">
                <wp:simplePos x="0" y="0"/>
                <wp:positionH relativeFrom="column">
                  <wp:posOffset>1981200</wp:posOffset>
                </wp:positionH>
                <wp:positionV relativeFrom="paragraph">
                  <wp:posOffset>212090</wp:posOffset>
                </wp:positionV>
                <wp:extent cx="179070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604B79C" id="Shape 2"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56pt,16.7pt" to="29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" o:allowincell="f" filled="t">
                <v:stroke joinstyle="miter"/>
                <o:lock v:ext="edit" shapetype="f"/>
              </v:line>
            </w:pict>
          </mc:Fallback>
        </mc:AlternateConten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399" w:lineRule="exact"/>
        <w:rPr>
          <w:sz w:val="20"/>
          <w:szCs w:val="20"/>
        </w:rPr>
      </w:pPr>
    </w:p>
    <w:p w:rsidR="00256EA3" w:rsidRDefault="009057A0">
      <w:pPr>
        <w:ind w:left="8800"/>
        <w:rPr>
          <w:sz w:val="20"/>
          <w:szCs w:val="20"/>
        </w:rPr>
      </w:pPr>
      <w:r>
        <w:rPr>
          <w:rFonts w:eastAsia="Times New Roman"/>
        </w:rPr>
        <w:t>11</w:t>
      </w:r>
    </w:p>
    <w:p w:rsidR="00256EA3" w:rsidRDefault="00256EA3">
      <w:pPr>
        <w:sectPr w:rsidR="00256EA3">
          <w:pgSz w:w="11900" w:h="16840"/>
          <w:pgMar w:top="1420" w:right="1440" w:bottom="431" w:left="1440" w:header="0" w:footer="0" w:gutter="0"/>
          <w:cols w:space="720" w:equalWidth="0">
            <w:col w:w="9024"/>
          </w:cols>
        </w:sectPr>
      </w:pPr>
    </w:p>
    <w:p w:rsidR="00256EA3" w:rsidRDefault="009057A0">
      <w:pPr>
        <w:ind w:right="4"/>
        <w:jc w:val="center"/>
        <w:rPr>
          <w:sz w:val="20"/>
          <w:szCs w:val="20"/>
        </w:rPr>
      </w:pPr>
      <w:bookmarkStart w:id="12" w:name="page13"/>
      <w:bookmarkEnd w:id="12"/>
      <w:r>
        <w:rPr>
          <w:rFonts w:eastAsia="Times New Roman"/>
          <w:b/>
          <w:bCs/>
          <w:sz w:val="24"/>
          <w:szCs w:val="24"/>
        </w:rPr>
        <w:lastRenderedPageBreak/>
        <w:t>INSERT TABLE 1 HERE</w:t>
      </w:r>
    </w:p>
    <w:p w:rsidR="00256EA3" w:rsidRDefault="009057A0">
      <w:pPr>
        <w:spacing w:line="20" w:lineRule="exact"/>
        <w:rPr>
          <w:sz w:val="20"/>
          <w:szCs w:val="20"/>
        </w:rPr>
      </w:pPr>
      <w:r>
        <w:rPr>
          <w:noProof/>
          <w:sz w:val="20"/>
          <w:szCs w:val="20"/>
        </w:rPr>
        <mc:AlternateContent>
          <mc:Choice Requires="wps">
            <w:drawing>
              <wp:anchor distT="0" distB="0" distL="114300" distR="114300" simplePos="0" relativeHeight="251654656" behindDoc="1" locked="0" layoutInCell="0" allowOverlap="1">
                <wp:simplePos x="0" y="0"/>
                <wp:positionH relativeFrom="column">
                  <wp:posOffset>1981200</wp:posOffset>
                </wp:positionH>
                <wp:positionV relativeFrom="paragraph">
                  <wp:posOffset>123825</wp:posOffset>
                </wp:positionV>
                <wp:extent cx="179070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EE3D3AE" id="Shape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56pt,9.75pt" to="29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" o:allowincell="f" filled="t">
                <v:stroke joinstyle="miter"/>
                <o:lock v:ext="edit" shapetype="f"/>
              </v:line>
            </w:pict>
          </mc:Fallback>
        </mc:AlternateConten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92" w:lineRule="exact"/>
        <w:rPr>
          <w:sz w:val="20"/>
          <w:szCs w:val="20"/>
        </w:rPr>
      </w:pPr>
    </w:p>
    <w:p w:rsidR="00256EA3" w:rsidRDefault="009057A0">
      <w:pPr>
        <w:rPr>
          <w:sz w:val="20"/>
          <w:szCs w:val="20"/>
        </w:rPr>
      </w:pPr>
      <w:r>
        <w:rPr>
          <w:rFonts w:eastAsia="Times New Roman"/>
          <w:b/>
          <w:bCs/>
          <w:i/>
          <w:iCs/>
          <w:sz w:val="24"/>
          <w:szCs w:val="24"/>
        </w:rPr>
        <w:t>Inter-Variable Correlations</w:t>
      </w:r>
    </w:p>
    <w:p w:rsidR="00256EA3" w:rsidRDefault="00256EA3">
      <w:pPr>
        <w:spacing w:line="400" w:lineRule="exact"/>
        <w:rPr>
          <w:sz w:val="20"/>
          <w:szCs w:val="20"/>
        </w:rPr>
      </w:pPr>
    </w:p>
    <w:p w:rsidR="00256EA3" w:rsidRDefault="009057A0">
      <w:pPr>
        <w:spacing w:line="478" w:lineRule="auto"/>
        <w:ind w:right="4" w:firstLine="720"/>
        <w:jc w:val="both"/>
        <w:rPr>
          <w:sz w:val="20"/>
          <w:szCs w:val="20"/>
        </w:rPr>
      </w:pPr>
      <w:r>
        <w:rPr>
          <w:rFonts w:eastAsia="Times New Roman"/>
          <w:sz w:val="24"/>
          <w:szCs w:val="24"/>
        </w:rPr>
        <w:t xml:space="preserve">The intercorrelations among all variables were investigated using Pearson’s product-moment correlation </w:t>
      </w:r>
      <w:r>
        <w:rPr>
          <w:rFonts w:eastAsia="Times New Roman"/>
          <w:sz w:val="24"/>
          <w:szCs w:val="24"/>
        </w:rPr>
        <w:t>coefficient (Table 2). Preliminary analyses were performed to ensure no violation of the assumptions of normality, linearity and homoscedasticity.</w:t>
      </w:r>
    </w:p>
    <w:p w:rsidR="00256EA3" w:rsidRDefault="00256EA3">
      <w:pPr>
        <w:spacing w:line="3" w:lineRule="exact"/>
        <w:rPr>
          <w:sz w:val="20"/>
          <w:szCs w:val="20"/>
        </w:rPr>
      </w:pPr>
    </w:p>
    <w:p w:rsidR="00256EA3" w:rsidRDefault="009057A0">
      <w:pPr>
        <w:spacing w:line="500" w:lineRule="auto"/>
        <w:ind w:right="4" w:firstLine="720"/>
        <w:jc w:val="both"/>
        <w:rPr>
          <w:sz w:val="20"/>
          <w:szCs w:val="20"/>
        </w:rPr>
      </w:pPr>
      <w:r>
        <w:rPr>
          <w:rFonts w:eastAsia="Times New Roman"/>
          <w:sz w:val="23"/>
          <w:szCs w:val="23"/>
        </w:rPr>
        <w:t xml:space="preserve">Results revealed that age had a weak, negative correlation with impulsivity, </w:t>
      </w:r>
      <w:r>
        <w:rPr>
          <w:rFonts w:eastAsia="Times New Roman"/>
          <w:i/>
          <w:iCs/>
          <w:sz w:val="23"/>
          <w:szCs w:val="23"/>
        </w:rPr>
        <w:t>r</w:t>
      </w:r>
      <w:r>
        <w:rPr>
          <w:rFonts w:eastAsia="Times New Roman"/>
          <w:sz w:val="23"/>
          <w:szCs w:val="23"/>
        </w:rPr>
        <w:t xml:space="preserve"> = -.10, </w:t>
      </w:r>
      <w:r>
        <w:rPr>
          <w:rFonts w:eastAsia="Times New Roman"/>
          <w:i/>
          <w:iCs/>
          <w:sz w:val="23"/>
          <w:szCs w:val="23"/>
        </w:rPr>
        <w:t>p</w:t>
      </w:r>
      <w:r>
        <w:rPr>
          <w:rFonts w:eastAsia="Times New Roman"/>
          <w:sz w:val="23"/>
          <w:szCs w:val="23"/>
        </w:rPr>
        <w:t xml:space="preserve">&lt;.01 and very weak, </w:t>
      </w:r>
      <w:r>
        <w:rPr>
          <w:rFonts w:eastAsia="Times New Roman"/>
          <w:sz w:val="23"/>
          <w:szCs w:val="23"/>
        </w:rPr>
        <w:t>negative correlations (</w:t>
      </w:r>
      <w:r>
        <w:rPr>
          <w:rFonts w:eastAsia="Times New Roman"/>
          <w:i/>
          <w:iCs/>
          <w:sz w:val="23"/>
          <w:szCs w:val="23"/>
        </w:rPr>
        <w:t>p</w:t>
      </w:r>
      <w:r>
        <w:rPr>
          <w:rFonts w:eastAsia="Times New Roman"/>
          <w:sz w:val="23"/>
          <w:szCs w:val="23"/>
        </w:rPr>
        <w:t>&lt;.05) with drug use,</w:t>
      </w:r>
      <w:r>
        <w:rPr>
          <w:rFonts w:eastAsia="Times New Roman"/>
          <w:i/>
          <w:iCs/>
          <w:sz w:val="23"/>
          <w:szCs w:val="23"/>
        </w:rPr>
        <w:t xml:space="preserve"> r </w:t>
      </w:r>
      <w:r>
        <w:rPr>
          <w:rFonts w:eastAsia="Times New Roman"/>
          <w:sz w:val="23"/>
          <w:szCs w:val="23"/>
        </w:rPr>
        <w:t>= -.07, and prior arrests,</w:t>
      </w:r>
      <w:r>
        <w:rPr>
          <w:rFonts w:eastAsia="Times New Roman"/>
          <w:i/>
          <w:iCs/>
          <w:sz w:val="23"/>
          <w:szCs w:val="23"/>
        </w:rPr>
        <w:t xml:space="preserve"> r</w:t>
      </w:r>
    </w:p>
    <w:p w:rsidR="00256EA3" w:rsidRDefault="00256EA3">
      <w:pPr>
        <w:spacing w:line="2" w:lineRule="exact"/>
        <w:rPr>
          <w:sz w:val="20"/>
          <w:szCs w:val="20"/>
        </w:rPr>
      </w:pPr>
    </w:p>
    <w:p w:rsidR="00256EA3" w:rsidRDefault="009057A0">
      <w:pPr>
        <w:numPr>
          <w:ilvl w:val="0"/>
          <w:numId w:val="2"/>
        </w:numPr>
        <w:tabs>
          <w:tab w:val="left" w:pos="217"/>
        </w:tabs>
        <w:spacing w:line="481" w:lineRule="auto"/>
        <w:ind w:right="4"/>
        <w:rPr>
          <w:rFonts w:eastAsia="Times New Roman"/>
          <w:sz w:val="24"/>
          <w:szCs w:val="24"/>
        </w:rPr>
      </w:pPr>
      <w:r>
        <w:rPr>
          <w:rFonts w:eastAsia="Times New Roman"/>
          <w:sz w:val="24"/>
          <w:szCs w:val="24"/>
        </w:rPr>
        <w:t xml:space="preserve">-.08. In addition, age had a weak, positive correlation with intelligence, </w:t>
      </w:r>
      <w:r>
        <w:rPr>
          <w:rFonts w:eastAsia="Times New Roman"/>
          <w:i/>
          <w:iCs/>
          <w:sz w:val="24"/>
          <w:szCs w:val="24"/>
        </w:rPr>
        <w:t>r</w:t>
      </w:r>
      <w:r>
        <w:rPr>
          <w:rFonts w:eastAsia="Times New Roman"/>
          <w:sz w:val="24"/>
          <w:szCs w:val="24"/>
        </w:rPr>
        <w:t>=.09, p&lt;.01. No significant correlations were found with either Factor on the Psychopathy Checklist.</w:t>
      </w:r>
    </w:p>
    <w:p w:rsidR="00256EA3" w:rsidRDefault="00256EA3">
      <w:pPr>
        <w:spacing w:line="1" w:lineRule="exact"/>
        <w:rPr>
          <w:rFonts w:eastAsia="Times New Roman"/>
          <w:sz w:val="24"/>
          <w:szCs w:val="24"/>
        </w:rPr>
      </w:pPr>
    </w:p>
    <w:p w:rsidR="00256EA3" w:rsidRDefault="009057A0">
      <w:pPr>
        <w:spacing w:line="479" w:lineRule="auto"/>
        <w:ind w:right="4" w:firstLine="720"/>
        <w:jc w:val="both"/>
        <w:rPr>
          <w:rFonts w:eastAsia="Times New Roman"/>
          <w:sz w:val="24"/>
          <w:szCs w:val="24"/>
        </w:rPr>
      </w:pPr>
      <w:r>
        <w:rPr>
          <w:rFonts w:eastAsia="Times New Roman"/>
          <w:sz w:val="24"/>
          <w:szCs w:val="24"/>
        </w:rPr>
        <w:t>N</w:t>
      </w:r>
      <w:r>
        <w:rPr>
          <w:rFonts w:eastAsia="Times New Roman"/>
          <w:sz w:val="24"/>
          <w:szCs w:val="24"/>
        </w:rPr>
        <w:t xml:space="preserve">umber of arrests in the past two years had a moderate, positive correlation with PCL Factor 2, </w:t>
      </w:r>
      <w:r>
        <w:rPr>
          <w:rFonts w:eastAsia="Times New Roman"/>
          <w:i/>
          <w:iCs/>
          <w:sz w:val="24"/>
          <w:szCs w:val="24"/>
        </w:rPr>
        <w:t>r</w:t>
      </w:r>
      <w:r>
        <w:rPr>
          <w:rFonts w:eastAsia="Times New Roman"/>
          <w:sz w:val="24"/>
          <w:szCs w:val="24"/>
        </w:rPr>
        <w:t xml:space="preserve"> =.44, </w:t>
      </w:r>
      <w:r>
        <w:rPr>
          <w:rFonts w:eastAsia="Times New Roman"/>
          <w:i/>
          <w:iCs/>
          <w:sz w:val="24"/>
          <w:szCs w:val="24"/>
        </w:rPr>
        <w:t>p</w:t>
      </w:r>
      <w:r>
        <w:rPr>
          <w:rFonts w:eastAsia="Times New Roman"/>
          <w:sz w:val="24"/>
          <w:szCs w:val="24"/>
        </w:rPr>
        <w:t>&lt;.01 and weak, positive correlations (</w:t>
      </w:r>
      <w:r>
        <w:rPr>
          <w:rFonts w:eastAsia="Times New Roman"/>
          <w:i/>
          <w:iCs/>
          <w:sz w:val="24"/>
          <w:szCs w:val="24"/>
        </w:rPr>
        <w:t>p</w:t>
      </w:r>
      <w:r>
        <w:rPr>
          <w:rFonts w:eastAsia="Times New Roman"/>
          <w:sz w:val="24"/>
          <w:szCs w:val="24"/>
        </w:rPr>
        <w:t xml:space="preserve">&lt;.01) with Factor 1, </w:t>
      </w:r>
      <w:r>
        <w:rPr>
          <w:rFonts w:eastAsia="Times New Roman"/>
          <w:i/>
          <w:iCs/>
          <w:sz w:val="24"/>
          <w:szCs w:val="24"/>
        </w:rPr>
        <w:t>r</w:t>
      </w:r>
      <w:r>
        <w:rPr>
          <w:rFonts w:eastAsia="Times New Roman"/>
          <w:sz w:val="24"/>
          <w:szCs w:val="24"/>
        </w:rPr>
        <w:t xml:space="preserve"> =.28, drug use, </w:t>
      </w:r>
      <w:r>
        <w:rPr>
          <w:rFonts w:eastAsia="Times New Roman"/>
          <w:i/>
          <w:iCs/>
          <w:sz w:val="24"/>
          <w:szCs w:val="24"/>
        </w:rPr>
        <w:t>r</w:t>
      </w:r>
      <w:r>
        <w:rPr>
          <w:rFonts w:eastAsia="Times New Roman"/>
          <w:sz w:val="24"/>
          <w:szCs w:val="24"/>
        </w:rPr>
        <w:t xml:space="preserve"> =.25, and impulsivity, </w:t>
      </w:r>
      <w:r>
        <w:rPr>
          <w:rFonts w:eastAsia="Times New Roman"/>
          <w:i/>
          <w:iCs/>
          <w:sz w:val="24"/>
          <w:szCs w:val="24"/>
        </w:rPr>
        <w:t>r</w:t>
      </w:r>
      <w:r>
        <w:rPr>
          <w:rFonts w:eastAsia="Times New Roman"/>
          <w:sz w:val="24"/>
          <w:szCs w:val="24"/>
        </w:rPr>
        <w:t xml:space="preserve"> =.19 indicating that a higher number of prior a</w:t>
      </w:r>
      <w:r>
        <w:rPr>
          <w:rFonts w:eastAsia="Times New Roman"/>
          <w:sz w:val="24"/>
          <w:szCs w:val="24"/>
        </w:rPr>
        <w:t xml:space="preserve">rrests is associated with increased psychopathy levels, drug use, and impulsivity. A weak, negative correlation was found between prior arrests and intelligence, </w:t>
      </w:r>
      <w:r>
        <w:rPr>
          <w:rFonts w:eastAsia="Times New Roman"/>
          <w:i/>
          <w:iCs/>
          <w:sz w:val="24"/>
          <w:szCs w:val="24"/>
        </w:rPr>
        <w:t>r</w:t>
      </w:r>
      <w:r>
        <w:rPr>
          <w:rFonts w:eastAsia="Times New Roman"/>
          <w:sz w:val="24"/>
          <w:szCs w:val="24"/>
        </w:rPr>
        <w:t xml:space="preserve"> = -.15, </w:t>
      </w:r>
      <w:r>
        <w:rPr>
          <w:rFonts w:eastAsia="Times New Roman"/>
          <w:i/>
          <w:iCs/>
          <w:sz w:val="24"/>
          <w:szCs w:val="24"/>
        </w:rPr>
        <w:t>p</w:t>
      </w:r>
      <w:r>
        <w:rPr>
          <w:rFonts w:eastAsia="Times New Roman"/>
          <w:sz w:val="24"/>
          <w:szCs w:val="24"/>
        </w:rPr>
        <w:t>&lt;.01, with increased number of prior arrests associated with lower intelligence.</w:t>
      </w:r>
    </w:p>
    <w:p w:rsidR="00256EA3" w:rsidRDefault="00256EA3">
      <w:pPr>
        <w:spacing w:line="3" w:lineRule="exact"/>
        <w:rPr>
          <w:rFonts w:eastAsia="Times New Roman"/>
          <w:sz w:val="24"/>
          <w:szCs w:val="24"/>
        </w:rPr>
      </w:pPr>
    </w:p>
    <w:p w:rsidR="00256EA3" w:rsidRDefault="009057A0">
      <w:pPr>
        <w:ind w:left="720"/>
        <w:rPr>
          <w:rFonts w:eastAsia="Times New Roman"/>
          <w:sz w:val="24"/>
          <w:szCs w:val="24"/>
        </w:rPr>
      </w:pPr>
      <w:r>
        <w:rPr>
          <w:rFonts w:eastAsia="Times New Roman"/>
          <w:sz w:val="24"/>
          <w:szCs w:val="24"/>
        </w:rPr>
        <w:t>P</w:t>
      </w:r>
      <w:r>
        <w:rPr>
          <w:rFonts w:eastAsia="Times New Roman"/>
          <w:sz w:val="24"/>
          <w:szCs w:val="24"/>
        </w:rPr>
        <w:t xml:space="preserve">sychopathy was positively correlated with drug use, </w:t>
      </w:r>
      <w:r>
        <w:rPr>
          <w:rFonts w:eastAsia="Times New Roman"/>
          <w:i/>
          <w:iCs/>
          <w:sz w:val="24"/>
          <w:szCs w:val="24"/>
        </w:rPr>
        <w:t>r</w:t>
      </w:r>
      <w:r>
        <w:rPr>
          <w:rFonts w:eastAsia="Times New Roman"/>
          <w:sz w:val="24"/>
          <w:szCs w:val="24"/>
        </w:rPr>
        <w:t xml:space="preserve"> = .28, p&lt;.01 (Factor 1) and </w:t>
      </w:r>
      <w:r>
        <w:rPr>
          <w:rFonts w:eastAsia="Times New Roman"/>
          <w:i/>
          <w:iCs/>
          <w:sz w:val="24"/>
          <w:szCs w:val="24"/>
        </w:rPr>
        <w:t>r</w:t>
      </w:r>
    </w:p>
    <w:p w:rsidR="00256EA3" w:rsidRDefault="00256EA3">
      <w:pPr>
        <w:spacing w:line="276" w:lineRule="exact"/>
        <w:rPr>
          <w:rFonts w:eastAsia="Times New Roman"/>
          <w:sz w:val="24"/>
          <w:szCs w:val="24"/>
        </w:rPr>
      </w:pPr>
    </w:p>
    <w:p w:rsidR="00256EA3" w:rsidRDefault="009057A0">
      <w:pPr>
        <w:numPr>
          <w:ilvl w:val="0"/>
          <w:numId w:val="2"/>
        </w:numPr>
        <w:tabs>
          <w:tab w:val="left" w:pos="197"/>
        </w:tabs>
        <w:spacing w:line="479" w:lineRule="auto"/>
        <w:ind w:right="4"/>
        <w:jc w:val="both"/>
        <w:rPr>
          <w:rFonts w:eastAsia="Times New Roman"/>
          <w:sz w:val="24"/>
          <w:szCs w:val="24"/>
        </w:rPr>
      </w:pPr>
      <w:r>
        <w:rPr>
          <w:rFonts w:eastAsia="Times New Roman"/>
          <w:sz w:val="24"/>
          <w:szCs w:val="24"/>
        </w:rPr>
        <w:t xml:space="preserve">.17, </w:t>
      </w:r>
      <w:r>
        <w:rPr>
          <w:rFonts w:eastAsia="Times New Roman"/>
          <w:i/>
          <w:iCs/>
          <w:sz w:val="24"/>
          <w:szCs w:val="24"/>
        </w:rPr>
        <w:t>p</w:t>
      </w:r>
      <w:r>
        <w:rPr>
          <w:rFonts w:eastAsia="Times New Roman"/>
          <w:sz w:val="24"/>
          <w:szCs w:val="24"/>
        </w:rPr>
        <w:t xml:space="preserve">&lt;.01 (Factor 2) and impulsivity </w:t>
      </w:r>
      <w:r>
        <w:rPr>
          <w:rFonts w:eastAsia="Times New Roman"/>
          <w:i/>
          <w:iCs/>
          <w:sz w:val="24"/>
          <w:szCs w:val="24"/>
        </w:rPr>
        <w:t>r</w:t>
      </w:r>
      <w:r>
        <w:rPr>
          <w:rFonts w:eastAsia="Times New Roman"/>
          <w:sz w:val="24"/>
          <w:szCs w:val="24"/>
        </w:rPr>
        <w:t xml:space="preserve"> =.15, p&lt;.01 (Factor 1) and </w:t>
      </w:r>
      <w:r>
        <w:rPr>
          <w:rFonts w:eastAsia="Times New Roman"/>
          <w:i/>
          <w:iCs/>
          <w:sz w:val="24"/>
          <w:szCs w:val="24"/>
        </w:rPr>
        <w:t>r</w:t>
      </w:r>
      <w:r>
        <w:rPr>
          <w:rFonts w:eastAsia="Times New Roman"/>
          <w:sz w:val="24"/>
          <w:szCs w:val="24"/>
        </w:rPr>
        <w:t xml:space="preserve"> = .36, p&lt;</w:t>
      </w:r>
      <w:r>
        <w:rPr>
          <w:rFonts w:eastAsia="Times New Roman"/>
          <w:sz w:val="24"/>
          <w:szCs w:val="24"/>
        </w:rPr>
        <w:t xml:space="preserve">.01 (Factor 2) while a weak negative correlation was found between psychopathy and intelligence </w:t>
      </w:r>
      <w:r>
        <w:rPr>
          <w:rFonts w:eastAsia="Times New Roman"/>
          <w:i/>
          <w:iCs/>
          <w:sz w:val="24"/>
          <w:szCs w:val="24"/>
        </w:rPr>
        <w:t>r</w:t>
      </w:r>
      <w:r>
        <w:rPr>
          <w:rFonts w:eastAsia="Times New Roman"/>
          <w:sz w:val="24"/>
          <w:szCs w:val="24"/>
        </w:rPr>
        <w:t xml:space="preserve"> = -.18, p&lt;.01 (Factor 1) and </w:t>
      </w:r>
      <w:r>
        <w:rPr>
          <w:rFonts w:eastAsia="Times New Roman"/>
          <w:i/>
          <w:iCs/>
          <w:sz w:val="24"/>
          <w:szCs w:val="24"/>
        </w:rPr>
        <w:t>r</w:t>
      </w:r>
      <w:r>
        <w:rPr>
          <w:rFonts w:eastAsia="Times New Roman"/>
          <w:sz w:val="24"/>
          <w:szCs w:val="24"/>
        </w:rPr>
        <w:t xml:space="preserve"> = -.27, p&lt;.01 (Factor 2) indicating that increased psychopathy levels are associated with increased drug use and impulsivity, a</w:t>
      </w:r>
      <w:r>
        <w:rPr>
          <w:rFonts w:eastAsia="Times New Roman"/>
          <w:sz w:val="24"/>
          <w:szCs w:val="24"/>
        </w:rPr>
        <w:t>nd lower intelligence scores.</w:t>
      </w:r>
    </w:p>
    <w:p w:rsidR="00256EA3" w:rsidRDefault="00256EA3">
      <w:pPr>
        <w:spacing w:line="3" w:lineRule="exact"/>
        <w:rPr>
          <w:rFonts w:eastAsia="Times New Roman"/>
          <w:sz w:val="24"/>
          <w:szCs w:val="24"/>
        </w:rPr>
      </w:pPr>
    </w:p>
    <w:p w:rsidR="00256EA3" w:rsidRDefault="009057A0">
      <w:pPr>
        <w:spacing w:line="497" w:lineRule="auto"/>
        <w:ind w:right="4" w:firstLine="720"/>
        <w:jc w:val="both"/>
        <w:rPr>
          <w:rFonts w:eastAsia="Times New Roman"/>
          <w:sz w:val="24"/>
          <w:szCs w:val="24"/>
        </w:rPr>
      </w:pPr>
      <w:r>
        <w:rPr>
          <w:rFonts w:eastAsia="Times New Roman"/>
          <w:sz w:val="24"/>
          <w:szCs w:val="24"/>
        </w:rPr>
        <w:t xml:space="preserve">Impulsivity was found to have a weak positive correlation with drug use, </w:t>
      </w:r>
      <w:r>
        <w:rPr>
          <w:rFonts w:eastAsia="Times New Roman"/>
          <w:i/>
          <w:iCs/>
          <w:sz w:val="24"/>
          <w:szCs w:val="24"/>
        </w:rPr>
        <w:t>r</w:t>
      </w:r>
      <w:r>
        <w:rPr>
          <w:rFonts w:eastAsia="Times New Roman"/>
          <w:sz w:val="24"/>
          <w:szCs w:val="24"/>
        </w:rPr>
        <w:t xml:space="preserve">=.18, p&lt;.01 and a weak, negative correlation with intelligence, </w:t>
      </w:r>
      <w:r>
        <w:rPr>
          <w:rFonts w:eastAsia="Times New Roman"/>
          <w:i/>
          <w:iCs/>
          <w:sz w:val="24"/>
          <w:szCs w:val="24"/>
        </w:rPr>
        <w:t>r</w:t>
      </w:r>
      <w:r>
        <w:rPr>
          <w:rFonts w:eastAsia="Times New Roman"/>
          <w:sz w:val="24"/>
          <w:szCs w:val="24"/>
        </w:rPr>
        <w:t>= -.20, p&lt;.01. Finally a weak, negative correlation was found between intelligence and</w:t>
      </w:r>
      <w:r>
        <w:rPr>
          <w:rFonts w:eastAsia="Times New Roman"/>
          <w:sz w:val="24"/>
          <w:szCs w:val="24"/>
        </w:rPr>
        <w:t xml:space="preserve"> drug use, </w:t>
      </w:r>
      <w:r>
        <w:rPr>
          <w:rFonts w:eastAsia="Times New Roman"/>
          <w:i/>
          <w:iCs/>
          <w:sz w:val="24"/>
          <w:szCs w:val="24"/>
        </w:rPr>
        <w:t>r</w:t>
      </w:r>
      <w:r>
        <w:rPr>
          <w:rFonts w:eastAsia="Times New Roman"/>
          <w:sz w:val="24"/>
          <w:szCs w:val="24"/>
        </w:rPr>
        <w:t>= -.12, p&lt;.01.</w: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64" w:lineRule="exact"/>
        <w:rPr>
          <w:sz w:val="20"/>
          <w:szCs w:val="20"/>
        </w:rPr>
      </w:pPr>
    </w:p>
    <w:p w:rsidR="00256EA3" w:rsidRDefault="009057A0">
      <w:pPr>
        <w:ind w:left="8800"/>
        <w:rPr>
          <w:sz w:val="20"/>
          <w:szCs w:val="20"/>
        </w:rPr>
      </w:pPr>
      <w:r>
        <w:rPr>
          <w:rFonts w:eastAsia="Times New Roman"/>
        </w:rPr>
        <w:t>12</w:t>
      </w:r>
    </w:p>
    <w:p w:rsidR="00256EA3" w:rsidRDefault="00256EA3">
      <w:pPr>
        <w:sectPr w:rsidR="00256EA3">
          <w:pgSz w:w="11900" w:h="16840"/>
          <w:pgMar w:top="1418" w:right="1440" w:bottom="431" w:left="1440" w:header="0" w:footer="0" w:gutter="0"/>
          <w:cols w:space="720" w:equalWidth="0">
            <w:col w:w="9024"/>
          </w:cols>
        </w:sectPr>
      </w:pPr>
    </w:p>
    <w:p w:rsidR="00256EA3" w:rsidRDefault="009057A0">
      <w:pPr>
        <w:spacing w:line="200" w:lineRule="exact"/>
        <w:rPr>
          <w:sz w:val="20"/>
          <w:szCs w:val="20"/>
        </w:rPr>
      </w:pPr>
      <w:bookmarkStart w:id="13" w:name="page14"/>
      <w:bookmarkEnd w:id="13"/>
      <w:r>
        <w:rPr>
          <w:noProof/>
          <w:sz w:val="20"/>
          <w:szCs w:val="20"/>
        </w:rPr>
        <w:lastRenderedPageBreak/>
        <mc:AlternateContent>
          <mc:Choice Requires="wps">
            <w:drawing>
              <wp:anchor distT="0" distB="0" distL="114300" distR="114300" simplePos="0" relativeHeight="251655680" behindDoc="1" locked="0" layoutInCell="0" allowOverlap="1">
                <wp:simplePos x="0" y="0"/>
                <wp:positionH relativeFrom="page">
                  <wp:posOffset>2895600</wp:posOffset>
                </wp:positionH>
                <wp:positionV relativeFrom="page">
                  <wp:posOffset>1076325</wp:posOffset>
                </wp:positionV>
                <wp:extent cx="179070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B14BD2C" id="Shape 4" o:spid="_x0000_s1026" style="position:absolute;z-index:-251660800;visibility:visible;mso-wrap-style:square;mso-wrap-distance-left:9pt;mso-wrap-distance-top:0;mso-wrap-distance-right:9pt;mso-wrap-distance-bottom:0;mso-position-horizontal:absolute;mso-position-horizontal-relative:page;mso-position-vertical:absolute;mso-position-vertical-relative:page" from="228pt,84.75pt" to="369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" o:allowincell="f" filled="t">
                <v:stroke joinstyle="miter"/>
                <o:lock v:ext="edit" shapetype="f"/>
                <w10:wrap anchorx="page" anchory="page"/>
              </v:line>
            </w:pict>
          </mc:Fallback>
        </mc:AlternateContent>
      </w:r>
    </w:p>
    <w:p w:rsidR="00256EA3" w:rsidRDefault="00256EA3">
      <w:pPr>
        <w:spacing w:line="296" w:lineRule="exact"/>
        <w:rPr>
          <w:sz w:val="20"/>
          <w:szCs w:val="20"/>
        </w:rPr>
      </w:pPr>
    </w:p>
    <w:p w:rsidR="00256EA3" w:rsidRDefault="009057A0">
      <w:pPr>
        <w:ind w:right="4"/>
        <w:jc w:val="center"/>
        <w:rPr>
          <w:sz w:val="20"/>
          <w:szCs w:val="20"/>
        </w:rPr>
      </w:pPr>
      <w:r>
        <w:rPr>
          <w:rFonts w:eastAsia="Times New Roman"/>
          <w:b/>
          <w:bCs/>
          <w:sz w:val="24"/>
          <w:szCs w:val="24"/>
        </w:rPr>
        <w:t>INSERT TABLE 2 HERE</w:t>
      </w:r>
    </w:p>
    <w:p w:rsidR="00256EA3" w:rsidRDefault="009057A0">
      <w:pPr>
        <w:spacing w:line="20" w:lineRule="exact"/>
        <w:rPr>
          <w:sz w:val="20"/>
          <w:szCs w:val="20"/>
        </w:rPr>
      </w:pPr>
      <w:r>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1981200</wp:posOffset>
                </wp:positionH>
                <wp:positionV relativeFrom="paragraph">
                  <wp:posOffset>123825</wp:posOffset>
                </wp:positionV>
                <wp:extent cx="179070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13A813F" id="Shape 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56pt,9.75pt" to="29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" o:allowincell="f" filled="t">
                <v:stroke joinstyle="miter"/>
                <o:lock v:ext="edit" shapetype="f"/>
              </v:line>
            </w:pict>
          </mc:Fallback>
        </mc:AlternateConten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352" w:lineRule="exact"/>
        <w:rPr>
          <w:sz w:val="20"/>
          <w:szCs w:val="20"/>
        </w:rPr>
      </w:pPr>
    </w:p>
    <w:p w:rsidR="00256EA3" w:rsidRDefault="009057A0">
      <w:pPr>
        <w:rPr>
          <w:sz w:val="20"/>
          <w:szCs w:val="20"/>
        </w:rPr>
      </w:pPr>
      <w:r>
        <w:rPr>
          <w:rFonts w:eastAsia="Times New Roman"/>
          <w:b/>
          <w:bCs/>
          <w:i/>
          <w:iCs/>
          <w:sz w:val="24"/>
          <w:szCs w:val="24"/>
        </w:rPr>
        <w:t>Multiple Regression</w:t>
      </w:r>
    </w:p>
    <w:p w:rsidR="00256EA3" w:rsidRDefault="00256EA3">
      <w:pPr>
        <w:spacing w:line="400" w:lineRule="exact"/>
        <w:rPr>
          <w:sz w:val="20"/>
          <w:szCs w:val="20"/>
        </w:rPr>
      </w:pPr>
    </w:p>
    <w:p w:rsidR="00256EA3" w:rsidRDefault="009057A0">
      <w:pPr>
        <w:spacing w:line="487" w:lineRule="auto"/>
        <w:ind w:right="4" w:firstLine="720"/>
        <w:jc w:val="both"/>
        <w:rPr>
          <w:sz w:val="20"/>
          <w:szCs w:val="20"/>
        </w:rPr>
      </w:pPr>
      <w:r>
        <w:rPr>
          <w:rFonts w:eastAsia="Times New Roman"/>
          <w:sz w:val="24"/>
          <w:szCs w:val="24"/>
        </w:rPr>
        <w:t xml:space="preserve">A multiple regression was performed to investigate the ability of psychopathy, drug use, intelligence and impulsivity to predict criminal behaviour, as </w:t>
      </w:r>
      <w:r>
        <w:rPr>
          <w:rFonts w:eastAsia="Times New Roman"/>
          <w:sz w:val="24"/>
          <w:szCs w:val="24"/>
        </w:rPr>
        <w:t>measured by number of arrests in the past two years, while controlling for any possible effects of age, sex, and marital status. Preliminary analyses were carried out and confirmed that assumptions of normality, linearity and homoscedasticity were met.</w:t>
      </w:r>
    </w:p>
    <w:p w:rsidR="00256EA3" w:rsidRDefault="00256EA3">
      <w:pPr>
        <w:spacing w:line="80" w:lineRule="exact"/>
        <w:rPr>
          <w:sz w:val="20"/>
          <w:szCs w:val="20"/>
        </w:rPr>
      </w:pPr>
    </w:p>
    <w:p w:rsidR="00256EA3" w:rsidRDefault="009057A0">
      <w:pPr>
        <w:spacing w:line="480" w:lineRule="auto"/>
        <w:ind w:right="4" w:firstLine="720"/>
        <w:jc w:val="both"/>
        <w:rPr>
          <w:sz w:val="20"/>
          <w:szCs w:val="20"/>
        </w:rPr>
      </w:pPr>
      <w:r>
        <w:rPr>
          <w:rFonts w:eastAsia="Times New Roman"/>
          <w:sz w:val="24"/>
          <w:szCs w:val="24"/>
        </w:rPr>
        <w:t>Co</w:t>
      </w:r>
      <w:r>
        <w:rPr>
          <w:rFonts w:eastAsia="Times New Roman"/>
          <w:sz w:val="24"/>
          <w:szCs w:val="24"/>
        </w:rPr>
        <w:t xml:space="preserve">rrelations of all predictor variables were examined (Table 3). All correlations were weak to moderate, ranging between </w:t>
      </w:r>
      <w:r>
        <w:rPr>
          <w:rFonts w:eastAsia="Times New Roman"/>
          <w:i/>
          <w:iCs/>
          <w:sz w:val="24"/>
          <w:szCs w:val="24"/>
        </w:rPr>
        <w:t>r</w:t>
      </w:r>
      <w:r>
        <w:rPr>
          <w:rFonts w:eastAsia="Times New Roman"/>
          <w:sz w:val="24"/>
          <w:szCs w:val="24"/>
        </w:rPr>
        <w:t xml:space="preserve"> = -.12, </w:t>
      </w:r>
      <w:r>
        <w:rPr>
          <w:rFonts w:eastAsia="Times New Roman"/>
          <w:i/>
          <w:iCs/>
          <w:sz w:val="24"/>
          <w:szCs w:val="24"/>
        </w:rPr>
        <w:t>p</w:t>
      </w:r>
      <w:r>
        <w:rPr>
          <w:rFonts w:eastAsia="Times New Roman"/>
          <w:sz w:val="24"/>
          <w:szCs w:val="24"/>
        </w:rPr>
        <w:t xml:space="preserve"> &lt; .01 and </w:t>
      </w:r>
      <w:r>
        <w:rPr>
          <w:rFonts w:eastAsia="Times New Roman"/>
          <w:i/>
          <w:iCs/>
          <w:sz w:val="24"/>
          <w:szCs w:val="24"/>
        </w:rPr>
        <w:t>r</w:t>
      </w:r>
      <w:r>
        <w:rPr>
          <w:rFonts w:eastAsia="Times New Roman"/>
          <w:sz w:val="24"/>
          <w:szCs w:val="24"/>
        </w:rPr>
        <w:t xml:space="preserve"> = .57, </w:t>
      </w:r>
      <w:r>
        <w:rPr>
          <w:rFonts w:eastAsia="Times New Roman"/>
          <w:i/>
          <w:iCs/>
          <w:sz w:val="24"/>
          <w:szCs w:val="24"/>
        </w:rPr>
        <w:t>p</w:t>
      </w:r>
      <w:r>
        <w:rPr>
          <w:rFonts w:eastAsia="Times New Roman"/>
          <w:sz w:val="24"/>
          <w:szCs w:val="24"/>
        </w:rPr>
        <w:t xml:space="preserve"> &lt; .01, indicating that there was no multicollinearity within the model. In addition, all predictor varia</w:t>
      </w:r>
      <w:r>
        <w:rPr>
          <w:rFonts w:eastAsia="Times New Roman"/>
          <w:sz w:val="24"/>
          <w:szCs w:val="24"/>
        </w:rPr>
        <w:t>bles were significantly correlated with number of prior arrests, indicating that the data was suitably correlated with the dependant variable for the use of multiple regression to be both viable and useful.</w:t>
      </w:r>
    </w:p>
    <w:p w:rsidR="00256EA3" w:rsidRDefault="009057A0">
      <w:pPr>
        <w:spacing w:line="479" w:lineRule="auto"/>
        <w:ind w:right="4" w:firstLine="720"/>
        <w:jc w:val="both"/>
        <w:rPr>
          <w:sz w:val="20"/>
          <w:szCs w:val="20"/>
        </w:rPr>
      </w:pPr>
      <w:r>
        <w:rPr>
          <w:rFonts w:eastAsia="Times New Roman"/>
          <w:sz w:val="24"/>
          <w:szCs w:val="24"/>
        </w:rPr>
        <w:t>As no a priori hypotheses had been made to determ</w:t>
      </w:r>
      <w:r>
        <w:rPr>
          <w:rFonts w:eastAsia="Times New Roman"/>
          <w:sz w:val="24"/>
          <w:szCs w:val="24"/>
        </w:rPr>
        <w:t>ine the order of entry of the predictor variables, a direct method was used for the multiple linear regression analysis. The overall model (</w:t>
      </w:r>
      <w:r>
        <w:rPr>
          <w:rFonts w:eastAsia="Times New Roman"/>
          <w:i/>
          <w:iCs/>
          <w:sz w:val="24"/>
          <w:szCs w:val="24"/>
        </w:rPr>
        <w:t>F</w:t>
      </w:r>
      <w:r>
        <w:rPr>
          <w:rFonts w:eastAsia="Times New Roman"/>
          <w:sz w:val="24"/>
          <w:szCs w:val="24"/>
        </w:rPr>
        <w:t xml:space="preserve"> (8, 688) = 25.54, </w:t>
      </w:r>
      <w:r>
        <w:rPr>
          <w:rFonts w:eastAsia="Times New Roman"/>
          <w:i/>
          <w:iCs/>
          <w:sz w:val="24"/>
          <w:szCs w:val="24"/>
        </w:rPr>
        <w:t>p</w:t>
      </w:r>
      <w:r>
        <w:rPr>
          <w:rFonts w:eastAsia="Times New Roman"/>
          <w:sz w:val="24"/>
          <w:szCs w:val="24"/>
        </w:rPr>
        <w:t xml:space="preserve"> &lt; .001) accounted for 23% of the variance in number of past arrests. The only significant pred</w:t>
      </w:r>
      <w:r>
        <w:rPr>
          <w:rFonts w:eastAsia="Times New Roman"/>
          <w:sz w:val="24"/>
          <w:szCs w:val="24"/>
        </w:rPr>
        <w:t>ictors of recidivism were PCL:SV Factor 2, (</w:t>
      </w:r>
      <w:r>
        <w:rPr>
          <w:rFonts w:eastAsia="Times New Roman"/>
          <w:i/>
          <w:iCs/>
          <w:sz w:val="24"/>
          <w:szCs w:val="24"/>
        </w:rPr>
        <w:t>β</w:t>
      </w:r>
      <w:r>
        <w:rPr>
          <w:rFonts w:eastAsia="Times New Roman"/>
          <w:sz w:val="24"/>
          <w:szCs w:val="24"/>
        </w:rPr>
        <w:t xml:space="preserve"> = .35, </w:t>
      </w:r>
      <w:r>
        <w:rPr>
          <w:rFonts w:eastAsia="Times New Roman"/>
          <w:i/>
          <w:iCs/>
          <w:sz w:val="24"/>
          <w:szCs w:val="24"/>
        </w:rPr>
        <w:t>p</w:t>
      </w:r>
    </w:p>
    <w:p w:rsidR="00256EA3" w:rsidRDefault="00256EA3">
      <w:pPr>
        <w:spacing w:line="1" w:lineRule="exact"/>
        <w:rPr>
          <w:sz w:val="20"/>
          <w:szCs w:val="20"/>
        </w:rPr>
      </w:pPr>
    </w:p>
    <w:p w:rsidR="00256EA3" w:rsidRDefault="009057A0">
      <w:pPr>
        <w:numPr>
          <w:ilvl w:val="0"/>
          <w:numId w:val="3"/>
        </w:numPr>
        <w:tabs>
          <w:tab w:val="left" w:pos="210"/>
        </w:tabs>
        <w:spacing w:line="491" w:lineRule="auto"/>
        <w:ind w:right="4"/>
        <w:jc w:val="both"/>
        <w:rPr>
          <w:rFonts w:eastAsia="Times New Roman"/>
          <w:sz w:val="24"/>
          <w:szCs w:val="24"/>
        </w:rPr>
      </w:pPr>
      <w:r>
        <w:rPr>
          <w:rFonts w:eastAsia="Times New Roman"/>
          <w:sz w:val="24"/>
          <w:szCs w:val="24"/>
        </w:rPr>
        <w:t>.01), drug use (</w:t>
      </w:r>
      <w:r>
        <w:rPr>
          <w:rFonts w:eastAsia="Times New Roman"/>
          <w:i/>
          <w:iCs/>
          <w:sz w:val="24"/>
          <w:szCs w:val="24"/>
        </w:rPr>
        <w:t>β</w:t>
      </w:r>
      <w:r>
        <w:rPr>
          <w:rFonts w:eastAsia="Times New Roman"/>
          <w:sz w:val="24"/>
          <w:szCs w:val="24"/>
        </w:rPr>
        <w:t xml:space="preserve"> = .12, </w:t>
      </w:r>
      <w:r>
        <w:rPr>
          <w:rFonts w:eastAsia="Times New Roman"/>
          <w:i/>
          <w:iCs/>
          <w:sz w:val="24"/>
          <w:szCs w:val="24"/>
        </w:rPr>
        <w:t>p</w:t>
      </w:r>
      <w:r>
        <w:rPr>
          <w:rFonts w:eastAsia="Times New Roman"/>
          <w:sz w:val="24"/>
          <w:szCs w:val="24"/>
        </w:rPr>
        <w:t xml:space="preserve"> &lt; .01) and gender (</w:t>
      </w:r>
      <w:r>
        <w:rPr>
          <w:rFonts w:eastAsia="Times New Roman"/>
          <w:i/>
          <w:iCs/>
          <w:sz w:val="24"/>
          <w:szCs w:val="24"/>
        </w:rPr>
        <w:t>β</w:t>
      </w:r>
      <w:r>
        <w:rPr>
          <w:rFonts w:eastAsia="Times New Roman"/>
          <w:sz w:val="24"/>
          <w:szCs w:val="24"/>
        </w:rPr>
        <w:t xml:space="preserve"> = .11, </w:t>
      </w:r>
      <w:r>
        <w:rPr>
          <w:rFonts w:eastAsia="Times New Roman"/>
          <w:i/>
          <w:iCs/>
          <w:sz w:val="24"/>
          <w:szCs w:val="24"/>
        </w:rPr>
        <w:t>p</w:t>
      </w:r>
      <w:r>
        <w:rPr>
          <w:rFonts w:eastAsia="Times New Roman"/>
          <w:sz w:val="24"/>
          <w:szCs w:val="24"/>
        </w:rPr>
        <w:t xml:space="preserve"> &lt; .01). PCL Factor 1, intelligence, impulsivity, age, and marital status were not statistically significant predictor variables for number of p</w:t>
      </w:r>
      <w:r>
        <w:rPr>
          <w:rFonts w:eastAsia="Times New Roman"/>
          <w:sz w:val="24"/>
          <w:szCs w:val="24"/>
        </w:rPr>
        <w:t>ast arrests. The results indicate a significant main effect of the behavioural features of psychopathy on number of past arrests when all covariates are controlled.</w:t>
      </w:r>
    </w:p>
    <w:p w:rsidR="00256EA3" w:rsidRDefault="009057A0">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1981200</wp:posOffset>
                </wp:positionH>
                <wp:positionV relativeFrom="paragraph">
                  <wp:posOffset>110490</wp:posOffset>
                </wp:positionV>
                <wp:extent cx="179070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77C7AF0" id="Shape 6"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6pt,8.7pt" to="29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" o:allowincell="f" filled="t">
                <v:stroke joinstyle="miter"/>
                <o:lock v:ext="edit" shapetype="f"/>
              </v:line>
            </w:pict>
          </mc:Fallback>
        </mc:AlternateConten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58" w:lineRule="exact"/>
        <w:rPr>
          <w:sz w:val="20"/>
          <w:szCs w:val="20"/>
        </w:rPr>
      </w:pPr>
    </w:p>
    <w:p w:rsidR="00256EA3" w:rsidRDefault="009057A0">
      <w:pPr>
        <w:ind w:left="8800"/>
        <w:rPr>
          <w:sz w:val="20"/>
          <w:szCs w:val="20"/>
        </w:rPr>
      </w:pPr>
      <w:r>
        <w:rPr>
          <w:rFonts w:eastAsia="Times New Roman"/>
        </w:rPr>
        <w:t>13</w:t>
      </w:r>
    </w:p>
    <w:p w:rsidR="00256EA3" w:rsidRDefault="00256EA3">
      <w:pPr>
        <w:sectPr w:rsidR="00256EA3">
          <w:pgSz w:w="11900" w:h="16840"/>
          <w:pgMar w:top="1440" w:right="1440" w:bottom="431" w:left="1440" w:header="0" w:footer="0" w:gutter="0"/>
          <w:cols w:space="720" w:equalWidth="0">
            <w:col w:w="9024"/>
          </w:cols>
        </w:sectPr>
      </w:pPr>
    </w:p>
    <w:p w:rsidR="00256EA3" w:rsidRDefault="009057A0">
      <w:pPr>
        <w:ind w:right="4"/>
        <w:jc w:val="center"/>
        <w:rPr>
          <w:sz w:val="20"/>
          <w:szCs w:val="20"/>
        </w:rPr>
      </w:pPr>
      <w:bookmarkStart w:id="14" w:name="page15"/>
      <w:bookmarkEnd w:id="14"/>
      <w:r>
        <w:rPr>
          <w:rFonts w:eastAsia="Times New Roman"/>
          <w:b/>
          <w:bCs/>
          <w:sz w:val="24"/>
          <w:szCs w:val="24"/>
        </w:rPr>
        <w:lastRenderedPageBreak/>
        <w:t>INSERT TABLE 3 HERE</w:t>
      </w:r>
    </w:p>
    <w:p w:rsidR="00256EA3" w:rsidRDefault="009057A0">
      <w:pPr>
        <w:spacing w:line="20" w:lineRule="exact"/>
        <w:rPr>
          <w:sz w:val="20"/>
          <w:szCs w:val="20"/>
        </w:rPr>
      </w:pP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1981200</wp:posOffset>
                </wp:positionH>
                <wp:positionV relativeFrom="paragraph">
                  <wp:posOffset>123825</wp:posOffset>
                </wp:positionV>
                <wp:extent cx="179070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070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EFB218D" id="Shape 7"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56pt,9.75pt" to="29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" o:allowincell="f" filled="t">
                <v:stroke joinstyle="miter"/>
                <o:lock v:ext="edit" shapetype="f"/>
              </v:line>
            </w:pict>
          </mc:Fallback>
        </mc:AlternateConten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56" w:lineRule="exact"/>
        <w:rPr>
          <w:sz w:val="20"/>
          <w:szCs w:val="20"/>
        </w:rPr>
      </w:pPr>
    </w:p>
    <w:p w:rsidR="00256EA3" w:rsidRDefault="009057A0">
      <w:pPr>
        <w:rPr>
          <w:sz w:val="20"/>
          <w:szCs w:val="20"/>
        </w:rPr>
      </w:pPr>
      <w:r>
        <w:rPr>
          <w:rFonts w:eastAsia="Times New Roman"/>
          <w:b/>
          <w:bCs/>
          <w:sz w:val="24"/>
          <w:szCs w:val="24"/>
        </w:rPr>
        <w:t>Discussion</w:t>
      </w:r>
    </w:p>
    <w:p w:rsidR="00256EA3" w:rsidRDefault="00256EA3">
      <w:pPr>
        <w:spacing w:line="245" w:lineRule="exact"/>
        <w:rPr>
          <w:sz w:val="20"/>
          <w:szCs w:val="20"/>
        </w:rPr>
      </w:pPr>
    </w:p>
    <w:p w:rsidR="00256EA3" w:rsidRDefault="009057A0">
      <w:pPr>
        <w:spacing w:line="484" w:lineRule="auto"/>
        <w:ind w:right="4" w:firstLine="1440"/>
        <w:jc w:val="both"/>
        <w:rPr>
          <w:sz w:val="20"/>
          <w:szCs w:val="20"/>
        </w:rPr>
      </w:pPr>
      <w:r>
        <w:rPr>
          <w:rFonts w:eastAsia="Times New Roman"/>
          <w:sz w:val="24"/>
          <w:szCs w:val="24"/>
        </w:rPr>
        <w:t>The present study sought to</w:t>
      </w:r>
      <w:r>
        <w:rPr>
          <w:rFonts w:eastAsia="Times New Roman"/>
          <w:sz w:val="24"/>
          <w:szCs w:val="24"/>
        </w:rPr>
        <w:t xml:space="preserve"> examine the impact of psychopathy and it’s associated traits of offending and criminal recidividism rates in a civil psychiatric population. A detailed and thorough understanding the risk factors for criminal behaviour in civil psychiatric patients is of </w:t>
      </w:r>
      <w:r>
        <w:rPr>
          <w:rFonts w:eastAsia="Times New Roman"/>
          <w:sz w:val="24"/>
          <w:szCs w:val="24"/>
        </w:rPr>
        <w:t>considerable value, from both a theoretical perspective – in understanding the root causes of criminality, and for practical and applied purposes – for example; in assessing risk. The analyses presented here offer a basis for the derivation of a predictive</w:t>
      </w:r>
      <w:r>
        <w:rPr>
          <w:rFonts w:eastAsia="Times New Roman"/>
          <w:sz w:val="24"/>
          <w:szCs w:val="24"/>
        </w:rPr>
        <w:t xml:space="preserve"> model of criminal behaviour (both of risk of committing crime and risk of criminal recidivism) for civil psychiatric populations.</w:t>
      </w:r>
    </w:p>
    <w:p w:rsidR="00256EA3" w:rsidRDefault="00256EA3">
      <w:pPr>
        <w:spacing w:line="82" w:lineRule="exact"/>
        <w:rPr>
          <w:sz w:val="20"/>
          <w:szCs w:val="20"/>
        </w:rPr>
      </w:pPr>
    </w:p>
    <w:p w:rsidR="00256EA3" w:rsidRDefault="009057A0">
      <w:pPr>
        <w:spacing w:line="480" w:lineRule="auto"/>
        <w:ind w:right="64" w:firstLine="720"/>
        <w:rPr>
          <w:sz w:val="20"/>
          <w:szCs w:val="20"/>
        </w:rPr>
      </w:pPr>
      <w:r>
        <w:rPr>
          <w:rFonts w:eastAsia="Times New Roman"/>
          <w:sz w:val="24"/>
          <w:szCs w:val="24"/>
        </w:rPr>
        <w:t xml:space="preserve">The predictive abilities of psychopathy (Type 1 and Type 2), intelligence, impulsivity and drug use to assess criminal risk </w:t>
      </w:r>
      <w:r>
        <w:rPr>
          <w:rFonts w:eastAsia="Times New Roman"/>
          <w:sz w:val="24"/>
          <w:szCs w:val="24"/>
        </w:rPr>
        <w:t>were assessed in detail, and it was found that Factor 2 on the PCL:SV was a stronger predictor of criminal behaviour than Factor 1. Factor 2 also had the strongest relationship with number of prior arrests. These findings accord with previous research in b</w:t>
      </w:r>
      <w:r>
        <w:rPr>
          <w:rFonts w:eastAsia="Times New Roman"/>
          <w:sz w:val="24"/>
          <w:szCs w:val="24"/>
        </w:rPr>
        <w:t>oth psychiatric and forensic populations (Walters et al., 2008; Hemphill et al., 1998; Beggs &amp; Grace. 2008; Heinzen et al., 2011; Douglas et al., 1999), and are reflective of the items encompassed within Factor 2 which index anti-social and criminal behavi</w:t>
      </w:r>
      <w:r>
        <w:rPr>
          <w:rFonts w:eastAsia="Times New Roman"/>
          <w:sz w:val="24"/>
          <w:szCs w:val="24"/>
        </w:rPr>
        <w:t>our</w:t>
      </w:r>
    </w:p>
    <w:p w:rsidR="00256EA3" w:rsidRDefault="009057A0">
      <w:pPr>
        <w:spacing w:line="487" w:lineRule="auto"/>
        <w:ind w:right="44" w:firstLine="720"/>
        <w:rPr>
          <w:sz w:val="20"/>
          <w:szCs w:val="20"/>
        </w:rPr>
      </w:pPr>
      <w:r>
        <w:rPr>
          <w:rFonts w:eastAsia="Times New Roman"/>
          <w:sz w:val="24"/>
          <w:szCs w:val="24"/>
        </w:rPr>
        <w:t>A positive relationship was found between Factor 1 and number of arrests. However, when other factors were controlled for as part of the regression model this effect disappeared. This suggests that interpersonal and affective traits as represented by F</w:t>
      </w:r>
      <w:r>
        <w:rPr>
          <w:rFonts w:eastAsia="Times New Roman"/>
          <w:sz w:val="24"/>
          <w:szCs w:val="24"/>
        </w:rPr>
        <w:t>actor 1 are only predictive of criminal behaviour when they are integrated with anti-social behaviours represented by Factor 2.</w: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302" w:lineRule="exact"/>
        <w:rPr>
          <w:sz w:val="20"/>
          <w:szCs w:val="20"/>
        </w:rPr>
      </w:pPr>
    </w:p>
    <w:p w:rsidR="00256EA3" w:rsidRDefault="009057A0">
      <w:pPr>
        <w:ind w:left="8800"/>
        <w:rPr>
          <w:sz w:val="20"/>
          <w:szCs w:val="20"/>
        </w:rPr>
      </w:pPr>
      <w:r>
        <w:rPr>
          <w:rFonts w:eastAsia="Times New Roman"/>
        </w:rPr>
        <w:t>14</w:t>
      </w:r>
    </w:p>
    <w:p w:rsidR="00256EA3" w:rsidRDefault="00256EA3">
      <w:pPr>
        <w:sectPr w:rsidR="00256EA3">
          <w:pgSz w:w="11900" w:h="16840"/>
          <w:pgMar w:top="1418" w:right="1440" w:bottom="431" w:left="1440" w:header="0" w:footer="0" w:gutter="0"/>
          <w:cols w:space="720" w:equalWidth="0">
            <w:col w:w="9024"/>
          </w:cols>
        </w:sectPr>
      </w:pPr>
    </w:p>
    <w:p w:rsidR="00256EA3" w:rsidRDefault="009057A0">
      <w:pPr>
        <w:spacing w:line="483" w:lineRule="auto"/>
        <w:ind w:right="20" w:firstLine="720"/>
        <w:jc w:val="both"/>
        <w:rPr>
          <w:sz w:val="20"/>
          <w:szCs w:val="20"/>
        </w:rPr>
      </w:pPr>
      <w:bookmarkStart w:id="15" w:name="page16"/>
      <w:bookmarkEnd w:id="15"/>
      <w:r>
        <w:rPr>
          <w:rFonts w:eastAsia="Times New Roman"/>
          <w:sz w:val="24"/>
          <w:szCs w:val="24"/>
        </w:rPr>
        <w:lastRenderedPageBreak/>
        <w:t>Impulsivity was not found to be a reliable predictor of recidivism within civil psychiatric patients. T</w:t>
      </w:r>
      <w:r>
        <w:rPr>
          <w:rFonts w:eastAsia="Times New Roman"/>
          <w:sz w:val="24"/>
          <w:szCs w:val="24"/>
        </w:rPr>
        <w:t>his is interesting, given that impulsivity was found to be significantly related to prior arrests, and also moderately related to Factor 2 of the PCL:SV. Whilst previous research has implied impulsivity is predictive of criminal behaviour as a by product o</w:t>
      </w:r>
      <w:r>
        <w:rPr>
          <w:rFonts w:eastAsia="Times New Roman"/>
          <w:sz w:val="24"/>
          <w:szCs w:val="24"/>
        </w:rPr>
        <w:t>f Factor 2 of the PCL:SV (Tribolet-Hardy et al., 2013), little research actually examines the predictive validity of impulsivity alone. It may be that previous results are biased as levels of impulsivity are higher amongst offenders (Rushton &amp; Templar, 200</w:t>
      </w:r>
      <w:r>
        <w:rPr>
          <w:rFonts w:eastAsia="Times New Roman"/>
          <w:sz w:val="24"/>
          <w:szCs w:val="24"/>
        </w:rPr>
        <w:t>9) or that impulsivity only contributes to criminal behaviour when it occurs alongside other socially deviant elements of psychopathy.</w:t>
      </w:r>
    </w:p>
    <w:p w:rsidR="00256EA3" w:rsidRDefault="00256EA3">
      <w:pPr>
        <w:spacing w:line="89" w:lineRule="exact"/>
        <w:rPr>
          <w:sz w:val="20"/>
          <w:szCs w:val="20"/>
        </w:rPr>
      </w:pPr>
    </w:p>
    <w:p w:rsidR="00256EA3" w:rsidRDefault="009057A0">
      <w:pPr>
        <w:spacing w:line="485" w:lineRule="auto"/>
        <w:ind w:right="20" w:firstLine="720"/>
        <w:jc w:val="both"/>
        <w:rPr>
          <w:sz w:val="20"/>
          <w:szCs w:val="20"/>
        </w:rPr>
      </w:pPr>
      <w:r>
        <w:rPr>
          <w:rFonts w:eastAsia="Times New Roman"/>
          <w:sz w:val="24"/>
          <w:szCs w:val="24"/>
        </w:rPr>
        <w:t xml:space="preserve">Drug use was found to be significant predictor of criminal behaviour within the model, in line with the findings of </w:t>
      </w:r>
      <w:r>
        <w:rPr>
          <w:rFonts w:eastAsia="Times New Roman"/>
          <w:sz w:val="24"/>
          <w:szCs w:val="24"/>
        </w:rPr>
        <w:t xml:space="preserve">Scott et al., (1998) for sample of forensic psychiatric patients. The present study also illustrated that drug use was positively related to both Factors of the PCL:SV, which is also consistent with previous findings (Edens &amp; McDermott, 2011). There was a </w:t>
      </w:r>
      <w:r>
        <w:rPr>
          <w:rFonts w:eastAsia="Times New Roman"/>
          <w:sz w:val="24"/>
          <w:szCs w:val="24"/>
        </w:rPr>
        <w:t>slightly stronger relationship between Factor 2 and drug use than Factor 1, which might be explicated by the fact that drug use is more commonly associated with anti-social characteristics (Taylor &amp; Lang, 2006).</w:t>
      </w:r>
    </w:p>
    <w:p w:rsidR="00256EA3" w:rsidRDefault="00256EA3">
      <w:pPr>
        <w:spacing w:line="79" w:lineRule="exact"/>
        <w:rPr>
          <w:sz w:val="20"/>
          <w:szCs w:val="20"/>
        </w:rPr>
      </w:pPr>
    </w:p>
    <w:p w:rsidR="00256EA3" w:rsidRDefault="009057A0">
      <w:pPr>
        <w:spacing w:line="483" w:lineRule="auto"/>
        <w:ind w:firstLine="720"/>
        <w:jc w:val="both"/>
        <w:rPr>
          <w:sz w:val="20"/>
          <w:szCs w:val="20"/>
        </w:rPr>
      </w:pPr>
      <w:r>
        <w:rPr>
          <w:rFonts w:eastAsia="Times New Roman"/>
          <w:sz w:val="24"/>
          <w:szCs w:val="24"/>
        </w:rPr>
        <w:t>While findings indicate that intelligence m</w:t>
      </w:r>
      <w:r>
        <w:rPr>
          <w:rFonts w:eastAsia="Times New Roman"/>
          <w:sz w:val="24"/>
          <w:szCs w:val="24"/>
        </w:rPr>
        <w:t>ay be a negative predictor of criminal behaviour, this result failed to reach statistical significance. Previous research (Tribolet-Hardy et al., 2013; Vitacco et al., 2005) found verbal intelligence to be positively associated with Factor 1 of the PCL:SV,</w:t>
      </w:r>
      <w:r>
        <w:rPr>
          <w:rFonts w:eastAsia="Times New Roman"/>
          <w:sz w:val="24"/>
          <w:szCs w:val="24"/>
        </w:rPr>
        <w:t xml:space="preserve"> something that was not observed in the present study. This implies that verbal intelligence is not necessary to engage in manipulative behaviour, as might be assumed. Instead, intelligence was found to be negatively related to both Factor 1 and Factor 2. </w:t>
      </w:r>
      <w:r>
        <w:rPr>
          <w:rFonts w:eastAsia="Times New Roman"/>
          <w:sz w:val="24"/>
          <w:szCs w:val="24"/>
        </w:rPr>
        <w:t>Similarly to impulsivity, it may be that low intelligence is only predictive of criminal behaviour when it associated with psychopathy. Future research should look to consider the influence of spatial intelligence, as well as verbal intelligence, as this w</w:t>
      </w:r>
      <w:r>
        <w:rPr>
          <w:rFonts w:eastAsia="Times New Roman"/>
          <w:sz w:val="24"/>
          <w:szCs w:val="24"/>
        </w:rPr>
        <w:t>ill</w:t>
      </w:r>
    </w:p>
    <w:p w:rsidR="00256EA3" w:rsidRDefault="00256EA3">
      <w:pPr>
        <w:spacing w:line="101" w:lineRule="exact"/>
        <w:rPr>
          <w:sz w:val="20"/>
          <w:szCs w:val="20"/>
        </w:rPr>
      </w:pPr>
    </w:p>
    <w:p w:rsidR="00256EA3" w:rsidRDefault="009057A0">
      <w:pPr>
        <w:ind w:left="8800"/>
        <w:rPr>
          <w:sz w:val="20"/>
          <w:szCs w:val="20"/>
        </w:rPr>
      </w:pPr>
      <w:r>
        <w:rPr>
          <w:rFonts w:eastAsia="Times New Roman"/>
        </w:rPr>
        <w:t>15</w:t>
      </w:r>
    </w:p>
    <w:p w:rsidR="00256EA3" w:rsidRDefault="00256EA3">
      <w:pPr>
        <w:sectPr w:rsidR="00256EA3">
          <w:pgSz w:w="11900" w:h="16840"/>
          <w:pgMar w:top="1420" w:right="1424" w:bottom="431" w:left="1440" w:header="0" w:footer="0" w:gutter="0"/>
          <w:cols w:space="720" w:equalWidth="0">
            <w:col w:w="9040"/>
          </w:cols>
        </w:sectPr>
      </w:pPr>
    </w:p>
    <w:p w:rsidR="00256EA3" w:rsidRDefault="009057A0">
      <w:pPr>
        <w:spacing w:line="511" w:lineRule="auto"/>
        <w:ind w:right="4"/>
        <w:jc w:val="both"/>
        <w:rPr>
          <w:sz w:val="20"/>
          <w:szCs w:val="20"/>
        </w:rPr>
      </w:pPr>
      <w:bookmarkStart w:id="16" w:name="page17"/>
      <w:bookmarkEnd w:id="16"/>
      <w:r>
        <w:rPr>
          <w:rFonts w:eastAsia="Times New Roman"/>
          <w:sz w:val="24"/>
          <w:szCs w:val="24"/>
        </w:rPr>
        <w:lastRenderedPageBreak/>
        <w:t>provide a more comprehensive understanding on the predictive ability of intelligence as a complete construct.</w:t>
      </w:r>
    </w:p>
    <w:p w:rsidR="00256EA3" w:rsidRDefault="00256EA3">
      <w:pPr>
        <w:spacing w:line="49" w:lineRule="exact"/>
        <w:rPr>
          <w:sz w:val="20"/>
          <w:szCs w:val="20"/>
        </w:rPr>
      </w:pPr>
    </w:p>
    <w:p w:rsidR="00256EA3" w:rsidRDefault="009057A0">
      <w:pPr>
        <w:spacing w:line="479" w:lineRule="auto"/>
        <w:ind w:right="4" w:firstLine="720"/>
        <w:jc w:val="both"/>
        <w:rPr>
          <w:sz w:val="20"/>
          <w:szCs w:val="20"/>
        </w:rPr>
      </w:pPr>
      <w:r>
        <w:rPr>
          <w:rFonts w:eastAsia="Times New Roman"/>
          <w:sz w:val="24"/>
          <w:szCs w:val="24"/>
        </w:rPr>
        <w:t>With regard to demographic factors, age was found to be negatively related to number of prior arrests yet failed to a</w:t>
      </w:r>
      <w:r>
        <w:rPr>
          <w:rFonts w:eastAsia="Times New Roman"/>
          <w:sz w:val="24"/>
          <w:szCs w:val="24"/>
        </w:rPr>
        <w:t xml:space="preserve">ct as a significant predictor in the regression model. Although a weak negative correlation was found between age and both factors of the PCL:SV, these were not significant. This suggests that, when considered in conjunction with psychopathy, age does not </w:t>
      </w:r>
      <w:r>
        <w:rPr>
          <w:rFonts w:eastAsia="Times New Roman"/>
          <w:sz w:val="24"/>
          <w:szCs w:val="24"/>
        </w:rPr>
        <w:t>impact significantly upon offending risk. Gender was also found to be a significant predictor of criminal behaviour, with male psychiatric patients being more likely to offend than their female counterparts. Previous research has identified gender as a pot</w:t>
      </w:r>
      <w:r>
        <w:rPr>
          <w:rFonts w:eastAsia="Times New Roman"/>
          <w:sz w:val="24"/>
          <w:szCs w:val="24"/>
        </w:rPr>
        <w:t>ential risk factor for violence, as conviction and recidivism rates for women are lower than they are for men (Monahan &amp; Steadman, 1994). However, differences in overall psychopathy scores across males and females tend to be small and are rarely statistica</w:t>
      </w:r>
      <w:r>
        <w:rPr>
          <w:rFonts w:eastAsia="Times New Roman"/>
          <w:sz w:val="24"/>
          <w:szCs w:val="24"/>
        </w:rPr>
        <w:t>lly significant (Nicholls, Ogloff, Brink &amp; Spidel, 2005), although females often score higher on Factor 1 and lower on Factor 2 (Sutton, Vitale &amp; Newman, 2002). It may be that, when considered in relation to psychopathy, males are more at risk of future of</w:t>
      </w:r>
      <w:r>
        <w:rPr>
          <w:rFonts w:eastAsia="Times New Roman"/>
          <w:sz w:val="24"/>
          <w:szCs w:val="24"/>
        </w:rPr>
        <w:t>fending than women because they tend to display more of the anti-social behavioural characteristics associated with the condition.</w:t>
      </w:r>
    </w:p>
    <w:p w:rsidR="00256EA3" w:rsidRDefault="00256EA3">
      <w:pPr>
        <w:spacing w:line="12" w:lineRule="exact"/>
        <w:rPr>
          <w:sz w:val="20"/>
          <w:szCs w:val="20"/>
        </w:rPr>
      </w:pPr>
    </w:p>
    <w:p w:rsidR="00256EA3" w:rsidRDefault="009057A0">
      <w:pPr>
        <w:rPr>
          <w:sz w:val="20"/>
          <w:szCs w:val="20"/>
        </w:rPr>
      </w:pPr>
      <w:r>
        <w:rPr>
          <w:rFonts w:eastAsia="Times New Roman"/>
          <w:b/>
          <w:bCs/>
          <w:i/>
          <w:iCs/>
          <w:sz w:val="24"/>
          <w:szCs w:val="24"/>
        </w:rPr>
        <w:t>Strengths and Limitations</w:t>
      </w:r>
    </w:p>
    <w:p w:rsidR="00256EA3" w:rsidRDefault="00256EA3">
      <w:pPr>
        <w:spacing w:line="400" w:lineRule="exact"/>
        <w:rPr>
          <w:sz w:val="20"/>
          <w:szCs w:val="20"/>
        </w:rPr>
      </w:pPr>
    </w:p>
    <w:p w:rsidR="00256EA3" w:rsidRDefault="009057A0">
      <w:pPr>
        <w:spacing w:line="484" w:lineRule="auto"/>
        <w:ind w:right="4" w:firstLine="720"/>
        <w:jc w:val="both"/>
        <w:rPr>
          <w:sz w:val="20"/>
          <w:szCs w:val="20"/>
        </w:rPr>
      </w:pPr>
      <w:r>
        <w:rPr>
          <w:rFonts w:eastAsia="Times New Roman"/>
          <w:sz w:val="24"/>
          <w:szCs w:val="24"/>
        </w:rPr>
        <w:t>One of the strengths of the present study is the large sample size, meaning that results can be g</w:t>
      </w:r>
      <w:r>
        <w:rPr>
          <w:rFonts w:eastAsia="Times New Roman"/>
          <w:sz w:val="24"/>
          <w:szCs w:val="24"/>
        </w:rPr>
        <w:t xml:space="preserve">eneralized to a wider population of civil psychiatric patients. However, as only voluntary patients were included, caution must be exercised when generalising findings to involuntary psychiatric patients. There is evidence that involuntary patients have a </w:t>
      </w:r>
      <w:r>
        <w:rPr>
          <w:rFonts w:eastAsia="Times New Roman"/>
          <w:sz w:val="24"/>
          <w:szCs w:val="24"/>
        </w:rPr>
        <w:t>broader history of “dangerous acts” compared to voluntarily patients and therefore pose more of a risk (Rubin &amp; Mills, 1983). Further; the prevalence of criminal behaviour in the sample was low, which may be due to the fact that voluntarily admitted patien</w:t>
      </w:r>
      <w:r>
        <w:rPr>
          <w:rFonts w:eastAsia="Times New Roman"/>
          <w:sz w:val="24"/>
          <w:szCs w:val="24"/>
        </w:rPr>
        <w:t>ts are less likely to offend (Rubin &amp; Mills). It may be that factors such as impulsivity and intelligence failed to predict</w:t>
      </w:r>
    </w:p>
    <w:p w:rsidR="00256EA3" w:rsidRDefault="00256EA3">
      <w:pPr>
        <w:spacing w:line="96" w:lineRule="exact"/>
        <w:rPr>
          <w:sz w:val="20"/>
          <w:szCs w:val="20"/>
        </w:rPr>
      </w:pPr>
    </w:p>
    <w:p w:rsidR="00256EA3" w:rsidRDefault="009057A0">
      <w:pPr>
        <w:ind w:left="8800"/>
        <w:rPr>
          <w:sz w:val="20"/>
          <w:szCs w:val="20"/>
        </w:rPr>
      </w:pPr>
      <w:r>
        <w:rPr>
          <w:rFonts w:eastAsia="Times New Roman"/>
        </w:rPr>
        <w:t>16</w:t>
      </w:r>
    </w:p>
    <w:p w:rsidR="00256EA3" w:rsidRDefault="00256EA3">
      <w:pPr>
        <w:sectPr w:rsidR="00256EA3">
          <w:pgSz w:w="11900" w:h="16840"/>
          <w:pgMar w:top="1420" w:right="1440" w:bottom="431" w:left="1440" w:header="0" w:footer="0" w:gutter="0"/>
          <w:cols w:space="720" w:equalWidth="0">
            <w:col w:w="9024"/>
          </w:cols>
        </w:sectPr>
      </w:pPr>
    </w:p>
    <w:p w:rsidR="00256EA3" w:rsidRDefault="009057A0">
      <w:pPr>
        <w:spacing w:line="495" w:lineRule="auto"/>
        <w:ind w:right="20"/>
        <w:jc w:val="both"/>
        <w:rPr>
          <w:sz w:val="20"/>
          <w:szCs w:val="20"/>
        </w:rPr>
      </w:pPr>
      <w:bookmarkStart w:id="17" w:name="page18"/>
      <w:bookmarkEnd w:id="17"/>
      <w:r>
        <w:rPr>
          <w:rFonts w:eastAsia="Times New Roman"/>
          <w:sz w:val="24"/>
          <w:szCs w:val="24"/>
        </w:rPr>
        <w:lastRenderedPageBreak/>
        <w:t xml:space="preserve">future offending because they were not strong risk factors for the present sample. Future research should </w:t>
      </w:r>
      <w:r>
        <w:rPr>
          <w:rFonts w:eastAsia="Times New Roman"/>
          <w:sz w:val="24"/>
          <w:szCs w:val="24"/>
        </w:rPr>
        <w:t>consider utilising a sample of involuntarily psychiatric patients to understand whether the same risk factors apply to more dangerous patients.</w:t>
      </w:r>
    </w:p>
    <w:p w:rsidR="00256EA3" w:rsidRDefault="00256EA3">
      <w:pPr>
        <w:spacing w:line="68" w:lineRule="exact"/>
        <w:rPr>
          <w:sz w:val="20"/>
          <w:szCs w:val="20"/>
        </w:rPr>
      </w:pPr>
    </w:p>
    <w:p w:rsidR="00256EA3" w:rsidRDefault="009057A0">
      <w:pPr>
        <w:spacing w:line="485" w:lineRule="auto"/>
        <w:ind w:right="20" w:firstLine="720"/>
        <w:jc w:val="both"/>
        <w:rPr>
          <w:sz w:val="20"/>
          <w:szCs w:val="20"/>
        </w:rPr>
      </w:pPr>
      <w:r>
        <w:rPr>
          <w:rFonts w:eastAsia="Times New Roman"/>
          <w:sz w:val="24"/>
          <w:szCs w:val="24"/>
        </w:rPr>
        <w:t>A secondary limitation is the operationalization of future criminal behaviour. Using number of prior arrests to</w:t>
      </w:r>
      <w:r>
        <w:rPr>
          <w:rFonts w:eastAsia="Times New Roman"/>
          <w:sz w:val="24"/>
          <w:szCs w:val="24"/>
        </w:rPr>
        <w:t xml:space="preserve"> measure criminal behaviour is flawed as it fails to identify whether the conviction was of a violent, sexual or other nature, all of which have different risk factors. Low intelligence, for example, has been found to predict sexual recidivism more so than</w:t>
      </w:r>
      <w:r>
        <w:rPr>
          <w:rFonts w:eastAsia="Times New Roman"/>
          <w:sz w:val="24"/>
          <w:szCs w:val="24"/>
        </w:rPr>
        <w:t xml:space="preserve"> violent recidivism (Beggs &amp; Grace, 2008). It would be beneficial to classify type of conviction alongside the measure of prior arrests in order to understand relationship between the variables for different type of offending.</w:t>
      </w:r>
    </w:p>
    <w:p w:rsidR="00256EA3" w:rsidRDefault="00256EA3">
      <w:pPr>
        <w:spacing w:line="80" w:lineRule="exact"/>
        <w:rPr>
          <w:sz w:val="20"/>
          <w:szCs w:val="20"/>
        </w:rPr>
      </w:pPr>
    </w:p>
    <w:p w:rsidR="00256EA3" w:rsidRDefault="009057A0">
      <w:pPr>
        <w:spacing w:line="487" w:lineRule="auto"/>
        <w:ind w:firstLine="720"/>
        <w:jc w:val="both"/>
        <w:rPr>
          <w:sz w:val="20"/>
          <w:szCs w:val="20"/>
        </w:rPr>
      </w:pPr>
      <w:r>
        <w:rPr>
          <w:rFonts w:eastAsia="Times New Roman"/>
          <w:sz w:val="24"/>
          <w:szCs w:val="24"/>
        </w:rPr>
        <w:t>Finally, the regression mode</w:t>
      </w:r>
      <w:r>
        <w:rPr>
          <w:rFonts w:eastAsia="Times New Roman"/>
          <w:sz w:val="24"/>
          <w:szCs w:val="24"/>
        </w:rPr>
        <w:t>l used implies that the influence of particular risk factors on potential criminal behaviour is uniform across all individuals within a civil psychiatric population. Different disorders have very different characteristics, so future research should conside</w:t>
      </w:r>
      <w:r>
        <w:rPr>
          <w:rFonts w:eastAsia="Times New Roman"/>
          <w:sz w:val="24"/>
          <w:szCs w:val="24"/>
        </w:rPr>
        <w:t>r the validity of this model with regards to specific disorders. This will help to build a framework of how best to manage offending in psychiatric populations.</w:t>
      </w:r>
    </w:p>
    <w:p w:rsidR="00256EA3" w:rsidRDefault="00256EA3">
      <w:pPr>
        <w:spacing w:line="75" w:lineRule="exact"/>
        <w:rPr>
          <w:sz w:val="20"/>
          <w:szCs w:val="20"/>
        </w:rPr>
      </w:pPr>
    </w:p>
    <w:p w:rsidR="00256EA3" w:rsidRDefault="009057A0">
      <w:pPr>
        <w:rPr>
          <w:sz w:val="20"/>
          <w:szCs w:val="20"/>
        </w:rPr>
      </w:pPr>
      <w:r>
        <w:rPr>
          <w:rFonts w:eastAsia="Times New Roman"/>
          <w:b/>
          <w:bCs/>
          <w:sz w:val="24"/>
          <w:szCs w:val="24"/>
        </w:rPr>
        <w:t>Conclusion</w:t>
      </w:r>
    </w:p>
    <w:p w:rsidR="00256EA3" w:rsidRDefault="00256EA3">
      <w:pPr>
        <w:spacing w:line="280" w:lineRule="exact"/>
        <w:rPr>
          <w:sz w:val="20"/>
          <w:szCs w:val="20"/>
        </w:rPr>
      </w:pPr>
    </w:p>
    <w:p w:rsidR="00256EA3" w:rsidRDefault="009057A0">
      <w:pPr>
        <w:spacing w:line="484" w:lineRule="auto"/>
        <w:ind w:firstLine="720"/>
        <w:jc w:val="both"/>
        <w:rPr>
          <w:sz w:val="20"/>
          <w:szCs w:val="20"/>
        </w:rPr>
      </w:pPr>
      <w:r>
        <w:rPr>
          <w:rFonts w:eastAsia="Times New Roman"/>
          <w:sz w:val="24"/>
          <w:szCs w:val="24"/>
        </w:rPr>
        <w:t>Present findings suggest that, in contrast to findings from previous research cond</w:t>
      </w:r>
      <w:r>
        <w:rPr>
          <w:rFonts w:eastAsia="Times New Roman"/>
          <w:sz w:val="24"/>
          <w:szCs w:val="24"/>
        </w:rPr>
        <w:t>ucted on offender samples, impulsivity and intelligence fail to predict criminal behaviour in a civil psychiatric sample unless they are considered alongside psychopathy. This has notable implications for risk assessment in psychiatric institutions as resu</w:t>
      </w:r>
      <w:r>
        <w:rPr>
          <w:rFonts w:eastAsia="Times New Roman"/>
          <w:sz w:val="24"/>
          <w:szCs w:val="24"/>
        </w:rPr>
        <w:t>lts suggest that, given its ability to predict offending behaviour of civil psychiatric patients, psychopathy should be integrated into the risk assessment and management for all psychiatric patients. The model proposed here offers the practitioner or prac</w:t>
      </w:r>
      <w:r>
        <w:rPr>
          <w:rFonts w:eastAsia="Times New Roman"/>
          <w:sz w:val="24"/>
          <w:szCs w:val="24"/>
        </w:rPr>
        <w:t>titioner valuable insights into how, in what ways, and to what extent different background characteristics, psychopathic tendencies and</w:t>
      </w:r>
    </w:p>
    <w:p w:rsidR="00256EA3" w:rsidRDefault="00256EA3">
      <w:pPr>
        <w:spacing w:line="200" w:lineRule="exact"/>
        <w:rPr>
          <w:sz w:val="20"/>
          <w:szCs w:val="20"/>
        </w:rPr>
      </w:pPr>
    </w:p>
    <w:p w:rsidR="00256EA3" w:rsidRDefault="00256EA3">
      <w:pPr>
        <w:spacing w:line="328" w:lineRule="exact"/>
        <w:rPr>
          <w:sz w:val="20"/>
          <w:szCs w:val="20"/>
        </w:rPr>
      </w:pPr>
    </w:p>
    <w:p w:rsidR="00256EA3" w:rsidRDefault="009057A0">
      <w:pPr>
        <w:ind w:left="8800"/>
        <w:rPr>
          <w:sz w:val="20"/>
          <w:szCs w:val="20"/>
        </w:rPr>
      </w:pPr>
      <w:r>
        <w:rPr>
          <w:rFonts w:eastAsia="Times New Roman"/>
        </w:rPr>
        <w:t>17</w:t>
      </w:r>
    </w:p>
    <w:p w:rsidR="00256EA3" w:rsidRDefault="00256EA3">
      <w:pPr>
        <w:sectPr w:rsidR="00256EA3">
          <w:pgSz w:w="11900" w:h="16840"/>
          <w:pgMar w:top="1420" w:right="1424" w:bottom="431" w:left="1440" w:header="0" w:footer="0" w:gutter="0"/>
          <w:cols w:space="720" w:equalWidth="0">
            <w:col w:w="9040"/>
          </w:cols>
        </w:sectPr>
      </w:pPr>
    </w:p>
    <w:p w:rsidR="00256EA3" w:rsidRDefault="009057A0">
      <w:pPr>
        <w:spacing w:line="511" w:lineRule="auto"/>
        <w:ind w:right="4"/>
        <w:jc w:val="both"/>
        <w:rPr>
          <w:sz w:val="20"/>
          <w:szCs w:val="20"/>
        </w:rPr>
      </w:pPr>
      <w:bookmarkStart w:id="18" w:name="page19"/>
      <w:bookmarkEnd w:id="18"/>
      <w:r>
        <w:rPr>
          <w:rFonts w:eastAsia="Times New Roman"/>
          <w:sz w:val="24"/>
          <w:szCs w:val="24"/>
        </w:rPr>
        <w:lastRenderedPageBreak/>
        <w:t>attributes might combine in order to increase offending risk. As such, it offers a means of der</w:t>
      </w:r>
      <w:r>
        <w:rPr>
          <w:rFonts w:eastAsia="Times New Roman"/>
          <w:sz w:val="24"/>
          <w:szCs w:val="24"/>
        </w:rPr>
        <w:t>iving informed estimates of offending potential in any psychiatric population.</w: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55" w:lineRule="exact"/>
        <w:rPr>
          <w:sz w:val="20"/>
          <w:szCs w:val="20"/>
        </w:rPr>
      </w:pPr>
    </w:p>
    <w:p w:rsidR="00256EA3" w:rsidRDefault="009057A0">
      <w:pPr>
        <w:ind w:right="4"/>
        <w:jc w:val="center"/>
        <w:rPr>
          <w:sz w:val="20"/>
          <w:szCs w:val="20"/>
        </w:rPr>
      </w:pPr>
      <w:r>
        <w:rPr>
          <w:rFonts w:eastAsia="Times New Roman"/>
          <w:b/>
          <w:bCs/>
          <w:sz w:val="24"/>
          <w:szCs w:val="24"/>
        </w:rPr>
        <w:t>References</w:t>
      </w:r>
    </w:p>
    <w:p w:rsidR="00256EA3" w:rsidRDefault="00256EA3">
      <w:pPr>
        <w:spacing w:line="200" w:lineRule="exact"/>
        <w:rPr>
          <w:sz w:val="20"/>
          <w:szCs w:val="20"/>
        </w:rPr>
      </w:pPr>
    </w:p>
    <w:p w:rsidR="00256EA3" w:rsidRDefault="00256EA3">
      <w:pPr>
        <w:spacing w:line="276" w:lineRule="exact"/>
        <w:rPr>
          <w:sz w:val="20"/>
          <w:szCs w:val="20"/>
        </w:rPr>
      </w:pPr>
    </w:p>
    <w:p w:rsidR="00256EA3" w:rsidRDefault="009057A0">
      <w:pPr>
        <w:spacing w:line="514" w:lineRule="auto"/>
        <w:ind w:right="4" w:firstLine="720"/>
        <w:jc w:val="both"/>
        <w:rPr>
          <w:sz w:val="20"/>
          <w:szCs w:val="20"/>
        </w:rPr>
      </w:pPr>
      <w:r>
        <w:rPr>
          <w:rFonts w:eastAsia="Times New Roman"/>
          <w:sz w:val="24"/>
          <w:szCs w:val="24"/>
        </w:rPr>
        <w:t xml:space="preserve">American Psychiatric Association. (2000), </w:t>
      </w:r>
      <w:r>
        <w:rPr>
          <w:rFonts w:eastAsia="Times New Roman"/>
          <w:i/>
          <w:iCs/>
          <w:sz w:val="24"/>
          <w:szCs w:val="24"/>
        </w:rPr>
        <w:t>Diagnostic and Statistical Manual of</w:t>
      </w:r>
      <w:r>
        <w:rPr>
          <w:rFonts w:eastAsia="Times New Roman"/>
          <w:sz w:val="24"/>
          <w:szCs w:val="24"/>
        </w:rPr>
        <w:t xml:space="preserve"> </w:t>
      </w:r>
      <w:r>
        <w:rPr>
          <w:rFonts w:eastAsia="Times New Roman"/>
          <w:i/>
          <w:iCs/>
          <w:sz w:val="24"/>
          <w:szCs w:val="24"/>
        </w:rPr>
        <w:t xml:space="preserve">Mental Disorders </w:t>
      </w:r>
      <w:r>
        <w:rPr>
          <w:rFonts w:eastAsia="Times New Roman"/>
          <w:sz w:val="24"/>
          <w:szCs w:val="24"/>
        </w:rPr>
        <w:t>(4th ed., text rev.), Washington, DC.</w:t>
      </w:r>
    </w:p>
    <w:p w:rsidR="00256EA3" w:rsidRDefault="00256EA3">
      <w:pPr>
        <w:spacing w:line="125"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 xml:space="preserve">Bate, C., Boduszek, D., Dhingra, K., &amp; Bale, C. (2014). “Psychopathy, Intelligence and Emotional Response in a Non-Forensic Sample: An Experimental Investigation”, </w:t>
      </w:r>
      <w:r>
        <w:rPr>
          <w:rFonts w:eastAsia="Times New Roman"/>
          <w:i/>
          <w:iCs/>
          <w:sz w:val="24"/>
          <w:szCs w:val="24"/>
        </w:rPr>
        <w:t>Journal</w:t>
      </w:r>
      <w:r>
        <w:rPr>
          <w:rFonts w:eastAsia="Times New Roman"/>
          <w:sz w:val="24"/>
          <w:szCs w:val="24"/>
        </w:rPr>
        <w:t xml:space="preserve"> </w:t>
      </w:r>
      <w:r>
        <w:rPr>
          <w:rFonts w:eastAsia="Times New Roman"/>
          <w:i/>
          <w:iCs/>
          <w:sz w:val="24"/>
          <w:szCs w:val="24"/>
        </w:rPr>
        <w:t xml:space="preserve">of Forensic Psychiatry and Psychology, </w:t>
      </w:r>
      <w:r>
        <w:rPr>
          <w:rFonts w:eastAsia="Times New Roman"/>
          <w:sz w:val="24"/>
          <w:szCs w:val="24"/>
        </w:rPr>
        <w:t>Vol. 25 No. 5, pp. 600-612</w:t>
      </w:r>
    </w:p>
    <w:p w:rsidR="00256EA3" w:rsidRDefault="00256EA3">
      <w:pPr>
        <w:spacing w:line="149"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Beggs, S. M., and</w:t>
      </w:r>
      <w:r>
        <w:rPr>
          <w:rFonts w:eastAsia="Times New Roman"/>
          <w:sz w:val="24"/>
          <w:szCs w:val="24"/>
        </w:rPr>
        <w:t xml:space="preserve"> Grace, R. C, (2008), "Psychopathy, intelligence, and recidivism in child molesters. Evidence of an interaction effect", </w:t>
      </w:r>
      <w:r>
        <w:rPr>
          <w:rFonts w:eastAsia="Times New Roman"/>
          <w:i/>
          <w:iCs/>
          <w:sz w:val="24"/>
          <w:szCs w:val="24"/>
        </w:rPr>
        <w:t>Criminal Justice and Behavior</w:t>
      </w:r>
      <w:r>
        <w:rPr>
          <w:rFonts w:eastAsia="Times New Roman"/>
          <w:sz w:val="24"/>
          <w:szCs w:val="24"/>
        </w:rPr>
        <w:t>, Vol. 35, pp. 683–695.</w:t>
      </w:r>
    </w:p>
    <w:p w:rsidR="00256EA3" w:rsidRDefault="00256EA3">
      <w:pPr>
        <w:spacing w:line="184" w:lineRule="exact"/>
        <w:rPr>
          <w:sz w:val="20"/>
          <w:szCs w:val="20"/>
        </w:rPr>
      </w:pPr>
    </w:p>
    <w:p w:rsidR="00256EA3" w:rsidRDefault="009057A0">
      <w:pPr>
        <w:ind w:left="720"/>
        <w:rPr>
          <w:sz w:val="20"/>
          <w:szCs w:val="20"/>
        </w:rPr>
      </w:pPr>
      <w:r>
        <w:rPr>
          <w:rFonts w:eastAsia="Times New Roman"/>
          <w:sz w:val="24"/>
          <w:szCs w:val="24"/>
        </w:rPr>
        <w:t xml:space="preserve">Cleckley, H. (1941), </w:t>
      </w:r>
      <w:r>
        <w:rPr>
          <w:rFonts w:eastAsia="Times New Roman"/>
          <w:i/>
          <w:iCs/>
          <w:sz w:val="24"/>
          <w:szCs w:val="24"/>
        </w:rPr>
        <w:t>The mask of Sanity</w:t>
      </w:r>
      <w:r>
        <w:rPr>
          <w:rFonts w:eastAsia="Times New Roman"/>
          <w:sz w:val="24"/>
          <w:szCs w:val="24"/>
        </w:rPr>
        <w:t>. Mosby, St. Louis, MO.</w:t>
      </w:r>
    </w:p>
    <w:p w:rsidR="00256EA3" w:rsidRDefault="00256EA3">
      <w:pPr>
        <w:spacing w:line="200" w:lineRule="exact"/>
        <w:rPr>
          <w:sz w:val="20"/>
          <w:szCs w:val="20"/>
        </w:rPr>
      </w:pPr>
    </w:p>
    <w:p w:rsidR="00256EA3" w:rsidRDefault="00256EA3">
      <w:pPr>
        <w:spacing w:line="320"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Coid, J., Ullric</w:t>
      </w:r>
      <w:r>
        <w:rPr>
          <w:rFonts w:eastAsia="Times New Roman"/>
          <w:sz w:val="24"/>
          <w:szCs w:val="24"/>
        </w:rPr>
        <w:t xml:space="preserve">h, S., Yang, M., Ullrich, S., Roberts, A., and Hare, R. (2009), "Prevalence and correlates of psychopathic traits in a household population", </w:t>
      </w:r>
      <w:r>
        <w:rPr>
          <w:rFonts w:eastAsia="Times New Roman"/>
          <w:i/>
          <w:iCs/>
          <w:sz w:val="24"/>
          <w:szCs w:val="24"/>
        </w:rPr>
        <w:t>International</w:t>
      </w:r>
      <w:r>
        <w:rPr>
          <w:rFonts w:eastAsia="Times New Roman"/>
          <w:sz w:val="24"/>
          <w:szCs w:val="24"/>
        </w:rPr>
        <w:t xml:space="preserve"> </w:t>
      </w:r>
      <w:r>
        <w:rPr>
          <w:rFonts w:eastAsia="Times New Roman"/>
          <w:i/>
          <w:iCs/>
          <w:sz w:val="24"/>
          <w:szCs w:val="24"/>
        </w:rPr>
        <w:t xml:space="preserve">Journal of Law and Psychiatry, </w:t>
      </w:r>
      <w:r>
        <w:rPr>
          <w:rFonts w:eastAsia="Times New Roman"/>
          <w:sz w:val="24"/>
          <w:szCs w:val="24"/>
        </w:rPr>
        <w:t>Vol. 32, pp. 65-73.</w:t>
      </w:r>
    </w:p>
    <w:p w:rsidR="00256EA3" w:rsidRDefault="00256EA3">
      <w:pPr>
        <w:spacing w:line="188"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 xml:space="preserve">Cooke, D. J., Michie, C., Hart, S. D., and Clark, D. (2005), "Assessing psychopathy in the UK: Concerns about cross-cultural generalizability", </w:t>
      </w:r>
      <w:r>
        <w:rPr>
          <w:rFonts w:eastAsia="Times New Roman"/>
          <w:i/>
          <w:iCs/>
          <w:sz w:val="24"/>
          <w:szCs w:val="24"/>
        </w:rPr>
        <w:t>The British Journal of Psychiatry</w:t>
      </w:r>
      <w:r>
        <w:rPr>
          <w:rFonts w:eastAsia="Times New Roman"/>
          <w:sz w:val="24"/>
          <w:szCs w:val="24"/>
        </w:rPr>
        <w:t>, Vol. 186 No. 4, pp. 335-341.</w:t>
      </w:r>
    </w:p>
    <w:p w:rsidR="00256EA3" w:rsidRDefault="00256EA3">
      <w:pPr>
        <w:spacing w:line="188" w:lineRule="exact"/>
        <w:rPr>
          <w:sz w:val="20"/>
          <w:szCs w:val="20"/>
        </w:rPr>
      </w:pPr>
    </w:p>
    <w:p w:rsidR="00256EA3" w:rsidRDefault="009057A0">
      <w:pPr>
        <w:ind w:left="720"/>
        <w:rPr>
          <w:sz w:val="20"/>
          <w:szCs w:val="20"/>
        </w:rPr>
      </w:pPr>
      <w:r>
        <w:rPr>
          <w:rFonts w:eastAsia="Times New Roman"/>
          <w:sz w:val="24"/>
          <w:szCs w:val="24"/>
        </w:rPr>
        <w:t xml:space="preserve">Corr, P. (2010), "The psychoticism-psychopathy </w:t>
      </w:r>
      <w:r>
        <w:rPr>
          <w:rFonts w:eastAsia="Times New Roman"/>
          <w:sz w:val="24"/>
          <w:szCs w:val="24"/>
        </w:rPr>
        <w:t>continuum: A neuropsychological</w:t>
      </w:r>
    </w:p>
    <w:p w:rsidR="00256EA3" w:rsidRDefault="00256EA3">
      <w:pPr>
        <w:spacing w:line="200" w:lineRule="exact"/>
        <w:rPr>
          <w:sz w:val="20"/>
          <w:szCs w:val="20"/>
        </w:rPr>
      </w:pPr>
    </w:p>
    <w:p w:rsidR="00256EA3" w:rsidRDefault="00256EA3">
      <w:pPr>
        <w:spacing w:line="269" w:lineRule="exact"/>
        <w:rPr>
          <w:sz w:val="20"/>
          <w:szCs w:val="20"/>
        </w:rPr>
      </w:pPr>
    </w:p>
    <w:p w:rsidR="00256EA3" w:rsidRDefault="009057A0">
      <w:pPr>
        <w:ind w:left="8800"/>
        <w:rPr>
          <w:sz w:val="20"/>
          <w:szCs w:val="20"/>
        </w:rPr>
      </w:pPr>
      <w:r>
        <w:rPr>
          <w:rFonts w:eastAsia="Times New Roman"/>
        </w:rPr>
        <w:t>18</w:t>
      </w:r>
    </w:p>
    <w:p w:rsidR="00256EA3" w:rsidRDefault="00256EA3">
      <w:pPr>
        <w:sectPr w:rsidR="00256EA3">
          <w:pgSz w:w="11900" w:h="16840"/>
          <w:pgMar w:top="1420" w:right="1440" w:bottom="431" w:left="1440" w:header="0" w:footer="0" w:gutter="0"/>
          <w:cols w:space="720" w:equalWidth="0">
            <w:col w:w="9024"/>
          </w:cols>
        </w:sectPr>
      </w:pPr>
    </w:p>
    <w:p w:rsidR="00256EA3" w:rsidRDefault="009057A0">
      <w:pPr>
        <w:rPr>
          <w:sz w:val="20"/>
          <w:szCs w:val="20"/>
        </w:rPr>
      </w:pPr>
      <w:bookmarkStart w:id="19" w:name="page20"/>
      <w:bookmarkEnd w:id="19"/>
      <w:r>
        <w:rPr>
          <w:rFonts w:eastAsia="Times New Roman"/>
          <w:sz w:val="24"/>
          <w:szCs w:val="24"/>
        </w:rPr>
        <w:lastRenderedPageBreak/>
        <w:t xml:space="preserve">model of core deficits", </w:t>
      </w:r>
      <w:r>
        <w:rPr>
          <w:rFonts w:eastAsia="Times New Roman"/>
          <w:i/>
          <w:iCs/>
          <w:sz w:val="24"/>
          <w:szCs w:val="24"/>
        </w:rPr>
        <w:t>Personality and Individual Differences</w:t>
      </w:r>
      <w:r>
        <w:rPr>
          <w:rFonts w:eastAsia="Times New Roman"/>
          <w:sz w:val="24"/>
          <w:szCs w:val="24"/>
        </w:rPr>
        <w:t>, Vol. 48 No. 6, pp. 695–703.</w:t>
      </w:r>
    </w:p>
    <w:p w:rsidR="00256EA3" w:rsidRDefault="00256EA3">
      <w:pPr>
        <w:spacing w:line="200" w:lineRule="exact"/>
        <w:rPr>
          <w:sz w:val="20"/>
          <w:szCs w:val="20"/>
        </w:rPr>
      </w:pPr>
    </w:p>
    <w:p w:rsidR="00256EA3" w:rsidRDefault="00256EA3">
      <w:pPr>
        <w:spacing w:line="320"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Dhingra, K. and Boduszek, D. (2013), "Psychopathy and criminal behaviour: A psychosocial research perspect</w:t>
      </w:r>
      <w:r>
        <w:rPr>
          <w:rFonts w:eastAsia="Times New Roman"/>
          <w:sz w:val="24"/>
          <w:szCs w:val="24"/>
        </w:rPr>
        <w:t xml:space="preserve">ive", </w:t>
      </w:r>
      <w:r>
        <w:rPr>
          <w:rFonts w:eastAsia="Times New Roman"/>
          <w:i/>
          <w:iCs/>
          <w:sz w:val="24"/>
          <w:szCs w:val="24"/>
        </w:rPr>
        <w:t>Journal of Criminal Psychology,</w:t>
      </w:r>
      <w:r>
        <w:rPr>
          <w:rFonts w:eastAsia="Times New Roman"/>
          <w:sz w:val="24"/>
          <w:szCs w:val="24"/>
        </w:rPr>
        <w:t xml:space="preserve"> Vol. 3 No. 2, pp. 83-107.</w:t>
      </w:r>
    </w:p>
    <w:p w:rsidR="00256EA3" w:rsidRDefault="00256EA3">
      <w:pPr>
        <w:spacing w:line="188" w:lineRule="exact"/>
        <w:rPr>
          <w:sz w:val="20"/>
          <w:szCs w:val="20"/>
        </w:rPr>
      </w:pPr>
    </w:p>
    <w:p w:rsidR="00256EA3" w:rsidRDefault="009057A0">
      <w:pPr>
        <w:spacing w:line="490" w:lineRule="auto"/>
        <w:ind w:right="4" w:firstLine="720"/>
        <w:jc w:val="both"/>
        <w:rPr>
          <w:sz w:val="20"/>
          <w:szCs w:val="20"/>
        </w:rPr>
      </w:pPr>
      <w:r>
        <w:rPr>
          <w:rFonts w:eastAsia="Times New Roman"/>
          <w:sz w:val="24"/>
          <w:szCs w:val="24"/>
        </w:rPr>
        <w:t>Douglas, K. S., Strand, S., Belfrage, H., Fransson, G., and Levander, S. (2005), "Reliability and validity evaluation of the Psychopathy Checklist: Screening Version (PCL: SV) in Swedish corr</w:t>
      </w:r>
      <w:r>
        <w:rPr>
          <w:rFonts w:eastAsia="Times New Roman"/>
          <w:sz w:val="24"/>
          <w:szCs w:val="24"/>
        </w:rPr>
        <w:t xml:space="preserve">ectional and forensic psychiatric samples", </w:t>
      </w:r>
      <w:r>
        <w:rPr>
          <w:rFonts w:eastAsia="Times New Roman"/>
          <w:i/>
          <w:iCs/>
          <w:sz w:val="24"/>
          <w:szCs w:val="24"/>
        </w:rPr>
        <w:t>Assessment</w:t>
      </w:r>
      <w:r>
        <w:rPr>
          <w:rFonts w:eastAsia="Times New Roman"/>
          <w:sz w:val="24"/>
          <w:szCs w:val="24"/>
        </w:rPr>
        <w:t>, Vol. 12 No. 2, pp. 145-161.</w:t>
      </w:r>
    </w:p>
    <w:p w:rsidR="00256EA3" w:rsidRDefault="00256EA3">
      <w:pPr>
        <w:spacing w:line="190" w:lineRule="exact"/>
        <w:rPr>
          <w:sz w:val="20"/>
          <w:szCs w:val="20"/>
        </w:rPr>
      </w:pPr>
    </w:p>
    <w:p w:rsidR="00256EA3" w:rsidRDefault="009057A0">
      <w:pPr>
        <w:spacing w:line="514" w:lineRule="auto"/>
        <w:ind w:right="4" w:firstLine="720"/>
        <w:jc w:val="both"/>
        <w:rPr>
          <w:sz w:val="20"/>
          <w:szCs w:val="20"/>
        </w:rPr>
      </w:pPr>
      <w:r>
        <w:rPr>
          <w:rFonts w:eastAsia="Times New Roman"/>
          <w:sz w:val="24"/>
          <w:szCs w:val="24"/>
        </w:rPr>
        <w:t xml:space="preserve">Enticott, P. G., and Ogloff, J. R. (2011), "Elucidation of impulsivity", </w:t>
      </w:r>
      <w:r>
        <w:rPr>
          <w:rFonts w:eastAsia="Times New Roman"/>
          <w:i/>
          <w:iCs/>
          <w:sz w:val="24"/>
          <w:szCs w:val="24"/>
        </w:rPr>
        <w:t>Australian</w:t>
      </w:r>
      <w:r>
        <w:rPr>
          <w:rFonts w:eastAsia="Times New Roman"/>
          <w:sz w:val="24"/>
          <w:szCs w:val="24"/>
        </w:rPr>
        <w:t xml:space="preserve"> </w:t>
      </w:r>
      <w:r>
        <w:rPr>
          <w:rFonts w:eastAsia="Times New Roman"/>
          <w:i/>
          <w:iCs/>
          <w:sz w:val="24"/>
          <w:szCs w:val="24"/>
        </w:rPr>
        <w:t>Psychologist</w:t>
      </w:r>
      <w:r>
        <w:rPr>
          <w:rFonts w:eastAsia="Times New Roman"/>
          <w:sz w:val="24"/>
          <w:szCs w:val="24"/>
        </w:rPr>
        <w:t>, Vol. 41, pp. 3–14.</w:t>
      </w:r>
    </w:p>
    <w:p w:rsidR="00256EA3" w:rsidRDefault="00256EA3">
      <w:pPr>
        <w:spacing w:line="166"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Edens, J. F., and McDermott, B. E. (2010), "Examining</w:t>
      </w:r>
      <w:r>
        <w:rPr>
          <w:rFonts w:eastAsia="Times New Roman"/>
          <w:sz w:val="24"/>
          <w:szCs w:val="24"/>
        </w:rPr>
        <w:t xml:space="preserve"> the construct validity of the psychopathic personality inventory-revised: Preferential correlates of fearless dominance and self-centered impulsivity", </w:t>
      </w:r>
      <w:r>
        <w:rPr>
          <w:rFonts w:eastAsia="Times New Roman"/>
          <w:i/>
          <w:iCs/>
          <w:sz w:val="24"/>
          <w:szCs w:val="24"/>
        </w:rPr>
        <w:t>Psychological Assessment</w:t>
      </w:r>
      <w:r>
        <w:rPr>
          <w:rFonts w:eastAsia="Times New Roman"/>
          <w:sz w:val="24"/>
          <w:szCs w:val="24"/>
        </w:rPr>
        <w:t>, Vol. 22 No. 1, pp. 32–42.</w:t>
      </w:r>
    </w:p>
    <w:p w:rsidR="00256EA3" w:rsidRDefault="00256EA3">
      <w:pPr>
        <w:spacing w:line="187"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Farrington, D. (1997), "</w:t>
      </w:r>
      <w:r>
        <w:rPr>
          <w:rFonts w:eastAsia="Times New Roman"/>
          <w:sz w:val="24"/>
          <w:szCs w:val="24"/>
        </w:rPr>
        <w:t xml:space="preserve">Human development and criminal careers", in N. Maguire, R. Morgan and R. Reiner (Eds.), </w:t>
      </w:r>
      <w:r>
        <w:rPr>
          <w:rFonts w:eastAsia="Times New Roman"/>
          <w:i/>
          <w:iCs/>
          <w:sz w:val="24"/>
          <w:szCs w:val="24"/>
        </w:rPr>
        <w:t>The Oxford Handbook of Criminology</w:t>
      </w:r>
      <w:r>
        <w:rPr>
          <w:rFonts w:eastAsia="Times New Roman"/>
          <w:sz w:val="24"/>
          <w:szCs w:val="24"/>
        </w:rPr>
        <w:t>, Oxford University Press, Oxford, pp. 361-408.</w:t>
      </w:r>
    </w:p>
    <w:p w:rsidR="00256EA3" w:rsidRDefault="00256EA3">
      <w:pPr>
        <w:spacing w:line="188" w:lineRule="exact"/>
        <w:rPr>
          <w:sz w:val="20"/>
          <w:szCs w:val="20"/>
        </w:rPr>
      </w:pPr>
    </w:p>
    <w:p w:rsidR="00256EA3" w:rsidRDefault="009057A0">
      <w:pPr>
        <w:spacing w:line="511" w:lineRule="auto"/>
        <w:ind w:right="4" w:firstLine="720"/>
        <w:jc w:val="both"/>
        <w:rPr>
          <w:sz w:val="20"/>
          <w:szCs w:val="20"/>
        </w:rPr>
      </w:pPr>
      <w:r>
        <w:rPr>
          <w:rFonts w:eastAsia="Times New Roman"/>
          <w:sz w:val="24"/>
          <w:szCs w:val="24"/>
        </w:rPr>
        <w:t>Gendreau, P., Little, T., and Goggin, C. (1996), "A meta-anlaysis of the predictors o</w:t>
      </w:r>
      <w:r>
        <w:rPr>
          <w:rFonts w:eastAsia="Times New Roman"/>
          <w:sz w:val="24"/>
          <w:szCs w:val="24"/>
        </w:rPr>
        <w:t xml:space="preserve">f adult offender recidivism: What works!", </w:t>
      </w:r>
      <w:r>
        <w:rPr>
          <w:rFonts w:eastAsia="Times New Roman"/>
          <w:i/>
          <w:iCs/>
          <w:sz w:val="24"/>
          <w:szCs w:val="24"/>
        </w:rPr>
        <w:t>Criminology,</w:t>
      </w:r>
      <w:r>
        <w:rPr>
          <w:rFonts w:eastAsia="Times New Roman"/>
          <w:sz w:val="24"/>
          <w:szCs w:val="24"/>
        </w:rPr>
        <w:t xml:space="preserve"> Vol. 34 No. 4, pp. 575-608.</w:t>
      </w:r>
    </w:p>
    <w:p w:rsidR="00256EA3" w:rsidRDefault="00256EA3">
      <w:pPr>
        <w:spacing w:line="169" w:lineRule="exact"/>
        <w:rPr>
          <w:sz w:val="20"/>
          <w:szCs w:val="20"/>
        </w:rPr>
      </w:pPr>
    </w:p>
    <w:p w:rsidR="00256EA3" w:rsidRDefault="009057A0">
      <w:pPr>
        <w:spacing w:line="511" w:lineRule="auto"/>
        <w:ind w:right="4" w:firstLine="720"/>
        <w:jc w:val="both"/>
        <w:rPr>
          <w:sz w:val="20"/>
          <w:szCs w:val="20"/>
        </w:rPr>
      </w:pPr>
      <w:r>
        <w:rPr>
          <w:rFonts w:eastAsia="Times New Roman"/>
          <w:sz w:val="24"/>
          <w:szCs w:val="24"/>
        </w:rPr>
        <w:t xml:space="preserve">Gray, J. A. (1987), "Perspectives on anxiety and impulsivity: A commentary", </w:t>
      </w:r>
      <w:r>
        <w:rPr>
          <w:rFonts w:eastAsia="Times New Roman"/>
          <w:i/>
          <w:iCs/>
          <w:sz w:val="24"/>
          <w:szCs w:val="24"/>
        </w:rPr>
        <w:t>Journal of Research in Personality</w:t>
      </w:r>
      <w:r>
        <w:rPr>
          <w:rFonts w:eastAsia="Times New Roman"/>
          <w:sz w:val="24"/>
          <w:szCs w:val="24"/>
        </w:rPr>
        <w:t>, Vol. 21 No. 4, pp. 493–509.</w:t>
      </w:r>
    </w:p>
    <w:p w:rsidR="00256EA3" w:rsidRDefault="00256EA3">
      <w:pPr>
        <w:spacing w:line="169" w:lineRule="exact"/>
        <w:rPr>
          <w:sz w:val="20"/>
          <w:szCs w:val="20"/>
        </w:rPr>
      </w:pPr>
    </w:p>
    <w:p w:rsidR="00256EA3" w:rsidRDefault="009057A0">
      <w:pPr>
        <w:spacing w:line="511" w:lineRule="auto"/>
        <w:ind w:right="4" w:firstLine="720"/>
        <w:jc w:val="both"/>
        <w:rPr>
          <w:sz w:val="20"/>
          <w:szCs w:val="20"/>
        </w:rPr>
      </w:pPr>
      <w:r>
        <w:rPr>
          <w:rFonts w:eastAsia="Times New Roman"/>
          <w:sz w:val="24"/>
          <w:szCs w:val="24"/>
        </w:rPr>
        <w:t xml:space="preserve">Guay, J. P., Quimet, M., and </w:t>
      </w:r>
      <w:r>
        <w:rPr>
          <w:rFonts w:eastAsia="Times New Roman"/>
          <w:sz w:val="24"/>
          <w:szCs w:val="24"/>
        </w:rPr>
        <w:t>Proulx, J. (2005), "On intelligence and crime: A comparison of incarcerated sex offenders and serious non-sexual violent criminals",</w:t>
      </w:r>
    </w:p>
    <w:p w:rsidR="00256EA3" w:rsidRDefault="00256EA3">
      <w:pPr>
        <w:spacing w:line="37" w:lineRule="exact"/>
        <w:rPr>
          <w:sz w:val="20"/>
          <w:szCs w:val="20"/>
        </w:rPr>
      </w:pPr>
    </w:p>
    <w:p w:rsidR="00256EA3" w:rsidRDefault="009057A0">
      <w:pPr>
        <w:ind w:left="8800"/>
        <w:rPr>
          <w:sz w:val="20"/>
          <w:szCs w:val="20"/>
        </w:rPr>
      </w:pPr>
      <w:r>
        <w:rPr>
          <w:rFonts w:eastAsia="Times New Roman"/>
        </w:rPr>
        <w:t>19</w:t>
      </w:r>
    </w:p>
    <w:p w:rsidR="00256EA3" w:rsidRDefault="00256EA3">
      <w:pPr>
        <w:sectPr w:rsidR="00256EA3">
          <w:pgSz w:w="11900" w:h="16840"/>
          <w:pgMar w:top="1416" w:right="1440" w:bottom="431" w:left="1440" w:header="0" w:footer="0" w:gutter="0"/>
          <w:cols w:space="720" w:equalWidth="0">
            <w:col w:w="9024"/>
          </w:cols>
        </w:sectPr>
      </w:pPr>
    </w:p>
    <w:p w:rsidR="00256EA3" w:rsidRDefault="009057A0">
      <w:pPr>
        <w:rPr>
          <w:sz w:val="20"/>
          <w:szCs w:val="20"/>
        </w:rPr>
      </w:pPr>
      <w:bookmarkStart w:id="20" w:name="page21"/>
      <w:bookmarkEnd w:id="20"/>
      <w:r>
        <w:rPr>
          <w:rFonts w:eastAsia="Times New Roman"/>
          <w:i/>
          <w:iCs/>
          <w:sz w:val="24"/>
          <w:szCs w:val="24"/>
        </w:rPr>
        <w:lastRenderedPageBreak/>
        <w:t>International Journal of Law and Psychiatry</w:t>
      </w:r>
      <w:r>
        <w:rPr>
          <w:rFonts w:eastAsia="Times New Roman"/>
          <w:sz w:val="24"/>
          <w:szCs w:val="24"/>
        </w:rPr>
        <w:t>, Vol. 28, pp. 405–417.</w:t>
      </w:r>
    </w:p>
    <w:p w:rsidR="00256EA3" w:rsidRDefault="00256EA3">
      <w:pPr>
        <w:spacing w:line="200" w:lineRule="exact"/>
        <w:rPr>
          <w:sz w:val="20"/>
          <w:szCs w:val="20"/>
        </w:rPr>
      </w:pPr>
    </w:p>
    <w:p w:rsidR="00256EA3" w:rsidRDefault="00256EA3">
      <w:pPr>
        <w:spacing w:line="320"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 xml:space="preserve">Halperin, J. M., and Newcorn, J. H. (1998), "Impulsivity and aggression in children with ADHD", in M. Maes, and E. F. Coccaro (Eds.), </w:t>
      </w:r>
      <w:r>
        <w:rPr>
          <w:rFonts w:eastAsia="Times New Roman"/>
          <w:i/>
          <w:iCs/>
          <w:sz w:val="24"/>
          <w:szCs w:val="24"/>
        </w:rPr>
        <w:t>Neurobiology and Clinical Views on</w:t>
      </w:r>
      <w:r>
        <w:rPr>
          <w:rFonts w:eastAsia="Times New Roman"/>
          <w:sz w:val="24"/>
          <w:szCs w:val="24"/>
        </w:rPr>
        <w:t xml:space="preserve"> </w:t>
      </w:r>
      <w:r>
        <w:rPr>
          <w:rFonts w:eastAsia="Times New Roman"/>
          <w:i/>
          <w:iCs/>
          <w:sz w:val="24"/>
          <w:szCs w:val="24"/>
        </w:rPr>
        <w:t>Aggression and Impulsivity</w:t>
      </w:r>
      <w:r>
        <w:rPr>
          <w:rFonts w:eastAsia="Times New Roman"/>
          <w:sz w:val="24"/>
          <w:szCs w:val="24"/>
        </w:rPr>
        <w:t>,Wiley, Chichester, UK, pp. 47–62.</w:t>
      </w:r>
    </w:p>
    <w:p w:rsidR="00256EA3" w:rsidRDefault="00256EA3">
      <w:pPr>
        <w:spacing w:line="184" w:lineRule="exact"/>
        <w:rPr>
          <w:sz w:val="20"/>
          <w:szCs w:val="20"/>
        </w:rPr>
      </w:pPr>
    </w:p>
    <w:p w:rsidR="00256EA3" w:rsidRDefault="009057A0">
      <w:pPr>
        <w:spacing w:line="514" w:lineRule="auto"/>
        <w:ind w:right="4" w:firstLine="720"/>
        <w:jc w:val="both"/>
        <w:rPr>
          <w:sz w:val="20"/>
          <w:szCs w:val="20"/>
        </w:rPr>
      </w:pPr>
      <w:r>
        <w:rPr>
          <w:rFonts w:eastAsia="Times New Roman"/>
          <w:sz w:val="24"/>
          <w:szCs w:val="24"/>
        </w:rPr>
        <w:t xml:space="preserve">Hare, R. (1991), </w:t>
      </w:r>
      <w:r>
        <w:rPr>
          <w:rFonts w:eastAsia="Times New Roman"/>
          <w:i/>
          <w:iCs/>
          <w:sz w:val="24"/>
          <w:szCs w:val="24"/>
        </w:rPr>
        <w:t>The Hare</w:t>
      </w:r>
      <w:r>
        <w:rPr>
          <w:rFonts w:eastAsia="Times New Roman"/>
          <w:i/>
          <w:iCs/>
          <w:sz w:val="24"/>
          <w:szCs w:val="24"/>
        </w:rPr>
        <w:t xml:space="preserve"> Psychopathy Checklist—Revised,</w:t>
      </w:r>
      <w:r>
        <w:rPr>
          <w:rFonts w:eastAsia="Times New Roman"/>
          <w:sz w:val="24"/>
          <w:szCs w:val="24"/>
        </w:rPr>
        <w:t xml:space="preserve"> Multi-Health System, Toronto, Ontario, Canada.</w:t>
      </w:r>
    </w:p>
    <w:p w:rsidR="00256EA3" w:rsidRDefault="00256EA3">
      <w:pPr>
        <w:spacing w:line="162" w:lineRule="exact"/>
        <w:rPr>
          <w:sz w:val="20"/>
          <w:szCs w:val="20"/>
        </w:rPr>
      </w:pPr>
    </w:p>
    <w:p w:rsidR="00256EA3" w:rsidRDefault="009057A0">
      <w:pPr>
        <w:spacing w:line="514" w:lineRule="auto"/>
        <w:ind w:right="4" w:firstLine="720"/>
        <w:jc w:val="both"/>
        <w:rPr>
          <w:sz w:val="20"/>
          <w:szCs w:val="20"/>
        </w:rPr>
      </w:pPr>
      <w:r>
        <w:rPr>
          <w:rFonts w:eastAsia="Times New Roman"/>
          <w:sz w:val="24"/>
          <w:szCs w:val="24"/>
        </w:rPr>
        <w:t xml:space="preserve">Hare, R. D. (2003), </w:t>
      </w:r>
      <w:r>
        <w:rPr>
          <w:rFonts w:eastAsia="Times New Roman"/>
          <w:i/>
          <w:iCs/>
          <w:sz w:val="24"/>
          <w:szCs w:val="24"/>
        </w:rPr>
        <w:t>Manual for the Revised Psychopathy Checklist</w:t>
      </w:r>
      <w:r>
        <w:rPr>
          <w:rFonts w:eastAsia="Times New Roman"/>
          <w:sz w:val="24"/>
          <w:szCs w:val="24"/>
        </w:rPr>
        <w:t xml:space="preserve"> (2nd ed.), Multi-Health Systems, Toronto, ON, Canada.</w:t>
      </w:r>
    </w:p>
    <w:p w:rsidR="00256EA3" w:rsidRDefault="00256EA3">
      <w:pPr>
        <w:spacing w:line="166"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 xml:space="preserve">Hare, R. D., Clark, D., Grann, M., and Thornton, D. (2000), "Psychopathy and the predictive validity of the PCL-R: An international perspective" </w:t>
      </w:r>
      <w:r>
        <w:rPr>
          <w:rFonts w:eastAsia="Times New Roman"/>
          <w:i/>
          <w:iCs/>
          <w:sz w:val="24"/>
          <w:szCs w:val="24"/>
        </w:rPr>
        <w:t>Behavioral Sciences and the</w:t>
      </w:r>
      <w:r>
        <w:rPr>
          <w:rFonts w:eastAsia="Times New Roman"/>
          <w:sz w:val="24"/>
          <w:szCs w:val="24"/>
        </w:rPr>
        <w:t xml:space="preserve"> </w:t>
      </w:r>
      <w:r>
        <w:rPr>
          <w:rFonts w:eastAsia="Times New Roman"/>
          <w:i/>
          <w:iCs/>
          <w:sz w:val="24"/>
          <w:szCs w:val="24"/>
        </w:rPr>
        <w:t xml:space="preserve">Law, </w:t>
      </w:r>
      <w:r>
        <w:rPr>
          <w:rFonts w:eastAsia="Times New Roman"/>
          <w:sz w:val="24"/>
          <w:szCs w:val="24"/>
        </w:rPr>
        <w:t>Vol. 18 No. 5, pp. 623-645.</w:t>
      </w:r>
    </w:p>
    <w:p w:rsidR="00256EA3" w:rsidRDefault="00256EA3">
      <w:pPr>
        <w:spacing w:line="188" w:lineRule="exact"/>
        <w:rPr>
          <w:sz w:val="20"/>
          <w:szCs w:val="20"/>
        </w:rPr>
      </w:pPr>
    </w:p>
    <w:p w:rsidR="00256EA3" w:rsidRDefault="009057A0">
      <w:pPr>
        <w:spacing w:line="511" w:lineRule="auto"/>
        <w:ind w:right="4" w:firstLine="720"/>
        <w:jc w:val="both"/>
        <w:rPr>
          <w:sz w:val="20"/>
          <w:szCs w:val="20"/>
        </w:rPr>
      </w:pPr>
      <w:r>
        <w:rPr>
          <w:rFonts w:eastAsia="Times New Roman"/>
          <w:sz w:val="24"/>
          <w:szCs w:val="24"/>
        </w:rPr>
        <w:t>Hare, R. D., and Neumann, C. S. (2008), "Psychopa</w:t>
      </w:r>
      <w:r>
        <w:rPr>
          <w:rFonts w:eastAsia="Times New Roman"/>
          <w:sz w:val="24"/>
          <w:szCs w:val="24"/>
        </w:rPr>
        <w:t xml:space="preserve">thy as a clinical and empirical construct", </w:t>
      </w:r>
      <w:r>
        <w:rPr>
          <w:rFonts w:eastAsia="Times New Roman"/>
          <w:i/>
          <w:iCs/>
          <w:sz w:val="24"/>
          <w:szCs w:val="24"/>
        </w:rPr>
        <w:t>Annual Review of Clinical Psychology</w:t>
      </w:r>
      <w:r>
        <w:rPr>
          <w:rFonts w:eastAsia="Times New Roman"/>
          <w:sz w:val="24"/>
          <w:szCs w:val="24"/>
        </w:rPr>
        <w:t>, Vol. 4, pp. 217–246.</w:t>
      </w:r>
    </w:p>
    <w:p w:rsidR="00256EA3" w:rsidRDefault="00256EA3">
      <w:pPr>
        <w:spacing w:line="168" w:lineRule="exact"/>
        <w:rPr>
          <w:sz w:val="20"/>
          <w:szCs w:val="20"/>
        </w:rPr>
      </w:pPr>
    </w:p>
    <w:p w:rsidR="00256EA3" w:rsidRDefault="009057A0">
      <w:pPr>
        <w:spacing w:line="511" w:lineRule="auto"/>
        <w:ind w:right="4" w:firstLine="720"/>
        <w:jc w:val="both"/>
        <w:rPr>
          <w:sz w:val="20"/>
          <w:szCs w:val="20"/>
        </w:rPr>
      </w:pPr>
      <w:r>
        <w:rPr>
          <w:rFonts w:eastAsia="Times New Roman"/>
          <w:sz w:val="24"/>
          <w:szCs w:val="24"/>
        </w:rPr>
        <w:t xml:space="preserve">Harris, G. T., Rice, M. E., and Cormier, C. A. (1991), "Psychopathy and violent recidivism", </w:t>
      </w:r>
      <w:r>
        <w:rPr>
          <w:rFonts w:eastAsia="Times New Roman"/>
          <w:i/>
          <w:iCs/>
          <w:sz w:val="24"/>
          <w:szCs w:val="24"/>
        </w:rPr>
        <w:t>Law and Human Behavior</w:t>
      </w:r>
      <w:r>
        <w:rPr>
          <w:rFonts w:eastAsia="Times New Roman"/>
          <w:sz w:val="24"/>
          <w:szCs w:val="24"/>
        </w:rPr>
        <w:t>, Vol. 15 No. 6, pp. 625-637.</w:t>
      </w:r>
    </w:p>
    <w:p w:rsidR="00256EA3" w:rsidRDefault="00256EA3">
      <w:pPr>
        <w:spacing w:line="165" w:lineRule="exact"/>
        <w:rPr>
          <w:sz w:val="20"/>
          <w:szCs w:val="20"/>
        </w:rPr>
      </w:pPr>
    </w:p>
    <w:p w:rsidR="00256EA3" w:rsidRDefault="009057A0">
      <w:pPr>
        <w:ind w:left="720"/>
        <w:rPr>
          <w:sz w:val="20"/>
          <w:szCs w:val="20"/>
        </w:rPr>
      </w:pPr>
      <w:r>
        <w:rPr>
          <w:rFonts w:eastAsia="Times New Roman"/>
          <w:sz w:val="24"/>
          <w:szCs w:val="24"/>
        </w:rPr>
        <w:t xml:space="preserve">Hart, </w:t>
      </w:r>
      <w:r>
        <w:rPr>
          <w:rFonts w:eastAsia="Times New Roman"/>
          <w:sz w:val="24"/>
          <w:szCs w:val="24"/>
        </w:rPr>
        <w:t xml:space="preserve">S. D., Hare, R. D., and Cox, D. N. (1995), </w:t>
      </w:r>
      <w:r>
        <w:rPr>
          <w:rFonts w:eastAsia="Times New Roman"/>
          <w:i/>
          <w:iCs/>
          <w:sz w:val="24"/>
          <w:szCs w:val="24"/>
        </w:rPr>
        <w:t>The Hare Psychopathy Checklist:</w:t>
      </w:r>
    </w:p>
    <w:p w:rsidR="00256EA3" w:rsidRDefault="00256EA3">
      <w:pPr>
        <w:spacing w:line="276" w:lineRule="exact"/>
        <w:rPr>
          <w:sz w:val="20"/>
          <w:szCs w:val="20"/>
        </w:rPr>
      </w:pPr>
    </w:p>
    <w:p w:rsidR="00256EA3" w:rsidRDefault="009057A0">
      <w:pPr>
        <w:rPr>
          <w:sz w:val="20"/>
          <w:szCs w:val="20"/>
        </w:rPr>
      </w:pPr>
      <w:r>
        <w:rPr>
          <w:rFonts w:eastAsia="Times New Roman"/>
          <w:i/>
          <w:iCs/>
          <w:sz w:val="24"/>
          <w:szCs w:val="24"/>
        </w:rPr>
        <w:t>Screening Version (PCL: SV)</w:t>
      </w:r>
      <w:r>
        <w:rPr>
          <w:rFonts w:eastAsia="Times New Roman"/>
          <w:sz w:val="24"/>
          <w:szCs w:val="24"/>
        </w:rPr>
        <w:t>, Multi-Health Systems, Incorporated.</w:t>
      </w:r>
    </w:p>
    <w:p w:rsidR="00256EA3" w:rsidRDefault="00256EA3">
      <w:pPr>
        <w:spacing w:line="200" w:lineRule="exact"/>
        <w:rPr>
          <w:sz w:val="20"/>
          <w:szCs w:val="20"/>
        </w:rPr>
      </w:pPr>
    </w:p>
    <w:p w:rsidR="00256EA3" w:rsidRDefault="00256EA3">
      <w:pPr>
        <w:spacing w:line="320"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Heinzen, H., Kohler, D., Godt, N., Geiger, F., and Huchzermeier, C. (2011), "Psychopathy, intelligence and convic</w:t>
      </w:r>
      <w:r>
        <w:rPr>
          <w:rFonts w:eastAsia="Times New Roman"/>
          <w:sz w:val="24"/>
          <w:szCs w:val="24"/>
        </w:rPr>
        <w:t xml:space="preserve">tion history", </w:t>
      </w:r>
      <w:r>
        <w:rPr>
          <w:rFonts w:eastAsia="Times New Roman"/>
          <w:i/>
          <w:iCs/>
          <w:sz w:val="24"/>
          <w:szCs w:val="24"/>
        </w:rPr>
        <w:t>International Journal of Law and</w:t>
      </w:r>
      <w:r>
        <w:rPr>
          <w:rFonts w:eastAsia="Times New Roman"/>
          <w:sz w:val="24"/>
          <w:szCs w:val="24"/>
        </w:rPr>
        <w:t xml:space="preserve"> </w:t>
      </w:r>
      <w:r>
        <w:rPr>
          <w:rFonts w:eastAsia="Times New Roman"/>
          <w:i/>
          <w:iCs/>
          <w:sz w:val="24"/>
          <w:szCs w:val="24"/>
        </w:rPr>
        <w:t xml:space="preserve">Psychiatry, </w:t>
      </w:r>
      <w:r>
        <w:rPr>
          <w:rFonts w:eastAsia="Times New Roman"/>
          <w:sz w:val="24"/>
          <w:szCs w:val="24"/>
        </w:rPr>
        <w:t>Vol. 34, pp. 336-340.</w:t>
      </w:r>
    </w:p>
    <w:p w:rsidR="00256EA3" w:rsidRDefault="00256EA3">
      <w:pPr>
        <w:spacing w:line="188" w:lineRule="exact"/>
        <w:rPr>
          <w:sz w:val="20"/>
          <w:szCs w:val="20"/>
        </w:rPr>
      </w:pPr>
    </w:p>
    <w:p w:rsidR="00256EA3" w:rsidRDefault="009057A0">
      <w:pPr>
        <w:ind w:left="720"/>
        <w:rPr>
          <w:sz w:val="20"/>
          <w:szCs w:val="20"/>
        </w:rPr>
      </w:pPr>
      <w:r>
        <w:rPr>
          <w:rFonts w:eastAsia="Times New Roman"/>
          <w:sz w:val="24"/>
          <w:szCs w:val="24"/>
        </w:rPr>
        <w:t>Hemphill, J. F., Hare, R. D., and Wong, S. (1998), "Psychopathy and recidivism: A</w: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96" w:lineRule="exact"/>
        <w:rPr>
          <w:sz w:val="20"/>
          <w:szCs w:val="20"/>
        </w:rPr>
      </w:pPr>
    </w:p>
    <w:p w:rsidR="00256EA3" w:rsidRDefault="009057A0">
      <w:pPr>
        <w:ind w:left="8800"/>
        <w:rPr>
          <w:sz w:val="20"/>
          <w:szCs w:val="20"/>
        </w:rPr>
      </w:pPr>
      <w:r>
        <w:rPr>
          <w:rFonts w:eastAsia="Times New Roman"/>
        </w:rPr>
        <w:t>20</w:t>
      </w:r>
    </w:p>
    <w:p w:rsidR="00256EA3" w:rsidRDefault="00256EA3">
      <w:pPr>
        <w:sectPr w:rsidR="00256EA3">
          <w:pgSz w:w="11900" w:h="16840"/>
          <w:pgMar w:top="1416" w:right="1440" w:bottom="431" w:left="1440" w:header="0" w:footer="0" w:gutter="0"/>
          <w:cols w:space="720" w:equalWidth="0">
            <w:col w:w="9024"/>
          </w:cols>
        </w:sectPr>
      </w:pPr>
    </w:p>
    <w:p w:rsidR="00256EA3" w:rsidRDefault="009057A0">
      <w:pPr>
        <w:rPr>
          <w:sz w:val="20"/>
          <w:szCs w:val="20"/>
        </w:rPr>
      </w:pPr>
      <w:bookmarkStart w:id="21" w:name="page22"/>
      <w:bookmarkEnd w:id="21"/>
      <w:r>
        <w:rPr>
          <w:rFonts w:eastAsia="Times New Roman"/>
          <w:sz w:val="24"/>
          <w:szCs w:val="24"/>
        </w:rPr>
        <w:lastRenderedPageBreak/>
        <w:t xml:space="preserve">review", </w:t>
      </w:r>
      <w:r>
        <w:rPr>
          <w:rFonts w:eastAsia="Times New Roman"/>
          <w:i/>
          <w:iCs/>
          <w:sz w:val="24"/>
          <w:szCs w:val="24"/>
        </w:rPr>
        <w:t>Legal and Criminological Psychology,</w:t>
      </w:r>
      <w:r>
        <w:rPr>
          <w:rFonts w:eastAsia="Times New Roman"/>
          <w:sz w:val="24"/>
          <w:szCs w:val="24"/>
        </w:rPr>
        <w:t xml:space="preserve"> Vol. 3, pp. 139-170.</w:t>
      </w:r>
    </w:p>
    <w:p w:rsidR="00256EA3" w:rsidRDefault="00256EA3">
      <w:pPr>
        <w:spacing w:line="200" w:lineRule="exact"/>
        <w:rPr>
          <w:sz w:val="20"/>
          <w:szCs w:val="20"/>
        </w:rPr>
      </w:pPr>
    </w:p>
    <w:p w:rsidR="00256EA3" w:rsidRDefault="00256EA3">
      <w:pPr>
        <w:spacing w:line="320" w:lineRule="exact"/>
        <w:rPr>
          <w:sz w:val="20"/>
          <w:szCs w:val="20"/>
        </w:rPr>
      </w:pPr>
    </w:p>
    <w:p w:rsidR="00256EA3" w:rsidRDefault="009057A0">
      <w:pPr>
        <w:spacing w:line="511" w:lineRule="auto"/>
        <w:ind w:right="4" w:firstLine="720"/>
        <w:jc w:val="both"/>
        <w:rPr>
          <w:sz w:val="20"/>
          <w:szCs w:val="20"/>
        </w:rPr>
      </w:pPr>
      <w:r>
        <w:rPr>
          <w:rFonts w:eastAsia="Times New Roman"/>
          <w:sz w:val="24"/>
          <w:szCs w:val="24"/>
        </w:rPr>
        <w:t xml:space="preserve">Hirschi, T., and Hindelang, M. J. (1977), "Intelligence and delinquency: a revisionist review", </w:t>
      </w:r>
      <w:r>
        <w:rPr>
          <w:rFonts w:eastAsia="Times New Roman"/>
          <w:i/>
          <w:iCs/>
          <w:sz w:val="24"/>
          <w:szCs w:val="24"/>
        </w:rPr>
        <w:t>American Sociological Review</w:t>
      </w:r>
      <w:r>
        <w:rPr>
          <w:rFonts w:eastAsia="Times New Roman"/>
          <w:sz w:val="24"/>
          <w:szCs w:val="24"/>
        </w:rPr>
        <w:t>, Vol. 42, pp. 571–587.</w:t>
      </w:r>
    </w:p>
    <w:p w:rsidR="00256EA3" w:rsidRDefault="00256EA3">
      <w:pPr>
        <w:spacing w:line="169" w:lineRule="exact"/>
        <w:rPr>
          <w:sz w:val="20"/>
          <w:szCs w:val="20"/>
        </w:rPr>
      </w:pPr>
    </w:p>
    <w:p w:rsidR="00256EA3" w:rsidRDefault="009057A0">
      <w:pPr>
        <w:spacing w:line="511" w:lineRule="auto"/>
        <w:ind w:right="4" w:firstLine="720"/>
        <w:jc w:val="both"/>
        <w:rPr>
          <w:sz w:val="20"/>
          <w:szCs w:val="20"/>
        </w:rPr>
      </w:pPr>
      <w:r>
        <w:rPr>
          <w:rFonts w:eastAsia="Times New Roman"/>
          <w:sz w:val="24"/>
          <w:szCs w:val="24"/>
        </w:rPr>
        <w:t>Hopley, A. and Brunelle, C. (2012), "Personality mediators of psychopathy and substance dependence in mal</w:t>
      </w:r>
      <w:r>
        <w:rPr>
          <w:rFonts w:eastAsia="Times New Roman"/>
          <w:sz w:val="24"/>
          <w:szCs w:val="24"/>
        </w:rPr>
        <w:t xml:space="preserve">e offenders", </w:t>
      </w:r>
      <w:r>
        <w:rPr>
          <w:rFonts w:eastAsia="Times New Roman"/>
          <w:i/>
          <w:iCs/>
          <w:sz w:val="24"/>
          <w:szCs w:val="24"/>
        </w:rPr>
        <w:t>Addictive Behaviors</w:t>
      </w:r>
      <w:r>
        <w:rPr>
          <w:rFonts w:eastAsia="Times New Roman"/>
          <w:sz w:val="24"/>
          <w:szCs w:val="24"/>
        </w:rPr>
        <w:t>, Vol. 37, pp. 947-955.</w:t>
      </w:r>
    </w:p>
    <w:p w:rsidR="00256EA3" w:rsidRDefault="00256EA3">
      <w:pPr>
        <w:spacing w:line="169"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 xml:space="preserve">Loney, B. R., Frick, P. J., Ellis, M., and McCoy, M. G. (1998), "Intelligence, callous– unemotional traits, and antisocial behavior", </w:t>
      </w:r>
      <w:r>
        <w:rPr>
          <w:rFonts w:eastAsia="Times New Roman"/>
          <w:i/>
          <w:iCs/>
          <w:sz w:val="24"/>
          <w:szCs w:val="24"/>
        </w:rPr>
        <w:t>Journal of Psychopathology and Behavioral</w:t>
      </w:r>
      <w:r>
        <w:rPr>
          <w:rFonts w:eastAsia="Times New Roman"/>
          <w:sz w:val="24"/>
          <w:szCs w:val="24"/>
        </w:rPr>
        <w:t xml:space="preserve"> </w:t>
      </w:r>
      <w:r>
        <w:rPr>
          <w:rFonts w:eastAsia="Times New Roman"/>
          <w:i/>
          <w:iCs/>
          <w:sz w:val="24"/>
          <w:szCs w:val="24"/>
        </w:rPr>
        <w:t xml:space="preserve">Assessment, </w:t>
      </w:r>
      <w:r>
        <w:rPr>
          <w:rFonts w:eastAsia="Times New Roman"/>
          <w:sz w:val="24"/>
          <w:szCs w:val="24"/>
        </w:rPr>
        <w:t>Vol. 2, pp</w:t>
      </w:r>
      <w:r>
        <w:rPr>
          <w:rFonts w:eastAsia="Times New Roman"/>
          <w:sz w:val="24"/>
          <w:szCs w:val="24"/>
        </w:rPr>
        <w:t>. 231–247.</w:t>
      </w:r>
    </w:p>
    <w:p w:rsidR="00256EA3" w:rsidRDefault="00256EA3">
      <w:pPr>
        <w:spacing w:line="188" w:lineRule="exact"/>
        <w:rPr>
          <w:sz w:val="20"/>
          <w:szCs w:val="20"/>
        </w:rPr>
      </w:pPr>
    </w:p>
    <w:p w:rsidR="00256EA3" w:rsidRDefault="009057A0">
      <w:pPr>
        <w:spacing w:line="511" w:lineRule="auto"/>
        <w:ind w:right="4" w:firstLine="720"/>
        <w:jc w:val="both"/>
        <w:rPr>
          <w:sz w:val="20"/>
          <w:szCs w:val="20"/>
        </w:rPr>
      </w:pPr>
      <w:r>
        <w:rPr>
          <w:rFonts w:eastAsia="Times New Roman"/>
          <w:sz w:val="24"/>
          <w:szCs w:val="24"/>
        </w:rPr>
        <w:t xml:space="preserve">Lieb, K., Zanarini, M., Schmahl, C., Linehan, M., and Bohus, M. (2004), "Borderline Personality Disorder", </w:t>
      </w:r>
      <w:r>
        <w:rPr>
          <w:rFonts w:eastAsia="Times New Roman"/>
          <w:i/>
          <w:iCs/>
          <w:sz w:val="24"/>
          <w:szCs w:val="24"/>
        </w:rPr>
        <w:t>The Lancet Review,</w:t>
      </w:r>
      <w:r>
        <w:rPr>
          <w:rFonts w:eastAsia="Times New Roman"/>
          <w:sz w:val="24"/>
          <w:szCs w:val="24"/>
        </w:rPr>
        <w:t xml:space="preserve"> Vol. 364, pp. 453-46.</w:t>
      </w:r>
    </w:p>
    <w:p w:rsidR="00256EA3" w:rsidRDefault="00256EA3">
      <w:pPr>
        <w:spacing w:line="165" w:lineRule="exact"/>
        <w:rPr>
          <w:sz w:val="20"/>
          <w:szCs w:val="20"/>
        </w:rPr>
      </w:pPr>
    </w:p>
    <w:p w:rsidR="00256EA3" w:rsidRDefault="009057A0">
      <w:pPr>
        <w:ind w:left="720"/>
        <w:rPr>
          <w:sz w:val="20"/>
          <w:szCs w:val="20"/>
        </w:rPr>
      </w:pPr>
      <w:r>
        <w:rPr>
          <w:rFonts w:eastAsia="Times New Roman"/>
          <w:sz w:val="24"/>
          <w:szCs w:val="24"/>
        </w:rPr>
        <w:t xml:space="preserve">Monahan,  J.,  and  Steadman,  H.  J.  (1994),  </w:t>
      </w:r>
      <w:r>
        <w:rPr>
          <w:rFonts w:eastAsia="Times New Roman"/>
          <w:i/>
          <w:iCs/>
          <w:sz w:val="24"/>
          <w:szCs w:val="24"/>
        </w:rPr>
        <w:t>Violence  and  Mental  Disorder:</w:t>
      </w:r>
    </w:p>
    <w:p w:rsidR="00256EA3" w:rsidRDefault="00256EA3">
      <w:pPr>
        <w:spacing w:line="276" w:lineRule="exact"/>
        <w:rPr>
          <w:sz w:val="20"/>
          <w:szCs w:val="20"/>
        </w:rPr>
      </w:pPr>
    </w:p>
    <w:p w:rsidR="00256EA3" w:rsidRDefault="009057A0">
      <w:pPr>
        <w:rPr>
          <w:sz w:val="20"/>
          <w:szCs w:val="20"/>
        </w:rPr>
      </w:pPr>
      <w:r>
        <w:rPr>
          <w:rFonts w:eastAsia="Times New Roman"/>
          <w:i/>
          <w:iCs/>
          <w:sz w:val="24"/>
          <w:szCs w:val="24"/>
        </w:rPr>
        <w:t xml:space="preserve">Developments </w:t>
      </w:r>
      <w:r>
        <w:rPr>
          <w:rFonts w:eastAsia="Times New Roman"/>
          <w:i/>
          <w:iCs/>
          <w:sz w:val="24"/>
          <w:szCs w:val="24"/>
        </w:rPr>
        <w:t xml:space="preserve">in Risk Assessment, </w:t>
      </w:r>
      <w:r>
        <w:rPr>
          <w:rFonts w:eastAsia="Times New Roman"/>
          <w:sz w:val="24"/>
          <w:szCs w:val="24"/>
        </w:rPr>
        <w:t>University of Chicago Press, Chicago, IL.</w:t>
      </w:r>
    </w:p>
    <w:p w:rsidR="00256EA3" w:rsidRDefault="00256EA3">
      <w:pPr>
        <w:spacing w:line="200" w:lineRule="exact"/>
        <w:rPr>
          <w:sz w:val="20"/>
          <w:szCs w:val="20"/>
        </w:rPr>
      </w:pPr>
    </w:p>
    <w:p w:rsidR="00256EA3" w:rsidRDefault="00256EA3">
      <w:pPr>
        <w:spacing w:line="320"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 xml:space="preserve">Monahan, J., Steadman, H., Silver, E., Appelbaum, P., Clark Robbins, P., Mulvey, E., Roth, L., and Grisso, T. (2001), </w:t>
      </w:r>
      <w:r>
        <w:rPr>
          <w:rFonts w:eastAsia="Times New Roman"/>
          <w:i/>
          <w:iCs/>
          <w:sz w:val="24"/>
          <w:szCs w:val="24"/>
        </w:rPr>
        <w:t>Rethinking Risk Assessment: The MacArthur Study of</w:t>
      </w:r>
      <w:r>
        <w:rPr>
          <w:rFonts w:eastAsia="Times New Roman"/>
          <w:sz w:val="24"/>
          <w:szCs w:val="24"/>
        </w:rPr>
        <w:t xml:space="preserve"> </w:t>
      </w:r>
      <w:r>
        <w:rPr>
          <w:rFonts w:eastAsia="Times New Roman"/>
          <w:i/>
          <w:iCs/>
          <w:sz w:val="24"/>
          <w:szCs w:val="24"/>
        </w:rPr>
        <w:t xml:space="preserve">Mental disorder and Violence, </w:t>
      </w:r>
      <w:r>
        <w:rPr>
          <w:rFonts w:eastAsia="Times New Roman"/>
          <w:sz w:val="24"/>
          <w:szCs w:val="24"/>
        </w:rPr>
        <w:t>Oxford University Press, New York.</w:t>
      </w:r>
    </w:p>
    <w:p w:rsidR="00256EA3" w:rsidRDefault="00256EA3">
      <w:pPr>
        <w:spacing w:line="187" w:lineRule="exact"/>
        <w:rPr>
          <w:sz w:val="20"/>
          <w:szCs w:val="20"/>
        </w:rPr>
      </w:pPr>
    </w:p>
    <w:p w:rsidR="00256EA3" w:rsidRDefault="009057A0">
      <w:pPr>
        <w:spacing w:line="490" w:lineRule="auto"/>
        <w:ind w:right="4" w:firstLine="720"/>
        <w:jc w:val="both"/>
        <w:rPr>
          <w:sz w:val="20"/>
          <w:szCs w:val="20"/>
        </w:rPr>
      </w:pPr>
      <w:r>
        <w:rPr>
          <w:rFonts w:eastAsia="Times New Roman"/>
          <w:sz w:val="24"/>
          <w:szCs w:val="24"/>
        </w:rPr>
        <w:t xml:space="preserve">Nedopil, N., Hollweg, M., Hartmann, J., and Jaser, R. (1998), "Comorbidity of psychopathy with major mental disorders", in D. Cooke, A. Forth, and R. Hare (Eds.), </w:t>
      </w:r>
      <w:r>
        <w:rPr>
          <w:rFonts w:eastAsia="Times New Roman"/>
          <w:i/>
          <w:iCs/>
          <w:sz w:val="24"/>
          <w:szCs w:val="24"/>
        </w:rPr>
        <w:t xml:space="preserve">Psychopathy: Theory, </w:t>
      </w:r>
      <w:r>
        <w:rPr>
          <w:rFonts w:eastAsia="Times New Roman"/>
          <w:i/>
          <w:iCs/>
          <w:sz w:val="24"/>
          <w:szCs w:val="24"/>
        </w:rPr>
        <w:t>Research, and Implications for Society</w:t>
      </w:r>
      <w:r>
        <w:rPr>
          <w:rFonts w:eastAsia="Times New Roman"/>
          <w:sz w:val="24"/>
          <w:szCs w:val="24"/>
        </w:rPr>
        <w:t>, Kluwer Dordrecht, The</w:t>
      </w:r>
      <w:r>
        <w:rPr>
          <w:rFonts w:eastAsia="Times New Roman"/>
          <w:i/>
          <w:iCs/>
          <w:sz w:val="24"/>
          <w:szCs w:val="24"/>
        </w:rPr>
        <w:t xml:space="preserve"> </w:t>
      </w:r>
      <w:r>
        <w:rPr>
          <w:rFonts w:eastAsia="Times New Roman"/>
          <w:sz w:val="24"/>
          <w:szCs w:val="24"/>
        </w:rPr>
        <w:t>Netherlands, pp. 257-268.</w:t>
      </w:r>
    </w:p>
    <w:p w:rsidR="00256EA3" w:rsidRDefault="00256EA3">
      <w:pPr>
        <w:spacing w:line="194"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Nicholls, T. L., Ogloff, J. R., Brink, J., and Spidel, A. (2005), "Psychopathy in women: A review of its clinical usefulness for assessing risk for aggression and crim</w:t>
      </w:r>
      <w:r>
        <w:rPr>
          <w:rFonts w:eastAsia="Times New Roman"/>
          <w:sz w:val="24"/>
          <w:szCs w:val="24"/>
        </w:rPr>
        <w:t xml:space="preserve">inality", </w:t>
      </w:r>
      <w:r>
        <w:rPr>
          <w:rFonts w:eastAsia="Times New Roman"/>
          <w:i/>
          <w:iCs/>
          <w:sz w:val="24"/>
          <w:szCs w:val="24"/>
        </w:rPr>
        <w:t xml:space="preserve">Behavioral Sciences and the Law, </w:t>
      </w:r>
      <w:r>
        <w:rPr>
          <w:rFonts w:eastAsia="Times New Roman"/>
          <w:sz w:val="24"/>
          <w:szCs w:val="24"/>
        </w:rPr>
        <w:t>Vol. 23 No. 6, pp. 779-802.</w:t>
      </w:r>
    </w:p>
    <w:p w:rsidR="00256EA3" w:rsidRDefault="00256EA3">
      <w:pPr>
        <w:spacing w:line="56" w:lineRule="exact"/>
        <w:rPr>
          <w:sz w:val="20"/>
          <w:szCs w:val="20"/>
        </w:rPr>
      </w:pPr>
    </w:p>
    <w:p w:rsidR="00256EA3" w:rsidRDefault="009057A0">
      <w:pPr>
        <w:ind w:left="8800"/>
        <w:rPr>
          <w:sz w:val="20"/>
          <w:szCs w:val="20"/>
        </w:rPr>
      </w:pPr>
      <w:r>
        <w:rPr>
          <w:rFonts w:eastAsia="Times New Roman"/>
        </w:rPr>
        <w:t>21</w:t>
      </w:r>
    </w:p>
    <w:p w:rsidR="00256EA3" w:rsidRDefault="00256EA3">
      <w:pPr>
        <w:sectPr w:rsidR="00256EA3">
          <w:pgSz w:w="11900" w:h="16840"/>
          <w:pgMar w:top="1416" w:right="1440" w:bottom="431" w:left="1440" w:header="0" w:footer="0" w:gutter="0"/>
          <w:cols w:space="720" w:equalWidth="0">
            <w:col w:w="9024"/>
          </w:cols>
        </w:sectPr>
      </w:pPr>
    </w:p>
    <w:p w:rsidR="00256EA3" w:rsidRDefault="009057A0">
      <w:pPr>
        <w:spacing w:line="511" w:lineRule="auto"/>
        <w:ind w:right="4" w:firstLine="720"/>
        <w:jc w:val="both"/>
        <w:rPr>
          <w:sz w:val="20"/>
          <w:szCs w:val="20"/>
        </w:rPr>
      </w:pPr>
      <w:bookmarkStart w:id="22" w:name="page23"/>
      <w:bookmarkEnd w:id="22"/>
      <w:r>
        <w:rPr>
          <w:rFonts w:eastAsia="Times New Roman"/>
          <w:sz w:val="24"/>
          <w:szCs w:val="24"/>
        </w:rPr>
        <w:lastRenderedPageBreak/>
        <w:t xml:space="preserve">Ouzir, M. (2013), "Impulsivity in schizophrenia: A comprehensive update", </w:t>
      </w:r>
      <w:r>
        <w:rPr>
          <w:rFonts w:eastAsia="Times New Roman"/>
          <w:i/>
          <w:iCs/>
          <w:sz w:val="24"/>
          <w:szCs w:val="24"/>
        </w:rPr>
        <w:t>Aggression and Violent Behavior</w:t>
      </w:r>
      <w:r>
        <w:rPr>
          <w:rFonts w:eastAsia="Times New Roman"/>
          <w:sz w:val="24"/>
          <w:szCs w:val="24"/>
        </w:rPr>
        <w:t>, Vol. 18 No. 2, pp. 247-254.</w:t>
      </w:r>
    </w:p>
    <w:p w:rsidR="00256EA3" w:rsidRDefault="00256EA3">
      <w:pPr>
        <w:spacing w:line="169"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 xml:space="preserve">Raine, A., Yaralian, P.S., </w:t>
      </w:r>
      <w:r>
        <w:rPr>
          <w:rFonts w:eastAsia="Times New Roman"/>
          <w:sz w:val="24"/>
          <w:szCs w:val="24"/>
        </w:rPr>
        <w:t xml:space="preserve">Reynolds, C., Venables, P. H., and Mednick, S. A. (2002), "Spatial but not verbal cognitive deficits at age 3 years in persistently antisocial individuals", </w:t>
      </w:r>
      <w:r>
        <w:rPr>
          <w:rFonts w:eastAsia="Times New Roman"/>
          <w:i/>
          <w:iCs/>
          <w:sz w:val="24"/>
          <w:szCs w:val="24"/>
        </w:rPr>
        <w:t>Development and Psychopathology</w:t>
      </w:r>
      <w:r>
        <w:rPr>
          <w:rFonts w:eastAsia="Times New Roman"/>
          <w:sz w:val="24"/>
          <w:szCs w:val="24"/>
        </w:rPr>
        <w:t>, Vol. 14, pp. 25–44.</w:t>
      </w:r>
    </w:p>
    <w:p w:rsidR="00256EA3" w:rsidRDefault="00256EA3">
      <w:pPr>
        <w:spacing w:line="184" w:lineRule="exact"/>
        <w:rPr>
          <w:sz w:val="20"/>
          <w:szCs w:val="20"/>
        </w:rPr>
      </w:pPr>
    </w:p>
    <w:p w:rsidR="00256EA3" w:rsidRDefault="009057A0">
      <w:pPr>
        <w:ind w:left="720"/>
        <w:rPr>
          <w:sz w:val="20"/>
          <w:szCs w:val="20"/>
        </w:rPr>
      </w:pPr>
      <w:r>
        <w:rPr>
          <w:rFonts w:eastAsia="Times New Roman"/>
          <w:sz w:val="24"/>
          <w:szCs w:val="24"/>
        </w:rPr>
        <w:t xml:space="preserve">Robins, L. (1966), </w:t>
      </w:r>
      <w:r>
        <w:rPr>
          <w:rFonts w:eastAsia="Times New Roman"/>
          <w:i/>
          <w:iCs/>
          <w:sz w:val="24"/>
          <w:szCs w:val="24"/>
        </w:rPr>
        <w:t>Deviant Children Grown Up,</w:t>
      </w:r>
      <w:r>
        <w:rPr>
          <w:rFonts w:eastAsia="Times New Roman"/>
          <w:sz w:val="24"/>
          <w:szCs w:val="24"/>
        </w:rPr>
        <w:t xml:space="preserve"> Williams and Wilkens, Baltimore,</w:t>
      </w:r>
    </w:p>
    <w:p w:rsidR="00256EA3" w:rsidRDefault="00256EA3">
      <w:pPr>
        <w:spacing w:line="280" w:lineRule="exact"/>
        <w:rPr>
          <w:sz w:val="20"/>
          <w:szCs w:val="20"/>
        </w:rPr>
      </w:pPr>
    </w:p>
    <w:p w:rsidR="00256EA3" w:rsidRDefault="009057A0">
      <w:pPr>
        <w:rPr>
          <w:sz w:val="20"/>
          <w:szCs w:val="20"/>
        </w:rPr>
      </w:pPr>
      <w:r>
        <w:rPr>
          <w:rFonts w:eastAsia="Times New Roman"/>
          <w:sz w:val="24"/>
          <w:szCs w:val="24"/>
        </w:rPr>
        <w:t>MD.</w:t>
      </w:r>
    </w:p>
    <w:p w:rsidR="00256EA3" w:rsidRDefault="00256EA3">
      <w:pPr>
        <w:spacing w:line="200" w:lineRule="exact"/>
        <w:rPr>
          <w:sz w:val="20"/>
          <w:szCs w:val="20"/>
        </w:rPr>
      </w:pPr>
    </w:p>
    <w:p w:rsidR="00256EA3" w:rsidRDefault="00256EA3">
      <w:pPr>
        <w:spacing w:line="316" w:lineRule="exact"/>
        <w:rPr>
          <w:sz w:val="20"/>
          <w:szCs w:val="20"/>
        </w:rPr>
      </w:pPr>
    </w:p>
    <w:p w:rsidR="00256EA3" w:rsidRDefault="009057A0">
      <w:pPr>
        <w:spacing w:line="511" w:lineRule="auto"/>
        <w:ind w:right="4" w:firstLine="720"/>
        <w:jc w:val="both"/>
        <w:rPr>
          <w:sz w:val="20"/>
          <w:szCs w:val="20"/>
        </w:rPr>
      </w:pPr>
      <w:r>
        <w:rPr>
          <w:rFonts w:eastAsia="Times New Roman"/>
          <w:sz w:val="24"/>
          <w:szCs w:val="24"/>
        </w:rPr>
        <w:t xml:space="preserve">Rubin L. and Mills M. (1983), "Behavioral precipitants to civil commitment", </w:t>
      </w:r>
      <w:r>
        <w:rPr>
          <w:rFonts w:eastAsia="Times New Roman"/>
          <w:i/>
          <w:iCs/>
          <w:sz w:val="24"/>
          <w:szCs w:val="24"/>
        </w:rPr>
        <w:t xml:space="preserve">American Journal of Psychiatry, </w:t>
      </w:r>
      <w:r>
        <w:rPr>
          <w:rFonts w:eastAsia="Times New Roman"/>
          <w:sz w:val="24"/>
          <w:szCs w:val="24"/>
        </w:rPr>
        <w:t>Vol. 140, pp. 603—608.</w:t>
      </w:r>
    </w:p>
    <w:p w:rsidR="00256EA3" w:rsidRDefault="00256EA3">
      <w:pPr>
        <w:spacing w:line="169" w:lineRule="exact"/>
        <w:rPr>
          <w:sz w:val="20"/>
          <w:szCs w:val="20"/>
        </w:rPr>
      </w:pPr>
    </w:p>
    <w:p w:rsidR="00256EA3" w:rsidRDefault="009057A0">
      <w:pPr>
        <w:spacing w:line="511" w:lineRule="auto"/>
        <w:ind w:right="4" w:firstLine="720"/>
        <w:jc w:val="both"/>
        <w:rPr>
          <w:sz w:val="20"/>
          <w:szCs w:val="20"/>
        </w:rPr>
      </w:pPr>
      <w:r>
        <w:rPr>
          <w:rFonts w:eastAsia="Times New Roman"/>
          <w:sz w:val="24"/>
          <w:szCs w:val="24"/>
        </w:rPr>
        <w:t>Rushton, P. J., and Templer, D. I. (2009), "</w:t>
      </w:r>
      <w:r>
        <w:rPr>
          <w:rFonts w:eastAsia="Times New Roman"/>
          <w:sz w:val="24"/>
          <w:szCs w:val="24"/>
        </w:rPr>
        <w:t xml:space="preserve">National differences in intelligence, crime, income and skin color", </w:t>
      </w:r>
      <w:r>
        <w:rPr>
          <w:rFonts w:eastAsia="Times New Roman"/>
          <w:i/>
          <w:iCs/>
          <w:sz w:val="24"/>
          <w:szCs w:val="24"/>
        </w:rPr>
        <w:t>Intelligence</w:t>
      </w:r>
      <w:r>
        <w:rPr>
          <w:rFonts w:eastAsia="Times New Roman"/>
          <w:sz w:val="24"/>
          <w:szCs w:val="24"/>
        </w:rPr>
        <w:t>, Vol. 37, pp. 341–346.</w:t>
      </w:r>
    </w:p>
    <w:p w:rsidR="00256EA3" w:rsidRDefault="00256EA3">
      <w:pPr>
        <w:spacing w:line="169"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Salekin, R. T. (2008), "Psychopathy and recidivism from mid-adolescence to young adulthood: Cumulating legal problems and limiting life opportunities"</w:t>
      </w:r>
      <w:r>
        <w:rPr>
          <w:rFonts w:eastAsia="Times New Roman"/>
          <w:sz w:val="24"/>
          <w:szCs w:val="24"/>
        </w:rPr>
        <w:t xml:space="preserve">, </w:t>
      </w:r>
      <w:r>
        <w:rPr>
          <w:rFonts w:eastAsia="Times New Roman"/>
          <w:i/>
          <w:iCs/>
          <w:sz w:val="24"/>
          <w:szCs w:val="24"/>
        </w:rPr>
        <w:t>Journal of Abnormal</w:t>
      </w:r>
      <w:r>
        <w:rPr>
          <w:rFonts w:eastAsia="Times New Roman"/>
          <w:sz w:val="24"/>
          <w:szCs w:val="24"/>
        </w:rPr>
        <w:t xml:space="preserve"> </w:t>
      </w:r>
      <w:r>
        <w:rPr>
          <w:rFonts w:eastAsia="Times New Roman"/>
          <w:i/>
          <w:iCs/>
          <w:sz w:val="24"/>
          <w:szCs w:val="24"/>
        </w:rPr>
        <w:t xml:space="preserve">Psychology, </w:t>
      </w:r>
      <w:r>
        <w:rPr>
          <w:rFonts w:eastAsia="Times New Roman"/>
          <w:sz w:val="24"/>
          <w:szCs w:val="24"/>
        </w:rPr>
        <w:t>Vol. 117 No. 2, pp. 386-395.</w:t>
      </w:r>
    </w:p>
    <w:p w:rsidR="00256EA3" w:rsidRDefault="00256EA3">
      <w:pPr>
        <w:spacing w:line="187"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 xml:space="preserve">Salekin, R. T., Neumann, C. S., Leistico, A.M., and Zalot, A. A. (2004), "Psychopathy in youth and intelligence: An investigation of Cleckley's hypothesis", </w:t>
      </w:r>
      <w:r>
        <w:rPr>
          <w:rFonts w:eastAsia="Times New Roman"/>
          <w:i/>
          <w:iCs/>
          <w:sz w:val="24"/>
          <w:szCs w:val="24"/>
        </w:rPr>
        <w:t>Journal</w:t>
      </w:r>
      <w:r>
        <w:rPr>
          <w:rFonts w:eastAsia="Times New Roman"/>
          <w:sz w:val="24"/>
          <w:szCs w:val="24"/>
        </w:rPr>
        <w:t xml:space="preserve"> </w:t>
      </w:r>
      <w:r>
        <w:rPr>
          <w:rFonts w:eastAsia="Times New Roman"/>
          <w:i/>
          <w:iCs/>
          <w:sz w:val="24"/>
          <w:szCs w:val="24"/>
        </w:rPr>
        <w:t>of Clinical Child and Adole</w:t>
      </w:r>
      <w:r>
        <w:rPr>
          <w:rFonts w:eastAsia="Times New Roman"/>
          <w:i/>
          <w:iCs/>
          <w:sz w:val="24"/>
          <w:szCs w:val="24"/>
        </w:rPr>
        <w:t>scent Psychology</w:t>
      </w:r>
      <w:r>
        <w:rPr>
          <w:rFonts w:eastAsia="Times New Roman"/>
          <w:sz w:val="24"/>
          <w:szCs w:val="24"/>
        </w:rPr>
        <w:t>, Vol. 33, pp. 731–742.</w:t>
      </w:r>
    </w:p>
    <w:p w:rsidR="00256EA3" w:rsidRDefault="00256EA3">
      <w:pPr>
        <w:spacing w:line="188"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 xml:space="preserve">Schilling, C., Kuehn, S., Romanowski, A., Banaschewski, T., Barbot, A., Barker, G. J., and Gallinat, J. (2013), "Common structural correlates of trait impulsiveness and perceptual reasoning in adolescence", </w:t>
      </w:r>
      <w:r>
        <w:rPr>
          <w:rFonts w:eastAsia="Times New Roman"/>
          <w:i/>
          <w:iCs/>
          <w:sz w:val="24"/>
          <w:szCs w:val="24"/>
        </w:rPr>
        <w:t>Human Br</w:t>
      </w:r>
      <w:r>
        <w:rPr>
          <w:rFonts w:eastAsia="Times New Roman"/>
          <w:i/>
          <w:iCs/>
          <w:sz w:val="24"/>
          <w:szCs w:val="24"/>
        </w:rPr>
        <w:t>ain Mapping</w:t>
      </w:r>
      <w:r>
        <w:rPr>
          <w:rFonts w:eastAsia="Times New Roman"/>
          <w:sz w:val="24"/>
          <w:szCs w:val="24"/>
        </w:rPr>
        <w:t>, Vol. 34 No. 2, pp. 374-383.</w:t>
      </w:r>
    </w:p>
    <w:p w:rsidR="00256EA3" w:rsidRDefault="00256EA3">
      <w:pPr>
        <w:spacing w:line="188" w:lineRule="exact"/>
        <w:rPr>
          <w:sz w:val="20"/>
          <w:szCs w:val="20"/>
        </w:rPr>
      </w:pPr>
    </w:p>
    <w:p w:rsidR="00256EA3" w:rsidRDefault="009057A0">
      <w:pPr>
        <w:spacing w:line="511" w:lineRule="auto"/>
        <w:ind w:right="4" w:firstLine="720"/>
        <w:jc w:val="both"/>
        <w:rPr>
          <w:sz w:val="20"/>
          <w:szCs w:val="20"/>
        </w:rPr>
      </w:pPr>
      <w:r>
        <w:rPr>
          <w:rFonts w:eastAsia="Times New Roman"/>
          <w:sz w:val="24"/>
          <w:szCs w:val="24"/>
        </w:rPr>
        <w:t>Scott, H., Johnson, S., Menezes, P., Thornicroft, G., Marshall, J., Bindman, J., Bebbington, P., and Kuipers, E. (1998), "Substance misuse and risk of aggression and</w:t>
      </w:r>
    </w:p>
    <w:p w:rsidR="00256EA3" w:rsidRDefault="00256EA3">
      <w:pPr>
        <w:spacing w:line="37" w:lineRule="exact"/>
        <w:rPr>
          <w:sz w:val="20"/>
          <w:szCs w:val="20"/>
        </w:rPr>
      </w:pPr>
    </w:p>
    <w:p w:rsidR="00256EA3" w:rsidRDefault="009057A0">
      <w:pPr>
        <w:ind w:left="8800"/>
        <w:rPr>
          <w:sz w:val="20"/>
          <w:szCs w:val="20"/>
        </w:rPr>
      </w:pPr>
      <w:r>
        <w:rPr>
          <w:rFonts w:eastAsia="Times New Roman"/>
        </w:rPr>
        <w:t>22</w:t>
      </w:r>
    </w:p>
    <w:p w:rsidR="00256EA3" w:rsidRDefault="00256EA3">
      <w:pPr>
        <w:sectPr w:rsidR="00256EA3">
          <w:pgSz w:w="11900" w:h="16840"/>
          <w:pgMar w:top="1420" w:right="1440" w:bottom="431" w:left="1440" w:header="0" w:footer="0" w:gutter="0"/>
          <w:cols w:space="720" w:equalWidth="0">
            <w:col w:w="9024"/>
          </w:cols>
        </w:sectPr>
      </w:pPr>
    </w:p>
    <w:p w:rsidR="00256EA3" w:rsidRDefault="009057A0">
      <w:pPr>
        <w:rPr>
          <w:sz w:val="20"/>
          <w:szCs w:val="20"/>
        </w:rPr>
      </w:pPr>
      <w:bookmarkStart w:id="23" w:name="page24"/>
      <w:bookmarkEnd w:id="23"/>
      <w:r>
        <w:rPr>
          <w:rFonts w:eastAsia="Times New Roman"/>
          <w:sz w:val="24"/>
          <w:szCs w:val="24"/>
        </w:rPr>
        <w:lastRenderedPageBreak/>
        <w:t>offending among the severe</w:t>
      </w:r>
      <w:r>
        <w:rPr>
          <w:rFonts w:eastAsia="Times New Roman"/>
          <w:sz w:val="24"/>
          <w:szCs w:val="24"/>
        </w:rPr>
        <w:t xml:space="preserve">ly mentally ill", </w:t>
      </w:r>
      <w:r>
        <w:rPr>
          <w:rFonts w:eastAsia="Times New Roman"/>
          <w:i/>
          <w:iCs/>
          <w:sz w:val="24"/>
          <w:szCs w:val="24"/>
        </w:rPr>
        <w:t>The British Journal of Psychiatry,</w:t>
      </w:r>
      <w:r>
        <w:rPr>
          <w:rFonts w:eastAsia="Times New Roman"/>
          <w:sz w:val="24"/>
          <w:szCs w:val="24"/>
        </w:rPr>
        <w:t xml:space="preserve"> Vol. 172, pp.</w:t>
      </w:r>
    </w:p>
    <w:p w:rsidR="00256EA3" w:rsidRDefault="00256EA3">
      <w:pPr>
        <w:spacing w:line="280" w:lineRule="exact"/>
        <w:rPr>
          <w:sz w:val="20"/>
          <w:szCs w:val="20"/>
        </w:rPr>
      </w:pPr>
    </w:p>
    <w:p w:rsidR="00256EA3" w:rsidRDefault="009057A0">
      <w:pPr>
        <w:rPr>
          <w:sz w:val="20"/>
          <w:szCs w:val="20"/>
        </w:rPr>
      </w:pPr>
      <w:r>
        <w:rPr>
          <w:rFonts w:eastAsia="Times New Roman"/>
          <w:sz w:val="24"/>
          <w:szCs w:val="24"/>
        </w:rPr>
        <w:t>345-350.</w:t>
      </w:r>
    </w:p>
    <w:p w:rsidR="00256EA3" w:rsidRDefault="00256EA3">
      <w:pPr>
        <w:spacing w:line="200" w:lineRule="exact"/>
        <w:rPr>
          <w:sz w:val="20"/>
          <w:szCs w:val="20"/>
        </w:rPr>
      </w:pPr>
    </w:p>
    <w:p w:rsidR="00256EA3" w:rsidRDefault="00256EA3">
      <w:pPr>
        <w:spacing w:line="316" w:lineRule="exact"/>
        <w:rPr>
          <w:sz w:val="20"/>
          <w:szCs w:val="20"/>
        </w:rPr>
      </w:pPr>
    </w:p>
    <w:p w:rsidR="00256EA3" w:rsidRDefault="009057A0">
      <w:pPr>
        <w:spacing w:line="511" w:lineRule="auto"/>
        <w:ind w:right="4" w:firstLine="720"/>
        <w:jc w:val="both"/>
        <w:rPr>
          <w:sz w:val="20"/>
          <w:szCs w:val="20"/>
        </w:rPr>
      </w:pPr>
      <w:r>
        <w:rPr>
          <w:rFonts w:eastAsia="Times New Roman"/>
          <w:sz w:val="24"/>
          <w:szCs w:val="24"/>
        </w:rPr>
        <w:t xml:space="preserve">Serin, R. C., and Amos, N. L. (1995), "The role of psychopathy in the assessment of Dangerousness", </w:t>
      </w:r>
      <w:r>
        <w:rPr>
          <w:rFonts w:eastAsia="Times New Roman"/>
          <w:i/>
          <w:iCs/>
          <w:sz w:val="24"/>
          <w:szCs w:val="24"/>
        </w:rPr>
        <w:t>International Journal of Law and Psychiatry</w:t>
      </w:r>
      <w:r>
        <w:rPr>
          <w:rFonts w:eastAsia="Times New Roman"/>
          <w:sz w:val="24"/>
          <w:szCs w:val="24"/>
        </w:rPr>
        <w:t>, Vol. 18 No. 2, pp. 231-238.</w:t>
      </w:r>
    </w:p>
    <w:p w:rsidR="00256EA3" w:rsidRDefault="00256EA3">
      <w:pPr>
        <w:spacing w:line="169"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 xml:space="preserve">Simons, J. S., and Arens, A. M. (2007) "Moderating effects of sensitivity to punishment and sensitivity to reward on associations between marijuana effect expectancies and use", </w:t>
      </w:r>
      <w:r>
        <w:rPr>
          <w:rFonts w:eastAsia="Times New Roman"/>
          <w:i/>
          <w:iCs/>
          <w:sz w:val="24"/>
          <w:szCs w:val="24"/>
        </w:rPr>
        <w:t>Psychology of Addictive Behaviors</w:t>
      </w:r>
      <w:r>
        <w:rPr>
          <w:rFonts w:eastAsia="Times New Roman"/>
          <w:sz w:val="24"/>
          <w:szCs w:val="24"/>
        </w:rPr>
        <w:t>, Vol. 21 No. 3, pp. 409–414.</w:t>
      </w:r>
    </w:p>
    <w:p w:rsidR="00256EA3" w:rsidRDefault="00256EA3">
      <w:pPr>
        <w:spacing w:line="188"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 xml:space="preserve">Skeem, J. L., Miller, J. D., Mulvey, E. P., Tiemann, J., and Monahan, J. (2005). Using a five-factor lens to explore the relation between personality traits and violence in psychiatric patients. </w:t>
      </w:r>
      <w:r>
        <w:rPr>
          <w:rFonts w:eastAsia="Times New Roman"/>
          <w:i/>
          <w:iCs/>
          <w:sz w:val="24"/>
          <w:szCs w:val="24"/>
        </w:rPr>
        <w:t>Journal of Consulting and Clinical Psychology</w:t>
      </w:r>
      <w:r>
        <w:rPr>
          <w:rFonts w:eastAsia="Times New Roman"/>
          <w:sz w:val="24"/>
          <w:szCs w:val="24"/>
        </w:rPr>
        <w:t>, 73, 454–465.</w:t>
      </w:r>
    </w:p>
    <w:p w:rsidR="00256EA3" w:rsidRDefault="00256EA3">
      <w:pPr>
        <w:spacing w:line="188"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 xml:space="preserve">Skeem, J. L. and Mulvey, E. P. (2001), "Psychopathy and community violence among civil psychiatric patients: Results from the MacArthur violence risk assessment study", </w:t>
      </w:r>
      <w:r>
        <w:rPr>
          <w:rFonts w:eastAsia="Times New Roman"/>
          <w:i/>
          <w:iCs/>
          <w:sz w:val="24"/>
          <w:szCs w:val="24"/>
        </w:rPr>
        <w:t xml:space="preserve">Journal of Consulting and Clinical Psychology, </w:t>
      </w:r>
      <w:r>
        <w:rPr>
          <w:rFonts w:eastAsia="Times New Roman"/>
          <w:sz w:val="24"/>
          <w:szCs w:val="24"/>
        </w:rPr>
        <w:t>Vol. 69 No. 3, pp. 358-374.</w:t>
      </w:r>
    </w:p>
    <w:p w:rsidR="00256EA3" w:rsidRDefault="00256EA3">
      <w:pPr>
        <w:spacing w:line="187"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Snowden, R.</w:t>
      </w:r>
      <w:r>
        <w:rPr>
          <w:rFonts w:eastAsia="Times New Roman"/>
          <w:sz w:val="24"/>
          <w:szCs w:val="24"/>
        </w:rPr>
        <w:t xml:space="preserve"> J., and Gray, N. S. (2011), "Impulsivity and psychopathy: Associations between the Barratt Impulsivity Scale and the Psychopathy Checklist revised", </w:t>
      </w:r>
      <w:r>
        <w:rPr>
          <w:rFonts w:eastAsia="Times New Roman"/>
          <w:i/>
          <w:iCs/>
          <w:sz w:val="24"/>
          <w:szCs w:val="24"/>
        </w:rPr>
        <w:t>Psychiatry</w:t>
      </w:r>
      <w:r>
        <w:rPr>
          <w:rFonts w:eastAsia="Times New Roman"/>
          <w:sz w:val="24"/>
          <w:szCs w:val="24"/>
        </w:rPr>
        <w:t xml:space="preserve"> </w:t>
      </w:r>
      <w:r>
        <w:rPr>
          <w:rFonts w:eastAsia="Times New Roman"/>
          <w:i/>
          <w:iCs/>
          <w:sz w:val="24"/>
          <w:szCs w:val="24"/>
        </w:rPr>
        <w:t>Research</w:t>
      </w:r>
      <w:r>
        <w:rPr>
          <w:rFonts w:eastAsia="Times New Roman"/>
          <w:sz w:val="24"/>
          <w:szCs w:val="24"/>
        </w:rPr>
        <w:t>, Vol. 187, pp. 414–417.</w:t>
      </w:r>
    </w:p>
    <w:p w:rsidR="00256EA3" w:rsidRDefault="00256EA3">
      <w:pPr>
        <w:spacing w:line="188"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Strakowski, S., Fleck, D., DelBello, M., Adler, C., Shear, P.</w:t>
      </w:r>
      <w:r>
        <w:rPr>
          <w:rFonts w:eastAsia="Times New Roman"/>
          <w:sz w:val="24"/>
          <w:szCs w:val="24"/>
        </w:rPr>
        <w:t xml:space="preserve"> McElroy, S., Keck P., Moss, Q., Cerullo, M., Kotwal, R., Arndt, S. (2009), "Characterising impulsivity in mania" </w:t>
      </w:r>
      <w:r>
        <w:rPr>
          <w:rFonts w:eastAsia="Times New Roman"/>
          <w:i/>
          <w:iCs/>
          <w:sz w:val="24"/>
          <w:szCs w:val="24"/>
        </w:rPr>
        <w:t>Bipolar Disorder</w:t>
      </w:r>
      <w:r>
        <w:rPr>
          <w:rFonts w:eastAsia="Times New Roman"/>
          <w:sz w:val="24"/>
          <w:szCs w:val="24"/>
        </w:rPr>
        <w:t>, Vol. 11 No. 1, pp. 41-51.</w:t>
      </w:r>
    </w:p>
    <w:p w:rsidR="00256EA3" w:rsidRDefault="00256EA3">
      <w:pPr>
        <w:spacing w:line="188"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Steadman, H. J., Silver, E., Monahan, J., Appelbaum, P. S., Robbins, P., Mulvey, E. P., Grisso, T</w:t>
      </w:r>
      <w:r>
        <w:rPr>
          <w:rFonts w:eastAsia="Times New Roman"/>
          <w:sz w:val="24"/>
          <w:szCs w:val="24"/>
        </w:rPr>
        <w:t xml:space="preserve">., Roth, L. H., and Banks, S. (2000), "A Classification Tree Approach to the Development of Actuarial Violence Risk Assessment Tools", </w:t>
      </w:r>
      <w:r>
        <w:rPr>
          <w:rFonts w:eastAsia="Times New Roman"/>
          <w:i/>
          <w:iCs/>
          <w:sz w:val="24"/>
          <w:szCs w:val="24"/>
        </w:rPr>
        <w:t>Law and Human Behavior,</w:t>
      </w:r>
    </w:p>
    <w:p w:rsidR="00256EA3" w:rsidRDefault="00256EA3">
      <w:pPr>
        <w:spacing w:line="296" w:lineRule="exact"/>
        <w:rPr>
          <w:sz w:val="20"/>
          <w:szCs w:val="20"/>
        </w:rPr>
      </w:pPr>
    </w:p>
    <w:p w:rsidR="00256EA3" w:rsidRDefault="009057A0">
      <w:pPr>
        <w:ind w:left="8800"/>
        <w:rPr>
          <w:sz w:val="20"/>
          <w:szCs w:val="20"/>
        </w:rPr>
      </w:pPr>
      <w:r>
        <w:rPr>
          <w:rFonts w:eastAsia="Times New Roman"/>
        </w:rPr>
        <w:t>23</w:t>
      </w:r>
    </w:p>
    <w:p w:rsidR="00256EA3" w:rsidRDefault="00256EA3">
      <w:pPr>
        <w:sectPr w:rsidR="00256EA3">
          <w:pgSz w:w="11900" w:h="16840"/>
          <w:pgMar w:top="1416" w:right="1440" w:bottom="431" w:left="1440" w:header="0" w:footer="0" w:gutter="0"/>
          <w:cols w:space="720" w:equalWidth="0">
            <w:col w:w="9024"/>
          </w:cols>
        </w:sectPr>
      </w:pPr>
    </w:p>
    <w:p w:rsidR="00256EA3" w:rsidRDefault="009057A0">
      <w:pPr>
        <w:rPr>
          <w:sz w:val="20"/>
          <w:szCs w:val="20"/>
        </w:rPr>
      </w:pPr>
      <w:bookmarkStart w:id="24" w:name="page25"/>
      <w:bookmarkEnd w:id="24"/>
      <w:r>
        <w:rPr>
          <w:rFonts w:eastAsia="Times New Roman"/>
          <w:sz w:val="24"/>
          <w:szCs w:val="24"/>
        </w:rPr>
        <w:lastRenderedPageBreak/>
        <w:t>Vol. 24 No. 1, pp. 83-100.</w:t>
      </w:r>
    </w:p>
    <w:p w:rsidR="00256EA3" w:rsidRDefault="00256EA3">
      <w:pPr>
        <w:spacing w:line="200" w:lineRule="exact"/>
        <w:rPr>
          <w:sz w:val="20"/>
          <w:szCs w:val="20"/>
        </w:rPr>
      </w:pPr>
    </w:p>
    <w:p w:rsidR="00256EA3" w:rsidRDefault="00256EA3">
      <w:pPr>
        <w:spacing w:line="316"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Sutton, S. K., Vitale, J. E., and Newman, J. P</w:t>
      </w:r>
      <w:r>
        <w:rPr>
          <w:rFonts w:eastAsia="Times New Roman"/>
          <w:sz w:val="24"/>
          <w:szCs w:val="24"/>
        </w:rPr>
        <w:t xml:space="preserve">. (2002), "Emotion among women with psychopathy during picture perception", </w:t>
      </w:r>
      <w:r>
        <w:rPr>
          <w:rFonts w:eastAsia="Times New Roman"/>
          <w:i/>
          <w:iCs/>
          <w:sz w:val="24"/>
          <w:szCs w:val="24"/>
        </w:rPr>
        <w:t>Journal of Abnormal Psychology</w:t>
      </w:r>
      <w:r>
        <w:rPr>
          <w:rFonts w:eastAsia="Times New Roman"/>
          <w:sz w:val="24"/>
          <w:szCs w:val="24"/>
        </w:rPr>
        <w:t>, Vol. 11 No. 4, pp. 610-619.</w:t>
      </w:r>
    </w:p>
    <w:p w:rsidR="00256EA3" w:rsidRDefault="00256EA3">
      <w:pPr>
        <w:spacing w:line="188" w:lineRule="exact"/>
        <w:rPr>
          <w:sz w:val="20"/>
          <w:szCs w:val="20"/>
        </w:rPr>
      </w:pPr>
    </w:p>
    <w:p w:rsidR="00256EA3" w:rsidRDefault="009057A0">
      <w:pPr>
        <w:ind w:left="720"/>
        <w:rPr>
          <w:sz w:val="20"/>
          <w:szCs w:val="20"/>
        </w:rPr>
      </w:pPr>
      <w:r>
        <w:rPr>
          <w:rFonts w:eastAsia="Times New Roman"/>
          <w:sz w:val="24"/>
          <w:szCs w:val="24"/>
        </w:rPr>
        <w:t>Taylor, J., and Lang, A. R. (2006), "Psychopathy and substance use disorders", in C.</w:t>
      </w:r>
    </w:p>
    <w:p w:rsidR="00256EA3" w:rsidRDefault="00256EA3">
      <w:pPr>
        <w:spacing w:line="276" w:lineRule="exact"/>
        <w:rPr>
          <w:sz w:val="20"/>
          <w:szCs w:val="20"/>
        </w:rPr>
      </w:pPr>
    </w:p>
    <w:p w:rsidR="00256EA3" w:rsidRDefault="009057A0">
      <w:pPr>
        <w:rPr>
          <w:sz w:val="20"/>
          <w:szCs w:val="20"/>
        </w:rPr>
      </w:pPr>
      <w:r>
        <w:rPr>
          <w:rFonts w:eastAsia="Times New Roman"/>
          <w:sz w:val="24"/>
          <w:szCs w:val="24"/>
        </w:rPr>
        <w:t>J. Patrick (Ed.), Handbook of Psy</w:t>
      </w:r>
      <w:r>
        <w:rPr>
          <w:rFonts w:eastAsia="Times New Roman"/>
          <w:sz w:val="24"/>
          <w:szCs w:val="24"/>
        </w:rPr>
        <w:t>chopathy, Guilford Press, New York, pp. 495–511.</w:t>
      </w:r>
    </w:p>
    <w:p w:rsidR="00256EA3" w:rsidRDefault="00256EA3">
      <w:pPr>
        <w:spacing w:line="200" w:lineRule="exact"/>
        <w:rPr>
          <w:sz w:val="20"/>
          <w:szCs w:val="20"/>
        </w:rPr>
      </w:pPr>
    </w:p>
    <w:p w:rsidR="00256EA3" w:rsidRDefault="00256EA3">
      <w:pPr>
        <w:spacing w:line="316"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 xml:space="preserve">Tribolet -Hardy, F., Vohs, K., Mokros, A., and Habermeyer, E. (2014), "Psychopathy, intelligence and impulsivity in German violent offenders", </w:t>
      </w:r>
      <w:r>
        <w:rPr>
          <w:rFonts w:eastAsia="Times New Roman"/>
          <w:i/>
          <w:iCs/>
          <w:sz w:val="24"/>
          <w:szCs w:val="24"/>
        </w:rPr>
        <w:t>International Journal of Law and</w:t>
      </w:r>
      <w:r>
        <w:rPr>
          <w:rFonts w:eastAsia="Times New Roman"/>
          <w:sz w:val="24"/>
          <w:szCs w:val="24"/>
        </w:rPr>
        <w:t xml:space="preserve"> </w:t>
      </w:r>
      <w:r>
        <w:rPr>
          <w:rFonts w:eastAsia="Times New Roman"/>
          <w:i/>
          <w:iCs/>
          <w:sz w:val="24"/>
          <w:szCs w:val="24"/>
        </w:rPr>
        <w:t xml:space="preserve">Psychiatry, </w:t>
      </w:r>
      <w:r>
        <w:rPr>
          <w:rFonts w:eastAsia="Times New Roman"/>
          <w:sz w:val="24"/>
          <w:szCs w:val="24"/>
        </w:rPr>
        <w:t xml:space="preserve">Vol. 37 No. 3, </w:t>
      </w:r>
      <w:r>
        <w:rPr>
          <w:rFonts w:eastAsia="Times New Roman"/>
          <w:sz w:val="24"/>
          <w:szCs w:val="24"/>
        </w:rPr>
        <w:t>pp. 238-244.</w:t>
      </w:r>
    </w:p>
    <w:p w:rsidR="00256EA3" w:rsidRDefault="00256EA3">
      <w:pPr>
        <w:spacing w:line="188"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 xml:space="preserve">Viding, E., Frick, P. J., and Plomin, R. (2007), "Aetiology of the relationship between callous–unemotional traits and conduct problems in childhood", </w:t>
      </w:r>
      <w:r>
        <w:rPr>
          <w:rFonts w:eastAsia="Times New Roman"/>
          <w:i/>
          <w:iCs/>
          <w:sz w:val="24"/>
          <w:szCs w:val="24"/>
        </w:rPr>
        <w:t>The British Journal of</w:t>
      </w:r>
      <w:r>
        <w:rPr>
          <w:rFonts w:eastAsia="Times New Roman"/>
          <w:sz w:val="24"/>
          <w:szCs w:val="24"/>
        </w:rPr>
        <w:t xml:space="preserve"> </w:t>
      </w:r>
      <w:r>
        <w:rPr>
          <w:rFonts w:eastAsia="Times New Roman"/>
          <w:i/>
          <w:iCs/>
          <w:sz w:val="24"/>
          <w:szCs w:val="24"/>
        </w:rPr>
        <w:t>Psychiatry</w:t>
      </w:r>
      <w:r>
        <w:rPr>
          <w:rFonts w:eastAsia="Times New Roman"/>
          <w:sz w:val="24"/>
          <w:szCs w:val="24"/>
        </w:rPr>
        <w:t>, Vol. 190 No. 49, pp. 33-38.</w:t>
      </w:r>
    </w:p>
    <w:p w:rsidR="00256EA3" w:rsidRDefault="00256EA3">
      <w:pPr>
        <w:spacing w:line="188"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Vitacco, M. K., Neumann, C.</w:t>
      </w:r>
      <w:r>
        <w:rPr>
          <w:rFonts w:eastAsia="Times New Roman"/>
          <w:sz w:val="24"/>
          <w:szCs w:val="24"/>
        </w:rPr>
        <w:t xml:space="preserve"> S., and Wodushek, T. (2008),"Differential relationships between the dimensions of psychopathy and intelligence: Replication with adult jail inmates", </w:t>
      </w:r>
      <w:r>
        <w:rPr>
          <w:rFonts w:eastAsia="Times New Roman"/>
          <w:i/>
          <w:iCs/>
          <w:sz w:val="24"/>
          <w:szCs w:val="24"/>
        </w:rPr>
        <w:t>Criminal Justice and Behavior</w:t>
      </w:r>
      <w:r>
        <w:rPr>
          <w:rFonts w:eastAsia="Times New Roman"/>
          <w:sz w:val="24"/>
          <w:szCs w:val="24"/>
        </w:rPr>
        <w:t>, Vol. 35, pp. 48–55.</w:t>
      </w:r>
    </w:p>
    <w:p w:rsidR="00256EA3" w:rsidRDefault="00256EA3">
      <w:pPr>
        <w:spacing w:line="187"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Wallace, J. F., Malterer, M. B., and Newman, J. P. (2</w:t>
      </w:r>
      <w:r>
        <w:rPr>
          <w:rFonts w:eastAsia="Times New Roman"/>
          <w:sz w:val="24"/>
          <w:szCs w:val="24"/>
        </w:rPr>
        <w:t xml:space="preserve">009), "Mapping Gray's BIS and BAS constructs onto factor 1 and factor 2 of Hare's Psychopathy Checklist—Revised", </w:t>
      </w:r>
      <w:r>
        <w:rPr>
          <w:rFonts w:eastAsia="Times New Roman"/>
          <w:i/>
          <w:iCs/>
          <w:sz w:val="24"/>
          <w:szCs w:val="24"/>
        </w:rPr>
        <w:t>Personality and Individual Differences</w:t>
      </w:r>
      <w:r>
        <w:rPr>
          <w:rFonts w:eastAsia="Times New Roman"/>
          <w:sz w:val="24"/>
          <w:szCs w:val="24"/>
        </w:rPr>
        <w:t>, Vol. 47, pp. 812–816.</w:t>
      </w:r>
    </w:p>
    <w:p w:rsidR="00256EA3" w:rsidRDefault="00256EA3">
      <w:pPr>
        <w:spacing w:line="188" w:lineRule="exact"/>
        <w:rPr>
          <w:sz w:val="20"/>
          <w:szCs w:val="20"/>
        </w:rPr>
      </w:pPr>
    </w:p>
    <w:p w:rsidR="00256EA3" w:rsidRDefault="009057A0">
      <w:pPr>
        <w:spacing w:line="495" w:lineRule="auto"/>
        <w:ind w:right="4" w:firstLine="720"/>
        <w:jc w:val="both"/>
        <w:rPr>
          <w:sz w:val="20"/>
          <w:szCs w:val="20"/>
        </w:rPr>
      </w:pPr>
      <w:r>
        <w:rPr>
          <w:rFonts w:eastAsia="Times New Roman"/>
          <w:sz w:val="24"/>
          <w:szCs w:val="24"/>
        </w:rPr>
        <w:t>Walsh, Z., Allen, L. C., and Kosson, D. S. (2007), "Beyond social deviance: Sub</w:t>
      </w:r>
      <w:r>
        <w:rPr>
          <w:rFonts w:eastAsia="Times New Roman"/>
          <w:sz w:val="24"/>
          <w:szCs w:val="24"/>
        </w:rPr>
        <w:t xml:space="preserve">stance use disorders and the dimensions of psychopathy", </w:t>
      </w:r>
      <w:r>
        <w:rPr>
          <w:rFonts w:eastAsia="Times New Roman"/>
          <w:i/>
          <w:iCs/>
          <w:sz w:val="24"/>
          <w:szCs w:val="24"/>
        </w:rPr>
        <w:t>Journal of Personality</w:t>
      </w:r>
      <w:r>
        <w:rPr>
          <w:rFonts w:eastAsia="Times New Roman"/>
          <w:sz w:val="24"/>
          <w:szCs w:val="24"/>
        </w:rPr>
        <w:t xml:space="preserve"> </w:t>
      </w:r>
      <w:r>
        <w:rPr>
          <w:rFonts w:eastAsia="Times New Roman"/>
          <w:i/>
          <w:iCs/>
          <w:sz w:val="24"/>
          <w:szCs w:val="24"/>
        </w:rPr>
        <w:t>Disorders</w:t>
      </w:r>
      <w:r>
        <w:rPr>
          <w:rFonts w:eastAsia="Times New Roman"/>
          <w:sz w:val="24"/>
          <w:szCs w:val="24"/>
        </w:rPr>
        <w:t>, Vol. 21 No. 3, pp. 273–288.</w:t>
      </w:r>
    </w:p>
    <w:p w:rsidR="00256EA3" w:rsidRDefault="00256EA3">
      <w:pPr>
        <w:spacing w:line="188" w:lineRule="exact"/>
        <w:rPr>
          <w:sz w:val="20"/>
          <w:szCs w:val="20"/>
        </w:rPr>
      </w:pPr>
    </w:p>
    <w:p w:rsidR="00256EA3" w:rsidRDefault="009057A0">
      <w:pPr>
        <w:ind w:left="720"/>
        <w:rPr>
          <w:sz w:val="20"/>
          <w:szCs w:val="20"/>
        </w:rPr>
      </w:pPr>
      <w:r>
        <w:rPr>
          <w:rFonts w:eastAsia="Times New Roman"/>
          <w:sz w:val="24"/>
          <w:szCs w:val="24"/>
        </w:rPr>
        <w:t>Walters, G. D., Knight, R. A., Grann, M., and Dahle, K. P. (2008), "Incremental</w:t>
      </w:r>
    </w:p>
    <w:p w:rsidR="00256EA3" w:rsidRDefault="00256EA3">
      <w:pPr>
        <w:spacing w:line="384" w:lineRule="exact"/>
        <w:rPr>
          <w:sz w:val="20"/>
          <w:szCs w:val="20"/>
        </w:rPr>
      </w:pPr>
    </w:p>
    <w:p w:rsidR="00256EA3" w:rsidRDefault="009057A0">
      <w:pPr>
        <w:ind w:left="8800"/>
        <w:rPr>
          <w:sz w:val="20"/>
          <w:szCs w:val="20"/>
        </w:rPr>
      </w:pPr>
      <w:r>
        <w:rPr>
          <w:rFonts w:eastAsia="Times New Roman"/>
        </w:rPr>
        <w:t>24</w:t>
      </w:r>
    </w:p>
    <w:p w:rsidR="00256EA3" w:rsidRDefault="00256EA3">
      <w:pPr>
        <w:sectPr w:rsidR="00256EA3">
          <w:pgSz w:w="11900" w:h="16840"/>
          <w:pgMar w:top="1420" w:right="1440" w:bottom="431" w:left="1440" w:header="0" w:footer="0" w:gutter="0"/>
          <w:cols w:space="720" w:equalWidth="0">
            <w:col w:w="9024"/>
          </w:cols>
        </w:sectPr>
      </w:pPr>
    </w:p>
    <w:p w:rsidR="00256EA3" w:rsidRDefault="009057A0">
      <w:pPr>
        <w:spacing w:line="511" w:lineRule="auto"/>
        <w:ind w:left="120" w:right="120"/>
        <w:jc w:val="both"/>
        <w:rPr>
          <w:sz w:val="20"/>
          <w:szCs w:val="20"/>
        </w:rPr>
      </w:pPr>
      <w:bookmarkStart w:id="25" w:name="page26"/>
      <w:bookmarkEnd w:id="25"/>
      <w:r>
        <w:rPr>
          <w:rFonts w:eastAsia="Times New Roman"/>
          <w:sz w:val="24"/>
          <w:szCs w:val="24"/>
        </w:rPr>
        <w:lastRenderedPageBreak/>
        <w:t>validity of the Psychopathy Checkl</w:t>
      </w:r>
      <w:r>
        <w:rPr>
          <w:rFonts w:eastAsia="Times New Roman"/>
          <w:sz w:val="24"/>
          <w:szCs w:val="24"/>
        </w:rPr>
        <w:t xml:space="preserve">ist facet scores: predicting release outcome in six samples", </w:t>
      </w:r>
      <w:r>
        <w:rPr>
          <w:rFonts w:eastAsia="Times New Roman"/>
          <w:i/>
          <w:iCs/>
          <w:sz w:val="24"/>
          <w:szCs w:val="24"/>
        </w:rPr>
        <w:t>Journal of Abnormal Psychology</w:t>
      </w:r>
      <w:r>
        <w:rPr>
          <w:rFonts w:eastAsia="Times New Roman"/>
          <w:sz w:val="24"/>
          <w:szCs w:val="24"/>
        </w:rPr>
        <w:t>, Vol. 117 No. 2, pp. 396-405.</w:t>
      </w:r>
    </w:p>
    <w:p w:rsidR="00256EA3" w:rsidRDefault="00256EA3">
      <w:pPr>
        <w:spacing w:line="165" w:lineRule="exact"/>
        <w:rPr>
          <w:sz w:val="20"/>
          <w:szCs w:val="20"/>
        </w:rPr>
      </w:pPr>
    </w:p>
    <w:p w:rsidR="00256EA3" w:rsidRDefault="009057A0">
      <w:pPr>
        <w:spacing w:line="514" w:lineRule="auto"/>
        <w:ind w:left="120" w:right="120" w:firstLine="720"/>
        <w:jc w:val="both"/>
        <w:rPr>
          <w:sz w:val="20"/>
          <w:szCs w:val="20"/>
        </w:rPr>
      </w:pPr>
      <w:r>
        <w:rPr>
          <w:rFonts w:eastAsia="Times New Roman"/>
          <w:sz w:val="24"/>
          <w:szCs w:val="24"/>
        </w:rPr>
        <w:t xml:space="preserve">Wechsler, D. (1981), </w:t>
      </w:r>
      <w:r>
        <w:rPr>
          <w:rFonts w:eastAsia="Times New Roman"/>
          <w:i/>
          <w:iCs/>
          <w:sz w:val="24"/>
          <w:szCs w:val="24"/>
        </w:rPr>
        <w:t>Wechsler Adult Intelligence Scale—Revised</w:t>
      </w:r>
      <w:r>
        <w:rPr>
          <w:rFonts w:eastAsia="Times New Roman"/>
          <w:sz w:val="24"/>
          <w:szCs w:val="24"/>
        </w:rPr>
        <w:t>, Psychological Corporation, San Antonio, TX.</w:t>
      </w:r>
    </w:p>
    <w:p w:rsidR="00256EA3" w:rsidRDefault="00256EA3">
      <w:pPr>
        <w:spacing w:line="166" w:lineRule="exact"/>
        <w:rPr>
          <w:sz w:val="20"/>
          <w:szCs w:val="20"/>
        </w:rPr>
      </w:pPr>
    </w:p>
    <w:p w:rsidR="00256EA3" w:rsidRDefault="009057A0">
      <w:pPr>
        <w:spacing w:line="495" w:lineRule="auto"/>
        <w:ind w:left="120" w:right="120" w:firstLine="720"/>
        <w:jc w:val="both"/>
        <w:rPr>
          <w:sz w:val="20"/>
          <w:szCs w:val="20"/>
        </w:rPr>
      </w:pPr>
      <w:r>
        <w:rPr>
          <w:rFonts w:eastAsia="Times New Roman"/>
          <w:sz w:val="24"/>
          <w:szCs w:val="24"/>
        </w:rPr>
        <w:t xml:space="preserve">Widiger, T., and Lynam, D. (1998), "Psychopathy and the five-factor model of personality", in T. Millon, E. Simonsen, M. Birket-Smith, and R. Davis (Eds.), </w:t>
      </w:r>
      <w:r>
        <w:rPr>
          <w:rFonts w:eastAsia="Times New Roman"/>
          <w:i/>
          <w:iCs/>
          <w:sz w:val="24"/>
          <w:szCs w:val="24"/>
        </w:rPr>
        <w:t>Psychopathy:</w:t>
      </w:r>
      <w:r>
        <w:rPr>
          <w:rFonts w:eastAsia="Times New Roman"/>
          <w:sz w:val="24"/>
          <w:szCs w:val="24"/>
        </w:rPr>
        <w:t xml:space="preserve"> </w:t>
      </w:r>
      <w:r>
        <w:rPr>
          <w:rFonts w:eastAsia="Times New Roman"/>
          <w:i/>
          <w:iCs/>
          <w:sz w:val="24"/>
          <w:szCs w:val="24"/>
        </w:rPr>
        <w:t xml:space="preserve">Antisocial, Criminal, and Violent Behavior, </w:t>
      </w:r>
      <w:r>
        <w:rPr>
          <w:rFonts w:eastAsia="Times New Roman"/>
          <w:sz w:val="24"/>
          <w:szCs w:val="24"/>
        </w:rPr>
        <w:t>Guilford Press, New York, pp. 171-187.</w: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337" w:lineRule="exact"/>
        <w:rPr>
          <w:sz w:val="20"/>
          <w:szCs w:val="20"/>
        </w:rPr>
      </w:pPr>
    </w:p>
    <w:p w:rsidR="00256EA3" w:rsidRDefault="009057A0">
      <w:pPr>
        <w:ind w:left="120"/>
        <w:rPr>
          <w:sz w:val="20"/>
          <w:szCs w:val="20"/>
        </w:rPr>
      </w:pPr>
      <w:r>
        <w:rPr>
          <w:rFonts w:eastAsia="Times New Roman"/>
          <w:b/>
          <w:bCs/>
          <w:sz w:val="24"/>
          <w:szCs w:val="24"/>
        </w:rPr>
        <w:t>Table 1</w:t>
      </w:r>
    </w:p>
    <w:p w:rsidR="00256EA3" w:rsidRDefault="00256EA3">
      <w:pPr>
        <w:spacing w:line="242" w:lineRule="exact"/>
        <w:rPr>
          <w:sz w:val="20"/>
          <w:szCs w:val="20"/>
        </w:rPr>
      </w:pPr>
    </w:p>
    <w:p w:rsidR="00256EA3" w:rsidRDefault="009057A0">
      <w:pPr>
        <w:ind w:left="120"/>
        <w:rPr>
          <w:sz w:val="20"/>
          <w:szCs w:val="20"/>
        </w:rPr>
      </w:pPr>
      <w:r>
        <w:rPr>
          <w:rFonts w:eastAsia="Times New Roman"/>
          <w:i/>
          <w:iCs/>
          <w:sz w:val="24"/>
          <w:szCs w:val="24"/>
        </w:rPr>
        <w:t>Descriptive statistics</w:t>
      </w:r>
    </w:p>
    <w:p w:rsidR="00256EA3" w:rsidRDefault="009057A0">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6985</wp:posOffset>
                </wp:positionH>
                <wp:positionV relativeFrom="paragraph">
                  <wp:posOffset>170180</wp:posOffset>
                </wp:positionV>
                <wp:extent cx="586930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93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662B03B" id="Shape 8"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5pt,13.4pt" to="462.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" o:allowincell="f" filled="t" strokeweight=".48pt">
                <v:stroke joinstyle="miter"/>
                <o:lock v:ext="edit" shapetype="f"/>
              </v:line>
            </w:pict>
          </mc:Fallback>
        </mc:AlternateContent>
      </w:r>
    </w:p>
    <w:p w:rsidR="00256EA3" w:rsidRDefault="00256EA3">
      <w:pPr>
        <w:spacing w:line="200" w:lineRule="exact"/>
        <w:rPr>
          <w:sz w:val="20"/>
          <w:szCs w:val="20"/>
        </w:rPr>
      </w:pPr>
    </w:p>
    <w:p w:rsidR="00256EA3" w:rsidRDefault="00256EA3">
      <w:pPr>
        <w:spacing w:line="27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5780"/>
        <w:gridCol w:w="840"/>
        <w:gridCol w:w="800"/>
        <w:gridCol w:w="780"/>
        <w:gridCol w:w="1040"/>
      </w:tblGrid>
      <w:tr w:rsidR="00256EA3">
        <w:trPr>
          <w:trHeight w:val="312"/>
        </w:trPr>
        <w:tc>
          <w:tcPr>
            <w:tcW w:w="20" w:type="dxa"/>
            <w:vAlign w:val="bottom"/>
          </w:tcPr>
          <w:p w:rsidR="00256EA3" w:rsidRDefault="00256EA3">
            <w:pPr>
              <w:rPr>
                <w:sz w:val="24"/>
                <w:szCs w:val="24"/>
              </w:rPr>
            </w:pPr>
          </w:p>
        </w:tc>
        <w:tc>
          <w:tcPr>
            <w:tcW w:w="5780" w:type="dxa"/>
            <w:vAlign w:val="bottom"/>
          </w:tcPr>
          <w:p w:rsidR="00256EA3" w:rsidRDefault="009057A0">
            <w:pPr>
              <w:ind w:left="100"/>
              <w:rPr>
                <w:sz w:val="20"/>
                <w:szCs w:val="20"/>
              </w:rPr>
            </w:pPr>
            <w:r>
              <w:rPr>
                <w:rFonts w:eastAsia="Times New Roman"/>
                <w:sz w:val="24"/>
                <w:szCs w:val="24"/>
              </w:rPr>
              <w:t>Variable</w:t>
            </w:r>
          </w:p>
        </w:tc>
        <w:tc>
          <w:tcPr>
            <w:tcW w:w="840" w:type="dxa"/>
            <w:vAlign w:val="bottom"/>
          </w:tcPr>
          <w:p w:rsidR="00256EA3" w:rsidRDefault="009057A0">
            <w:pPr>
              <w:ind w:left="200"/>
              <w:rPr>
                <w:sz w:val="20"/>
                <w:szCs w:val="20"/>
              </w:rPr>
            </w:pPr>
            <w:r>
              <w:rPr>
                <w:rFonts w:eastAsia="Times New Roman"/>
                <w:sz w:val="24"/>
                <w:szCs w:val="24"/>
              </w:rPr>
              <w:t>M</w:t>
            </w:r>
          </w:p>
        </w:tc>
        <w:tc>
          <w:tcPr>
            <w:tcW w:w="800" w:type="dxa"/>
            <w:vAlign w:val="bottom"/>
          </w:tcPr>
          <w:p w:rsidR="00256EA3" w:rsidRDefault="009057A0">
            <w:pPr>
              <w:ind w:left="120"/>
              <w:rPr>
                <w:sz w:val="20"/>
                <w:szCs w:val="20"/>
              </w:rPr>
            </w:pPr>
            <w:r>
              <w:rPr>
                <w:rFonts w:eastAsia="Times New Roman"/>
                <w:sz w:val="24"/>
                <w:szCs w:val="24"/>
              </w:rPr>
              <w:t>SD</w:t>
            </w:r>
          </w:p>
        </w:tc>
        <w:tc>
          <w:tcPr>
            <w:tcW w:w="780" w:type="dxa"/>
            <w:vAlign w:val="bottom"/>
          </w:tcPr>
          <w:p w:rsidR="00256EA3" w:rsidRDefault="009057A0">
            <w:pPr>
              <w:ind w:left="160"/>
              <w:rPr>
                <w:sz w:val="20"/>
                <w:szCs w:val="20"/>
              </w:rPr>
            </w:pPr>
            <w:r>
              <w:rPr>
                <w:rFonts w:eastAsia="Times New Roman"/>
                <w:sz w:val="24"/>
                <w:szCs w:val="24"/>
              </w:rPr>
              <w:t>Min</w:t>
            </w:r>
          </w:p>
        </w:tc>
        <w:tc>
          <w:tcPr>
            <w:tcW w:w="1040" w:type="dxa"/>
            <w:vAlign w:val="bottom"/>
          </w:tcPr>
          <w:p w:rsidR="00256EA3" w:rsidRDefault="009057A0">
            <w:pPr>
              <w:ind w:left="240"/>
              <w:rPr>
                <w:sz w:val="20"/>
                <w:szCs w:val="20"/>
              </w:rPr>
            </w:pPr>
            <w:r>
              <w:rPr>
                <w:rFonts w:eastAsia="Times New Roman"/>
                <w:sz w:val="24"/>
                <w:szCs w:val="24"/>
              </w:rPr>
              <w:t>Max</w:t>
            </w:r>
          </w:p>
        </w:tc>
      </w:tr>
      <w:tr w:rsidR="00256EA3">
        <w:trPr>
          <w:trHeight w:val="263"/>
        </w:trPr>
        <w:tc>
          <w:tcPr>
            <w:tcW w:w="20" w:type="dxa"/>
            <w:vAlign w:val="bottom"/>
          </w:tcPr>
          <w:p w:rsidR="00256EA3" w:rsidRDefault="00256EA3"/>
        </w:tc>
        <w:tc>
          <w:tcPr>
            <w:tcW w:w="5780" w:type="dxa"/>
            <w:tcBorders>
              <w:bottom w:val="single" w:sz="8" w:space="0" w:color="auto"/>
            </w:tcBorders>
            <w:vAlign w:val="bottom"/>
          </w:tcPr>
          <w:p w:rsidR="00256EA3" w:rsidRDefault="00256EA3"/>
        </w:tc>
        <w:tc>
          <w:tcPr>
            <w:tcW w:w="840" w:type="dxa"/>
            <w:tcBorders>
              <w:bottom w:val="single" w:sz="8" w:space="0" w:color="auto"/>
            </w:tcBorders>
            <w:vAlign w:val="bottom"/>
          </w:tcPr>
          <w:p w:rsidR="00256EA3" w:rsidRDefault="00256EA3"/>
        </w:tc>
        <w:tc>
          <w:tcPr>
            <w:tcW w:w="800" w:type="dxa"/>
            <w:tcBorders>
              <w:bottom w:val="single" w:sz="8" w:space="0" w:color="auto"/>
            </w:tcBorders>
            <w:vAlign w:val="bottom"/>
          </w:tcPr>
          <w:p w:rsidR="00256EA3" w:rsidRDefault="00256EA3"/>
        </w:tc>
        <w:tc>
          <w:tcPr>
            <w:tcW w:w="780" w:type="dxa"/>
            <w:tcBorders>
              <w:bottom w:val="single" w:sz="8" w:space="0" w:color="auto"/>
            </w:tcBorders>
            <w:vAlign w:val="bottom"/>
          </w:tcPr>
          <w:p w:rsidR="00256EA3" w:rsidRDefault="00256EA3"/>
        </w:tc>
        <w:tc>
          <w:tcPr>
            <w:tcW w:w="1040" w:type="dxa"/>
            <w:tcBorders>
              <w:bottom w:val="single" w:sz="8" w:space="0" w:color="auto"/>
            </w:tcBorders>
            <w:vAlign w:val="bottom"/>
          </w:tcPr>
          <w:p w:rsidR="00256EA3" w:rsidRDefault="00256EA3"/>
        </w:tc>
      </w:tr>
      <w:tr w:rsidR="00256EA3">
        <w:trPr>
          <w:trHeight w:val="405"/>
        </w:trPr>
        <w:tc>
          <w:tcPr>
            <w:tcW w:w="20" w:type="dxa"/>
            <w:vAlign w:val="bottom"/>
          </w:tcPr>
          <w:p w:rsidR="00256EA3" w:rsidRDefault="00256EA3">
            <w:pPr>
              <w:rPr>
                <w:sz w:val="24"/>
                <w:szCs w:val="24"/>
              </w:rPr>
            </w:pPr>
          </w:p>
        </w:tc>
        <w:tc>
          <w:tcPr>
            <w:tcW w:w="5780" w:type="dxa"/>
            <w:vAlign w:val="bottom"/>
          </w:tcPr>
          <w:p w:rsidR="00256EA3" w:rsidRDefault="009057A0">
            <w:pPr>
              <w:ind w:left="100"/>
              <w:rPr>
                <w:sz w:val="20"/>
                <w:szCs w:val="20"/>
              </w:rPr>
            </w:pPr>
            <w:r>
              <w:rPr>
                <w:rFonts w:eastAsia="Times New Roman"/>
                <w:sz w:val="24"/>
                <w:szCs w:val="24"/>
              </w:rPr>
              <w:t>PCL - Factor 1</w:t>
            </w:r>
          </w:p>
        </w:tc>
        <w:tc>
          <w:tcPr>
            <w:tcW w:w="840" w:type="dxa"/>
            <w:vAlign w:val="bottom"/>
          </w:tcPr>
          <w:p w:rsidR="00256EA3" w:rsidRDefault="009057A0">
            <w:pPr>
              <w:ind w:left="200"/>
              <w:rPr>
                <w:sz w:val="20"/>
                <w:szCs w:val="20"/>
              </w:rPr>
            </w:pPr>
            <w:r>
              <w:rPr>
                <w:rFonts w:eastAsia="Times New Roman"/>
                <w:sz w:val="24"/>
                <w:szCs w:val="24"/>
              </w:rPr>
              <w:t>3.11</w:t>
            </w:r>
          </w:p>
        </w:tc>
        <w:tc>
          <w:tcPr>
            <w:tcW w:w="800" w:type="dxa"/>
            <w:vAlign w:val="bottom"/>
          </w:tcPr>
          <w:p w:rsidR="00256EA3" w:rsidRDefault="009057A0">
            <w:pPr>
              <w:ind w:left="120"/>
              <w:rPr>
                <w:sz w:val="20"/>
                <w:szCs w:val="20"/>
              </w:rPr>
            </w:pPr>
            <w:r>
              <w:rPr>
                <w:rFonts w:eastAsia="Times New Roman"/>
                <w:sz w:val="24"/>
                <w:szCs w:val="24"/>
              </w:rPr>
              <w:t>2.99</w:t>
            </w:r>
          </w:p>
        </w:tc>
        <w:tc>
          <w:tcPr>
            <w:tcW w:w="780" w:type="dxa"/>
            <w:vAlign w:val="bottom"/>
          </w:tcPr>
          <w:p w:rsidR="00256EA3" w:rsidRDefault="009057A0">
            <w:pPr>
              <w:ind w:left="160"/>
              <w:rPr>
                <w:sz w:val="20"/>
                <w:szCs w:val="20"/>
              </w:rPr>
            </w:pPr>
            <w:r>
              <w:rPr>
                <w:rFonts w:eastAsia="Times New Roman"/>
                <w:sz w:val="24"/>
                <w:szCs w:val="24"/>
              </w:rPr>
              <w:t>0</w:t>
            </w:r>
          </w:p>
        </w:tc>
        <w:tc>
          <w:tcPr>
            <w:tcW w:w="1040" w:type="dxa"/>
            <w:vAlign w:val="bottom"/>
          </w:tcPr>
          <w:p w:rsidR="00256EA3" w:rsidRDefault="009057A0">
            <w:pPr>
              <w:ind w:left="240"/>
              <w:rPr>
                <w:sz w:val="20"/>
                <w:szCs w:val="20"/>
              </w:rPr>
            </w:pPr>
            <w:r>
              <w:rPr>
                <w:rFonts w:eastAsia="Times New Roman"/>
                <w:sz w:val="24"/>
                <w:szCs w:val="24"/>
              </w:rPr>
              <w:t>12</w:t>
            </w:r>
          </w:p>
        </w:tc>
      </w:tr>
      <w:tr w:rsidR="00256EA3">
        <w:trPr>
          <w:trHeight w:val="557"/>
        </w:trPr>
        <w:tc>
          <w:tcPr>
            <w:tcW w:w="20" w:type="dxa"/>
            <w:vAlign w:val="bottom"/>
          </w:tcPr>
          <w:p w:rsidR="00256EA3" w:rsidRDefault="00256EA3">
            <w:pPr>
              <w:rPr>
                <w:sz w:val="24"/>
                <w:szCs w:val="24"/>
              </w:rPr>
            </w:pPr>
          </w:p>
        </w:tc>
        <w:tc>
          <w:tcPr>
            <w:tcW w:w="5780" w:type="dxa"/>
            <w:vAlign w:val="bottom"/>
          </w:tcPr>
          <w:p w:rsidR="00256EA3" w:rsidRDefault="009057A0">
            <w:pPr>
              <w:ind w:left="100"/>
              <w:rPr>
                <w:sz w:val="20"/>
                <w:szCs w:val="20"/>
              </w:rPr>
            </w:pPr>
            <w:r>
              <w:rPr>
                <w:rFonts w:eastAsia="Times New Roman"/>
                <w:sz w:val="24"/>
                <w:szCs w:val="24"/>
              </w:rPr>
              <w:t>PCL - Factor 2</w:t>
            </w:r>
          </w:p>
        </w:tc>
        <w:tc>
          <w:tcPr>
            <w:tcW w:w="840" w:type="dxa"/>
            <w:vAlign w:val="bottom"/>
          </w:tcPr>
          <w:p w:rsidR="00256EA3" w:rsidRDefault="009057A0">
            <w:pPr>
              <w:ind w:left="200"/>
              <w:rPr>
                <w:sz w:val="20"/>
                <w:szCs w:val="20"/>
              </w:rPr>
            </w:pPr>
            <w:r>
              <w:rPr>
                <w:rFonts w:eastAsia="Times New Roman"/>
                <w:sz w:val="24"/>
                <w:szCs w:val="24"/>
              </w:rPr>
              <w:t>5.41</w:t>
            </w:r>
          </w:p>
        </w:tc>
        <w:tc>
          <w:tcPr>
            <w:tcW w:w="800" w:type="dxa"/>
            <w:vAlign w:val="bottom"/>
          </w:tcPr>
          <w:p w:rsidR="00256EA3" w:rsidRDefault="009057A0">
            <w:pPr>
              <w:ind w:left="120"/>
              <w:rPr>
                <w:sz w:val="20"/>
                <w:szCs w:val="20"/>
              </w:rPr>
            </w:pPr>
            <w:r>
              <w:rPr>
                <w:rFonts w:eastAsia="Times New Roman"/>
                <w:sz w:val="24"/>
                <w:szCs w:val="24"/>
              </w:rPr>
              <w:t>3.30</w:t>
            </w:r>
          </w:p>
        </w:tc>
        <w:tc>
          <w:tcPr>
            <w:tcW w:w="780" w:type="dxa"/>
            <w:vAlign w:val="bottom"/>
          </w:tcPr>
          <w:p w:rsidR="00256EA3" w:rsidRDefault="009057A0">
            <w:pPr>
              <w:ind w:left="160"/>
              <w:rPr>
                <w:sz w:val="20"/>
                <w:szCs w:val="20"/>
              </w:rPr>
            </w:pPr>
            <w:r>
              <w:rPr>
                <w:rFonts w:eastAsia="Times New Roman"/>
                <w:sz w:val="24"/>
                <w:szCs w:val="24"/>
              </w:rPr>
              <w:t>0</w:t>
            </w:r>
          </w:p>
        </w:tc>
        <w:tc>
          <w:tcPr>
            <w:tcW w:w="1040" w:type="dxa"/>
            <w:vAlign w:val="bottom"/>
          </w:tcPr>
          <w:p w:rsidR="00256EA3" w:rsidRDefault="009057A0">
            <w:pPr>
              <w:ind w:left="240"/>
              <w:rPr>
                <w:sz w:val="20"/>
                <w:szCs w:val="20"/>
              </w:rPr>
            </w:pPr>
            <w:r>
              <w:rPr>
                <w:rFonts w:eastAsia="Times New Roman"/>
                <w:sz w:val="24"/>
                <w:szCs w:val="24"/>
              </w:rPr>
              <w:t>12</w:t>
            </w:r>
          </w:p>
        </w:tc>
      </w:tr>
      <w:tr w:rsidR="00256EA3">
        <w:trPr>
          <w:trHeight w:val="558"/>
        </w:trPr>
        <w:tc>
          <w:tcPr>
            <w:tcW w:w="20" w:type="dxa"/>
            <w:vAlign w:val="bottom"/>
          </w:tcPr>
          <w:p w:rsidR="00256EA3" w:rsidRDefault="00256EA3">
            <w:pPr>
              <w:rPr>
                <w:sz w:val="24"/>
                <w:szCs w:val="24"/>
              </w:rPr>
            </w:pPr>
          </w:p>
        </w:tc>
        <w:tc>
          <w:tcPr>
            <w:tcW w:w="5780" w:type="dxa"/>
            <w:vAlign w:val="bottom"/>
          </w:tcPr>
          <w:p w:rsidR="00256EA3" w:rsidRDefault="009057A0">
            <w:pPr>
              <w:ind w:left="100"/>
              <w:rPr>
                <w:sz w:val="20"/>
                <w:szCs w:val="20"/>
              </w:rPr>
            </w:pPr>
            <w:r>
              <w:rPr>
                <w:rFonts w:eastAsia="Times New Roman"/>
                <w:sz w:val="24"/>
                <w:szCs w:val="24"/>
              </w:rPr>
              <w:t>How many days per week do you typically use any drugs</w:t>
            </w:r>
          </w:p>
        </w:tc>
        <w:tc>
          <w:tcPr>
            <w:tcW w:w="840" w:type="dxa"/>
            <w:vAlign w:val="bottom"/>
          </w:tcPr>
          <w:p w:rsidR="00256EA3" w:rsidRDefault="009057A0">
            <w:pPr>
              <w:ind w:left="200"/>
              <w:rPr>
                <w:sz w:val="20"/>
                <w:szCs w:val="20"/>
              </w:rPr>
            </w:pPr>
            <w:r>
              <w:rPr>
                <w:rFonts w:eastAsia="Times New Roman"/>
                <w:sz w:val="24"/>
                <w:szCs w:val="24"/>
              </w:rPr>
              <w:t>.75</w:t>
            </w:r>
          </w:p>
        </w:tc>
        <w:tc>
          <w:tcPr>
            <w:tcW w:w="800" w:type="dxa"/>
            <w:vAlign w:val="bottom"/>
          </w:tcPr>
          <w:p w:rsidR="00256EA3" w:rsidRDefault="009057A0">
            <w:pPr>
              <w:ind w:left="120"/>
              <w:rPr>
                <w:sz w:val="20"/>
                <w:szCs w:val="20"/>
              </w:rPr>
            </w:pPr>
            <w:r>
              <w:rPr>
                <w:rFonts w:eastAsia="Times New Roman"/>
                <w:sz w:val="24"/>
                <w:szCs w:val="24"/>
              </w:rPr>
              <w:t>1.82</w:t>
            </w:r>
          </w:p>
        </w:tc>
        <w:tc>
          <w:tcPr>
            <w:tcW w:w="780" w:type="dxa"/>
            <w:vAlign w:val="bottom"/>
          </w:tcPr>
          <w:p w:rsidR="00256EA3" w:rsidRDefault="009057A0">
            <w:pPr>
              <w:ind w:left="160"/>
              <w:rPr>
                <w:sz w:val="20"/>
                <w:szCs w:val="20"/>
              </w:rPr>
            </w:pPr>
            <w:r>
              <w:rPr>
                <w:rFonts w:eastAsia="Times New Roman"/>
                <w:sz w:val="24"/>
                <w:szCs w:val="24"/>
              </w:rPr>
              <w:t>0</w:t>
            </w:r>
          </w:p>
        </w:tc>
        <w:tc>
          <w:tcPr>
            <w:tcW w:w="1040" w:type="dxa"/>
            <w:vAlign w:val="bottom"/>
          </w:tcPr>
          <w:p w:rsidR="00256EA3" w:rsidRDefault="009057A0">
            <w:pPr>
              <w:ind w:left="240"/>
              <w:rPr>
                <w:sz w:val="20"/>
                <w:szCs w:val="20"/>
              </w:rPr>
            </w:pPr>
            <w:r>
              <w:rPr>
                <w:rFonts w:eastAsia="Times New Roman"/>
                <w:sz w:val="24"/>
                <w:szCs w:val="24"/>
              </w:rPr>
              <w:t>7</w:t>
            </w:r>
          </w:p>
        </w:tc>
      </w:tr>
      <w:tr w:rsidR="00256EA3">
        <w:trPr>
          <w:trHeight w:val="557"/>
        </w:trPr>
        <w:tc>
          <w:tcPr>
            <w:tcW w:w="20" w:type="dxa"/>
            <w:vAlign w:val="bottom"/>
          </w:tcPr>
          <w:p w:rsidR="00256EA3" w:rsidRDefault="00256EA3">
            <w:pPr>
              <w:rPr>
                <w:sz w:val="24"/>
                <w:szCs w:val="24"/>
              </w:rPr>
            </w:pPr>
          </w:p>
        </w:tc>
        <w:tc>
          <w:tcPr>
            <w:tcW w:w="5780" w:type="dxa"/>
            <w:vAlign w:val="bottom"/>
          </w:tcPr>
          <w:p w:rsidR="00256EA3" w:rsidRDefault="009057A0">
            <w:pPr>
              <w:ind w:left="100"/>
              <w:rPr>
                <w:sz w:val="20"/>
                <w:szCs w:val="20"/>
              </w:rPr>
            </w:pPr>
            <w:r>
              <w:rPr>
                <w:rFonts w:eastAsia="Times New Roman"/>
                <w:sz w:val="24"/>
                <w:szCs w:val="24"/>
              </w:rPr>
              <w:t>Age</w:t>
            </w:r>
          </w:p>
        </w:tc>
        <w:tc>
          <w:tcPr>
            <w:tcW w:w="840" w:type="dxa"/>
            <w:vAlign w:val="bottom"/>
          </w:tcPr>
          <w:p w:rsidR="00256EA3" w:rsidRDefault="009057A0">
            <w:pPr>
              <w:ind w:left="200"/>
              <w:rPr>
                <w:sz w:val="20"/>
                <w:szCs w:val="20"/>
              </w:rPr>
            </w:pPr>
            <w:r>
              <w:rPr>
                <w:rFonts w:eastAsia="Times New Roman"/>
                <w:sz w:val="24"/>
                <w:szCs w:val="24"/>
              </w:rPr>
              <w:t>29.86</w:t>
            </w:r>
          </w:p>
        </w:tc>
        <w:tc>
          <w:tcPr>
            <w:tcW w:w="800" w:type="dxa"/>
            <w:vAlign w:val="bottom"/>
          </w:tcPr>
          <w:p w:rsidR="00256EA3" w:rsidRDefault="009057A0">
            <w:pPr>
              <w:ind w:left="120"/>
              <w:rPr>
                <w:sz w:val="20"/>
                <w:szCs w:val="20"/>
              </w:rPr>
            </w:pPr>
            <w:r>
              <w:rPr>
                <w:rFonts w:eastAsia="Times New Roman"/>
                <w:sz w:val="24"/>
                <w:szCs w:val="24"/>
              </w:rPr>
              <w:t>6.20</w:t>
            </w:r>
          </w:p>
        </w:tc>
        <w:tc>
          <w:tcPr>
            <w:tcW w:w="780" w:type="dxa"/>
            <w:vAlign w:val="bottom"/>
          </w:tcPr>
          <w:p w:rsidR="00256EA3" w:rsidRDefault="009057A0">
            <w:pPr>
              <w:ind w:left="160"/>
              <w:rPr>
                <w:sz w:val="20"/>
                <w:szCs w:val="20"/>
              </w:rPr>
            </w:pPr>
            <w:r>
              <w:rPr>
                <w:rFonts w:eastAsia="Times New Roman"/>
                <w:sz w:val="24"/>
                <w:szCs w:val="24"/>
              </w:rPr>
              <w:t>18</w:t>
            </w:r>
          </w:p>
        </w:tc>
        <w:tc>
          <w:tcPr>
            <w:tcW w:w="1040" w:type="dxa"/>
            <w:vAlign w:val="bottom"/>
          </w:tcPr>
          <w:p w:rsidR="00256EA3" w:rsidRDefault="009057A0">
            <w:pPr>
              <w:ind w:left="240"/>
              <w:rPr>
                <w:sz w:val="20"/>
                <w:szCs w:val="20"/>
              </w:rPr>
            </w:pPr>
            <w:r>
              <w:rPr>
                <w:rFonts w:eastAsia="Times New Roman"/>
                <w:sz w:val="24"/>
                <w:szCs w:val="24"/>
              </w:rPr>
              <w:t>40</w:t>
            </w:r>
          </w:p>
        </w:tc>
      </w:tr>
      <w:tr w:rsidR="00256EA3">
        <w:trPr>
          <w:trHeight w:val="558"/>
        </w:trPr>
        <w:tc>
          <w:tcPr>
            <w:tcW w:w="20" w:type="dxa"/>
            <w:vAlign w:val="bottom"/>
          </w:tcPr>
          <w:p w:rsidR="00256EA3" w:rsidRDefault="00256EA3">
            <w:pPr>
              <w:rPr>
                <w:sz w:val="24"/>
                <w:szCs w:val="24"/>
              </w:rPr>
            </w:pPr>
          </w:p>
        </w:tc>
        <w:tc>
          <w:tcPr>
            <w:tcW w:w="5780" w:type="dxa"/>
            <w:vAlign w:val="bottom"/>
          </w:tcPr>
          <w:p w:rsidR="00256EA3" w:rsidRDefault="009057A0">
            <w:pPr>
              <w:ind w:left="100"/>
              <w:rPr>
                <w:sz w:val="20"/>
                <w:szCs w:val="20"/>
              </w:rPr>
            </w:pPr>
            <w:r>
              <w:rPr>
                <w:rFonts w:eastAsia="Times New Roman"/>
                <w:sz w:val="24"/>
                <w:szCs w:val="24"/>
              </w:rPr>
              <w:t>Intelligence scale</w:t>
            </w:r>
          </w:p>
        </w:tc>
        <w:tc>
          <w:tcPr>
            <w:tcW w:w="840" w:type="dxa"/>
            <w:vAlign w:val="bottom"/>
          </w:tcPr>
          <w:p w:rsidR="00256EA3" w:rsidRDefault="009057A0">
            <w:pPr>
              <w:ind w:left="200"/>
              <w:rPr>
                <w:sz w:val="20"/>
                <w:szCs w:val="20"/>
              </w:rPr>
            </w:pPr>
            <w:r>
              <w:rPr>
                <w:rFonts w:eastAsia="Times New Roman"/>
                <w:sz w:val="24"/>
                <w:szCs w:val="24"/>
              </w:rPr>
              <w:t>34.63</w:t>
            </w:r>
          </w:p>
        </w:tc>
        <w:tc>
          <w:tcPr>
            <w:tcW w:w="800" w:type="dxa"/>
            <w:vAlign w:val="bottom"/>
          </w:tcPr>
          <w:p w:rsidR="00256EA3" w:rsidRDefault="009057A0">
            <w:pPr>
              <w:ind w:left="120"/>
              <w:rPr>
                <w:sz w:val="20"/>
                <w:szCs w:val="20"/>
              </w:rPr>
            </w:pPr>
            <w:r>
              <w:rPr>
                <w:rFonts w:eastAsia="Times New Roman"/>
                <w:sz w:val="24"/>
                <w:szCs w:val="24"/>
              </w:rPr>
              <w:t>16.61</w:t>
            </w:r>
          </w:p>
        </w:tc>
        <w:tc>
          <w:tcPr>
            <w:tcW w:w="780" w:type="dxa"/>
            <w:vAlign w:val="bottom"/>
          </w:tcPr>
          <w:p w:rsidR="00256EA3" w:rsidRDefault="009057A0">
            <w:pPr>
              <w:ind w:left="160"/>
              <w:rPr>
                <w:sz w:val="20"/>
                <w:szCs w:val="20"/>
              </w:rPr>
            </w:pPr>
            <w:r>
              <w:rPr>
                <w:rFonts w:eastAsia="Times New Roman"/>
                <w:sz w:val="24"/>
                <w:szCs w:val="24"/>
              </w:rPr>
              <w:t>0</w:t>
            </w:r>
          </w:p>
        </w:tc>
        <w:tc>
          <w:tcPr>
            <w:tcW w:w="1040" w:type="dxa"/>
            <w:vAlign w:val="bottom"/>
          </w:tcPr>
          <w:p w:rsidR="00256EA3" w:rsidRDefault="009057A0">
            <w:pPr>
              <w:ind w:left="240"/>
              <w:rPr>
                <w:sz w:val="20"/>
                <w:szCs w:val="20"/>
              </w:rPr>
            </w:pPr>
            <w:r>
              <w:rPr>
                <w:rFonts w:eastAsia="Times New Roman"/>
                <w:sz w:val="24"/>
                <w:szCs w:val="24"/>
              </w:rPr>
              <w:t>70</w:t>
            </w:r>
          </w:p>
        </w:tc>
      </w:tr>
      <w:tr w:rsidR="00256EA3">
        <w:trPr>
          <w:trHeight w:val="557"/>
        </w:trPr>
        <w:tc>
          <w:tcPr>
            <w:tcW w:w="20" w:type="dxa"/>
            <w:vAlign w:val="bottom"/>
          </w:tcPr>
          <w:p w:rsidR="00256EA3" w:rsidRDefault="00256EA3">
            <w:pPr>
              <w:rPr>
                <w:sz w:val="24"/>
                <w:szCs w:val="24"/>
              </w:rPr>
            </w:pPr>
          </w:p>
        </w:tc>
        <w:tc>
          <w:tcPr>
            <w:tcW w:w="5780" w:type="dxa"/>
            <w:vAlign w:val="bottom"/>
          </w:tcPr>
          <w:p w:rsidR="00256EA3" w:rsidRDefault="009057A0">
            <w:pPr>
              <w:ind w:left="100"/>
              <w:rPr>
                <w:sz w:val="20"/>
                <w:szCs w:val="20"/>
              </w:rPr>
            </w:pPr>
            <w:r>
              <w:rPr>
                <w:rFonts w:eastAsia="Times New Roman"/>
                <w:sz w:val="24"/>
                <w:szCs w:val="24"/>
              </w:rPr>
              <w:t>Impulsivity scale</w:t>
            </w:r>
          </w:p>
        </w:tc>
        <w:tc>
          <w:tcPr>
            <w:tcW w:w="840" w:type="dxa"/>
            <w:vAlign w:val="bottom"/>
          </w:tcPr>
          <w:p w:rsidR="00256EA3" w:rsidRDefault="009057A0">
            <w:pPr>
              <w:ind w:left="200"/>
              <w:rPr>
                <w:sz w:val="20"/>
                <w:szCs w:val="20"/>
              </w:rPr>
            </w:pPr>
            <w:r>
              <w:rPr>
                <w:rFonts w:eastAsia="Times New Roman"/>
                <w:sz w:val="24"/>
                <w:szCs w:val="24"/>
              </w:rPr>
              <w:t>57.38</w:t>
            </w:r>
          </w:p>
        </w:tc>
        <w:tc>
          <w:tcPr>
            <w:tcW w:w="800" w:type="dxa"/>
            <w:vAlign w:val="bottom"/>
          </w:tcPr>
          <w:p w:rsidR="00256EA3" w:rsidRDefault="009057A0">
            <w:pPr>
              <w:ind w:left="120"/>
              <w:rPr>
                <w:sz w:val="20"/>
                <w:szCs w:val="20"/>
              </w:rPr>
            </w:pPr>
            <w:r>
              <w:rPr>
                <w:rFonts w:eastAsia="Times New Roman"/>
                <w:sz w:val="24"/>
                <w:szCs w:val="24"/>
              </w:rPr>
              <w:t>16.91</w:t>
            </w:r>
          </w:p>
        </w:tc>
        <w:tc>
          <w:tcPr>
            <w:tcW w:w="780" w:type="dxa"/>
            <w:vAlign w:val="bottom"/>
          </w:tcPr>
          <w:p w:rsidR="00256EA3" w:rsidRDefault="009057A0">
            <w:pPr>
              <w:ind w:left="160"/>
              <w:rPr>
                <w:sz w:val="20"/>
                <w:szCs w:val="20"/>
              </w:rPr>
            </w:pPr>
            <w:r>
              <w:rPr>
                <w:rFonts w:eastAsia="Times New Roman"/>
                <w:sz w:val="24"/>
                <w:szCs w:val="24"/>
              </w:rPr>
              <w:t>8</w:t>
            </w:r>
          </w:p>
        </w:tc>
        <w:tc>
          <w:tcPr>
            <w:tcW w:w="1040" w:type="dxa"/>
            <w:vAlign w:val="bottom"/>
          </w:tcPr>
          <w:p w:rsidR="00256EA3" w:rsidRDefault="009057A0">
            <w:pPr>
              <w:ind w:left="220"/>
              <w:rPr>
                <w:sz w:val="20"/>
                <w:szCs w:val="20"/>
              </w:rPr>
            </w:pPr>
            <w:r>
              <w:rPr>
                <w:rFonts w:eastAsia="Times New Roman"/>
                <w:sz w:val="24"/>
                <w:szCs w:val="24"/>
              </w:rPr>
              <w:t>107</w:t>
            </w:r>
          </w:p>
        </w:tc>
      </w:tr>
      <w:tr w:rsidR="00256EA3">
        <w:trPr>
          <w:trHeight w:val="558"/>
        </w:trPr>
        <w:tc>
          <w:tcPr>
            <w:tcW w:w="20" w:type="dxa"/>
            <w:vAlign w:val="bottom"/>
          </w:tcPr>
          <w:p w:rsidR="00256EA3" w:rsidRDefault="00256EA3">
            <w:pPr>
              <w:rPr>
                <w:sz w:val="24"/>
                <w:szCs w:val="24"/>
              </w:rPr>
            </w:pPr>
          </w:p>
        </w:tc>
        <w:tc>
          <w:tcPr>
            <w:tcW w:w="5780" w:type="dxa"/>
            <w:vAlign w:val="bottom"/>
          </w:tcPr>
          <w:p w:rsidR="00256EA3" w:rsidRDefault="009057A0">
            <w:pPr>
              <w:ind w:left="100"/>
              <w:rPr>
                <w:sz w:val="20"/>
                <w:szCs w:val="20"/>
              </w:rPr>
            </w:pPr>
            <w:r>
              <w:rPr>
                <w:rFonts w:eastAsia="Times New Roman"/>
                <w:sz w:val="24"/>
                <w:szCs w:val="24"/>
              </w:rPr>
              <w:t>Number of arrests in past 2 years</w:t>
            </w:r>
          </w:p>
        </w:tc>
        <w:tc>
          <w:tcPr>
            <w:tcW w:w="840" w:type="dxa"/>
            <w:vAlign w:val="bottom"/>
          </w:tcPr>
          <w:p w:rsidR="00256EA3" w:rsidRDefault="009057A0">
            <w:pPr>
              <w:ind w:left="200"/>
              <w:rPr>
                <w:sz w:val="20"/>
                <w:szCs w:val="20"/>
              </w:rPr>
            </w:pPr>
            <w:r>
              <w:rPr>
                <w:rFonts w:eastAsia="Times New Roman"/>
                <w:sz w:val="24"/>
                <w:szCs w:val="24"/>
              </w:rPr>
              <w:t>.68</w:t>
            </w:r>
          </w:p>
        </w:tc>
        <w:tc>
          <w:tcPr>
            <w:tcW w:w="800" w:type="dxa"/>
            <w:vAlign w:val="bottom"/>
          </w:tcPr>
          <w:p w:rsidR="00256EA3" w:rsidRDefault="009057A0">
            <w:pPr>
              <w:ind w:left="120"/>
              <w:rPr>
                <w:sz w:val="20"/>
                <w:szCs w:val="20"/>
              </w:rPr>
            </w:pPr>
            <w:r>
              <w:rPr>
                <w:rFonts w:eastAsia="Times New Roman"/>
                <w:sz w:val="24"/>
                <w:szCs w:val="24"/>
              </w:rPr>
              <w:t>1.21</w:t>
            </w:r>
          </w:p>
        </w:tc>
        <w:tc>
          <w:tcPr>
            <w:tcW w:w="780" w:type="dxa"/>
            <w:vAlign w:val="bottom"/>
          </w:tcPr>
          <w:p w:rsidR="00256EA3" w:rsidRDefault="009057A0">
            <w:pPr>
              <w:ind w:left="160"/>
              <w:rPr>
                <w:sz w:val="20"/>
                <w:szCs w:val="20"/>
              </w:rPr>
            </w:pPr>
            <w:r>
              <w:rPr>
                <w:rFonts w:eastAsia="Times New Roman"/>
                <w:sz w:val="24"/>
                <w:szCs w:val="24"/>
              </w:rPr>
              <w:t>0</w:t>
            </w:r>
          </w:p>
        </w:tc>
        <w:tc>
          <w:tcPr>
            <w:tcW w:w="1040" w:type="dxa"/>
            <w:vAlign w:val="bottom"/>
          </w:tcPr>
          <w:p w:rsidR="00256EA3" w:rsidRDefault="009057A0">
            <w:pPr>
              <w:ind w:left="240"/>
              <w:rPr>
                <w:sz w:val="20"/>
                <w:szCs w:val="20"/>
              </w:rPr>
            </w:pPr>
            <w:r>
              <w:rPr>
                <w:rFonts w:eastAsia="Times New Roman"/>
                <w:sz w:val="24"/>
                <w:szCs w:val="24"/>
              </w:rPr>
              <w:t>5</w:t>
            </w:r>
          </w:p>
        </w:tc>
      </w:tr>
      <w:tr w:rsidR="00256EA3">
        <w:trPr>
          <w:trHeight w:val="143"/>
        </w:trPr>
        <w:tc>
          <w:tcPr>
            <w:tcW w:w="20" w:type="dxa"/>
            <w:tcBorders>
              <w:bottom w:val="single" w:sz="8" w:space="0" w:color="auto"/>
            </w:tcBorders>
            <w:vAlign w:val="bottom"/>
          </w:tcPr>
          <w:p w:rsidR="00256EA3" w:rsidRDefault="00256EA3">
            <w:pPr>
              <w:rPr>
                <w:sz w:val="12"/>
                <w:szCs w:val="12"/>
              </w:rPr>
            </w:pPr>
          </w:p>
        </w:tc>
        <w:tc>
          <w:tcPr>
            <w:tcW w:w="5780" w:type="dxa"/>
            <w:tcBorders>
              <w:bottom w:val="single" w:sz="8" w:space="0" w:color="auto"/>
            </w:tcBorders>
            <w:vAlign w:val="bottom"/>
          </w:tcPr>
          <w:p w:rsidR="00256EA3" w:rsidRDefault="00256EA3">
            <w:pPr>
              <w:rPr>
                <w:sz w:val="12"/>
                <w:szCs w:val="12"/>
              </w:rPr>
            </w:pPr>
          </w:p>
        </w:tc>
        <w:tc>
          <w:tcPr>
            <w:tcW w:w="840" w:type="dxa"/>
            <w:tcBorders>
              <w:bottom w:val="single" w:sz="8" w:space="0" w:color="auto"/>
            </w:tcBorders>
            <w:vAlign w:val="bottom"/>
          </w:tcPr>
          <w:p w:rsidR="00256EA3" w:rsidRDefault="00256EA3">
            <w:pPr>
              <w:rPr>
                <w:sz w:val="12"/>
                <w:szCs w:val="12"/>
              </w:rPr>
            </w:pPr>
          </w:p>
        </w:tc>
        <w:tc>
          <w:tcPr>
            <w:tcW w:w="800" w:type="dxa"/>
            <w:tcBorders>
              <w:bottom w:val="single" w:sz="8" w:space="0" w:color="auto"/>
            </w:tcBorders>
            <w:vAlign w:val="bottom"/>
          </w:tcPr>
          <w:p w:rsidR="00256EA3" w:rsidRDefault="00256EA3">
            <w:pPr>
              <w:rPr>
                <w:sz w:val="12"/>
                <w:szCs w:val="12"/>
              </w:rPr>
            </w:pPr>
          </w:p>
        </w:tc>
        <w:tc>
          <w:tcPr>
            <w:tcW w:w="780" w:type="dxa"/>
            <w:tcBorders>
              <w:bottom w:val="single" w:sz="8" w:space="0" w:color="auto"/>
            </w:tcBorders>
            <w:vAlign w:val="bottom"/>
          </w:tcPr>
          <w:p w:rsidR="00256EA3" w:rsidRDefault="00256EA3">
            <w:pPr>
              <w:rPr>
                <w:sz w:val="12"/>
                <w:szCs w:val="12"/>
              </w:rPr>
            </w:pPr>
          </w:p>
        </w:tc>
        <w:tc>
          <w:tcPr>
            <w:tcW w:w="1040" w:type="dxa"/>
            <w:tcBorders>
              <w:bottom w:val="single" w:sz="8" w:space="0" w:color="auto"/>
            </w:tcBorders>
            <w:vAlign w:val="bottom"/>
          </w:tcPr>
          <w:p w:rsidR="00256EA3" w:rsidRDefault="00256EA3">
            <w:pPr>
              <w:rPr>
                <w:sz w:val="12"/>
                <w:szCs w:val="12"/>
              </w:rPr>
            </w:pPr>
          </w:p>
        </w:tc>
      </w:tr>
    </w:tbl>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53" w:lineRule="exact"/>
        <w:rPr>
          <w:sz w:val="20"/>
          <w:szCs w:val="20"/>
        </w:rPr>
      </w:pPr>
    </w:p>
    <w:p w:rsidR="00256EA3" w:rsidRDefault="009057A0">
      <w:pPr>
        <w:ind w:left="8920"/>
        <w:rPr>
          <w:sz w:val="20"/>
          <w:szCs w:val="20"/>
        </w:rPr>
      </w:pPr>
      <w:r>
        <w:rPr>
          <w:rFonts w:eastAsia="Times New Roman"/>
        </w:rPr>
        <w:t>25</w:t>
      </w:r>
    </w:p>
    <w:p w:rsidR="00256EA3" w:rsidRDefault="00256EA3">
      <w:pPr>
        <w:sectPr w:rsidR="00256EA3">
          <w:pgSz w:w="11900" w:h="16840"/>
          <w:pgMar w:top="1420" w:right="1324" w:bottom="431" w:left="1320" w:header="0" w:footer="0" w:gutter="0"/>
          <w:cols w:space="720" w:equalWidth="0">
            <w:col w:w="9260"/>
          </w:cols>
        </w:sectPr>
      </w:pPr>
    </w:p>
    <w:p w:rsidR="00256EA3" w:rsidRDefault="00256EA3">
      <w:pPr>
        <w:spacing w:line="200" w:lineRule="exact"/>
        <w:rPr>
          <w:sz w:val="20"/>
          <w:szCs w:val="20"/>
        </w:rPr>
      </w:pPr>
      <w:bookmarkStart w:id="26" w:name="page27"/>
      <w:bookmarkEnd w:id="26"/>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69" w:lineRule="exact"/>
        <w:rPr>
          <w:sz w:val="20"/>
          <w:szCs w:val="20"/>
        </w:rPr>
      </w:pPr>
    </w:p>
    <w:p w:rsidR="00256EA3" w:rsidRDefault="009057A0">
      <w:pPr>
        <w:ind w:left="100"/>
        <w:rPr>
          <w:sz w:val="20"/>
          <w:szCs w:val="20"/>
        </w:rPr>
      </w:pPr>
      <w:r>
        <w:rPr>
          <w:rFonts w:eastAsia="Times New Roman"/>
          <w:b/>
          <w:bCs/>
          <w:sz w:val="24"/>
          <w:szCs w:val="24"/>
        </w:rPr>
        <w:t>Table 2</w:t>
      </w:r>
    </w:p>
    <w:p w:rsidR="00256EA3" w:rsidRDefault="00256EA3">
      <w:pPr>
        <w:spacing w:line="339" w:lineRule="exact"/>
        <w:rPr>
          <w:sz w:val="20"/>
          <w:szCs w:val="20"/>
        </w:rPr>
      </w:pPr>
    </w:p>
    <w:p w:rsidR="00256EA3" w:rsidRDefault="009057A0">
      <w:pPr>
        <w:ind w:left="100"/>
        <w:rPr>
          <w:sz w:val="20"/>
          <w:szCs w:val="20"/>
        </w:rPr>
      </w:pPr>
      <w:r>
        <w:rPr>
          <w:rFonts w:eastAsia="Times New Roman"/>
          <w:i/>
          <w:iCs/>
          <w:sz w:val="24"/>
          <w:szCs w:val="24"/>
        </w:rPr>
        <w:t>Correlations between all continuous variables</w:t>
      </w:r>
    </w:p>
    <w:p w:rsidR="00256EA3" w:rsidRDefault="009057A0">
      <w:pPr>
        <w:spacing w:line="20" w:lineRule="exact"/>
        <w:rPr>
          <w:sz w:val="20"/>
          <w:szCs w:val="20"/>
        </w:rPr>
      </w:pPr>
      <w:r>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-5080</wp:posOffset>
                </wp:positionH>
                <wp:positionV relativeFrom="paragraph">
                  <wp:posOffset>168910</wp:posOffset>
                </wp:positionV>
                <wp:extent cx="591883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88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F632734" id="Shape 9"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4pt,13.3pt" to="465.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" o:allowincell="f" filled="t" strokeweight=".48pt">
                <v:stroke joinstyle="miter"/>
                <o:lock v:ext="edit" shapetype="f"/>
              </v:line>
            </w:pict>
          </mc:Fallback>
        </mc:AlternateContent>
      </w:r>
    </w:p>
    <w:p w:rsidR="00256EA3" w:rsidRDefault="00256EA3">
      <w:pPr>
        <w:spacing w:line="200" w:lineRule="exact"/>
        <w:rPr>
          <w:sz w:val="20"/>
          <w:szCs w:val="20"/>
        </w:rPr>
      </w:pPr>
    </w:p>
    <w:p w:rsidR="00256EA3" w:rsidRDefault="00256EA3">
      <w:pPr>
        <w:spacing w:line="27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20"/>
        <w:gridCol w:w="3580"/>
        <w:gridCol w:w="1120"/>
        <w:gridCol w:w="880"/>
        <w:gridCol w:w="860"/>
        <w:gridCol w:w="840"/>
        <w:gridCol w:w="860"/>
        <w:gridCol w:w="860"/>
      </w:tblGrid>
      <w:tr w:rsidR="00256EA3">
        <w:trPr>
          <w:trHeight w:val="312"/>
        </w:trPr>
        <w:tc>
          <w:tcPr>
            <w:tcW w:w="3900" w:type="dxa"/>
            <w:gridSpan w:val="2"/>
            <w:vAlign w:val="bottom"/>
          </w:tcPr>
          <w:p w:rsidR="00256EA3" w:rsidRDefault="009057A0">
            <w:pPr>
              <w:ind w:left="100"/>
              <w:rPr>
                <w:sz w:val="20"/>
                <w:szCs w:val="20"/>
              </w:rPr>
            </w:pPr>
            <w:r>
              <w:rPr>
                <w:rFonts w:eastAsia="Times New Roman"/>
                <w:sz w:val="24"/>
                <w:szCs w:val="24"/>
              </w:rPr>
              <w:t>Variable</w:t>
            </w:r>
          </w:p>
        </w:tc>
        <w:tc>
          <w:tcPr>
            <w:tcW w:w="1120" w:type="dxa"/>
            <w:vAlign w:val="bottom"/>
          </w:tcPr>
          <w:p w:rsidR="00256EA3" w:rsidRDefault="009057A0">
            <w:pPr>
              <w:ind w:left="340"/>
              <w:rPr>
                <w:sz w:val="20"/>
                <w:szCs w:val="20"/>
              </w:rPr>
            </w:pPr>
            <w:r>
              <w:rPr>
                <w:rFonts w:eastAsia="Times New Roman"/>
                <w:sz w:val="24"/>
                <w:szCs w:val="24"/>
              </w:rPr>
              <w:t>1</w:t>
            </w:r>
          </w:p>
        </w:tc>
        <w:tc>
          <w:tcPr>
            <w:tcW w:w="880" w:type="dxa"/>
            <w:vAlign w:val="bottom"/>
          </w:tcPr>
          <w:p w:rsidR="00256EA3" w:rsidRDefault="009057A0">
            <w:pPr>
              <w:ind w:left="160"/>
              <w:rPr>
                <w:sz w:val="20"/>
                <w:szCs w:val="20"/>
              </w:rPr>
            </w:pPr>
            <w:r>
              <w:rPr>
                <w:rFonts w:eastAsia="Times New Roman"/>
                <w:sz w:val="24"/>
                <w:szCs w:val="24"/>
              </w:rPr>
              <w:t>2</w:t>
            </w:r>
          </w:p>
        </w:tc>
        <w:tc>
          <w:tcPr>
            <w:tcW w:w="860" w:type="dxa"/>
            <w:vAlign w:val="bottom"/>
          </w:tcPr>
          <w:p w:rsidR="00256EA3" w:rsidRDefault="009057A0">
            <w:pPr>
              <w:ind w:left="120"/>
              <w:rPr>
                <w:sz w:val="20"/>
                <w:szCs w:val="20"/>
              </w:rPr>
            </w:pPr>
            <w:r>
              <w:rPr>
                <w:rFonts w:eastAsia="Times New Roman"/>
                <w:sz w:val="24"/>
                <w:szCs w:val="24"/>
              </w:rPr>
              <w:t>3</w:t>
            </w:r>
          </w:p>
        </w:tc>
        <w:tc>
          <w:tcPr>
            <w:tcW w:w="840" w:type="dxa"/>
            <w:vAlign w:val="bottom"/>
          </w:tcPr>
          <w:p w:rsidR="00256EA3" w:rsidRDefault="009057A0">
            <w:pPr>
              <w:ind w:left="120"/>
              <w:rPr>
                <w:sz w:val="20"/>
                <w:szCs w:val="20"/>
              </w:rPr>
            </w:pPr>
            <w:r>
              <w:rPr>
                <w:rFonts w:eastAsia="Times New Roman"/>
                <w:sz w:val="24"/>
                <w:szCs w:val="24"/>
              </w:rPr>
              <w:t>4</w:t>
            </w:r>
          </w:p>
        </w:tc>
        <w:tc>
          <w:tcPr>
            <w:tcW w:w="860" w:type="dxa"/>
            <w:vAlign w:val="bottom"/>
          </w:tcPr>
          <w:p w:rsidR="00256EA3" w:rsidRDefault="009057A0">
            <w:pPr>
              <w:ind w:left="120"/>
              <w:rPr>
                <w:sz w:val="20"/>
                <w:szCs w:val="20"/>
              </w:rPr>
            </w:pPr>
            <w:r>
              <w:rPr>
                <w:rFonts w:eastAsia="Times New Roman"/>
                <w:sz w:val="24"/>
                <w:szCs w:val="24"/>
              </w:rPr>
              <w:t>5</w:t>
            </w:r>
          </w:p>
        </w:tc>
        <w:tc>
          <w:tcPr>
            <w:tcW w:w="860" w:type="dxa"/>
            <w:vAlign w:val="bottom"/>
          </w:tcPr>
          <w:p w:rsidR="00256EA3" w:rsidRDefault="009057A0">
            <w:pPr>
              <w:ind w:left="120"/>
              <w:rPr>
                <w:sz w:val="20"/>
                <w:szCs w:val="20"/>
              </w:rPr>
            </w:pPr>
            <w:r>
              <w:rPr>
                <w:rFonts w:eastAsia="Times New Roman"/>
                <w:sz w:val="24"/>
                <w:szCs w:val="24"/>
              </w:rPr>
              <w:t>6</w:t>
            </w:r>
          </w:p>
        </w:tc>
      </w:tr>
      <w:tr w:rsidR="00256EA3">
        <w:trPr>
          <w:trHeight w:val="263"/>
        </w:trPr>
        <w:tc>
          <w:tcPr>
            <w:tcW w:w="320" w:type="dxa"/>
            <w:tcBorders>
              <w:bottom w:val="single" w:sz="8" w:space="0" w:color="auto"/>
            </w:tcBorders>
            <w:vAlign w:val="bottom"/>
          </w:tcPr>
          <w:p w:rsidR="00256EA3" w:rsidRDefault="00256EA3"/>
        </w:tc>
        <w:tc>
          <w:tcPr>
            <w:tcW w:w="3580" w:type="dxa"/>
            <w:tcBorders>
              <w:bottom w:val="single" w:sz="8" w:space="0" w:color="auto"/>
            </w:tcBorders>
            <w:vAlign w:val="bottom"/>
          </w:tcPr>
          <w:p w:rsidR="00256EA3" w:rsidRDefault="00256EA3"/>
        </w:tc>
        <w:tc>
          <w:tcPr>
            <w:tcW w:w="1120" w:type="dxa"/>
            <w:tcBorders>
              <w:bottom w:val="single" w:sz="8" w:space="0" w:color="auto"/>
            </w:tcBorders>
            <w:vAlign w:val="bottom"/>
          </w:tcPr>
          <w:p w:rsidR="00256EA3" w:rsidRDefault="00256EA3"/>
        </w:tc>
        <w:tc>
          <w:tcPr>
            <w:tcW w:w="880" w:type="dxa"/>
            <w:tcBorders>
              <w:bottom w:val="single" w:sz="8" w:space="0" w:color="auto"/>
            </w:tcBorders>
            <w:vAlign w:val="bottom"/>
          </w:tcPr>
          <w:p w:rsidR="00256EA3" w:rsidRDefault="00256EA3"/>
        </w:tc>
        <w:tc>
          <w:tcPr>
            <w:tcW w:w="860" w:type="dxa"/>
            <w:tcBorders>
              <w:bottom w:val="single" w:sz="8" w:space="0" w:color="auto"/>
            </w:tcBorders>
            <w:vAlign w:val="bottom"/>
          </w:tcPr>
          <w:p w:rsidR="00256EA3" w:rsidRDefault="00256EA3"/>
        </w:tc>
        <w:tc>
          <w:tcPr>
            <w:tcW w:w="840" w:type="dxa"/>
            <w:tcBorders>
              <w:bottom w:val="single" w:sz="8" w:space="0" w:color="auto"/>
            </w:tcBorders>
            <w:vAlign w:val="bottom"/>
          </w:tcPr>
          <w:p w:rsidR="00256EA3" w:rsidRDefault="00256EA3"/>
        </w:tc>
        <w:tc>
          <w:tcPr>
            <w:tcW w:w="860" w:type="dxa"/>
            <w:tcBorders>
              <w:bottom w:val="single" w:sz="8" w:space="0" w:color="auto"/>
            </w:tcBorders>
            <w:vAlign w:val="bottom"/>
          </w:tcPr>
          <w:p w:rsidR="00256EA3" w:rsidRDefault="00256EA3"/>
        </w:tc>
        <w:tc>
          <w:tcPr>
            <w:tcW w:w="860" w:type="dxa"/>
            <w:tcBorders>
              <w:bottom w:val="single" w:sz="8" w:space="0" w:color="auto"/>
            </w:tcBorders>
            <w:vAlign w:val="bottom"/>
          </w:tcPr>
          <w:p w:rsidR="00256EA3" w:rsidRDefault="00256EA3"/>
        </w:tc>
      </w:tr>
      <w:tr w:rsidR="00256EA3">
        <w:trPr>
          <w:trHeight w:val="405"/>
        </w:trPr>
        <w:tc>
          <w:tcPr>
            <w:tcW w:w="320" w:type="dxa"/>
            <w:vAlign w:val="bottom"/>
          </w:tcPr>
          <w:p w:rsidR="00256EA3" w:rsidRDefault="009057A0">
            <w:pPr>
              <w:ind w:left="100"/>
              <w:rPr>
                <w:sz w:val="20"/>
                <w:szCs w:val="20"/>
              </w:rPr>
            </w:pPr>
            <w:r>
              <w:rPr>
                <w:rFonts w:eastAsia="Times New Roman"/>
                <w:sz w:val="24"/>
                <w:szCs w:val="24"/>
              </w:rPr>
              <w:t>1.</w:t>
            </w:r>
          </w:p>
        </w:tc>
        <w:tc>
          <w:tcPr>
            <w:tcW w:w="3580" w:type="dxa"/>
            <w:vAlign w:val="bottom"/>
          </w:tcPr>
          <w:p w:rsidR="00256EA3" w:rsidRDefault="009057A0">
            <w:pPr>
              <w:ind w:left="20"/>
              <w:rPr>
                <w:sz w:val="20"/>
                <w:szCs w:val="20"/>
              </w:rPr>
            </w:pPr>
            <w:r>
              <w:rPr>
                <w:rFonts w:eastAsia="Times New Roman"/>
                <w:sz w:val="24"/>
                <w:szCs w:val="24"/>
              </w:rPr>
              <w:t>PCL - Factor 1</w:t>
            </w:r>
          </w:p>
        </w:tc>
        <w:tc>
          <w:tcPr>
            <w:tcW w:w="1120" w:type="dxa"/>
            <w:vAlign w:val="bottom"/>
          </w:tcPr>
          <w:p w:rsidR="00256EA3" w:rsidRDefault="009057A0">
            <w:pPr>
              <w:ind w:left="340"/>
              <w:rPr>
                <w:sz w:val="20"/>
                <w:szCs w:val="20"/>
              </w:rPr>
            </w:pPr>
            <w:r>
              <w:rPr>
                <w:rFonts w:eastAsia="Times New Roman"/>
                <w:sz w:val="24"/>
                <w:szCs w:val="24"/>
              </w:rPr>
              <w:t>---</w:t>
            </w:r>
          </w:p>
        </w:tc>
        <w:tc>
          <w:tcPr>
            <w:tcW w:w="880" w:type="dxa"/>
            <w:vAlign w:val="bottom"/>
          </w:tcPr>
          <w:p w:rsidR="00256EA3" w:rsidRDefault="00256EA3">
            <w:pPr>
              <w:rPr>
                <w:sz w:val="24"/>
                <w:szCs w:val="24"/>
              </w:rPr>
            </w:pPr>
          </w:p>
        </w:tc>
        <w:tc>
          <w:tcPr>
            <w:tcW w:w="860" w:type="dxa"/>
            <w:vAlign w:val="bottom"/>
          </w:tcPr>
          <w:p w:rsidR="00256EA3" w:rsidRDefault="00256EA3">
            <w:pPr>
              <w:rPr>
                <w:sz w:val="24"/>
                <w:szCs w:val="24"/>
              </w:rPr>
            </w:pPr>
          </w:p>
        </w:tc>
        <w:tc>
          <w:tcPr>
            <w:tcW w:w="840" w:type="dxa"/>
            <w:vAlign w:val="bottom"/>
          </w:tcPr>
          <w:p w:rsidR="00256EA3" w:rsidRDefault="00256EA3">
            <w:pPr>
              <w:rPr>
                <w:sz w:val="24"/>
                <w:szCs w:val="24"/>
              </w:rPr>
            </w:pPr>
          </w:p>
        </w:tc>
        <w:tc>
          <w:tcPr>
            <w:tcW w:w="860" w:type="dxa"/>
            <w:vAlign w:val="bottom"/>
          </w:tcPr>
          <w:p w:rsidR="00256EA3" w:rsidRDefault="00256EA3">
            <w:pPr>
              <w:rPr>
                <w:sz w:val="24"/>
                <w:szCs w:val="24"/>
              </w:rPr>
            </w:pPr>
          </w:p>
        </w:tc>
        <w:tc>
          <w:tcPr>
            <w:tcW w:w="860" w:type="dxa"/>
            <w:vAlign w:val="bottom"/>
          </w:tcPr>
          <w:p w:rsidR="00256EA3" w:rsidRDefault="00256EA3">
            <w:pPr>
              <w:rPr>
                <w:sz w:val="24"/>
                <w:szCs w:val="24"/>
              </w:rPr>
            </w:pPr>
          </w:p>
        </w:tc>
      </w:tr>
      <w:tr w:rsidR="00256EA3">
        <w:trPr>
          <w:trHeight w:val="557"/>
        </w:trPr>
        <w:tc>
          <w:tcPr>
            <w:tcW w:w="320" w:type="dxa"/>
            <w:vAlign w:val="bottom"/>
          </w:tcPr>
          <w:p w:rsidR="00256EA3" w:rsidRDefault="009057A0">
            <w:pPr>
              <w:ind w:left="100"/>
              <w:rPr>
                <w:sz w:val="20"/>
                <w:szCs w:val="20"/>
              </w:rPr>
            </w:pPr>
            <w:r>
              <w:rPr>
                <w:rFonts w:eastAsia="Times New Roman"/>
                <w:sz w:val="24"/>
                <w:szCs w:val="24"/>
              </w:rPr>
              <w:t>2.</w:t>
            </w:r>
          </w:p>
        </w:tc>
        <w:tc>
          <w:tcPr>
            <w:tcW w:w="3580" w:type="dxa"/>
            <w:vAlign w:val="bottom"/>
          </w:tcPr>
          <w:p w:rsidR="00256EA3" w:rsidRDefault="009057A0">
            <w:pPr>
              <w:ind w:left="20"/>
              <w:rPr>
                <w:sz w:val="20"/>
                <w:szCs w:val="20"/>
              </w:rPr>
            </w:pPr>
            <w:r>
              <w:rPr>
                <w:rFonts w:eastAsia="Times New Roman"/>
                <w:sz w:val="24"/>
                <w:szCs w:val="24"/>
              </w:rPr>
              <w:t>PCL - Factor 2</w:t>
            </w:r>
          </w:p>
        </w:tc>
        <w:tc>
          <w:tcPr>
            <w:tcW w:w="1120" w:type="dxa"/>
            <w:vAlign w:val="bottom"/>
          </w:tcPr>
          <w:p w:rsidR="00256EA3" w:rsidRDefault="009057A0">
            <w:pPr>
              <w:ind w:left="340"/>
              <w:rPr>
                <w:sz w:val="20"/>
                <w:szCs w:val="20"/>
              </w:rPr>
            </w:pPr>
            <w:r>
              <w:rPr>
                <w:rFonts w:eastAsia="Times New Roman"/>
                <w:sz w:val="24"/>
                <w:szCs w:val="24"/>
              </w:rPr>
              <w:t>.57**</w:t>
            </w:r>
          </w:p>
        </w:tc>
        <w:tc>
          <w:tcPr>
            <w:tcW w:w="880" w:type="dxa"/>
            <w:vAlign w:val="bottom"/>
          </w:tcPr>
          <w:p w:rsidR="00256EA3" w:rsidRDefault="009057A0">
            <w:pPr>
              <w:ind w:left="140"/>
              <w:rPr>
                <w:sz w:val="20"/>
                <w:szCs w:val="20"/>
              </w:rPr>
            </w:pPr>
            <w:r>
              <w:rPr>
                <w:rFonts w:eastAsia="Times New Roman"/>
                <w:sz w:val="24"/>
                <w:szCs w:val="24"/>
              </w:rPr>
              <w:t>---</w:t>
            </w:r>
          </w:p>
        </w:tc>
        <w:tc>
          <w:tcPr>
            <w:tcW w:w="860" w:type="dxa"/>
            <w:vAlign w:val="bottom"/>
          </w:tcPr>
          <w:p w:rsidR="00256EA3" w:rsidRDefault="00256EA3">
            <w:pPr>
              <w:rPr>
                <w:sz w:val="24"/>
                <w:szCs w:val="24"/>
              </w:rPr>
            </w:pPr>
          </w:p>
        </w:tc>
        <w:tc>
          <w:tcPr>
            <w:tcW w:w="840" w:type="dxa"/>
            <w:vAlign w:val="bottom"/>
          </w:tcPr>
          <w:p w:rsidR="00256EA3" w:rsidRDefault="00256EA3">
            <w:pPr>
              <w:rPr>
                <w:sz w:val="24"/>
                <w:szCs w:val="24"/>
              </w:rPr>
            </w:pPr>
          </w:p>
        </w:tc>
        <w:tc>
          <w:tcPr>
            <w:tcW w:w="860" w:type="dxa"/>
            <w:vAlign w:val="bottom"/>
          </w:tcPr>
          <w:p w:rsidR="00256EA3" w:rsidRDefault="00256EA3">
            <w:pPr>
              <w:rPr>
                <w:sz w:val="24"/>
                <w:szCs w:val="24"/>
              </w:rPr>
            </w:pPr>
          </w:p>
        </w:tc>
        <w:tc>
          <w:tcPr>
            <w:tcW w:w="860" w:type="dxa"/>
            <w:vAlign w:val="bottom"/>
          </w:tcPr>
          <w:p w:rsidR="00256EA3" w:rsidRDefault="00256EA3">
            <w:pPr>
              <w:rPr>
                <w:sz w:val="24"/>
                <w:szCs w:val="24"/>
              </w:rPr>
            </w:pPr>
          </w:p>
        </w:tc>
      </w:tr>
      <w:tr w:rsidR="00256EA3">
        <w:trPr>
          <w:trHeight w:val="557"/>
        </w:trPr>
        <w:tc>
          <w:tcPr>
            <w:tcW w:w="320" w:type="dxa"/>
            <w:vAlign w:val="bottom"/>
          </w:tcPr>
          <w:p w:rsidR="00256EA3" w:rsidRDefault="009057A0">
            <w:pPr>
              <w:ind w:left="100"/>
              <w:rPr>
                <w:sz w:val="20"/>
                <w:szCs w:val="20"/>
              </w:rPr>
            </w:pPr>
            <w:r>
              <w:rPr>
                <w:rFonts w:eastAsia="Times New Roman"/>
                <w:sz w:val="24"/>
                <w:szCs w:val="24"/>
              </w:rPr>
              <w:t>3.</w:t>
            </w:r>
          </w:p>
        </w:tc>
        <w:tc>
          <w:tcPr>
            <w:tcW w:w="3580" w:type="dxa"/>
            <w:vAlign w:val="bottom"/>
          </w:tcPr>
          <w:p w:rsidR="00256EA3" w:rsidRDefault="009057A0">
            <w:pPr>
              <w:ind w:left="20"/>
              <w:rPr>
                <w:sz w:val="20"/>
                <w:szCs w:val="20"/>
              </w:rPr>
            </w:pPr>
            <w:r>
              <w:rPr>
                <w:rFonts w:eastAsia="Times New Roman"/>
                <w:sz w:val="24"/>
                <w:szCs w:val="24"/>
              </w:rPr>
              <w:t>How many days per week do you</w:t>
            </w:r>
          </w:p>
        </w:tc>
        <w:tc>
          <w:tcPr>
            <w:tcW w:w="1120" w:type="dxa"/>
            <w:vAlign w:val="bottom"/>
          </w:tcPr>
          <w:p w:rsidR="00256EA3" w:rsidRDefault="009057A0">
            <w:pPr>
              <w:ind w:left="340"/>
              <w:rPr>
                <w:sz w:val="20"/>
                <w:szCs w:val="20"/>
              </w:rPr>
            </w:pPr>
            <w:r>
              <w:rPr>
                <w:rFonts w:eastAsia="Times New Roman"/>
                <w:sz w:val="24"/>
                <w:szCs w:val="24"/>
              </w:rPr>
              <w:t>.17**</w:t>
            </w:r>
          </w:p>
        </w:tc>
        <w:tc>
          <w:tcPr>
            <w:tcW w:w="880" w:type="dxa"/>
            <w:vAlign w:val="bottom"/>
          </w:tcPr>
          <w:p w:rsidR="00256EA3" w:rsidRDefault="009057A0">
            <w:pPr>
              <w:ind w:left="160"/>
              <w:rPr>
                <w:sz w:val="20"/>
                <w:szCs w:val="20"/>
              </w:rPr>
            </w:pPr>
            <w:r>
              <w:rPr>
                <w:rFonts w:eastAsia="Times New Roman"/>
                <w:sz w:val="24"/>
                <w:szCs w:val="24"/>
              </w:rPr>
              <w:t>.28**</w:t>
            </w:r>
          </w:p>
        </w:tc>
        <w:tc>
          <w:tcPr>
            <w:tcW w:w="860" w:type="dxa"/>
            <w:vAlign w:val="bottom"/>
          </w:tcPr>
          <w:p w:rsidR="00256EA3" w:rsidRDefault="009057A0">
            <w:pPr>
              <w:ind w:left="120"/>
              <w:rPr>
                <w:sz w:val="20"/>
                <w:szCs w:val="20"/>
              </w:rPr>
            </w:pPr>
            <w:r>
              <w:rPr>
                <w:rFonts w:eastAsia="Times New Roman"/>
                <w:sz w:val="24"/>
                <w:szCs w:val="24"/>
              </w:rPr>
              <w:t>---</w:t>
            </w:r>
          </w:p>
        </w:tc>
        <w:tc>
          <w:tcPr>
            <w:tcW w:w="840" w:type="dxa"/>
            <w:vAlign w:val="bottom"/>
          </w:tcPr>
          <w:p w:rsidR="00256EA3" w:rsidRDefault="00256EA3">
            <w:pPr>
              <w:rPr>
                <w:sz w:val="24"/>
                <w:szCs w:val="24"/>
              </w:rPr>
            </w:pPr>
          </w:p>
        </w:tc>
        <w:tc>
          <w:tcPr>
            <w:tcW w:w="860" w:type="dxa"/>
            <w:vAlign w:val="bottom"/>
          </w:tcPr>
          <w:p w:rsidR="00256EA3" w:rsidRDefault="00256EA3">
            <w:pPr>
              <w:rPr>
                <w:sz w:val="24"/>
                <w:szCs w:val="24"/>
              </w:rPr>
            </w:pPr>
          </w:p>
        </w:tc>
        <w:tc>
          <w:tcPr>
            <w:tcW w:w="860" w:type="dxa"/>
            <w:vAlign w:val="bottom"/>
          </w:tcPr>
          <w:p w:rsidR="00256EA3" w:rsidRDefault="00256EA3">
            <w:pPr>
              <w:rPr>
                <w:sz w:val="24"/>
                <w:szCs w:val="24"/>
              </w:rPr>
            </w:pPr>
          </w:p>
        </w:tc>
      </w:tr>
      <w:tr w:rsidR="00256EA3">
        <w:trPr>
          <w:trHeight w:val="318"/>
        </w:trPr>
        <w:tc>
          <w:tcPr>
            <w:tcW w:w="3900" w:type="dxa"/>
            <w:gridSpan w:val="2"/>
            <w:vAlign w:val="bottom"/>
          </w:tcPr>
          <w:p w:rsidR="00256EA3" w:rsidRDefault="009057A0">
            <w:pPr>
              <w:ind w:left="100"/>
              <w:rPr>
                <w:sz w:val="20"/>
                <w:szCs w:val="20"/>
              </w:rPr>
            </w:pPr>
            <w:r>
              <w:rPr>
                <w:rFonts w:eastAsia="Times New Roman"/>
                <w:sz w:val="24"/>
                <w:szCs w:val="24"/>
              </w:rPr>
              <w:t>typically use any drugs</w:t>
            </w:r>
          </w:p>
        </w:tc>
        <w:tc>
          <w:tcPr>
            <w:tcW w:w="1120" w:type="dxa"/>
            <w:vAlign w:val="bottom"/>
          </w:tcPr>
          <w:p w:rsidR="00256EA3" w:rsidRDefault="00256EA3">
            <w:pPr>
              <w:rPr>
                <w:sz w:val="24"/>
                <w:szCs w:val="24"/>
              </w:rPr>
            </w:pPr>
          </w:p>
        </w:tc>
        <w:tc>
          <w:tcPr>
            <w:tcW w:w="880" w:type="dxa"/>
            <w:vAlign w:val="bottom"/>
          </w:tcPr>
          <w:p w:rsidR="00256EA3" w:rsidRDefault="00256EA3">
            <w:pPr>
              <w:rPr>
                <w:sz w:val="24"/>
                <w:szCs w:val="24"/>
              </w:rPr>
            </w:pPr>
          </w:p>
        </w:tc>
        <w:tc>
          <w:tcPr>
            <w:tcW w:w="860" w:type="dxa"/>
            <w:vAlign w:val="bottom"/>
          </w:tcPr>
          <w:p w:rsidR="00256EA3" w:rsidRDefault="00256EA3">
            <w:pPr>
              <w:rPr>
                <w:sz w:val="24"/>
                <w:szCs w:val="24"/>
              </w:rPr>
            </w:pPr>
          </w:p>
        </w:tc>
        <w:tc>
          <w:tcPr>
            <w:tcW w:w="840" w:type="dxa"/>
            <w:vAlign w:val="bottom"/>
          </w:tcPr>
          <w:p w:rsidR="00256EA3" w:rsidRDefault="00256EA3">
            <w:pPr>
              <w:rPr>
                <w:sz w:val="24"/>
                <w:szCs w:val="24"/>
              </w:rPr>
            </w:pPr>
          </w:p>
        </w:tc>
        <w:tc>
          <w:tcPr>
            <w:tcW w:w="860" w:type="dxa"/>
            <w:vAlign w:val="bottom"/>
          </w:tcPr>
          <w:p w:rsidR="00256EA3" w:rsidRDefault="00256EA3">
            <w:pPr>
              <w:rPr>
                <w:sz w:val="24"/>
                <w:szCs w:val="24"/>
              </w:rPr>
            </w:pPr>
          </w:p>
        </w:tc>
        <w:tc>
          <w:tcPr>
            <w:tcW w:w="860" w:type="dxa"/>
            <w:vAlign w:val="bottom"/>
          </w:tcPr>
          <w:p w:rsidR="00256EA3" w:rsidRDefault="00256EA3">
            <w:pPr>
              <w:rPr>
                <w:sz w:val="24"/>
                <w:szCs w:val="24"/>
              </w:rPr>
            </w:pPr>
          </w:p>
        </w:tc>
      </w:tr>
      <w:tr w:rsidR="00256EA3">
        <w:trPr>
          <w:trHeight w:val="557"/>
        </w:trPr>
        <w:tc>
          <w:tcPr>
            <w:tcW w:w="320" w:type="dxa"/>
            <w:vAlign w:val="bottom"/>
          </w:tcPr>
          <w:p w:rsidR="00256EA3" w:rsidRDefault="009057A0">
            <w:pPr>
              <w:ind w:left="100"/>
              <w:rPr>
                <w:sz w:val="20"/>
                <w:szCs w:val="20"/>
              </w:rPr>
            </w:pPr>
            <w:r>
              <w:rPr>
                <w:rFonts w:eastAsia="Times New Roman"/>
                <w:sz w:val="24"/>
                <w:szCs w:val="24"/>
              </w:rPr>
              <w:t>4.</w:t>
            </w:r>
          </w:p>
        </w:tc>
        <w:tc>
          <w:tcPr>
            <w:tcW w:w="3580" w:type="dxa"/>
            <w:vAlign w:val="bottom"/>
          </w:tcPr>
          <w:p w:rsidR="00256EA3" w:rsidRDefault="009057A0">
            <w:pPr>
              <w:ind w:left="20"/>
              <w:rPr>
                <w:sz w:val="20"/>
                <w:szCs w:val="20"/>
              </w:rPr>
            </w:pPr>
            <w:r>
              <w:rPr>
                <w:rFonts w:eastAsia="Times New Roman"/>
                <w:sz w:val="24"/>
                <w:szCs w:val="24"/>
              </w:rPr>
              <w:t>Age</w:t>
            </w:r>
          </w:p>
        </w:tc>
        <w:tc>
          <w:tcPr>
            <w:tcW w:w="1120" w:type="dxa"/>
            <w:vAlign w:val="bottom"/>
          </w:tcPr>
          <w:p w:rsidR="00256EA3" w:rsidRDefault="009057A0">
            <w:pPr>
              <w:ind w:left="340"/>
              <w:rPr>
                <w:sz w:val="20"/>
                <w:szCs w:val="20"/>
              </w:rPr>
            </w:pPr>
            <w:r>
              <w:rPr>
                <w:rFonts w:eastAsia="Times New Roman"/>
                <w:sz w:val="24"/>
                <w:szCs w:val="24"/>
              </w:rPr>
              <w:t>-.05</w:t>
            </w:r>
          </w:p>
        </w:tc>
        <w:tc>
          <w:tcPr>
            <w:tcW w:w="880" w:type="dxa"/>
            <w:vAlign w:val="bottom"/>
          </w:tcPr>
          <w:p w:rsidR="00256EA3" w:rsidRDefault="009057A0">
            <w:pPr>
              <w:ind w:left="160"/>
              <w:rPr>
                <w:sz w:val="20"/>
                <w:szCs w:val="20"/>
              </w:rPr>
            </w:pPr>
            <w:r>
              <w:rPr>
                <w:rFonts w:eastAsia="Times New Roman"/>
                <w:sz w:val="24"/>
                <w:szCs w:val="24"/>
              </w:rPr>
              <w:t>-.01</w:t>
            </w:r>
          </w:p>
        </w:tc>
        <w:tc>
          <w:tcPr>
            <w:tcW w:w="860" w:type="dxa"/>
            <w:vAlign w:val="bottom"/>
          </w:tcPr>
          <w:p w:rsidR="00256EA3" w:rsidRDefault="009057A0">
            <w:pPr>
              <w:ind w:left="120"/>
              <w:rPr>
                <w:sz w:val="20"/>
                <w:szCs w:val="20"/>
              </w:rPr>
            </w:pPr>
            <w:r>
              <w:rPr>
                <w:rFonts w:eastAsia="Times New Roman"/>
                <w:sz w:val="24"/>
                <w:szCs w:val="24"/>
              </w:rPr>
              <w:t>-.07*</w:t>
            </w:r>
          </w:p>
        </w:tc>
        <w:tc>
          <w:tcPr>
            <w:tcW w:w="840" w:type="dxa"/>
            <w:vAlign w:val="bottom"/>
          </w:tcPr>
          <w:p w:rsidR="00256EA3" w:rsidRDefault="009057A0">
            <w:pPr>
              <w:ind w:left="120"/>
              <w:rPr>
                <w:sz w:val="20"/>
                <w:szCs w:val="20"/>
              </w:rPr>
            </w:pPr>
            <w:r>
              <w:rPr>
                <w:rFonts w:eastAsia="Times New Roman"/>
                <w:sz w:val="24"/>
                <w:szCs w:val="24"/>
              </w:rPr>
              <w:t>---</w:t>
            </w:r>
          </w:p>
        </w:tc>
        <w:tc>
          <w:tcPr>
            <w:tcW w:w="860" w:type="dxa"/>
            <w:vAlign w:val="bottom"/>
          </w:tcPr>
          <w:p w:rsidR="00256EA3" w:rsidRDefault="00256EA3">
            <w:pPr>
              <w:rPr>
                <w:sz w:val="24"/>
                <w:szCs w:val="24"/>
              </w:rPr>
            </w:pPr>
          </w:p>
        </w:tc>
        <w:tc>
          <w:tcPr>
            <w:tcW w:w="860" w:type="dxa"/>
            <w:vAlign w:val="bottom"/>
          </w:tcPr>
          <w:p w:rsidR="00256EA3" w:rsidRDefault="00256EA3">
            <w:pPr>
              <w:rPr>
                <w:sz w:val="24"/>
                <w:szCs w:val="24"/>
              </w:rPr>
            </w:pPr>
          </w:p>
        </w:tc>
      </w:tr>
      <w:tr w:rsidR="00256EA3">
        <w:trPr>
          <w:trHeight w:val="558"/>
        </w:trPr>
        <w:tc>
          <w:tcPr>
            <w:tcW w:w="320" w:type="dxa"/>
            <w:vAlign w:val="bottom"/>
          </w:tcPr>
          <w:p w:rsidR="00256EA3" w:rsidRDefault="009057A0">
            <w:pPr>
              <w:ind w:left="100"/>
              <w:rPr>
                <w:sz w:val="20"/>
                <w:szCs w:val="20"/>
              </w:rPr>
            </w:pPr>
            <w:r>
              <w:rPr>
                <w:rFonts w:eastAsia="Times New Roman"/>
                <w:sz w:val="24"/>
                <w:szCs w:val="24"/>
              </w:rPr>
              <w:t>5.</w:t>
            </w:r>
          </w:p>
        </w:tc>
        <w:tc>
          <w:tcPr>
            <w:tcW w:w="3580" w:type="dxa"/>
            <w:vAlign w:val="bottom"/>
          </w:tcPr>
          <w:p w:rsidR="00256EA3" w:rsidRDefault="009057A0">
            <w:pPr>
              <w:ind w:left="20"/>
              <w:rPr>
                <w:sz w:val="20"/>
                <w:szCs w:val="20"/>
              </w:rPr>
            </w:pPr>
            <w:r>
              <w:rPr>
                <w:rFonts w:eastAsia="Times New Roman"/>
                <w:sz w:val="24"/>
                <w:szCs w:val="24"/>
              </w:rPr>
              <w:t>Intelligence scale</w:t>
            </w:r>
          </w:p>
        </w:tc>
        <w:tc>
          <w:tcPr>
            <w:tcW w:w="1120" w:type="dxa"/>
            <w:vAlign w:val="bottom"/>
          </w:tcPr>
          <w:p w:rsidR="00256EA3" w:rsidRDefault="009057A0">
            <w:pPr>
              <w:ind w:left="340"/>
              <w:rPr>
                <w:sz w:val="20"/>
                <w:szCs w:val="20"/>
              </w:rPr>
            </w:pPr>
            <w:r>
              <w:rPr>
                <w:rFonts w:eastAsia="Times New Roman"/>
                <w:sz w:val="24"/>
                <w:szCs w:val="24"/>
              </w:rPr>
              <w:t>-.18**</w:t>
            </w:r>
          </w:p>
        </w:tc>
        <w:tc>
          <w:tcPr>
            <w:tcW w:w="880" w:type="dxa"/>
            <w:vAlign w:val="bottom"/>
          </w:tcPr>
          <w:p w:rsidR="00256EA3" w:rsidRDefault="009057A0">
            <w:pPr>
              <w:ind w:left="160"/>
              <w:rPr>
                <w:sz w:val="20"/>
                <w:szCs w:val="20"/>
              </w:rPr>
            </w:pPr>
            <w:r>
              <w:rPr>
                <w:rFonts w:eastAsia="Times New Roman"/>
                <w:sz w:val="24"/>
                <w:szCs w:val="24"/>
              </w:rPr>
              <w:t>-.27**</w:t>
            </w:r>
          </w:p>
        </w:tc>
        <w:tc>
          <w:tcPr>
            <w:tcW w:w="860" w:type="dxa"/>
            <w:vAlign w:val="bottom"/>
          </w:tcPr>
          <w:p w:rsidR="00256EA3" w:rsidRDefault="009057A0">
            <w:pPr>
              <w:ind w:left="120"/>
              <w:rPr>
                <w:sz w:val="20"/>
                <w:szCs w:val="20"/>
              </w:rPr>
            </w:pPr>
            <w:r>
              <w:rPr>
                <w:rFonts w:eastAsia="Times New Roman"/>
                <w:sz w:val="24"/>
                <w:szCs w:val="24"/>
              </w:rPr>
              <w:t>-.12**</w:t>
            </w:r>
          </w:p>
        </w:tc>
        <w:tc>
          <w:tcPr>
            <w:tcW w:w="840" w:type="dxa"/>
            <w:vAlign w:val="bottom"/>
          </w:tcPr>
          <w:p w:rsidR="00256EA3" w:rsidRDefault="009057A0">
            <w:pPr>
              <w:ind w:left="120"/>
              <w:rPr>
                <w:sz w:val="20"/>
                <w:szCs w:val="20"/>
              </w:rPr>
            </w:pPr>
            <w:r>
              <w:rPr>
                <w:rFonts w:eastAsia="Times New Roman"/>
                <w:sz w:val="24"/>
                <w:szCs w:val="24"/>
              </w:rPr>
              <w:t>.09**</w:t>
            </w:r>
          </w:p>
        </w:tc>
        <w:tc>
          <w:tcPr>
            <w:tcW w:w="860" w:type="dxa"/>
            <w:vAlign w:val="bottom"/>
          </w:tcPr>
          <w:p w:rsidR="00256EA3" w:rsidRDefault="009057A0">
            <w:pPr>
              <w:ind w:left="120"/>
              <w:rPr>
                <w:sz w:val="20"/>
                <w:szCs w:val="20"/>
              </w:rPr>
            </w:pPr>
            <w:r>
              <w:rPr>
                <w:rFonts w:eastAsia="Times New Roman"/>
                <w:sz w:val="24"/>
                <w:szCs w:val="24"/>
              </w:rPr>
              <w:t>---</w:t>
            </w:r>
          </w:p>
        </w:tc>
        <w:tc>
          <w:tcPr>
            <w:tcW w:w="860" w:type="dxa"/>
            <w:vAlign w:val="bottom"/>
          </w:tcPr>
          <w:p w:rsidR="00256EA3" w:rsidRDefault="00256EA3">
            <w:pPr>
              <w:rPr>
                <w:sz w:val="24"/>
                <w:szCs w:val="24"/>
              </w:rPr>
            </w:pPr>
          </w:p>
        </w:tc>
      </w:tr>
      <w:tr w:rsidR="00256EA3">
        <w:trPr>
          <w:trHeight w:val="557"/>
        </w:trPr>
        <w:tc>
          <w:tcPr>
            <w:tcW w:w="320" w:type="dxa"/>
            <w:vAlign w:val="bottom"/>
          </w:tcPr>
          <w:p w:rsidR="00256EA3" w:rsidRDefault="009057A0">
            <w:pPr>
              <w:ind w:left="100"/>
              <w:rPr>
                <w:sz w:val="20"/>
                <w:szCs w:val="20"/>
              </w:rPr>
            </w:pPr>
            <w:r>
              <w:rPr>
                <w:rFonts w:eastAsia="Times New Roman"/>
                <w:sz w:val="24"/>
                <w:szCs w:val="24"/>
              </w:rPr>
              <w:t>6.</w:t>
            </w:r>
          </w:p>
        </w:tc>
        <w:tc>
          <w:tcPr>
            <w:tcW w:w="3580" w:type="dxa"/>
            <w:vAlign w:val="bottom"/>
          </w:tcPr>
          <w:p w:rsidR="00256EA3" w:rsidRDefault="009057A0">
            <w:pPr>
              <w:ind w:left="20"/>
              <w:rPr>
                <w:sz w:val="20"/>
                <w:szCs w:val="20"/>
              </w:rPr>
            </w:pPr>
            <w:r>
              <w:rPr>
                <w:rFonts w:eastAsia="Times New Roman"/>
                <w:sz w:val="24"/>
                <w:szCs w:val="24"/>
              </w:rPr>
              <w:t>Impulsivity scale</w:t>
            </w:r>
          </w:p>
        </w:tc>
        <w:tc>
          <w:tcPr>
            <w:tcW w:w="1120" w:type="dxa"/>
            <w:vAlign w:val="bottom"/>
          </w:tcPr>
          <w:p w:rsidR="00256EA3" w:rsidRDefault="009057A0">
            <w:pPr>
              <w:ind w:left="340"/>
              <w:rPr>
                <w:sz w:val="20"/>
                <w:szCs w:val="20"/>
              </w:rPr>
            </w:pPr>
            <w:r>
              <w:rPr>
                <w:rFonts w:eastAsia="Times New Roman"/>
                <w:sz w:val="24"/>
                <w:szCs w:val="24"/>
              </w:rPr>
              <w:t>.15**</w:t>
            </w:r>
          </w:p>
        </w:tc>
        <w:tc>
          <w:tcPr>
            <w:tcW w:w="880" w:type="dxa"/>
            <w:vAlign w:val="bottom"/>
          </w:tcPr>
          <w:p w:rsidR="00256EA3" w:rsidRDefault="009057A0">
            <w:pPr>
              <w:ind w:left="140"/>
              <w:rPr>
                <w:sz w:val="20"/>
                <w:szCs w:val="20"/>
              </w:rPr>
            </w:pPr>
            <w:r>
              <w:rPr>
                <w:rFonts w:eastAsia="Times New Roman"/>
                <w:sz w:val="24"/>
                <w:szCs w:val="24"/>
              </w:rPr>
              <w:t>.36**</w:t>
            </w:r>
          </w:p>
        </w:tc>
        <w:tc>
          <w:tcPr>
            <w:tcW w:w="860" w:type="dxa"/>
            <w:vAlign w:val="bottom"/>
          </w:tcPr>
          <w:p w:rsidR="00256EA3" w:rsidRDefault="009057A0">
            <w:pPr>
              <w:ind w:left="120"/>
              <w:rPr>
                <w:sz w:val="20"/>
                <w:szCs w:val="20"/>
              </w:rPr>
            </w:pPr>
            <w:r>
              <w:rPr>
                <w:rFonts w:eastAsia="Times New Roman"/>
                <w:sz w:val="24"/>
                <w:szCs w:val="24"/>
              </w:rPr>
              <w:t>.18**</w:t>
            </w:r>
          </w:p>
        </w:tc>
        <w:tc>
          <w:tcPr>
            <w:tcW w:w="840" w:type="dxa"/>
            <w:vAlign w:val="bottom"/>
          </w:tcPr>
          <w:p w:rsidR="00256EA3" w:rsidRDefault="009057A0">
            <w:pPr>
              <w:ind w:left="120"/>
              <w:rPr>
                <w:sz w:val="20"/>
                <w:szCs w:val="20"/>
              </w:rPr>
            </w:pPr>
            <w:r>
              <w:rPr>
                <w:rFonts w:eastAsia="Times New Roman"/>
                <w:sz w:val="24"/>
                <w:szCs w:val="24"/>
              </w:rPr>
              <w:t>-.10**</w:t>
            </w:r>
          </w:p>
        </w:tc>
        <w:tc>
          <w:tcPr>
            <w:tcW w:w="860" w:type="dxa"/>
            <w:vAlign w:val="bottom"/>
          </w:tcPr>
          <w:p w:rsidR="00256EA3" w:rsidRDefault="009057A0">
            <w:pPr>
              <w:ind w:left="120"/>
              <w:rPr>
                <w:sz w:val="20"/>
                <w:szCs w:val="20"/>
              </w:rPr>
            </w:pPr>
            <w:r>
              <w:rPr>
                <w:rFonts w:eastAsia="Times New Roman"/>
                <w:sz w:val="24"/>
                <w:szCs w:val="24"/>
              </w:rPr>
              <w:t>-.20**</w:t>
            </w:r>
          </w:p>
        </w:tc>
        <w:tc>
          <w:tcPr>
            <w:tcW w:w="860" w:type="dxa"/>
            <w:vAlign w:val="bottom"/>
          </w:tcPr>
          <w:p w:rsidR="00256EA3" w:rsidRDefault="009057A0">
            <w:pPr>
              <w:ind w:left="120"/>
              <w:rPr>
                <w:sz w:val="20"/>
                <w:szCs w:val="20"/>
              </w:rPr>
            </w:pPr>
            <w:r>
              <w:rPr>
                <w:rFonts w:eastAsia="Times New Roman"/>
                <w:sz w:val="24"/>
                <w:szCs w:val="24"/>
              </w:rPr>
              <w:t>---</w:t>
            </w:r>
          </w:p>
        </w:tc>
      </w:tr>
      <w:tr w:rsidR="00256EA3">
        <w:trPr>
          <w:trHeight w:val="558"/>
        </w:trPr>
        <w:tc>
          <w:tcPr>
            <w:tcW w:w="320" w:type="dxa"/>
            <w:vAlign w:val="bottom"/>
          </w:tcPr>
          <w:p w:rsidR="00256EA3" w:rsidRDefault="009057A0">
            <w:pPr>
              <w:ind w:left="100"/>
              <w:rPr>
                <w:sz w:val="20"/>
                <w:szCs w:val="20"/>
              </w:rPr>
            </w:pPr>
            <w:r>
              <w:rPr>
                <w:rFonts w:eastAsia="Times New Roman"/>
                <w:sz w:val="24"/>
                <w:szCs w:val="24"/>
              </w:rPr>
              <w:t>7.</w:t>
            </w:r>
          </w:p>
        </w:tc>
        <w:tc>
          <w:tcPr>
            <w:tcW w:w="3580" w:type="dxa"/>
            <w:vAlign w:val="bottom"/>
          </w:tcPr>
          <w:p w:rsidR="00256EA3" w:rsidRDefault="009057A0">
            <w:pPr>
              <w:ind w:left="20"/>
              <w:rPr>
                <w:sz w:val="20"/>
                <w:szCs w:val="20"/>
              </w:rPr>
            </w:pPr>
            <w:r>
              <w:rPr>
                <w:rFonts w:eastAsia="Times New Roman"/>
                <w:sz w:val="24"/>
                <w:szCs w:val="24"/>
              </w:rPr>
              <w:t>Number of arrests in past 2 years</w:t>
            </w:r>
          </w:p>
        </w:tc>
        <w:tc>
          <w:tcPr>
            <w:tcW w:w="1120" w:type="dxa"/>
            <w:vAlign w:val="bottom"/>
          </w:tcPr>
          <w:p w:rsidR="00256EA3" w:rsidRDefault="009057A0">
            <w:pPr>
              <w:ind w:left="340"/>
              <w:rPr>
                <w:sz w:val="20"/>
                <w:szCs w:val="20"/>
              </w:rPr>
            </w:pPr>
            <w:r>
              <w:rPr>
                <w:rFonts w:eastAsia="Times New Roman"/>
                <w:sz w:val="24"/>
                <w:szCs w:val="24"/>
              </w:rPr>
              <w:t>.28**</w:t>
            </w:r>
          </w:p>
        </w:tc>
        <w:tc>
          <w:tcPr>
            <w:tcW w:w="880" w:type="dxa"/>
            <w:vAlign w:val="bottom"/>
          </w:tcPr>
          <w:p w:rsidR="00256EA3" w:rsidRDefault="009057A0">
            <w:pPr>
              <w:ind w:left="160"/>
              <w:rPr>
                <w:sz w:val="20"/>
                <w:szCs w:val="20"/>
              </w:rPr>
            </w:pPr>
            <w:r>
              <w:rPr>
                <w:rFonts w:eastAsia="Times New Roman"/>
                <w:sz w:val="24"/>
                <w:szCs w:val="24"/>
              </w:rPr>
              <w:t>.44**</w:t>
            </w:r>
          </w:p>
        </w:tc>
        <w:tc>
          <w:tcPr>
            <w:tcW w:w="860" w:type="dxa"/>
            <w:vAlign w:val="bottom"/>
          </w:tcPr>
          <w:p w:rsidR="00256EA3" w:rsidRDefault="009057A0">
            <w:pPr>
              <w:ind w:left="120"/>
              <w:rPr>
                <w:sz w:val="20"/>
                <w:szCs w:val="20"/>
              </w:rPr>
            </w:pPr>
            <w:r>
              <w:rPr>
                <w:rFonts w:eastAsia="Times New Roman"/>
                <w:sz w:val="24"/>
                <w:szCs w:val="24"/>
              </w:rPr>
              <w:t>.25**</w:t>
            </w:r>
          </w:p>
        </w:tc>
        <w:tc>
          <w:tcPr>
            <w:tcW w:w="840" w:type="dxa"/>
            <w:vAlign w:val="bottom"/>
          </w:tcPr>
          <w:p w:rsidR="00256EA3" w:rsidRDefault="009057A0">
            <w:pPr>
              <w:ind w:left="120"/>
              <w:rPr>
                <w:sz w:val="20"/>
                <w:szCs w:val="20"/>
              </w:rPr>
            </w:pPr>
            <w:r>
              <w:rPr>
                <w:rFonts w:eastAsia="Times New Roman"/>
                <w:sz w:val="24"/>
                <w:szCs w:val="24"/>
              </w:rPr>
              <w:t>-.08*</w:t>
            </w:r>
          </w:p>
        </w:tc>
        <w:tc>
          <w:tcPr>
            <w:tcW w:w="860" w:type="dxa"/>
            <w:vAlign w:val="bottom"/>
          </w:tcPr>
          <w:p w:rsidR="00256EA3" w:rsidRDefault="009057A0">
            <w:pPr>
              <w:ind w:left="120"/>
              <w:rPr>
                <w:sz w:val="20"/>
                <w:szCs w:val="20"/>
              </w:rPr>
            </w:pPr>
            <w:r>
              <w:rPr>
                <w:rFonts w:eastAsia="Times New Roman"/>
                <w:sz w:val="24"/>
                <w:szCs w:val="24"/>
              </w:rPr>
              <w:t>-.15**</w:t>
            </w:r>
          </w:p>
        </w:tc>
        <w:tc>
          <w:tcPr>
            <w:tcW w:w="860" w:type="dxa"/>
            <w:vAlign w:val="bottom"/>
          </w:tcPr>
          <w:p w:rsidR="00256EA3" w:rsidRDefault="009057A0">
            <w:pPr>
              <w:ind w:left="120"/>
              <w:rPr>
                <w:sz w:val="20"/>
                <w:szCs w:val="20"/>
              </w:rPr>
            </w:pPr>
            <w:r>
              <w:rPr>
                <w:rFonts w:eastAsia="Times New Roman"/>
                <w:sz w:val="24"/>
                <w:szCs w:val="24"/>
              </w:rPr>
              <w:t>.19**</w:t>
            </w:r>
          </w:p>
        </w:tc>
      </w:tr>
    </w:tbl>
    <w:p w:rsidR="00256EA3" w:rsidRDefault="00256EA3">
      <w:pPr>
        <w:spacing w:line="136" w:lineRule="exact"/>
        <w:rPr>
          <w:sz w:val="20"/>
          <w:szCs w:val="20"/>
        </w:rPr>
      </w:pPr>
    </w:p>
    <w:p w:rsidR="00256EA3" w:rsidRDefault="009057A0">
      <w:pPr>
        <w:ind w:left="100"/>
        <w:rPr>
          <w:sz w:val="20"/>
          <w:szCs w:val="20"/>
        </w:rPr>
      </w:pPr>
      <w:r>
        <w:rPr>
          <w:rFonts w:eastAsia="Times New Roman"/>
          <w:sz w:val="24"/>
          <w:szCs w:val="24"/>
        </w:rPr>
        <w:t>Note: * p &lt; .05; ** p &lt; .01</w:t>
      </w:r>
    </w:p>
    <w:p w:rsidR="00256EA3" w:rsidRDefault="009057A0">
      <w:pPr>
        <w:spacing w:line="20" w:lineRule="exact"/>
        <w:rPr>
          <w:sz w:val="20"/>
          <w:szCs w:val="20"/>
        </w:rPr>
      </w:pP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-13970</wp:posOffset>
                </wp:positionH>
                <wp:positionV relativeFrom="paragraph">
                  <wp:posOffset>-166370</wp:posOffset>
                </wp:positionV>
                <wp:extent cx="592772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772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BCCDEAF" id="Shape 10"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1pt,-13.1pt" to="465.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" o:allowincell="f" filled="t" strokeweight=".48pt">
                <v:stroke joinstyle="miter"/>
                <o:lock v:ext="edit" shapetype="f"/>
              </v:line>
            </w:pict>
          </mc:Fallback>
        </mc:AlternateContent>
      </w: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4" w:lineRule="exact"/>
        <w:rPr>
          <w:sz w:val="20"/>
          <w:szCs w:val="20"/>
        </w:rPr>
      </w:pPr>
    </w:p>
    <w:p w:rsidR="00256EA3" w:rsidRDefault="009057A0">
      <w:pPr>
        <w:ind w:left="8900"/>
        <w:rPr>
          <w:sz w:val="20"/>
          <w:szCs w:val="20"/>
        </w:rPr>
      </w:pPr>
      <w:r>
        <w:rPr>
          <w:rFonts w:eastAsia="Times New Roman"/>
        </w:rPr>
        <w:t>26</w:t>
      </w:r>
    </w:p>
    <w:p w:rsidR="00256EA3" w:rsidRDefault="00256EA3">
      <w:pPr>
        <w:sectPr w:rsidR="00256EA3">
          <w:pgSz w:w="11900" w:h="16840"/>
          <w:pgMar w:top="1440" w:right="1244" w:bottom="431" w:left="1340" w:header="0" w:footer="0" w:gutter="0"/>
          <w:cols w:space="720" w:equalWidth="0">
            <w:col w:w="9320"/>
          </w:cols>
        </w:sectPr>
      </w:pPr>
    </w:p>
    <w:p w:rsidR="00256EA3" w:rsidRDefault="00256EA3">
      <w:pPr>
        <w:spacing w:line="200" w:lineRule="exact"/>
        <w:rPr>
          <w:sz w:val="20"/>
          <w:szCs w:val="20"/>
        </w:rPr>
      </w:pPr>
      <w:bookmarkStart w:id="27" w:name="page28"/>
      <w:bookmarkEnd w:id="27"/>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70" w:lineRule="exact"/>
        <w:rPr>
          <w:sz w:val="20"/>
          <w:szCs w:val="20"/>
        </w:rPr>
      </w:pPr>
    </w:p>
    <w:p w:rsidR="00256EA3" w:rsidRDefault="009057A0">
      <w:pPr>
        <w:ind w:left="120"/>
        <w:rPr>
          <w:sz w:val="20"/>
          <w:szCs w:val="20"/>
        </w:rPr>
      </w:pPr>
      <w:r>
        <w:rPr>
          <w:rFonts w:eastAsia="Times New Roman"/>
          <w:b/>
          <w:bCs/>
          <w:sz w:val="24"/>
          <w:szCs w:val="24"/>
        </w:rPr>
        <w:t>Table 3</w:t>
      </w:r>
    </w:p>
    <w:p w:rsidR="00256EA3" w:rsidRDefault="00256EA3">
      <w:pPr>
        <w:spacing w:line="242" w:lineRule="exact"/>
        <w:rPr>
          <w:sz w:val="20"/>
          <w:szCs w:val="20"/>
        </w:rPr>
      </w:pPr>
    </w:p>
    <w:p w:rsidR="00256EA3" w:rsidRDefault="009057A0">
      <w:pPr>
        <w:spacing w:line="310" w:lineRule="auto"/>
        <w:ind w:left="120" w:right="524"/>
        <w:rPr>
          <w:sz w:val="20"/>
          <w:szCs w:val="20"/>
        </w:rPr>
      </w:pPr>
      <w:r>
        <w:rPr>
          <w:rFonts w:eastAsia="Times New Roman"/>
          <w:i/>
          <w:iCs/>
          <w:sz w:val="24"/>
          <w:szCs w:val="24"/>
        </w:rPr>
        <w:t xml:space="preserve">Relationship between number of arrests in </w:t>
      </w:r>
      <w:r>
        <w:rPr>
          <w:rFonts w:eastAsia="Times New Roman"/>
          <w:i/>
          <w:iCs/>
          <w:sz w:val="24"/>
          <w:szCs w:val="24"/>
        </w:rPr>
        <w:t>past two years and psychopathy, intelligence, impulsivity and drugs’ usage while controlling for demographics.</w:t>
      </w:r>
    </w:p>
    <w:p w:rsidR="00256EA3" w:rsidRDefault="009057A0">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6985</wp:posOffset>
                </wp:positionH>
                <wp:positionV relativeFrom="paragraph">
                  <wp:posOffset>92710</wp:posOffset>
                </wp:positionV>
                <wp:extent cx="519938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993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967AF28" id="Shape 11"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55pt,7.3pt" to="409.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" o:allowincell="f" filled="t" strokeweight=".48pt">
                <v:stroke joinstyle="miter"/>
                <o:lock v:ext="edit" shapetype="f"/>
              </v:line>
            </w:pict>
          </mc:Fallback>
        </mc:AlternateContent>
      </w:r>
    </w:p>
    <w:p w:rsidR="00256EA3" w:rsidRDefault="00256EA3">
      <w:pPr>
        <w:spacing w:line="35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5380"/>
        <w:gridCol w:w="1040"/>
        <w:gridCol w:w="780"/>
        <w:gridCol w:w="980"/>
      </w:tblGrid>
      <w:tr w:rsidR="00256EA3">
        <w:trPr>
          <w:trHeight w:val="312"/>
        </w:trPr>
        <w:tc>
          <w:tcPr>
            <w:tcW w:w="20" w:type="dxa"/>
            <w:vAlign w:val="bottom"/>
          </w:tcPr>
          <w:p w:rsidR="00256EA3" w:rsidRDefault="00256EA3">
            <w:pPr>
              <w:rPr>
                <w:sz w:val="24"/>
                <w:szCs w:val="24"/>
              </w:rPr>
            </w:pPr>
          </w:p>
        </w:tc>
        <w:tc>
          <w:tcPr>
            <w:tcW w:w="5380" w:type="dxa"/>
            <w:vAlign w:val="bottom"/>
          </w:tcPr>
          <w:p w:rsidR="00256EA3" w:rsidRDefault="009057A0">
            <w:pPr>
              <w:ind w:left="100"/>
              <w:rPr>
                <w:sz w:val="20"/>
                <w:szCs w:val="20"/>
              </w:rPr>
            </w:pPr>
            <w:r>
              <w:rPr>
                <w:rFonts w:eastAsia="Times New Roman"/>
                <w:sz w:val="24"/>
                <w:szCs w:val="24"/>
              </w:rPr>
              <w:t>Variable</w:t>
            </w:r>
          </w:p>
        </w:tc>
        <w:tc>
          <w:tcPr>
            <w:tcW w:w="1040" w:type="dxa"/>
            <w:vAlign w:val="bottom"/>
          </w:tcPr>
          <w:p w:rsidR="00256EA3" w:rsidRDefault="009057A0">
            <w:pPr>
              <w:ind w:left="560"/>
              <w:rPr>
                <w:sz w:val="20"/>
                <w:szCs w:val="20"/>
              </w:rPr>
            </w:pPr>
            <w:r>
              <w:rPr>
                <w:rFonts w:eastAsia="Times New Roman"/>
                <w:sz w:val="24"/>
                <w:szCs w:val="24"/>
              </w:rPr>
              <w:t>B</w:t>
            </w:r>
          </w:p>
        </w:tc>
        <w:tc>
          <w:tcPr>
            <w:tcW w:w="780" w:type="dxa"/>
            <w:vAlign w:val="bottom"/>
          </w:tcPr>
          <w:p w:rsidR="00256EA3" w:rsidRDefault="009057A0">
            <w:pPr>
              <w:jc w:val="center"/>
              <w:rPr>
                <w:sz w:val="20"/>
                <w:szCs w:val="20"/>
              </w:rPr>
            </w:pPr>
            <w:r>
              <w:rPr>
                <w:rFonts w:eastAsia="Times New Roman"/>
                <w:w w:val="99"/>
                <w:sz w:val="24"/>
                <w:szCs w:val="24"/>
              </w:rPr>
              <w:t>SE</w:t>
            </w:r>
          </w:p>
        </w:tc>
        <w:tc>
          <w:tcPr>
            <w:tcW w:w="980" w:type="dxa"/>
            <w:vAlign w:val="bottom"/>
          </w:tcPr>
          <w:p w:rsidR="00256EA3" w:rsidRDefault="009057A0">
            <w:pPr>
              <w:jc w:val="center"/>
              <w:rPr>
                <w:sz w:val="20"/>
                <w:szCs w:val="20"/>
              </w:rPr>
            </w:pPr>
            <w:r>
              <w:rPr>
                <w:rFonts w:eastAsia="Times New Roman"/>
                <w:w w:val="97"/>
                <w:sz w:val="24"/>
                <w:szCs w:val="24"/>
              </w:rPr>
              <w:t>β</w:t>
            </w:r>
          </w:p>
        </w:tc>
      </w:tr>
      <w:tr w:rsidR="00256EA3">
        <w:trPr>
          <w:trHeight w:val="263"/>
        </w:trPr>
        <w:tc>
          <w:tcPr>
            <w:tcW w:w="20" w:type="dxa"/>
            <w:vAlign w:val="bottom"/>
          </w:tcPr>
          <w:p w:rsidR="00256EA3" w:rsidRDefault="00256EA3"/>
        </w:tc>
        <w:tc>
          <w:tcPr>
            <w:tcW w:w="5380" w:type="dxa"/>
            <w:tcBorders>
              <w:bottom w:val="single" w:sz="8" w:space="0" w:color="auto"/>
            </w:tcBorders>
            <w:vAlign w:val="bottom"/>
          </w:tcPr>
          <w:p w:rsidR="00256EA3" w:rsidRDefault="00256EA3"/>
        </w:tc>
        <w:tc>
          <w:tcPr>
            <w:tcW w:w="1040" w:type="dxa"/>
            <w:tcBorders>
              <w:bottom w:val="single" w:sz="8" w:space="0" w:color="auto"/>
            </w:tcBorders>
            <w:vAlign w:val="bottom"/>
          </w:tcPr>
          <w:p w:rsidR="00256EA3" w:rsidRDefault="00256EA3"/>
        </w:tc>
        <w:tc>
          <w:tcPr>
            <w:tcW w:w="780" w:type="dxa"/>
            <w:tcBorders>
              <w:bottom w:val="single" w:sz="8" w:space="0" w:color="auto"/>
            </w:tcBorders>
            <w:vAlign w:val="bottom"/>
          </w:tcPr>
          <w:p w:rsidR="00256EA3" w:rsidRDefault="00256EA3"/>
        </w:tc>
        <w:tc>
          <w:tcPr>
            <w:tcW w:w="980" w:type="dxa"/>
            <w:tcBorders>
              <w:bottom w:val="single" w:sz="8" w:space="0" w:color="auto"/>
            </w:tcBorders>
            <w:vAlign w:val="bottom"/>
          </w:tcPr>
          <w:p w:rsidR="00256EA3" w:rsidRDefault="00256EA3"/>
        </w:tc>
      </w:tr>
      <w:tr w:rsidR="00256EA3">
        <w:trPr>
          <w:trHeight w:val="404"/>
        </w:trPr>
        <w:tc>
          <w:tcPr>
            <w:tcW w:w="20" w:type="dxa"/>
            <w:vAlign w:val="bottom"/>
          </w:tcPr>
          <w:p w:rsidR="00256EA3" w:rsidRDefault="00256EA3">
            <w:pPr>
              <w:rPr>
                <w:sz w:val="24"/>
                <w:szCs w:val="24"/>
              </w:rPr>
            </w:pPr>
          </w:p>
        </w:tc>
        <w:tc>
          <w:tcPr>
            <w:tcW w:w="5380" w:type="dxa"/>
            <w:vAlign w:val="bottom"/>
          </w:tcPr>
          <w:p w:rsidR="00256EA3" w:rsidRDefault="009057A0">
            <w:pPr>
              <w:ind w:left="100"/>
              <w:rPr>
                <w:sz w:val="20"/>
                <w:szCs w:val="20"/>
              </w:rPr>
            </w:pPr>
            <w:r>
              <w:rPr>
                <w:rFonts w:eastAsia="Times New Roman"/>
                <w:sz w:val="24"/>
                <w:szCs w:val="24"/>
              </w:rPr>
              <w:t>PCL - Factor 1</w:t>
            </w:r>
          </w:p>
        </w:tc>
        <w:tc>
          <w:tcPr>
            <w:tcW w:w="1040" w:type="dxa"/>
            <w:vAlign w:val="bottom"/>
          </w:tcPr>
          <w:p w:rsidR="00256EA3" w:rsidRDefault="009057A0">
            <w:pPr>
              <w:ind w:left="140"/>
              <w:jc w:val="center"/>
              <w:rPr>
                <w:sz w:val="20"/>
                <w:szCs w:val="20"/>
              </w:rPr>
            </w:pPr>
            <w:r>
              <w:rPr>
                <w:rFonts w:eastAsia="Times New Roman"/>
                <w:w w:val="99"/>
                <w:sz w:val="24"/>
                <w:szCs w:val="24"/>
              </w:rPr>
              <w:t>.012</w:t>
            </w:r>
          </w:p>
        </w:tc>
        <w:tc>
          <w:tcPr>
            <w:tcW w:w="780" w:type="dxa"/>
            <w:vAlign w:val="bottom"/>
          </w:tcPr>
          <w:p w:rsidR="00256EA3" w:rsidRDefault="009057A0">
            <w:pPr>
              <w:jc w:val="center"/>
              <w:rPr>
                <w:sz w:val="20"/>
                <w:szCs w:val="20"/>
              </w:rPr>
            </w:pPr>
            <w:r>
              <w:rPr>
                <w:rFonts w:eastAsia="Times New Roman"/>
                <w:w w:val="99"/>
                <w:sz w:val="24"/>
                <w:szCs w:val="24"/>
              </w:rPr>
              <w:t>.017</w:t>
            </w:r>
          </w:p>
        </w:tc>
        <w:tc>
          <w:tcPr>
            <w:tcW w:w="980" w:type="dxa"/>
            <w:vAlign w:val="bottom"/>
          </w:tcPr>
          <w:p w:rsidR="00256EA3" w:rsidRDefault="009057A0">
            <w:pPr>
              <w:jc w:val="center"/>
              <w:rPr>
                <w:sz w:val="20"/>
                <w:szCs w:val="20"/>
              </w:rPr>
            </w:pPr>
            <w:r>
              <w:rPr>
                <w:rFonts w:eastAsia="Times New Roman"/>
                <w:w w:val="99"/>
                <w:sz w:val="24"/>
                <w:szCs w:val="24"/>
              </w:rPr>
              <w:t>.03</w:t>
            </w:r>
          </w:p>
        </w:tc>
      </w:tr>
      <w:tr w:rsidR="00256EA3">
        <w:trPr>
          <w:trHeight w:val="558"/>
        </w:trPr>
        <w:tc>
          <w:tcPr>
            <w:tcW w:w="20" w:type="dxa"/>
            <w:vAlign w:val="bottom"/>
          </w:tcPr>
          <w:p w:rsidR="00256EA3" w:rsidRDefault="00256EA3">
            <w:pPr>
              <w:rPr>
                <w:sz w:val="24"/>
                <w:szCs w:val="24"/>
              </w:rPr>
            </w:pPr>
          </w:p>
        </w:tc>
        <w:tc>
          <w:tcPr>
            <w:tcW w:w="5380" w:type="dxa"/>
            <w:vAlign w:val="bottom"/>
          </w:tcPr>
          <w:p w:rsidR="00256EA3" w:rsidRDefault="009057A0">
            <w:pPr>
              <w:ind w:left="100"/>
              <w:rPr>
                <w:sz w:val="20"/>
                <w:szCs w:val="20"/>
              </w:rPr>
            </w:pPr>
            <w:r>
              <w:rPr>
                <w:rFonts w:eastAsia="Times New Roman"/>
                <w:sz w:val="24"/>
                <w:szCs w:val="24"/>
              </w:rPr>
              <w:t>PCL - Factor 2</w:t>
            </w:r>
          </w:p>
        </w:tc>
        <w:tc>
          <w:tcPr>
            <w:tcW w:w="1040" w:type="dxa"/>
            <w:vAlign w:val="bottom"/>
          </w:tcPr>
          <w:p w:rsidR="00256EA3" w:rsidRDefault="009057A0">
            <w:pPr>
              <w:ind w:left="140"/>
              <w:jc w:val="center"/>
              <w:rPr>
                <w:sz w:val="20"/>
                <w:szCs w:val="20"/>
              </w:rPr>
            </w:pPr>
            <w:r>
              <w:rPr>
                <w:rFonts w:eastAsia="Times New Roman"/>
                <w:w w:val="99"/>
                <w:sz w:val="24"/>
                <w:szCs w:val="24"/>
              </w:rPr>
              <w:t>.129</w:t>
            </w:r>
          </w:p>
        </w:tc>
        <w:tc>
          <w:tcPr>
            <w:tcW w:w="780" w:type="dxa"/>
            <w:vAlign w:val="bottom"/>
          </w:tcPr>
          <w:p w:rsidR="00256EA3" w:rsidRDefault="009057A0">
            <w:pPr>
              <w:jc w:val="center"/>
              <w:rPr>
                <w:sz w:val="20"/>
                <w:szCs w:val="20"/>
              </w:rPr>
            </w:pPr>
            <w:r>
              <w:rPr>
                <w:rFonts w:eastAsia="Times New Roman"/>
                <w:w w:val="99"/>
                <w:sz w:val="24"/>
                <w:szCs w:val="24"/>
              </w:rPr>
              <w:t>.017</w:t>
            </w:r>
          </w:p>
        </w:tc>
        <w:tc>
          <w:tcPr>
            <w:tcW w:w="980" w:type="dxa"/>
            <w:vAlign w:val="bottom"/>
          </w:tcPr>
          <w:p w:rsidR="00256EA3" w:rsidRDefault="009057A0">
            <w:pPr>
              <w:jc w:val="center"/>
              <w:rPr>
                <w:sz w:val="20"/>
                <w:szCs w:val="20"/>
              </w:rPr>
            </w:pPr>
            <w:r>
              <w:rPr>
                <w:rFonts w:eastAsia="Times New Roman"/>
                <w:w w:val="99"/>
                <w:sz w:val="24"/>
                <w:szCs w:val="24"/>
              </w:rPr>
              <w:t>.35**</w:t>
            </w:r>
          </w:p>
        </w:tc>
      </w:tr>
      <w:tr w:rsidR="00256EA3">
        <w:trPr>
          <w:trHeight w:val="557"/>
        </w:trPr>
        <w:tc>
          <w:tcPr>
            <w:tcW w:w="20" w:type="dxa"/>
            <w:vAlign w:val="bottom"/>
          </w:tcPr>
          <w:p w:rsidR="00256EA3" w:rsidRDefault="00256EA3">
            <w:pPr>
              <w:rPr>
                <w:sz w:val="24"/>
                <w:szCs w:val="24"/>
              </w:rPr>
            </w:pPr>
          </w:p>
        </w:tc>
        <w:tc>
          <w:tcPr>
            <w:tcW w:w="5380" w:type="dxa"/>
            <w:vAlign w:val="bottom"/>
          </w:tcPr>
          <w:p w:rsidR="00256EA3" w:rsidRDefault="009057A0">
            <w:pPr>
              <w:ind w:left="100"/>
              <w:rPr>
                <w:sz w:val="20"/>
                <w:szCs w:val="20"/>
              </w:rPr>
            </w:pPr>
            <w:r>
              <w:rPr>
                <w:rFonts w:eastAsia="Times New Roman"/>
                <w:sz w:val="24"/>
                <w:szCs w:val="24"/>
              </w:rPr>
              <w:t>How many days per week do you typically use any</w:t>
            </w:r>
          </w:p>
        </w:tc>
        <w:tc>
          <w:tcPr>
            <w:tcW w:w="1040" w:type="dxa"/>
            <w:vAlign w:val="bottom"/>
          </w:tcPr>
          <w:p w:rsidR="00256EA3" w:rsidRDefault="009057A0">
            <w:pPr>
              <w:ind w:left="140"/>
              <w:jc w:val="center"/>
              <w:rPr>
                <w:sz w:val="20"/>
                <w:szCs w:val="20"/>
              </w:rPr>
            </w:pPr>
            <w:r>
              <w:rPr>
                <w:rFonts w:eastAsia="Times New Roman"/>
                <w:w w:val="99"/>
                <w:sz w:val="24"/>
                <w:szCs w:val="24"/>
              </w:rPr>
              <w:t>.080</w:t>
            </w:r>
          </w:p>
        </w:tc>
        <w:tc>
          <w:tcPr>
            <w:tcW w:w="780" w:type="dxa"/>
            <w:vAlign w:val="bottom"/>
          </w:tcPr>
          <w:p w:rsidR="00256EA3" w:rsidRDefault="009057A0">
            <w:pPr>
              <w:jc w:val="center"/>
              <w:rPr>
                <w:sz w:val="20"/>
                <w:szCs w:val="20"/>
              </w:rPr>
            </w:pPr>
            <w:r>
              <w:rPr>
                <w:rFonts w:eastAsia="Times New Roman"/>
                <w:w w:val="99"/>
                <w:sz w:val="24"/>
                <w:szCs w:val="24"/>
              </w:rPr>
              <w:t>.023</w:t>
            </w:r>
          </w:p>
        </w:tc>
        <w:tc>
          <w:tcPr>
            <w:tcW w:w="980" w:type="dxa"/>
            <w:vAlign w:val="bottom"/>
          </w:tcPr>
          <w:p w:rsidR="00256EA3" w:rsidRDefault="009057A0">
            <w:pPr>
              <w:jc w:val="center"/>
              <w:rPr>
                <w:sz w:val="20"/>
                <w:szCs w:val="20"/>
              </w:rPr>
            </w:pPr>
            <w:r>
              <w:rPr>
                <w:rFonts w:eastAsia="Times New Roman"/>
                <w:w w:val="99"/>
                <w:sz w:val="24"/>
                <w:szCs w:val="24"/>
              </w:rPr>
              <w:t>.12**</w:t>
            </w:r>
          </w:p>
        </w:tc>
      </w:tr>
      <w:tr w:rsidR="00256EA3">
        <w:trPr>
          <w:trHeight w:val="318"/>
        </w:trPr>
        <w:tc>
          <w:tcPr>
            <w:tcW w:w="20" w:type="dxa"/>
            <w:vAlign w:val="bottom"/>
          </w:tcPr>
          <w:p w:rsidR="00256EA3" w:rsidRDefault="00256EA3">
            <w:pPr>
              <w:rPr>
                <w:sz w:val="24"/>
                <w:szCs w:val="24"/>
              </w:rPr>
            </w:pPr>
          </w:p>
        </w:tc>
        <w:tc>
          <w:tcPr>
            <w:tcW w:w="5380" w:type="dxa"/>
            <w:vAlign w:val="bottom"/>
          </w:tcPr>
          <w:p w:rsidR="00256EA3" w:rsidRDefault="009057A0">
            <w:pPr>
              <w:ind w:left="100"/>
              <w:rPr>
                <w:sz w:val="20"/>
                <w:szCs w:val="20"/>
              </w:rPr>
            </w:pPr>
            <w:r>
              <w:rPr>
                <w:rFonts w:eastAsia="Times New Roman"/>
                <w:sz w:val="24"/>
                <w:szCs w:val="24"/>
              </w:rPr>
              <w:t>drugs</w:t>
            </w:r>
          </w:p>
        </w:tc>
        <w:tc>
          <w:tcPr>
            <w:tcW w:w="1040" w:type="dxa"/>
            <w:vAlign w:val="bottom"/>
          </w:tcPr>
          <w:p w:rsidR="00256EA3" w:rsidRDefault="00256EA3">
            <w:pPr>
              <w:rPr>
                <w:sz w:val="24"/>
                <w:szCs w:val="24"/>
              </w:rPr>
            </w:pPr>
          </w:p>
        </w:tc>
        <w:tc>
          <w:tcPr>
            <w:tcW w:w="780" w:type="dxa"/>
            <w:vAlign w:val="bottom"/>
          </w:tcPr>
          <w:p w:rsidR="00256EA3" w:rsidRDefault="00256EA3">
            <w:pPr>
              <w:rPr>
                <w:sz w:val="24"/>
                <w:szCs w:val="24"/>
              </w:rPr>
            </w:pPr>
          </w:p>
        </w:tc>
        <w:tc>
          <w:tcPr>
            <w:tcW w:w="980" w:type="dxa"/>
            <w:vAlign w:val="bottom"/>
          </w:tcPr>
          <w:p w:rsidR="00256EA3" w:rsidRDefault="00256EA3">
            <w:pPr>
              <w:rPr>
                <w:sz w:val="24"/>
                <w:szCs w:val="24"/>
              </w:rPr>
            </w:pPr>
          </w:p>
        </w:tc>
      </w:tr>
      <w:tr w:rsidR="00256EA3">
        <w:trPr>
          <w:trHeight w:val="557"/>
        </w:trPr>
        <w:tc>
          <w:tcPr>
            <w:tcW w:w="20" w:type="dxa"/>
            <w:vAlign w:val="bottom"/>
          </w:tcPr>
          <w:p w:rsidR="00256EA3" w:rsidRDefault="00256EA3">
            <w:pPr>
              <w:rPr>
                <w:sz w:val="24"/>
                <w:szCs w:val="24"/>
              </w:rPr>
            </w:pPr>
          </w:p>
        </w:tc>
        <w:tc>
          <w:tcPr>
            <w:tcW w:w="5380" w:type="dxa"/>
            <w:vAlign w:val="bottom"/>
          </w:tcPr>
          <w:p w:rsidR="00256EA3" w:rsidRDefault="009057A0">
            <w:pPr>
              <w:ind w:left="100"/>
              <w:rPr>
                <w:sz w:val="20"/>
                <w:szCs w:val="20"/>
              </w:rPr>
            </w:pPr>
            <w:r>
              <w:rPr>
                <w:rFonts w:eastAsia="Times New Roman"/>
                <w:sz w:val="24"/>
                <w:szCs w:val="24"/>
              </w:rPr>
              <w:t>Age</w:t>
            </w:r>
          </w:p>
        </w:tc>
        <w:tc>
          <w:tcPr>
            <w:tcW w:w="1040" w:type="dxa"/>
            <w:vAlign w:val="bottom"/>
          </w:tcPr>
          <w:p w:rsidR="00256EA3" w:rsidRDefault="009057A0">
            <w:pPr>
              <w:ind w:left="140"/>
              <w:jc w:val="center"/>
              <w:rPr>
                <w:sz w:val="20"/>
                <w:szCs w:val="20"/>
              </w:rPr>
            </w:pPr>
            <w:r>
              <w:rPr>
                <w:rFonts w:eastAsia="Times New Roman"/>
                <w:w w:val="99"/>
                <w:sz w:val="24"/>
                <w:szCs w:val="24"/>
              </w:rPr>
              <w:t>-.012</w:t>
            </w:r>
          </w:p>
        </w:tc>
        <w:tc>
          <w:tcPr>
            <w:tcW w:w="780" w:type="dxa"/>
            <w:vAlign w:val="bottom"/>
          </w:tcPr>
          <w:p w:rsidR="00256EA3" w:rsidRDefault="009057A0">
            <w:pPr>
              <w:jc w:val="center"/>
              <w:rPr>
                <w:sz w:val="20"/>
                <w:szCs w:val="20"/>
              </w:rPr>
            </w:pPr>
            <w:r>
              <w:rPr>
                <w:rFonts w:eastAsia="Times New Roman"/>
                <w:w w:val="99"/>
                <w:sz w:val="24"/>
                <w:szCs w:val="24"/>
              </w:rPr>
              <w:t>.007</w:t>
            </w:r>
          </w:p>
        </w:tc>
        <w:tc>
          <w:tcPr>
            <w:tcW w:w="980" w:type="dxa"/>
            <w:vAlign w:val="bottom"/>
          </w:tcPr>
          <w:p w:rsidR="00256EA3" w:rsidRDefault="009057A0">
            <w:pPr>
              <w:jc w:val="center"/>
              <w:rPr>
                <w:sz w:val="20"/>
                <w:szCs w:val="20"/>
              </w:rPr>
            </w:pPr>
            <w:r>
              <w:rPr>
                <w:rFonts w:eastAsia="Times New Roman"/>
                <w:w w:val="99"/>
                <w:sz w:val="24"/>
                <w:szCs w:val="24"/>
              </w:rPr>
              <w:t>-.06</w:t>
            </w:r>
          </w:p>
        </w:tc>
      </w:tr>
      <w:tr w:rsidR="00256EA3">
        <w:trPr>
          <w:trHeight w:val="558"/>
        </w:trPr>
        <w:tc>
          <w:tcPr>
            <w:tcW w:w="20" w:type="dxa"/>
            <w:vAlign w:val="bottom"/>
          </w:tcPr>
          <w:p w:rsidR="00256EA3" w:rsidRDefault="00256EA3">
            <w:pPr>
              <w:rPr>
                <w:sz w:val="24"/>
                <w:szCs w:val="24"/>
              </w:rPr>
            </w:pPr>
          </w:p>
        </w:tc>
        <w:tc>
          <w:tcPr>
            <w:tcW w:w="5380" w:type="dxa"/>
            <w:vAlign w:val="bottom"/>
          </w:tcPr>
          <w:p w:rsidR="00256EA3" w:rsidRDefault="009057A0">
            <w:pPr>
              <w:ind w:left="100"/>
              <w:rPr>
                <w:sz w:val="20"/>
                <w:szCs w:val="20"/>
              </w:rPr>
            </w:pPr>
            <w:r>
              <w:rPr>
                <w:rFonts w:eastAsia="Times New Roman"/>
                <w:sz w:val="24"/>
                <w:szCs w:val="24"/>
              </w:rPr>
              <w:t>Sex (Male = 1)</w:t>
            </w:r>
          </w:p>
        </w:tc>
        <w:tc>
          <w:tcPr>
            <w:tcW w:w="1040" w:type="dxa"/>
            <w:vAlign w:val="bottom"/>
          </w:tcPr>
          <w:p w:rsidR="00256EA3" w:rsidRDefault="009057A0">
            <w:pPr>
              <w:ind w:left="140"/>
              <w:jc w:val="center"/>
              <w:rPr>
                <w:sz w:val="20"/>
                <w:szCs w:val="20"/>
              </w:rPr>
            </w:pPr>
            <w:r>
              <w:rPr>
                <w:rFonts w:eastAsia="Times New Roman"/>
                <w:w w:val="99"/>
                <w:sz w:val="24"/>
                <w:szCs w:val="24"/>
              </w:rPr>
              <w:t>.277</w:t>
            </w:r>
          </w:p>
        </w:tc>
        <w:tc>
          <w:tcPr>
            <w:tcW w:w="780" w:type="dxa"/>
            <w:vAlign w:val="bottom"/>
          </w:tcPr>
          <w:p w:rsidR="00256EA3" w:rsidRDefault="009057A0">
            <w:pPr>
              <w:jc w:val="center"/>
              <w:rPr>
                <w:sz w:val="20"/>
                <w:szCs w:val="20"/>
              </w:rPr>
            </w:pPr>
            <w:r>
              <w:rPr>
                <w:rFonts w:eastAsia="Times New Roman"/>
                <w:w w:val="99"/>
                <w:sz w:val="24"/>
                <w:szCs w:val="24"/>
              </w:rPr>
              <w:t>.085</w:t>
            </w:r>
          </w:p>
        </w:tc>
        <w:tc>
          <w:tcPr>
            <w:tcW w:w="980" w:type="dxa"/>
            <w:vAlign w:val="bottom"/>
          </w:tcPr>
          <w:p w:rsidR="00256EA3" w:rsidRDefault="009057A0">
            <w:pPr>
              <w:jc w:val="center"/>
              <w:rPr>
                <w:sz w:val="20"/>
                <w:szCs w:val="20"/>
              </w:rPr>
            </w:pPr>
            <w:r>
              <w:rPr>
                <w:rFonts w:eastAsia="Times New Roman"/>
                <w:w w:val="99"/>
                <w:sz w:val="24"/>
                <w:szCs w:val="24"/>
              </w:rPr>
              <w:t>.11**</w:t>
            </w:r>
          </w:p>
        </w:tc>
      </w:tr>
      <w:tr w:rsidR="00256EA3">
        <w:trPr>
          <w:trHeight w:val="557"/>
        </w:trPr>
        <w:tc>
          <w:tcPr>
            <w:tcW w:w="20" w:type="dxa"/>
            <w:vAlign w:val="bottom"/>
          </w:tcPr>
          <w:p w:rsidR="00256EA3" w:rsidRDefault="00256EA3">
            <w:pPr>
              <w:rPr>
                <w:sz w:val="24"/>
                <w:szCs w:val="24"/>
              </w:rPr>
            </w:pPr>
          </w:p>
        </w:tc>
        <w:tc>
          <w:tcPr>
            <w:tcW w:w="5380" w:type="dxa"/>
            <w:vAlign w:val="bottom"/>
          </w:tcPr>
          <w:p w:rsidR="00256EA3" w:rsidRDefault="009057A0">
            <w:pPr>
              <w:ind w:left="100"/>
              <w:rPr>
                <w:sz w:val="20"/>
                <w:szCs w:val="20"/>
              </w:rPr>
            </w:pPr>
            <w:r>
              <w:rPr>
                <w:rFonts w:eastAsia="Times New Roman"/>
                <w:sz w:val="24"/>
                <w:szCs w:val="24"/>
              </w:rPr>
              <w:t>Marital status (ever married = 1)</w:t>
            </w:r>
          </w:p>
        </w:tc>
        <w:tc>
          <w:tcPr>
            <w:tcW w:w="1040" w:type="dxa"/>
            <w:vAlign w:val="bottom"/>
          </w:tcPr>
          <w:p w:rsidR="00256EA3" w:rsidRDefault="009057A0">
            <w:pPr>
              <w:ind w:left="140"/>
              <w:jc w:val="center"/>
              <w:rPr>
                <w:sz w:val="20"/>
                <w:szCs w:val="20"/>
              </w:rPr>
            </w:pPr>
            <w:r>
              <w:rPr>
                <w:rFonts w:eastAsia="Times New Roman"/>
                <w:w w:val="99"/>
                <w:sz w:val="24"/>
                <w:szCs w:val="24"/>
              </w:rPr>
              <w:t>.037</w:t>
            </w:r>
          </w:p>
        </w:tc>
        <w:tc>
          <w:tcPr>
            <w:tcW w:w="780" w:type="dxa"/>
            <w:vAlign w:val="bottom"/>
          </w:tcPr>
          <w:p w:rsidR="00256EA3" w:rsidRDefault="009057A0">
            <w:pPr>
              <w:jc w:val="center"/>
              <w:rPr>
                <w:sz w:val="20"/>
                <w:szCs w:val="20"/>
              </w:rPr>
            </w:pPr>
            <w:r>
              <w:rPr>
                <w:rFonts w:eastAsia="Times New Roman"/>
                <w:w w:val="99"/>
                <w:sz w:val="24"/>
                <w:szCs w:val="24"/>
              </w:rPr>
              <w:t>.089</w:t>
            </w:r>
          </w:p>
        </w:tc>
        <w:tc>
          <w:tcPr>
            <w:tcW w:w="980" w:type="dxa"/>
            <w:vAlign w:val="bottom"/>
          </w:tcPr>
          <w:p w:rsidR="00256EA3" w:rsidRDefault="009057A0">
            <w:pPr>
              <w:jc w:val="center"/>
              <w:rPr>
                <w:sz w:val="20"/>
                <w:szCs w:val="20"/>
              </w:rPr>
            </w:pPr>
            <w:r>
              <w:rPr>
                <w:rFonts w:eastAsia="Times New Roman"/>
                <w:w w:val="99"/>
                <w:sz w:val="24"/>
                <w:szCs w:val="24"/>
              </w:rPr>
              <w:t>.02</w:t>
            </w:r>
          </w:p>
        </w:tc>
      </w:tr>
      <w:tr w:rsidR="00256EA3">
        <w:trPr>
          <w:trHeight w:val="558"/>
        </w:trPr>
        <w:tc>
          <w:tcPr>
            <w:tcW w:w="20" w:type="dxa"/>
            <w:vAlign w:val="bottom"/>
          </w:tcPr>
          <w:p w:rsidR="00256EA3" w:rsidRDefault="00256EA3">
            <w:pPr>
              <w:rPr>
                <w:sz w:val="24"/>
                <w:szCs w:val="24"/>
              </w:rPr>
            </w:pPr>
          </w:p>
        </w:tc>
        <w:tc>
          <w:tcPr>
            <w:tcW w:w="5380" w:type="dxa"/>
            <w:vAlign w:val="bottom"/>
          </w:tcPr>
          <w:p w:rsidR="00256EA3" w:rsidRDefault="009057A0">
            <w:pPr>
              <w:ind w:left="100"/>
              <w:rPr>
                <w:sz w:val="20"/>
                <w:szCs w:val="20"/>
              </w:rPr>
            </w:pPr>
            <w:r>
              <w:rPr>
                <w:rFonts w:eastAsia="Times New Roman"/>
                <w:sz w:val="24"/>
                <w:szCs w:val="24"/>
              </w:rPr>
              <w:t>Intelligence scale</w:t>
            </w:r>
          </w:p>
        </w:tc>
        <w:tc>
          <w:tcPr>
            <w:tcW w:w="1040" w:type="dxa"/>
            <w:vAlign w:val="bottom"/>
          </w:tcPr>
          <w:p w:rsidR="00256EA3" w:rsidRDefault="009057A0">
            <w:pPr>
              <w:ind w:left="120"/>
              <w:jc w:val="center"/>
              <w:rPr>
                <w:sz w:val="20"/>
                <w:szCs w:val="20"/>
              </w:rPr>
            </w:pPr>
            <w:r>
              <w:rPr>
                <w:rFonts w:eastAsia="Times New Roman"/>
                <w:sz w:val="24"/>
                <w:szCs w:val="24"/>
              </w:rPr>
              <w:t>-.002</w:t>
            </w:r>
          </w:p>
        </w:tc>
        <w:tc>
          <w:tcPr>
            <w:tcW w:w="780" w:type="dxa"/>
            <w:vAlign w:val="bottom"/>
          </w:tcPr>
          <w:p w:rsidR="00256EA3" w:rsidRDefault="009057A0">
            <w:pPr>
              <w:jc w:val="center"/>
              <w:rPr>
                <w:sz w:val="20"/>
                <w:szCs w:val="20"/>
              </w:rPr>
            </w:pPr>
            <w:r>
              <w:rPr>
                <w:rFonts w:eastAsia="Times New Roman"/>
                <w:w w:val="99"/>
                <w:sz w:val="24"/>
                <w:szCs w:val="24"/>
              </w:rPr>
              <w:t>.003</w:t>
            </w:r>
          </w:p>
        </w:tc>
        <w:tc>
          <w:tcPr>
            <w:tcW w:w="980" w:type="dxa"/>
            <w:vAlign w:val="bottom"/>
          </w:tcPr>
          <w:p w:rsidR="00256EA3" w:rsidRDefault="009057A0">
            <w:pPr>
              <w:jc w:val="center"/>
              <w:rPr>
                <w:sz w:val="20"/>
                <w:szCs w:val="20"/>
              </w:rPr>
            </w:pPr>
            <w:r>
              <w:rPr>
                <w:rFonts w:eastAsia="Times New Roman"/>
                <w:w w:val="99"/>
                <w:sz w:val="24"/>
                <w:szCs w:val="24"/>
              </w:rPr>
              <w:t>-.03</w:t>
            </w:r>
          </w:p>
        </w:tc>
      </w:tr>
      <w:tr w:rsidR="00256EA3">
        <w:trPr>
          <w:trHeight w:val="557"/>
        </w:trPr>
        <w:tc>
          <w:tcPr>
            <w:tcW w:w="20" w:type="dxa"/>
            <w:vAlign w:val="bottom"/>
          </w:tcPr>
          <w:p w:rsidR="00256EA3" w:rsidRDefault="00256EA3">
            <w:pPr>
              <w:rPr>
                <w:sz w:val="24"/>
                <w:szCs w:val="24"/>
              </w:rPr>
            </w:pPr>
          </w:p>
        </w:tc>
        <w:tc>
          <w:tcPr>
            <w:tcW w:w="5380" w:type="dxa"/>
            <w:vAlign w:val="bottom"/>
          </w:tcPr>
          <w:p w:rsidR="00256EA3" w:rsidRDefault="009057A0">
            <w:pPr>
              <w:ind w:left="100"/>
              <w:rPr>
                <w:sz w:val="20"/>
                <w:szCs w:val="20"/>
              </w:rPr>
            </w:pPr>
            <w:r>
              <w:rPr>
                <w:rFonts w:eastAsia="Times New Roman"/>
                <w:sz w:val="24"/>
                <w:szCs w:val="24"/>
              </w:rPr>
              <w:t>Impulsivity scale</w:t>
            </w:r>
          </w:p>
        </w:tc>
        <w:tc>
          <w:tcPr>
            <w:tcW w:w="1040" w:type="dxa"/>
            <w:vAlign w:val="bottom"/>
          </w:tcPr>
          <w:p w:rsidR="00256EA3" w:rsidRDefault="009057A0">
            <w:pPr>
              <w:ind w:left="100"/>
              <w:jc w:val="center"/>
              <w:rPr>
                <w:sz w:val="20"/>
                <w:szCs w:val="20"/>
              </w:rPr>
            </w:pPr>
            <w:r>
              <w:rPr>
                <w:rFonts w:eastAsia="Times New Roman"/>
                <w:w w:val="99"/>
                <w:sz w:val="24"/>
                <w:szCs w:val="24"/>
              </w:rPr>
              <w:t>.002</w:t>
            </w:r>
          </w:p>
        </w:tc>
        <w:tc>
          <w:tcPr>
            <w:tcW w:w="780" w:type="dxa"/>
            <w:vAlign w:val="bottom"/>
          </w:tcPr>
          <w:p w:rsidR="00256EA3" w:rsidRDefault="009057A0">
            <w:pPr>
              <w:jc w:val="center"/>
              <w:rPr>
                <w:sz w:val="20"/>
                <w:szCs w:val="20"/>
              </w:rPr>
            </w:pPr>
            <w:r>
              <w:rPr>
                <w:rFonts w:eastAsia="Times New Roman"/>
                <w:w w:val="99"/>
                <w:sz w:val="24"/>
                <w:szCs w:val="24"/>
              </w:rPr>
              <w:t>.003</w:t>
            </w:r>
          </w:p>
        </w:tc>
        <w:tc>
          <w:tcPr>
            <w:tcW w:w="980" w:type="dxa"/>
            <w:vAlign w:val="bottom"/>
          </w:tcPr>
          <w:p w:rsidR="00256EA3" w:rsidRDefault="009057A0">
            <w:pPr>
              <w:jc w:val="center"/>
              <w:rPr>
                <w:sz w:val="20"/>
                <w:szCs w:val="20"/>
              </w:rPr>
            </w:pPr>
            <w:r>
              <w:rPr>
                <w:rFonts w:eastAsia="Times New Roman"/>
                <w:w w:val="99"/>
                <w:sz w:val="24"/>
                <w:szCs w:val="24"/>
              </w:rPr>
              <w:t>.02</w:t>
            </w:r>
          </w:p>
        </w:tc>
      </w:tr>
      <w:tr w:rsidR="00256EA3">
        <w:trPr>
          <w:trHeight w:val="144"/>
        </w:trPr>
        <w:tc>
          <w:tcPr>
            <w:tcW w:w="20" w:type="dxa"/>
            <w:tcBorders>
              <w:bottom w:val="single" w:sz="8" w:space="0" w:color="auto"/>
            </w:tcBorders>
            <w:vAlign w:val="bottom"/>
          </w:tcPr>
          <w:p w:rsidR="00256EA3" w:rsidRDefault="00256EA3">
            <w:pPr>
              <w:rPr>
                <w:sz w:val="12"/>
                <w:szCs w:val="12"/>
              </w:rPr>
            </w:pPr>
          </w:p>
        </w:tc>
        <w:tc>
          <w:tcPr>
            <w:tcW w:w="5380" w:type="dxa"/>
            <w:tcBorders>
              <w:bottom w:val="single" w:sz="8" w:space="0" w:color="auto"/>
            </w:tcBorders>
            <w:vAlign w:val="bottom"/>
          </w:tcPr>
          <w:p w:rsidR="00256EA3" w:rsidRDefault="00256EA3">
            <w:pPr>
              <w:rPr>
                <w:sz w:val="12"/>
                <w:szCs w:val="12"/>
              </w:rPr>
            </w:pPr>
          </w:p>
        </w:tc>
        <w:tc>
          <w:tcPr>
            <w:tcW w:w="1040" w:type="dxa"/>
            <w:tcBorders>
              <w:bottom w:val="single" w:sz="8" w:space="0" w:color="auto"/>
            </w:tcBorders>
            <w:vAlign w:val="bottom"/>
          </w:tcPr>
          <w:p w:rsidR="00256EA3" w:rsidRDefault="00256EA3">
            <w:pPr>
              <w:rPr>
                <w:sz w:val="12"/>
                <w:szCs w:val="12"/>
              </w:rPr>
            </w:pPr>
          </w:p>
        </w:tc>
        <w:tc>
          <w:tcPr>
            <w:tcW w:w="780" w:type="dxa"/>
            <w:tcBorders>
              <w:bottom w:val="single" w:sz="8" w:space="0" w:color="auto"/>
            </w:tcBorders>
            <w:vAlign w:val="bottom"/>
          </w:tcPr>
          <w:p w:rsidR="00256EA3" w:rsidRDefault="00256EA3">
            <w:pPr>
              <w:rPr>
                <w:sz w:val="12"/>
                <w:szCs w:val="12"/>
              </w:rPr>
            </w:pPr>
          </w:p>
        </w:tc>
        <w:tc>
          <w:tcPr>
            <w:tcW w:w="980" w:type="dxa"/>
            <w:tcBorders>
              <w:bottom w:val="single" w:sz="8" w:space="0" w:color="auto"/>
            </w:tcBorders>
            <w:vAlign w:val="bottom"/>
          </w:tcPr>
          <w:p w:rsidR="00256EA3" w:rsidRDefault="00256EA3">
            <w:pPr>
              <w:rPr>
                <w:sz w:val="12"/>
                <w:szCs w:val="12"/>
              </w:rPr>
            </w:pPr>
          </w:p>
        </w:tc>
      </w:tr>
      <w:tr w:rsidR="00256EA3">
        <w:trPr>
          <w:trHeight w:val="290"/>
        </w:trPr>
        <w:tc>
          <w:tcPr>
            <w:tcW w:w="20" w:type="dxa"/>
            <w:vAlign w:val="bottom"/>
          </w:tcPr>
          <w:p w:rsidR="00256EA3" w:rsidRDefault="00256EA3">
            <w:pPr>
              <w:rPr>
                <w:sz w:val="24"/>
                <w:szCs w:val="24"/>
              </w:rPr>
            </w:pPr>
          </w:p>
        </w:tc>
        <w:tc>
          <w:tcPr>
            <w:tcW w:w="5380" w:type="dxa"/>
            <w:vAlign w:val="bottom"/>
          </w:tcPr>
          <w:p w:rsidR="00256EA3" w:rsidRDefault="009057A0">
            <w:pPr>
              <w:ind w:left="100"/>
              <w:rPr>
                <w:sz w:val="20"/>
                <w:szCs w:val="20"/>
              </w:rPr>
            </w:pPr>
            <w:r>
              <w:rPr>
                <w:rFonts w:eastAsia="Times New Roman"/>
                <w:sz w:val="24"/>
                <w:szCs w:val="24"/>
              </w:rPr>
              <w:t>Note: DV = number of arrests in past two years</w:t>
            </w:r>
          </w:p>
        </w:tc>
        <w:tc>
          <w:tcPr>
            <w:tcW w:w="1040" w:type="dxa"/>
            <w:vAlign w:val="bottom"/>
          </w:tcPr>
          <w:p w:rsidR="00256EA3" w:rsidRDefault="00256EA3">
            <w:pPr>
              <w:rPr>
                <w:sz w:val="24"/>
                <w:szCs w:val="24"/>
              </w:rPr>
            </w:pPr>
          </w:p>
        </w:tc>
        <w:tc>
          <w:tcPr>
            <w:tcW w:w="780" w:type="dxa"/>
            <w:vAlign w:val="bottom"/>
          </w:tcPr>
          <w:p w:rsidR="00256EA3" w:rsidRDefault="00256EA3">
            <w:pPr>
              <w:rPr>
                <w:sz w:val="24"/>
                <w:szCs w:val="24"/>
              </w:rPr>
            </w:pPr>
          </w:p>
        </w:tc>
        <w:tc>
          <w:tcPr>
            <w:tcW w:w="980" w:type="dxa"/>
            <w:vAlign w:val="bottom"/>
          </w:tcPr>
          <w:p w:rsidR="00256EA3" w:rsidRDefault="00256EA3">
            <w:pPr>
              <w:rPr>
                <w:sz w:val="24"/>
                <w:szCs w:val="24"/>
              </w:rPr>
            </w:pPr>
          </w:p>
        </w:tc>
      </w:tr>
      <w:tr w:rsidR="00256EA3">
        <w:trPr>
          <w:trHeight w:val="312"/>
        </w:trPr>
        <w:tc>
          <w:tcPr>
            <w:tcW w:w="20" w:type="dxa"/>
            <w:vAlign w:val="bottom"/>
          </w:tcPr>
          <w:p w:rsidR="00256EA3" w:rsidRDefault="00256EA3">
            <w:pPr>
              <w:rPr>
                <w:sz w:val="24"/>
                <w:szCs w:val="24"/>
              </w:rPr>
            </w:pPr>
          </w:p>
        </w:tc>
        <w:tc>
          <w:tcPr>
            <w:tcW w:w="5380" w:type="dxa"/>
            <w:vAlign w:val="bottom"/>
          </w:tcPr>
          <w:p w:rsidR="00256EA3" w:rsidRDefault="009057A0">
            <w:pPr>
              <w:ind w:left="100"/>
              <w:rPr>
                <w:sz w:val="20"/>
                <w:szCs w:val="20"/>
              </w:rPr>
            </w:pPr>
            <w:r>
              <w:rPr>
                <w:rFonts w:eastAsia="Times New Roman"/>
                <w:sz w:val="24"/>
                <w:szCs w:val="24"/>
              </w:rPr>
              <w:t>* p &lt; .05; ** p &lt; .01</w:t>
            </w:r>
          </w:p>
        </w:tc>
        <w:tc>
          <w:tcPr>
            <w:tcW w:w="1040" w:type="dxa"/>
            <w:vAlign w:val="bottom"/>
          </w:tcPr>
          <w:p w:rsidR="00256EA3" w:rsidRDefault="00256EA3">
            <w:pPr>
              <w:rPr>
                <w:sz w:val="24"/>
                <w:szCs w:val="24"/>
              </w:rPr>
            </w:pPr>
          </w:p>
        </w:tc>
        <w:tc>
          <w:tcPr>
            <w:tcW w:w="780" w:type="dxa"/>
            <w:vAlign w:val="bottom"/>
          </w:tcPr>
          <w:p w:rsidR="00256EA3" w:rsidRDefault="00256EA3">
            <w:pPr>
              <w:rPr>
                <w:sz w:val="24"/>
                <w:szCs w:val="24"/>
              </w:rPr>
            </w:pPr>
          </w:p>
        </w:tc>
        <w:tc>
          <w:tcPr>
            <w:tcW w:w="980" w:type="dxa"/>
            <w:vAlign w:val="bottom"/>
          </w:tcPr>
          <w:p w:rsidR="00256EA3" w:rsidRDefault="00256EA3">
            <w:pPr>
              <w:rPr>
                <w:sz w:val="24"/>
                <w:szCs w:val="24"/>
              </w:rPr>
            </w:pPr>
          </w:p>
        </w:tc>
      </w:tr>
    </w:tbl>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00" w:lineRule="exact"/>
        <w:rPr>
          <w:sz w:val="20"/>
          <w:szCs w:val="20"/>
        </w:rPr>
      </w:pPr>
    </w:p>
    <w:p w:rsidR="00256EA3" w:rsidRDefault="00256EA3">
      <w:pPr>
        <w:spacing w:line="293" w:lineRule="exact"/>
        <w:rPr>
          <w:sz w:val="20"/>
          <w:szCs w:val="20"/>
        </w:rPr>
      </w:pPr>
    </w:p>
    <w:p w:rsidR="00256EA3" w:rsidRDefault="009057A0">
      <w:pPr>
        <w:ind w:right="4"/>
        <w:jc w:val="right"/>
        <w:rPr>
          <w:sz w:val="20"/>
          <w:szCs w:val="20"/>
        </w:rPr>
      </w:pPr>
      <w:r>
        <w:rPr>
          <w:rFonts w:eastAsia="Times New Roman"/>
        </w:rPr>
        <w:t>27</w:t>
      </w:r>
    </w:p>
    <w:sectPr w:rsidR="00256EA3">
      <w:pgSz w:w="11900" w:h="16840"/>
      <w:pgMar w:top="1440" w:right="1440" w:bottom="431" w:left="1320" w:header="0" w:footer="0" w:gutter="0"/>
      <w:cols w:space="720" w:equalWidth="0">
        <w:col w:w="914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5CFF"/>
    <w:multiLevelType w:val="hybridMultilevel"/>
    <w:tmpl w:val="EFA41E9E"/>
    <w:lvl w:ilvl="0" w:tplc="1C1CB112">
      <w:start w:val="1"/>
      <w:numFmt w:val="bullet"/>
      <w:lvlText w:val="&lt;"/>
      <w:lvlJc w:val="left"/>
    </w:lvl>
    <w:lvl w:ilvl="1" w:tplc="7248D232">
      <w:numFmt w:val="decimal"/>
      <w:lvlText w:val=""/>
      <w:lvlJc w:val="left"/>
    </w:lvl>
    <w:lvl w:ilvl="2" w:tplc="65C22152">
      <w:numFmt w:val="decimal"/>
      <w:lvlText w:val=""/>
      <w:lvlJc w:val="left"/>
    </w:lvl>
    <w:lvl w:ilvl="3" w:tplc="A016066E">
      <w:numFmt w:val="decimal"/>
      <w:lvlText w:val=""/>
      <w:lvlJc w:val="left"/>
    </w:lvl>
    <w:lvl w:ilvl="4" w:tplc="062E560C">
      <w:numFmt w:val="decimal"/>
      <w:lvlText w:val=""/>
      <w:lvlJc w:val="left"/>
    </w:lvl>
    <w:lvl w:ilvl="5" w:tplc="74EE42CC">
      <w:numFmt w:val="decimal"/>
      <w:lvlText w:val=""/>
      <w:lvlJc w:val="left"/>
    </w:lvl>
    <w:lvl w:ilvl="6" w:tplc="18688F04">
      <w:numFmt w:val="decimal"/>
      <w:lvlText w:val=""/>
      <w:lvlJc w:val="left"/>
    </w:lvl>
    <w:lvl w:ilvl="7" w:tplc="0250F788">
      <w:numFmt w:val="decimal"/>
      <w:lvlText w:val=""/>
      <w:lvlJc w:val="left"/>
    </w:lvl>
    <w:lvl w:ilvl="8" w:tplc="D19AB266">
      <w:numFmt w:val="decimal"/>
      <w:lvlText w:val=""/>
      <w:lvlJc w:val="left"/>
    </w:lvl>
  </w:abstractNum>
  <w:abstractNum w:abstractNumId="1" w15:restartNumberingAfterBreak="0">
    <w:nsid w:val="66334873"/>
    <w:multiLevelType w:val="hybridMultilevel"/>
    <w:tmpl w:val="0F385816"/>
    <w:lvl w:ilvl="0" w:tplc="BE2C3E7C">
      <w:start w:val="1"/>
      <w:numFmt w:val="bullet"/>
      <w:lvlText w:val="•"/>
      <w:lvlJc w:val="left"/>
    </w:lvl>
    <w:lvl w:ilvl="1" w:tplc="83EA43FC">
      <w:numFmt w:val="decimal"/>
      <w:lvlText w:val=""/>
      <w:lvlJc w:val="left"/>
    </w:lvl>
    <w:lvl w:ilvl="2" w:tplc="71868936">
      <w:numFmt w:val="decimal"/>
      <w:lvlText w:val=""/>
      <w:lvlJc w:val="left"/>
    </w:lvl>
    <w:lvl w:ilvl="3" w:tplc="56CEAFAA">
      <w:numFmt w:val="decimal"/>
      <w:lvlText w:val=""/>
      <w:lvlJc w:val="left"/>
    </w:lvl>
    <w:lvl w:ilvl="4" w:tplc="BDCE1E80">
      <w:numFmt w:val="decimal"/>
      <w:lvlText w:val=""/>
      <w:lvlJc w:val="left"/>
    </w:lvl>
    <w:lvl w:ilvl="5" w:tplc="63B6AC6E">
      <w:numFmt w:val="decimal"/>
      <w:lvlText w:val=""/>
      <w:lvlJc w:val="left"/>
    </w:lvl>
    <w:lvl w:ilvl="6" w:tplc="A8F2D912">
      <w:numFmt w:val="decimal"/>
      <w:lvlText w:val=""/>
      <w:lvlJc w:val="left"/>
    </w:lvl>
    <w:lvl w:ilvl="7" w:tplc="FEC6B864">
      <w:numFmt w:val="decimal"/>
      <w:lvlText w:val=""/>
      <w:lvlJc w:val="left"/>
    </w:lvl>
    <w:lvl w:ilvl="8" w:tplc="4D04229A">
      <w:numFmt w:val="decimal"/>
      <w:lvlText w:val=""/>
      <w:lvlJc w:val="left"/>
    </w:lvl>
  </w:abstractNum>
  <w:abstractNum w:abstractNumId="2" w15:restartNumberingAfterBreak="0">
    <w:nsid w:val="74B0DC51"/>
    <w:multiLevelType w:val="hybridMultilevel"/>
    <w:tmpl w:val="C4F6A1A2"/>
    <w:lvl w:ilvl="0" w:tplc="5742E900">
      <w:start w:val="1"/>
      <w:numFmt w:val="bullet"/>
      <w:lvlText w:val="="/>
      <w:lvlJc w:val="left"/>
    </w:lvl>
    <w:lvl w:ilvl="1" w:tplc="6B88C50E">
      <w:numFmt w:val="decimal"/>
      <w:lvlText w:val=""/>
      <w:lvlJc w:val="left"/>
    </w:lvl>
    <w:lvl w:ilvl="2" w:tplc="362A5A92">
      <w:numFmt w:val="decimal"/>
      <w:lvlText w:val=""/>
      <w:lvlJc w:val="left"/>
    </w:lvl>
    <w:lvl w:ilvl="3" w:tplc="F56E16A4">
      <w:numFmt w:val="decimal"/>
      <w:lvlText w:val=""/>
      <w:lvlJc w:val="left"/>
    </w:lvl>
    <w:lvl w:ilvl="4" w:tplc="E104ECF8">
      <w:numFmt w:val="decimal"/>
      <w:lvlText w:val=""/>
      <w:lvlJc w:val="left"/>
    </w:lvl>
    <w:lvl w:ilvl="5" w:tplc="7F3EDD46">
      <w:numFmt w:val="decimal"/>
      <w:lvlText w:val=""/>
      <w:lvlJc w:val="left"/>
    </w:lvl>
    <w:lvl w:ilvl="6" w:tplc="5492E8D6">
      <w:numFmt w:val="decimal"/>
      <w:lvlText w:val=""/>
      <w:lvlJc w:val="left"/>
    </w:lvl>
    <w:lvl w:ilvl="7" w:tplc="160C2C38">
      <w:numFmt w:val="decimal"/>
      <w:lvlText w:val=""/>
      <w:lvlJc w:val="left"/>
    </w:lvl>
    <w:lvl w:ilvl="8" w:tplc="EB5270EE">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EA3"/>
    <w:rsid w:val="00256EA3"/>
    <w:rsid w:val="0090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97ABE7-3721-4C40-B658-B9E6E084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6726</Words>
  <Characters>38340</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3</cp:revision>
  <dcterms:created xsi:type="dcterms:W3CDTF">2018-03-27T08:49:00Z</dcterms:created>
  <dcterms:modified xsi:type="dcterms:W3CDTF">2018-03-27T12:51:00Z</dcterms:modified>
</cp:coreProperties>
</file>