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80" w:lineRule="atLeast"/>
        <w:ind w:left="0" w:right="0" w:firstLine="0"/>
        <w:jc w:val="left"/>
        <w:rPr>
          <w:rFonts w:ascii="Arial" w:hAnsi="Arial"/>
          <w:color w:val="444444"/>
          <w:sz w:val="24"/>
          <w:szCs w:val="24"/>
          <w:shd w:val="clear" w:color="auto" w:fill="ffffff"/>
          <w:rtl w:val="0"/>
        </w:rPr>
      </w:pP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9638"/>
      </w:tblGrid>
      <w:tr>
        <w:tblPrEx>
          <w:shd w:val="clear" w:color="auto" w:fill="auto"/>
        </w:tblPrEx>
        <w:trPr>
          <w:trHeight w:val="850" w:hRule="atLeast"/>
        </w:trPr>
        <w:tc>
          <w:tcPr>
            <w:tcW w:type="dxa" w:w="9638"/>
            <w:tcBorders>
              <w:top w:val="single" w:color="cacaca" w:sz="4" w:space="0" w:shadow="0" w:frame="0"/>
              <w:left w:val="single" w:color="cacaca" w:sz="4" w:space="0" w:shadow="0" w:frame="0"/>
              <w:bottom w:val="single" w:color="cacaca" w:sz="4" w:space="0" w:shadow="0" w:frame="0"/>
              <w:right w:val="single" w:color="cacaca" w:sz="4" w:space="0" w:shadow="0" w:frame="0"/>
            </w:tcBorders>
            <w:shd w:val="clear" w:color="auto" w:fill="auto"/>
            <w:tcMar>
              <w:top w:type="dxa" w:w="0"/>
              <w:left w:type="dxa" w:w="100"/>
              <w:bottom w:type="dxa" w:w="0"/>
              <w:right w:type="dxa" w:w="1098"/>
            </w:tcMar>
            <w:vAlign w:val="top"/>
          </w:tcPr>
          <w:p>
            <w:pPr>
              <w:pStyle w:val="Table Style 2"/>
              <w:bidi w:val="0"/>
              <w:ind w:left="0" w:right="998" w:firstLine="0"/>
              <w:jc w:val="left"/>
              <w:rPr>
                <w:rtl w:val="0"/>
              </w:rPr>
            </w:pPr>
            <w:r>
              <w:rPr>
                <w:rFonts w:ascii="Calibri" w:hAnsi="Calibri" w:hint="default"/>
                <w:i w:val="1"/>
                <w:iCs w:val="1"/>
                <w:sz w:val="24"/>
                <w:szCs w:val="24"/>
                <w:rtl w:val="0"/>
              </w:rPr>
              <w:t>“</w:t>
            </w:r>
            <w:r>
              <w:rPr>
                <w:rFonts w:ascii="Calibri" w:hAnsi="Calibri"/>
                <w:i w:val="1"/>
                <w:iCs w:val="1"/>
                <w:sz w:val="24"/>
                <w:szCs w:val="24"/>
                <w:rtl w:val="0"/>
              </w:rPr>
              <w:t>The Coming Space Race: Implication for International Security,</w:t>
            </w:r>
            <w:r>
              <w:rPr>
                <w:rFonts w:ascii="Calibri" w:hAnsi="Calibri" w:hint="default"/>
                <w:i w:val="1"/>
                <w:iCs w:val="1"/>
                <w:sz w:val="24"/>
                <w:szCs w:val="24"/>
                <w:rtl w:val="0"/>
              </w:rPr>
              <w:t xml:space="preserve">” </w:t>
            </w:r>
            <w:r>
              <w:rPr>
                <w:rFonts w:ascii="Calibri" w:hAnsi="Calibri"/>
                <w:i w:val="1"/>
                <w:iCs w:val="1"/>
                <w:sz w:val="24"/>
                <w:szCs w:val="24"/>
                <w:rtl w:val="0"/>
              </w:rPr>
              <w:t>In ISA 2018, San Francisco 4-8 April 2018</w:t>
            </w:r>
          </w:p>
        </w:tc>
      </w:tr>
    </w:tbl>
    <w:p>
      <w:pPr>
        <w:pStyle w:val="Default"/>
        <w:bidi w:val="0"/>
        <w:ind w:left="0" w:right="998" w:firstLine="0"/>
        <w:jc w:val="left"/>
        <w:rPr>
          <w:rFonts w:ascii="Calibri" w:hAnsi="Calibri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ind w:left="0" w:right="998" w:firstLine="0"/>
        <w:jc w:val="left"/>
        <w:rPr>
          <w:rFonts w:ascii="Calibri" w:hAnsi="Calibri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ind w:left="0" w:right="998" w:firstLine="0"/>
        <w:jc w:val="left"/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</w:pPr>
      <w:r>
        <w:rPr>
          <w:rFonts w:ascii="Calibri" w:hAnsi="Calibri"/>
          <w:i w:val="1"/>
          <w:iCs w:val="1"/>
          <w:sz w:val="24"/>
          <w:szCs w:val="24"/>
          <w:rtl w:val="0"/>
          <w:lang w:val="en-US"/>
        </w:rPr>
        <w:t>Stefania Paladini</w:t>
      </w:r>
    </w:p>
    <w:p>
      <w:pPr>
        <w:pStyle w:val="Default"/>
        <w:bidi w:val="0"/>
        <w:ind w:left="0" w:right="998" w:firstLine="0"/>
        <w:jc w:val="left"/>
        <w:rPr>
          <w:rFonts w:ascii="Calibri" w:cs="Calibri" w:hAnsi="Calibri" w:eastAsia="Calibri"/>
          <w:i w:val="1"/>
          <w:iCs w:val="1"/>
          <w:sz w:val="24"/>
          <w:szCs w:val="24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Fonts w:ascii="Arial" w:cs="Arial" w:hAnsi="Arial" w:eastAsia="Arial"/>
          <w:color w:val="444444"/>
          <w:sz w:val="24"/>
          <w:szCs w:val="24"/>
          <w:shd w:val="clear" w:color="auto" w:fill="ffffff"/>
          <w:rtl w:val="0"/>
        </w:rPr>
      </w:pPr>
    </w:p>
    <w:p>
      <w:pPr>
        <w:pStyle w:val="Default"/>
        <w:bidi w:val="0"/>
        <w:spacing w:line="280" w:lineRule="atLeast"/>
        <w:ind w:left="0" w:right="0" w:firstLine="0"/>
        <w:jc w:val="left"/>
        <w:rPr>
          <w:rtl w:val="0"/>
        </w:rPr>
      </w:pPr>
      <w:r>
        <w:rPr>
          <w:rFonts w:ascii="Arial" w:hAnsi="Arial"/>
          <w:color w:val="444444"/>
          <w:sz w:val="24"/>
          <w:szCs w:val="24"/>
          <w:shd w:val="clear" w:color="auto" w:fill="ffffff"/>
          <w:rtl w:val="0"/>
          <w:lang w:val="en-US"/>
        </w:rPr>
        <w:t>Looking at the last two-three years, nobody would doubt that we are probably at the beginning of a new phase in space adventures. Not only there have been substantial scientific achievements and discoveries (ESA Rosetta Mission; Dawn spacecraft missions to the Asteroid Belt; New Horizons and the mapping of Pluto) but new actors have joined the race, in government-led missions (India with his MOM mission to Mars; China and the Yutu Mission to the Moon) and private endeavours (Space X and Blue Origin in their race to manufacture reusable rockets). Together with the opportunities, however, come the risks of these missions, especially in terms of a comprehensive security framework specifically thought for them. It is not a novelty that the countries</w:t>
      </w:r>
      <w:r>
        <w:rPr>
          <w:rFonts w:ascii="Arial" w:hAnsi="Arial" w:hint="default"/>
          <w:color w:val="444444"/>
          <w:sz w:val="24"/>
          <w:szCs w:val="24"/>
          <w:shd w:val="clear" w:color="auto" w:fill="ffffff"/>
          <w:rtl w:val="0"/>
        </w:rPr>
        <w:t xml:space="preserve">’ </w:t>
      </w:r>
      <w:r>
        <w:rPr>
          <w:rFonts w:ascii="Arial" w:hAnsi="Arial"/>
          <w:color w:val="444444"/>
          <w:sz w:val="24"/>
          <w:szCs w:val="24"/>
          <w:shd w:val="clear" w:color="auto" w:fill="ffffff"/>
          <w:rtl w:val="0"/>
          <w:lang w:val="en-US"/>
        </w:rPr>
        <w:t>legislations about space and international treaties (like the Outer Space Treaty of 1967) are scant and not suitable in a scenario with multiple actors and different, often competing interests. This paper aims at mapping the security implications - mainly, but not exclusively, in terms of NTSI - of the ongoing space race, outlining the inherent risks and presenting possible scenarios.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