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6101F" w:rsidRPr="005F4B3E" w:rsidRDefault="0036101F" w:rsidP="0036101F">
      <w:pPr>
        <w:spacing w:after="150" w:line="270" w:lineRule="atLeast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b/>
          <w:bCs/>
          <w:color w:val="202020"/>
          <w:sz w:val="24"/>
          <w:szCs w:val="24"/>
          <w:lang w:eastAsia="en-GB"/>
        </w:rPr>
        <w:t>Paper/Poster Details</w:t>
      </w:r>
    </w:p>
    <w:p w:rsidR="009F5ACD" w:rsidRPr="005F4B3E" w:rsidRDefault="009F5ACD" w:rsidP="0036101F">
      <w:pPr>
        <w:spacing w:after="150" w:line="270" w:lineRule="atLeast"/>
        <w:rPr>
          <w:rFonts w:eastAsia="Times New Roman" w:cs="Arial"/>
          <w:color w:val="202020"/>
          <w:sz w:val="24"/>
          <w:szCs w:val="24"/>
          <w:lang w:eastAsia="en-GB"/>
        </w:rPr>
      </w:pPr>
    </w:p>
    <w:p w:rsidR="009F5ACD" w:rsidRPr="005F4B3E" w:rsidRDefault="009F5ACD" w:rsidP="0036101F">
      <w:pPr>
        <w:spacing w:after="150" w:line="270" w:lineRule="atLeast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Title</w:t>
      </w:r>
    </w:p>
    <w:p w:rsidR="004A3E8C" w:rsidRPr="005F4B3E" w:rsidRDefault="00BD34B7" w:rsidP="004A3E8C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Radiography teaching under the lens- using s</w:t>
      </w:r>
      <w:r w:rsidR="00CE11FE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tudent 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therapeutic </w:t>
      </w:r>
      <w:r w:rsidR="00CE11FE" w:rsidRPr="005F4B3E">
        <w:rPr>
          <w:rFonts w:eastAsia="Times New Roman" w:cs="Arial"/>
          <w:color w:val="202020"/>
          <w:sz w:val="24"/>
          <w:szCs w:val="24"/>
          <w:lang w:eastAsia="en-GB"/>
        </w:rPr>
        <w:t>radiographers as co-researchers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to reimagine teaching observation</w:t>
      </w:r>
    </w:p>
    <w:p w:rsidR="00BD34B7" w:rsidRPr="005F4B3E" w:rsidRDefault="00BD34B7" w:rsidP="00BD34B7">
      <w:p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</w:p>
    <w:p w:rsidR="00BD34B7" w:rsidRPr="005F4B3E" w:rsidRDefault="0036101F" w:rsidP="009F5ACD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Author(s)</w:t>
      </w:r>
    </w:p>
    <w:p w:rsidR="009F5ACD" w:rsidRPr="005F4B3E" w:rsidRDefault="009F5ACD" w:rsidP="009F5ACD">
      <w:pPr>
        <w:pStyle w:val="ListParagraph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Nick White</w:t>
      </w:r>
    </w:p>
    <w:p w:rsidR="0036101F" w:rsidRPr="005F4B3E" w:rsidRDefault="0036101F" w:rsidP="003610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Keywords</w:t>
      </w:r>
    </w:p>
    <w:p w:rsidR="009F5ACD" w:rsidRPr="005F4B3E" w:rsidRDefault="00986110" w:rsidP="009F5ACD">
      <w:p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Teaching quality, observation.</w:t>
      </w:r>
    </w:p>
    <w:p w:rsidR="00BD34B7" w:rsidRPr="005F4B3E" w:rsidRDefault="0036101F" w:rsidP="00BD34B7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Introduction</w:t>
      </w:r>
    </w:p>
    <w:p w:rsidR="00BD34B7" w:rsidRPr="005F4B3E" w:rsidRDefault="00BD34B7" w:rsidP="00BD34B7">
      <w:pPr>
        <w:spacing w:before="100" w:beforeAutospacing="1" w:after="100" w:afterAutospacing="1" w:line="300" w:lineRule="atLeast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cs="Arial"/>
          <w:color w:val="373737"/>
          <w:sz w:val="24"/>
          <w:szCs w:val="24"/>
          <w:lang w:val="en-US"/>
        </w:rPr>
        <w:t>The introduction of the Teaching Excellence Framework (TEF) has heralded a greater scrutiny on the quality of teaching and learning in universities.</w:t>
      </w:r>
      <w:r w:rsidR="00C455E5" w:rsidRPr="005F4B3E">
        <w:rPr>
          <w:rFonts w:cs="Arial"/>
          <w:color w:val="373737"/>
          <w:sz w:val="24"/>
          <w:szCs w:val="24"/>
          <w:lang w:val="en-US"/>
        </w:rPr>
        <w:t xml:space="preserve"> This assessment has traditionally been made via teaching observation and rarely involves students</w:t>
      </w:r>
      <w:r w:rsidR="0078210C">
        <w:rPr>
          <w:rFonts w:cs="Arial"/>
          <w:color w:val="373737"/>
          <w:sz w:val="24"/>
          <w:szCs w:val="24"/>
          <w:lang w:val="en-US"/>
        </w:rPr>
        <w:t xml:space="preserve"> as participants in the process</w:t>
      </w:r>
      <w:r w:rsidR="00C455E5" w:rsidRPr="005F4B3E">
        <w:rPr>
          <w:rFonts w:cs="Arial"/>
          <w:color w:val="373737"/>
          <w:sz w:val="24"/>
          <w:szCs w:val="24"/>
          <w:lang w:val="en-US"/>
        </w:rPr>
        <w:t>. In this project our aim was to re-imagine teaching assessment as a partnership between our radiotherapy teaching team and our students who acted as co-observers and co-researchers</w:t>
      </w:r>
      <w:r w:rsidR="000C5F02" w:rsidRPr="000C5F02">
        <w:rPr>
          <w:rFonts w:cs="Arial"/>
          <w:color w:val="373737"/>
          <w:sz w:val="24"/>
          <w:szCs w:val="24"/>
          <w:vertAlign w:val="superscript"/>
          <w:lang w:val="en-US"/>
        </w:rPr>
        <w:t>1</w:t>
      </w:r>
      <w:r w:rsidR="00D50911">
        <w:rPr>
          <w:rFonts w:cs="Arial"/>
          <w:color w:val="373737"/>
          <w:sz w:val="24"/>
          <w:szCs w:val="24"/>
          <w:lang w:val="en-US"/>
        </w:rPr>
        <w:t>.</w:t>
      </w:r>
    </w:p>
    <w:p w:rsidR="0036101F" w:rsidRPr="005F4B3E" w:rsidRDefault="0036101F" w:rsidP="003610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Method</w:t>
      </w:r>
    </w:p>
    <w:p w:rsidR="00C455E5" w:rsidRPr="005F4B3E" w:rsidRDefault="00C455E5" w:rsidP="00C455E5">
      <w:pPr>
        <w:spacing w:before="100" w:beforeAutospacing="1" w:after="100" w:afterAutospacing="1" w:line="300" w:lineRule="atLeast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Over a two year period, two members of academic staff and two student</w:t>
      </w:r>
      <w:r w:rsidR="008871D9">
        <w:rPr>
          <w:rFonts w:eastAsia="Times New Roman" w:cs="Arial"/>
          <w:color w:val="202020"/>
          <w:sz w:val="24"/>
          <w:szCs w:val="24"/>
          <w:lang w:eastAsia="en-GB"/>
        </w:rPr>
        <w:t>s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worked </w:t>
      </w:r>
      <w:r w:rsidR="009F5ACD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within a case </w:t>
      </w:r>
      <w:r w:rsidR="00986110" w:rsidRPr="005F4B3E">
        <w:rPr>
          <w:rFonts w:eastAsia="Times New Roman" w:cs="Arial"/>
          <w:color w:val="202020"/>
          <w:sz w:val="24"/>
          <w:szCs w:val="24"/>
          <w:lang w:eastAsia="en-GB"/>
        </w:rPr>
        <w:t>study</w:t>
      </w:r>
      <w:r w:rsidR="009F5ACD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to 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collaboratively observe, reflect and research </w:t>
      </w:r>
      <w:r w:rsidR="00986110" w:rsidRPr="005F4B3E">
        <w:rPr>
          <w:rFonts w:eastAsia="Times New Roman" w:cs="Arial"/>
          <w:color w:val="202020"/>
          <w:sz w:val="24"/>
          <w:szCs w:val="24"/>
          <w:lang w:eastAsia="en-GB"/>
        </w:rPr>
        <w:t>a range of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</w:t>
      </w:r>
      <w:r w:rsidR="00986110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eaching 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activities. Each of the two observation cycles included pre-</w:t>
      </w:r>
      <w:r w:rsidR="003A2520" w:rsidRPr="005F4B3E">
        <w:rPr>
          <w:rFonts w:eastAsia="Times New Roman" w:cs="Arial"/>
          <w:color w:val="202020"/>
          <w:sz w:val="24"/>
          <w:szCs w:val="24"/>
          <w:lang w:eastAsia="en-GB"/>
        </w:rPr>
        <w:t>sessional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</w:t>
      </w:r>
      <w:r w:rsidR="00986110" w:rsidRPr="005F4B3E">
        <w:rPr>
          <w:rFonts w:eastAsia="Times New Roman" w:cs="Arial"/>
          <w:color w:val="202020"/>
          <w:sz w:val="24"/>
          <w:szCs w:val="24"/>
          <w:lang w:eastAsia="en-GB"/>
        </w:rPr>
        <w:t>frame setting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, discussion, </w:t>
      </w:r>
      <w:proofErr w:type="gramStart"/>
      <w:r w:rsidR="005F4B3E" w:rsidRPr="005F4B3E">
        <w:rPr>
          <w:rFonts w:eastAsia="Times New Roman" w:cs="Arial"/>
          <w:color w:val="202020"/>
          <w:sz w:val="24"/>
          <w:szCs w:val="24"/>
          <w:lang w:eastAsia="en-GB"/>
        </w:rPr>
        <w:t>observation</w:t>
      </w:r>
      <w:proofErr w:type="gramEnd"/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and then debrief</w:t>
      </w:r>
      <w:r w:rsidR="003A2520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through dialogue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. In cycle 2 the focus </w:t>
      </w:r>
      <w:r w:rsidR="00D50911">
        <w:rPr>
          <w:rFonts w:eastAsia="Times New Roman" w:cs="Arial"/>
          <w:color w:val="202020"/>
          <w:sz w:val="24"/>
          <w:szCs w:val="24"/>
          <w:lang w:eastAsia="en-GB"/>
        </w:rPr>
        <w:t>of observation was student led. Their</w:t>
      </w:r>
      <w:r w:rsid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chosen focus was observation and analysis of how 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peer to peer interactivity </w:t>
      </w:r>
      <w:r w:rsid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affects </w:t>
      </w:r>
      <w:r w:rsidR="00986110" w:rsidRPr="005F4B3E">
        <w:rPr>
          <w:rFonts w:eastAsia="Times New Roman" w:cs="Arial"/>
          <w:color w:val="202020"/>
          <w:sz w:val="24"/>
          <w:szCs w:val="24"/>
          <w:lang w:eastAsia="en-GB"/>
        </w:rPr>
        <w:t>group work</w:t>
      </w: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. </w:t>
      </w:r>
      <w:r w:rsidR="009F7EF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Reflective accounts from within 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>each of the</w:t>
      </w:r>
      <w:r w:rsidR="009F7EF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research cycle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>s</w:t>
      </w:r>
      <w:r w:rsidR="009F7EF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</w:t>
      </w:r>
      <w:r w:rsidR="005F4B3E" w:rsidRPr="005F4B3E">
        <w:rPr>
          <w:rFonts w:eastAsia="Times New Roman" w:cs="Arial"/>
          <w:color w:val="202020"/>
          <w:sz w:val="24"/>
          <w:szCs w:val="24"/>
          <w:lang w:eastAsia="en-GB"/>
        </w:rPr>
        <w:t>provid</w:t>
      </w:r>
      <w:r w:rsidR="005F4B3E">
        <w:rPr>
          <w:rFonts w:eastAsia="Times New Roman" w:cs="Arial"/>
          <w:color w:val="202020"/>
          <w:sz w:val="24"/>
          <w:szCs w:val="24"/>
          <w:lang w:eastAsia="en-GB"/>
        </w:rPr>
        <w:t>e</w:t>
      </w:r>
      <w:r w:rsidR="005F4B3E" w:rsidRPr="005F4B3E">
        <w:rPr>
          <w:rFonts w:eastAsia="Times New Roman" w:cs="Arial"/>
          <w:color w:val="202020"/>
          <w:sz w:val="24"/>
          <w:szCs w:val="24"/>
          <w:lang w:eastAsia="en-GB"/>
        </w:rPr>
        <w:t>d</w:t>
      </w:r>
      <w:r w:rsidR="009F7EF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a corpus of data for our analysis</w:t>
      </w:r>
      <w:r w:rsidR="00A830AA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. In this paper the outcome from </w:t>
      </w:r>
      <w:r w:rsidR="00D50911">
        <w:rPr>
          <w:rFonts w:eastAsia="Times New Roman" w:cs="Arial"/>
          <w:color w:val="202020"/>
          <w:sz w:val="24"/>
          <w:szCs w:val="24"/>
          <w:lang w:eastAsia="en-GB"/>
        </w:rPr>
        <w:t xml:space="preserve">the </w:t>
      </w:r>
      <w:r w:rsidR="00A830AA" w:rsidRPr="005F4B3E">
        <w:rPr>
          <w:rFonts w:eastAsia="Times New Roman" w:cs="Arial"/>
          <w:color w:val="202020"/>
          <w:sz w:val="24"/>
          <w:szCs w:val="24"/>
          <w:lang w:eastAsia="en-GB"/>
        </w:rPr>
        <w:t>second cycle of co-observation</w:t>
      </w:r>
      <w:r w:rsidR="00D50911">
        <w:rPr>
          <w:rFonts w:eastAsia="Times New Roman" w:cs="Arial"/>
          <w:color w:val="202020"/>
          <w:sz w:val="24"/>
          <w:szCs w:val="24"/>
          <w:lang w:eastAsia="en-GB"/>
        </w:rPr>
        <w:t xml:space="preserve"> is reported</w:t>
      </w:r>
      <w:r w:rsidR="00A830AA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. </w:t>
      </w:r>
    </w:p>
    <w:p w:rsidR="0036101F" w:rsidRPr="005F4B3E" w:rsidRDefault="0036101F" w:rsidP="003610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Results</w:t>
      </w:r>
    </w:p>
    <w:p w:rsidR="00A830AA" w:rsidRPr="005F4B3E" w:rsidRDefault="00806946" w:rsidP="00A830AA">
      <w:pPr>
        <w:spacing w:before="100" w:beforeAutospacing="1" w:after="100" w:afterAutospacing="1" w:line="300" w:lineRule="atLeast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Students provided critical insights into </w:t>
      </w:r>
      <w:r w:rsidR="00104AC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the role that group interaction and </w:t>
      </w:r>
      <w:r w:rsidR="001A12E9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group </w:t>
      </w:r>
      <w:r w:rsidR="005529ED">
        <w:rPr>
          <w:rFonts w:eastAsia="Times New Roman" w:cs="Arial"/>
          <w:color w:val="202020"/>
          <w:sz w:val="24"/>
          <w:szCs w:val="24"/>
          <w:lang w:eastAsia="en-GB"/>
        </w:rPr>
        <w:t>cohesiveness has on the</w:t>
      </w:r>
      <w:r w:rsidR="00104AC4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perceived success of teaching and learning</w:t>
      </w:r>
      <w:r w:rsidR="005529ED">
        <w:rPr>
          <w:rFonts w:eastAsia="Times New Roman" w:cs="Arial"/>
          <w:color w:val="202020"/>
          <w:sz w:val="24"/>
          <w:szCs w:val="24"/>
          <w:lang w:eastAsia="en-GB"/>
        </w:rPr>
        <w:t xml:space="preserve"> activities</w:t>
      </w:r>
      <w:r w:rsidR="00767085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. 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>Our students readily identified differing lea</w:t>
      </w:r>
      <w:r w:rsidR="005529ED">
        <w:rPr>
          <w:rFonts w:eastAsia="Times New Roman" w:cs="Arial"/>
          <w:color w:val="202020"/>
          <w:sz w:val="24"/>
          <w:szCs w:val="24"/>
          <w:lang w:eastAsia="en-GB"/>
        </w:rPr>
        <w:t>r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ning styles </w:t>
      </w:r>
      <w:r w:rsidR="00F627A1">
        <w:rPr>
          <w:rFonts w:eastAsia="Times New Roman" w:cs="Arial"/>
          <w:color w:val="202020"/>
          <w:sz w:val="24"/>
          <w:szCs w:val="24"/>
          <w:lang w:eastAsia="en-GB"/>
        </w:rPr>
        <w:t>employed by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their peers and this framed their understanding of the effectiveness of the taught sessions. Students </w:t>
      </w:r>
      <w:r w:rsidR="005529ED">
        <w:rPr>
          <w:rFonts w:eastAsia="Times New Roman" w:cs="Arial"/>
          <w:color w:val="202020"/>
          <w:sz w:val="24"/>
          <w:szCs w:val="24"/>
          <w:lang w:eastAsia="en-GB"/>
        </w:rPr>
        <w:t>described</w:t>
      </w:r>
      <w:r w:rsidR="00D72686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the process of </w:t>
      </w:r>
      <w:r w:rsidR="00754D49">
        <w:rPr>
          <w:rFonts w:eastAsia="Times New Roman" w:cs="Arial"/>
          <w:color w:val="202020"/>
          <w:sz w:val="24"/>
          <w:szCs w:val="24"/>
          <w:lang w:eastAsia="en-GB"/>
        </w:rPr>
        <w:t xml:space="preserve">learning as dynamic and complex.  In particular students determined the importance of </w:t>
      </w:r>
      <w:r w:rsidR="00D12412">
        <w:rPr>
          <w:rFonts w:eastAsia="Times New Roman" w:cs="Arial"/>
          <w:color w:val="202020"/>
          <w:sz w:val="24"/>
          <w:szCs w:val="24"/>
          <w:lang w:eastAsia="en-GB"/>
        </w:rPr>
        <w:t xml:space="preserve">social </w:t>
      </w:r>
      <w:r w:rsidR="00754D49">
        <w:rPr>
          <w:rFonts w:eastAsia="Times New Roman" w:cs="Arial"/>
          <w:color w:val="202020"/>
          <w:sz w:val="24"/>
          <w:szCs w:val="24"/>
          <w:lang w:eastAsia="en-GB"/>
        </w:rPr>
        <w:t xml:space="preserve">cohesion of the tutor group as being a factor </w:t>
      </w:r>
      <w:r w:rsidR="00754D49">
        <w:rPr>
          <w:rFonts w:eastAsia="Times New Roman" w:cs="Arial"/>
          <w:color w:val="202020"/>
          <w:sz w:val="24"/>
          <w:szCs w:val="24"/>
          <w:lang w:eastAsia="en-GB"/>
        </w:rPr>
        <w:lastRenderedPageBreak/>
        <w:t>that determines the success of learning activities</w:t>
      </w:r>
      <w:r w:rsidR="00794FC1">
        <w:rPr>
          <w:rFonts w:eastAsia="Times New Roman" w:cs="Arial"/>
          <w:color w:val="202020"/>
          <w:sz w:val="24"/>
          <w:szCs w:val="24"/>
          <w:lang w:eastAsia="en-GB"/>
        </w:rPr>
        <w:t xml:space="preserve">, and that the tutors were successful where they were able to </w:t>
      </w:r>
      <w:r w:rsidR="00442D87">
        <w:rPr>
          <w:rFonts w:eastAsia="Times New Roman" w:cs="Arial"/>
          <w:color w:val="202020"/>
          <w:sz w:val="24"/>
          <w:szCs w:val="24"/>
          <w:lang w:eastAsia="en-GB"/>
        </w:rPr>
        <w:t>exploit</w:t>
      </w:r>
      <w:r w:rsidR="00F63F8F">
        <w:rPr>
          <w:rFonts w:eastAsia="Times New Roman" w:cs="Arial"/>
          <w:color w:val="202020"/>
          <w:sz w:val="24"/>
          <w:szCs w:val="24"/>
          <w:lang w:eastAsia="en-GB"/>
        </w:rPr>
        <w:t xml:space="preserve"> and ‘work’</w:t>
      </w:r>
      <w:r w:rsidR="00794FC1">
        <w:rPr>
          <w:rFonts w:eastAsia="Times New Roman" w:cs="Arial"/>
          <w:color w:val="202020"/>
          <w:sz w:val="24"/>
          <w:szCs w:val="24"/>
          <w:lang w:eastAsia="en-GB"/>
        </w:rPr>
        <w:t xml:space="preserve"> </w:t>
      </w:r>
      <w:r w:rsidR="00442D87">
        <w:rPr>
          <w:rFonts w:eastAsia="Times New Roman" w:cs="Arial"/>
          <w:color w:val="202020"/>
          <w:sz w:val="24"/>
          <w:szCs w:val="24"/>
          <w:lang w:eastAsia="en-GB"/>
        </w:rPr>
        <w:t>this</w:t>
      </w:r>
      <w:r w:rsidR="00794FC1">
        <w:rPr>
          <w:rFonts w:eastAsia="Times New Roman" w:cs="Arial"/>
          <w:color w:val="202020"/>
          <w:sz w:val="24"/>
          <w:szCs w:val="24"/>
          <w:lang w:eastAsia="en-GB"/>
        </w:rPr>
        <w:t xml:space="preserve"> group dynamic. </w:t>
      </w:r>
      <w:r w:rsidR="009F5ACD" w:rsidRPr="005F4B3E">
        <w:rPr>
          <w:rFonts w:eastAsia="Times New Roman" w:cs="Arial"/>
          <w:color w:val="202020"/>
          <w:sz w:val="24"/>
          <w:szCs w:val="24"/>
          <w:lang w:eastAsia="en-GB"/>
        </w:rPr>
        <w:t xml:space="preserve">  </w:t>
      </w:r>
    </w:p>
    <w:p w:rsidR="00A830AA" w:rsidRPr="005F4B3E" w:rsidRDefault="00A830AA" w:rsidP="00A830AA">
      <w:pPr>
        <w:spacing w:before="100" w:beforeAutospacing="1" w:after="100" w:afterAutospacing="1" w:line="300" w:lineRule="atLeast"/>
        <w:rPr>
          <w:rFonts w:eastAsia="Times New Roman" w:cs="Arial"/>
          <w:color w:val="202020"/>
          <w:sz w:val="24"/>
          <w:szCs w:val="24"/>
          <w:lang w:eastAsia="en-GB"/>
        </w:rPr>
      </w:pPr>
    </w:p>
    <w:p w:rsidR="0036101F" w:rsidRPr="005F4B3E" w:rsidRDefault="0036101F" w:rsidP="0036101F">
      <w:pPr>
        <w:numPr>
          <w:ilvl w:val="0"/>
          <w:numId w:val="2"/>
        </w:numPr>
        <w:spacing w:before="100" w:beforeAutospacing="1" w:after="100" w:afterAutospacing="1" w:line="300" w:lineRule="atLeast"/>
        <w:ind w:left="375"/>
        <w:rPr>
          <w:rFonts w:eastAsia="Times New Roman" w:cs="Arial"/>
          <w:color w:val="202020"/>
          <w:sz w:val="24"/>
          <w:szCs w:val="24"/>
          <w:lang w:eastAsia="en-GB"/>
        </w:rPr>
      </w:pPr>
      <w:r w:rsidRPr="005F4B3E">
        <w:rPr>
          <w:rFonts w:eastAsia="Times New Roman" w:cs="Arial"/>
          <w:color w:val="202020"/>
          <w:sz w:val="24"/>
          <w:szCs w:val="24"/>
          <w:lang w:eastAsia="en-GB"/>
        </w:rPr>
        <w:t>Discussion and Conclusion</w:t>
      </w:r>
    </w:p>
    <w:p w:rsidR="00B00F03" w:rsidRDefault="009F5ACD">
      <w:pPr>
        <w:rPr>
          <w:rFonts w:cs="Arial"/>
          <w:sz w:val="24"/>
          <w:szCs w:val="24"/>
        </w:rPr>
      </w:pPr>
      <w:r w:rsidRPr="005F4B3E">
        <w:rPr>
          <w:rFonts w:cs="Arial"/>
          <w:sz w:val="24"/>
          <w:szCs w:val="24"/>
        </w:rPr>
        <w:t xml:space="preserve">Students provide </w:t>
      </w:r>
      <w:r w:rsidR="008871D9">
        <w:rPr>
          <w:rFonts w:cs="Arial"/>
          <w:sz w:val="24"/>
          <w:szCs w:val="24"/>
        </w:rPr>
        <w:t xml:space="preserve">valuable </w:t>
      </w:r>
      <w:r w:rsidRPr="005F4B3E">
        <w:rPr>
          <w:rFonts w:cs="Arial"/>
          <w:sz w:val="24"/>
          <w:szCs w:val="24"/>
        </w:rPr>
        <w:t xml:space="preserve">insights </w:t>
      </w:r>
      <w:r w:rsidR="001E5EC9" w:rsidRPr="005F4B3E">
        <w:rPr>
          <w:rFonts w:cs="Arial"/>
          <w:sz w:val="24"/>
          <w:szCs w:val="24"/>
        </w:rPr>
        <w:t>that we have used to assess and</w:t>
      </w:r>
      <w:r w:rsidRPr="005F4B3E">
        <w:rPr>
          <w:rFonts w:cs="Arial"/>
          <w:sz w:val="24"/>
          <w:szCs w:val="24"/>
        </w:rPr>
        <w:t xml:space="preserve"> evaluate </w:t>
      </w:r>
      <w:r w:rsidR="008871D9">
        <w:rPr>
          <w:rFonts w:cs="Arial"/>
          <w:sz w:val="24"/>
          <w:szCs w:val="24"/>
        </w:rPr>
        <w:t xml:space="preserve">our </w:t>
      </w:r>
      <w:r w:rsidRPr="005F4B3E">
        <w:rPr>
          <w:rFonts w:cs="Arial"/>
          <w:sz w:val="24"/>
          <w:szCs w:val="24"/>
        </w:rPr>
        <w:t>teaching and learning</w:t>
      </w:r>
      <w:r w:rsidR="008871D9">
        <w:rPr>
          <w:rFonts w:cs="Arial"/>
          <w:sz w:val="24"/>
          <w:szCs w:val="24"/>
        </w:rPr>
        <w:t xml:space="preserve"> activities</w:t>
      </w:r>
      <w:r w:rsidRPr="005F4B3E">
        <w:rPr>
          <w:rFonts w:cs="Arial"/>
          <w:sz w:val="24"/>
          <w:szCs w:val="24"/>
        </w:rPr>
        <w:t>. These are most powerful</w:t>
      </w:r>
      <w:r w:rsidR="001E5EC9" w:rsidRPr="005F4B3E">
        <w:rPr>
          <w:rFonts w:cs="Arial"/>
          <w:sz w:val="24"/>
          <w:szCs w:val="24"/>
        </w:rPr>
        <w:t>ly used</w:t>
      </w:r>
      <w:r w:rsidRPr="005F4B3E">
        <w:rPr>
          <w:rFonts w:cs="Arial"/>
          <w:sz w:val="24"/>
          <w:szCs w:val="24"/>
        </w:rPr>
        <w:t xml:space="preserve"> when students work collaboratively with tutors</w:t>
      </w:r>
      <w:r w:rsidR="001E5EC9" w:rsidRPr="005F4B3E">
        <w:rPr>
          <w:rFonts w:cs="Arial"/>
          <w:sz w:val="24"/>
          <w:szCs w:val="24"/>
        </w:rPr>
        <w:t xml:space="preserve"> in a formalised manner</w:t>
      </w:r>
      <w:r w:rsidRPr="005F4B3E">
        <w:rPr>
          <w:rFonts w:cs="Arial"/>
          <w:sz w:val="24"/>
          <w:szCs w:val="24"/>
        </w:rPr>
        <w:t xml:space="preserve">. Classroom learning is </w:t>
      </w:r>
      <w:r w:rsidR="001E5EC9" w:rsidRPr="005F4B3E">
        <w:rPr>
          <w:rFonts w:cs="Arial"/>
          <w:sz w:val="24"/>
          <w:szCs w:val="24"/>
        </w:rPr>
        <w:t>traditionally</w:t>
      </w:r>
      <w:r w:rsidRPr="005F4B3E">
        <w:rPr>
          <w:rFonts w:cs="Arial"/>
          <w:sz w:val="24"/>
          <w:szCs w:val="24"/>
        </w:rPr>
        <w:t xml:space="preserve"> ‘messy’ and assessment of </w:t>
      </w:r>
      <w:r w:rsidR="001E5EC9" w:rsidRPr="005F4B3E">
        <w:rPr>
          <w:rFonts w:cs="Arial"/>
          <w:sz w:val="24"/>
          <w:szCs w:val="24"/>
        </w:rPr>
        <w:t>‘</w:t>
      </w:r>
      <w:r w:rsidRPr="005F4B3E">
        <w:rPr>
          <w:rFonts w:cs="Arial"/>
          <w:sz w:val="24"/>
          <w:szCs w:val="24"/>
        </w:rPr>
        <w:t>effectiveness</w:t>
      </w:r>
      <w:r w:rsidR="001E5EC9" w:rsidRPr="005F4B3E">
        <w:rPr>
          <w:rFonts w:cs="Arial"/>
          <w:sz w:val="24"/>
          <w:szCs w:val="24"/>
        </w:rPr>
        <w:t>’</w:t>
      </w:r>
      <w:r w:rsidRPr="005F4B3E">
        <w:rPr>
          <w:rFonts w:cs="Arial"/>
          <w:sz w:val="24"/>
          <w:szCs w:val="24"/>
        </w:rPr>
        <w:t xml:space="preserve"> is nuanced by many factors some of which</w:t>
      </w:r>
      <w:r w:rsidR="001E5EC9" w:rsidRPr="005F4B3E">
        <w:rPr>
          <w:rFonts w:cs="Arial"/>
          <w:sz w:val="24"/>
          <w:szCs w:val="24"/>
        </w:rPr>
        <w:t xml:space="preserve"> can only be validated from the perspective </w:t>
      </w:r>
      <w:r w:rsidR="00D12412" w:rsidRPr="005F4B3E">
        <w:rPr>
          <w:rFonts w:cs="Arial"/>
          <w:sz w:val="24"/>
          <w:szCs w:val="24"/>
        </w:rPr>
        <w:t xml:space="preserve">of </w:t>
      </w:r>
      <w:r w:rsidR="00D12412">
        <w:rPr>
          <w:rFonts w:cs="Arial"/>
          <w:sz w:val="24"/>
          <w:szCs w:val="24"/>
        </w:rPr>
        <w:t>learners</w:t>
      </w:r>
      <w:r w:rsidR="001E5EC9" w:rsidRPr="005F4B3E">
        <w:rPr>
          <w:rFonts w:cs="Arial"/>
          <w:sz w:val="24"/>
          <w:szCs w:val="24"/>
        </w:rPr>
        <w:t xml:space="preserve"> themselves</w:t>
      </w:r>
      <w:r w:rsidR="004924AD">
        <w:rPr>
          <w:rFonts w:cs="Arial"/>
          <w:sz w:val="24"/>
          <w:szCs w:val="24"/>
        </w:rPr>
        <w:t>.</w:t>
      </w:r>
    </w:p>
    <w:p w:rsidR="000C5F02" w:rsidRDefault="000C5F02">
      <w:pPr>
        <w:rPr>
          <w:rFonts w:cs="Arial"/>
          <w:sz w:val="24"/>
          <w:szCs w:val="24"/>
        </w:rPr>
      </w:pPr>
    </w:p>
    <w:p w:rsidR="000C5F02" w:rsidRDefault="000C5F02">
      <w:pPr>
        <w:rPr>
          <w:rFonts w:cs="Arial"/>
          <w:sz w:val="24"/>
          <w:szCs w:val="24"/>
        </w:rPr>
      </w:pPr>
    </w:p>
    <w:p w:rsidR="000C5F02" w:rsidRDefault="000C5F02">
      <w:pPr>
        <w:rPr>
          <w:rFonts w:cs="Arial"/>
          <w:sz w:val="24"/>
          <w:szCs w:val="24"/>
        </w:rPr>
      </w:pPr>
    </w:p>
    <w:p w:rsidR="000C5F02" w:rsidRDefault="000C5F02">
      <w:pPr>
        <w:rPr>
          <w:rFonts w:cs="Arial"/>
          <w:sz w:val="24"/>
          <w:szCs w:val="24"/>
        </w:rPr>
      </w:pPr>
      <w:r>
        <w:rPr>
          <w:rFonts w:cs="Arial"/>
          <w:sz w:val="24"/>
          <w:szCs w:val="24"/>
        </w:rPr>
        <w:t xml:space="preserve">Ref 1- </w:t>
      </w:r>
      <w:hyperlink r:id="rId5" w:history="1">
        <w:r w:rsidRPr="0036131C">
          <w:rPr>
            <w:rStyle w:val="Hyperlink"/>
            <w:rFonts w:cs="Arial"/>
            <w:sz w:val="24"/>
            <w:szCs w:val="24"/>
          </w:rPr>
          <w:t>http://blogs.bcu.ac.uk/collaborativeobservation/</w:t>
        </w:r>
      </w:hyperlink>
    </w:p>
    <w:p w:rsidR="000C5F02" w:rsidRDefault="000C5F02">
      <w:pPr>
        <w:rPr>
          <w:rFonts w:cs="Arial"/>
          <w:sz w:val="24"/>
          <w:szCs w:val="24"/>
        </w:rPr>
      </w:pPr>
    </w:p>
    <w:p w:rsidR="000C5F02" w:rsidRPr="005F4B3E" w:rsidRDefault="000C5F02">
      <w:pPr>
        <w:rPr>
          <w:rFonts w:cs="Arial"/>
          <w:sz w:val="24"/>
          <w:szCs w:val="24"/>
        </w:rPr>
      </w:pPr>
      <w:bookmarkStart w:id="0" w:name="_GoBack"/>
      <w:bookmarkEnd w:id="0"/>
    </w:p>
    <w:sectPr w:rsidR="000C5F02" w:rsidRPr="005F4B3E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CF12C3"/>
    <w:multiLevelType w:val="multilevel"/>
    <w:tmpl w:val="CC60059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8320B5F"/>
    <w:multiLevelType w:val="multilevel"/>
    <w:tmpl w:val="CCAA140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8569F"/>
    <w:rsid w:val="00031C7B"/>
    <w:rsid w:val="000C5F02"/>
    <w:rsid w:val="00104AC4"/>
    <w:rsid w:val="001A12E9"/>
    <w:rsid w:val="001E5EC9"/>
    <w:rsid w:val="00341A78"/>
    <w:rsid w:val="0036101F"/>
    <w:rsid w:val="003A2520"/>
    <w:rsid w:val="00442D87"/>
    <w:rsid w:val="004924AD"/>
    <w:rsid w:val="004A3E8C"/>
    <w:rsid w:val="005529ED"/>
    <w:rsid w:val="005E62F0"/>
    <w:rsid w:val="005F4B3E"/>
    <w:rsid w:val="00701E7E"/>
    <w:rsid w:val="00754D49"/>
    <w:rsid w:val="00767085"/>
    <w:rsid w:val="0078210C"/>
    <w:rsid w:val="0078569F"/>
    <w:rsid w:val="00794FC1"/>
    <w:rsid w:val="00806946"/>
    <w:rsid w:val="008871D9"/>
    <w:rsid w:val="00986110"/>
    <w:rsid w:val="009F5ACD"/>
    <w:rsid w:val="009F7EF4"/>
    <w:rsid w:val="00A02005"/>
    <w:rsid w:val="00A303E0"/>
    <w:rsid w:val="00A830AA"/>
    <w:rsid w:val="00AF4CF3"/>
    <w:rsid w:val="00B84FED"/>
    <w:rsid w:val="00BD34B7"/>
    <w:rsid w:val="00C455E5"/>
    <w:rsid w:val="00C96EEA"/>
    <w:rsid w:val="00CE11FE"/>
    <w:rsid w:val="00D12412"/>
    <w:rsid w:val="00D50911"/>
    <w:rsid w:val="00D72686"/>
    <w:rsid w:val="00F627A1"/>
    <w:rsid w:val="00F63F8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C627329"/>
  <w15:chartTrackingRefBased/>
  <w15:docId w15:val="{9999895E-C1E7-42EC-A264-382E3DDA258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Arial" w:eastAsiaTheme="minorHAnsi" w:hAnsi="Arial" w:cs="Times New Roman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610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BD34B7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0C5F0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blogs.bcu.ac.uk/collaborativeobservation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160</TotalTime>
  <Pages>2</Pages>
  <Words>382</Words>
  <Characters>2183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Birmingham City University</Company>
  <LinksUpToDate>false</LinksUpToDate>
  <CharactersWithSpaces>2560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Nick White</dc:creator>
  <cp:keywords/>
  <dc:description/>
  <cp:lastModifiedBy>Nick White</cp:lastModifiedBy>
  <cp:revision>29</cp:revision>
  <dcterms:created xsi:type="dcterms:W3CDTF">2018-06-29T14:11:00Z</dcterms:created>
  <dcterms:modified xsi:type="dcterms:W3CDTF">2018-07-16T10:42:00Z</dcterms:modified>
</cp:coreProperties>
</file>